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535C" w:rsidRPr="005C301E" w:rsidRDefault="00EE535C" w:rsidP="00EE535C">
      <w:pPr>
        <w:pStyle w:val="Els-Title"/>
        <w:rPr>
          <w:rFonts w:ascii="Book Antiqua" w:hAnsi="Book Antiqua"/>
        </w:rPr>
      </w:pPr>
      <w:proofErr w:type="gramStart"/>
      <w:r w:rsidRPr="005C301E">
        <w:rPr>
          <w:rFonts w:ascii="Book Antiqua" w:hAnsi="Book Antiqua"/>
        </w:rPr>
        <w:t>Cosmology and the Zero Point Energy.</w:t>
      </w:r>
      <w:proofErr w:type="gramEnd"/>
    </w:p>
    <w:p w:rsidR="00EE535C" w:rsidRPr="005C301E" w:rsidRDefault="00EE535C" w:rsidP="00EE535C">
      <w:pPr>
        <w:pStyle w:val="Els-Author"/>
        <w:rPr>
          <w:rFonts w:ascii="Book Antiqua" w:hAnsi="Book Antiqua"/>
          <w:lang w:eastAsia="zh-CN"/>
        </w:rPr>
      </w:pPr>
      <w:r w:rsidRPr="005C301E">
        <w:rPr>
          <w:rFonts w:ascii="Book Antiqua" w:hAnsi="Book Antiqua"/>
        </w:rPr>
        <w:t>Barry John Setterfield</w:t>
      </w:r>
      <w:r w:rsidRPr="005C301E">
        <w:rPr>
          <w:rFonts w:ascii="Book Antiqua" w:hAnsi="Book Antiqua"/>
          <w:vertAlign w:val="superscript"/>
        </w:rPr>
        <w:t>a</w:t>
      </w:r>
      <w:r w:rsidRPr="005C301E">
        <w:rPr>
          <w:rFonts w:ascii="Book Antiqua" w:hAnsi="Book Antiqua"/>
        </w:rPr>
        <w:t>, Helen D. Setterfield</w:t>
      </w:r>
      <w:r w:rsidRPr="005C301E">
        <w:rPr>
          <w:rFonts w:ascii="Book Antiqua" w:hAnsi="Book Antiqua"/>
          <w:vertAlign w:val="superscript"/>
        </w:rPr>
        <w:t>b</w:t>
      </w:r>
    </w:p>
    <w:p w:rsidR="00EE535C" w:rsidRPr="005C301E" w:rsidRDefault="00EE535C" w:rsidP="00EE535C">
      <w:pPr>
        <w:pStyle w:val="Els-Affiliation"/>
        <w:numPr>
          <w:ilvl w:val="0"/>
          <w:numId w:val="1"/>
        </w:numPr>
        <w:rPr>
          <w:rFonts w:ascii="Book Antiqua" w:hAnsi="Book Antiqua"/>
        </w:rPr>
      </w:pPr>
      <w:r w:rsidRPr="005C301E">
        <w:rPr>
          <w:rFonts w:ascii="Book Antiqua" w:hAnsi="Book Antiqua"/>
        </w:rPr>
        <w:t>Director, New Hope Observatory,</w:t>
      </w:r>
      <w:r w:rsidR="005C301E">
        <w:rPr>
          <w:rFonts w:ascii="Book Antiqua" w:hAnsi="Book Antiqua"/>
        </w:rPr>
        <w:t xml:space="preserve"> </w:t>
      </w:r>
      <w:r w:rsidRPr="005C301E">
        <w:rPr>
          <w:rFonts w:ascii="Book Antiqua" w:hAnsi="Book Antiqua"/>
        </w:rPr>
        <w:t>5961 New Hope Road, Grants Pass, Oregon 97527, USA.</w:t>
      </w:r>
    </w:p>
    <w:p w:rsidR="00EE535C" w:rsidRPr="005C301E" w:rsidRDefault="00EE535C" w:rsidP="00EE535C">
      <w:pPr>
        <w:pStyle w:val="Els-Affiliation"/>
        <w:rPr>
          <w:rFonts w:ascii="Book Antiqua" w:hAnsi="Book Antiqua"/>
        </w:rPr>
      </w:pPr>
    </w:p>
    <w:p w:rsidR="00EE535C" w:rsidRPr="005C301E" w:rsidRDefault="00EE535C" w:rsidP="00EE535C">
      <w:pPr>
        <w:pStyle w:val="Els-Affiliation"/>
        <w:numPr>
          <w:ilvl w:val="0"/>
          <w:numId w:val="1"/>
        </w:numPr>
        <w:rPr>
          <w:rFonts w:ascii="Book Antiqua" w:hAnsi="Book Antiqua"/>
          <w:lang w:eastAsia="zh-CN"/>
        </w:rPr>
      </w:pPr>
      <w:r w:rsidRPr="005C301E">
        <w:rPr>
          <w:rFonts w:ascii="Book Antiqua" w:hAnsi="Book Antiqua"/>
        </w:rPr>
        <w:t>Literary and Consulting Editor, 677 Coutant Lane, Grants Pass, Oregon, 97527</w:t>
      </w:r>
      <w:r w:rsidRPr="005C301E">
        <w:rPr>
          <w:rFonts w:ascii="Book Antiqua" w:hAnsi="Book Antiqua"/>
          <w:lang w:eastAsia="zh-CN"/>
        </w:rPr>
        <w:t xml:space="preserve"> </w:t>
      </w:r>
    </w:p>
    <w:p w:rsidR="00EE535C" w:rsidRPr="005C301E" w:rsidRDefault="00EE535C" w:rsidP="00EE535C">
      <w:pPr>
        <w:pStyle w:val="Els-history"/>
        <w:rPr>
          <w:rFonts w:ascii="Book Antiqua" w:hAnsi="Book Antiqua"/>
        </w:rPr>
      </w:pPr>
    </w:p>
    <w:p w:rsidR="00EE535C" w:rsidRPr="005C301E" w:rsidRDefault="00EE535C" w:rsidP="00EE535C">
      <w:pPr>
        <w:pStyle w:val="Els-Abstract-head"/>
        <w:rPr>
          <w:rFonts w:ascii="Book Antiqua" w:hAnsi="Book Antiqua"/>
          <w:szCs w:val="18"/>
        </w:rPr>
      </w:pPr>
      <w:r w:rsidRPr="005C301E">
        <w:rPr>
          <w:rFonts w:ascii="Book Antiqua" w:hAnsi="Book Antiqua"/>
          <w:szCs w:val="18"/>
        </w:rPr>
        <w:t>Abstract</w:t>
      </w:r>
    </w:p>
    <w:p w:rsidR="00EE535C" w:rsidRPr="007F73AB" w:rsidRDefault="00EE535C" w:rsidP="00EE535C">
      <w:pPr>
        <w:pStyle w:val="Abstract"/>
        <w:ind w:left="0" w:right="0"/>
        <w:rPr>
          <w:szCs w:val="16"/>
        </w:rPr>
      </w:pPr>
      <w:r w:rsidRPr="007F73AB">
        <w:rPr>
          <w:szCs w:val="16"/>
        </w:rPr>
        <w:t>In 1911, Max Planck’s equations indicated the presence of a real energy intrinsic to the vacuum of space. It has become known as</w:t>
      </w:r>
      <w:r w:rsidRPr="007F73AB">
        <w:rPr>
          <w:color w:val="FF0000"/>
          <w:szCs w:val="16"/>
        </w:rPr>
        <w:t xml:space="preserve"> </w:t>
      </w:r>
      <w:r w:rsidRPr="007F73AB">
        <w:rPr>
          <w:szCs w:val="16"/>
        </w:rPr>
        <w:t xml:space="preserve">the Zero Point Energy (ZPE) because it is present even if the vacuum is cooled to absolute zero, or about </w:t>
      </w:r>
      <m:oMath>
        <m:r>
          <w:rPr>
            <w:szCs w:val="16"/>
          </w:rPr>
          <m:t>-</m:t>
        </m:r>
        <m:sSup>
          <m:sSupPr>
            <m:ctrlPr>
              <w:rPr>
                <w:rFonts w:ascii="Cambria Math" w:hAnsi="Cambria Math"/>
                <w:i/>
                <w:szCs w:val="16"/>
              </w:rPr>
            </m:ctrlPr>
          </m:sSupPr>
          <m:e>
            <m:r>
              <w:rPr>
                <w:rFonts w:ascii="Cambria Math"/>
                <w:szCs w:val="16"/>
              </w:rPr>
              <m:t>273</m:t>
            </m:r>
          </m:e>
          <m:sup>
            <m:r>
              <w:rPr>
                <w:rFonts w:ascii="Cambria Math" w:hAnsi="Cambria Math"/>
                <w:szCs w:val="16"/>
              </w:rPr>
              <m:t>o</m:t>
            </m:r>
          </m:sup>
        </m:sSup>
        <m:r>
          <w:rPr>
            <w:rFonts w:ascii="Cambria Math"/>
            <w:szCs w:val="16"/>
          </w:rPr>
          <m:t xml:space="preserve"> </m:t>
        </m:r>
        <m:r>
          <w:rPr>
            <w:rFonts w:ascii="Cambria Math" w:hAnsi="Cambria Math"/>
            <w:szCs w:val="16"/>
          </w:rPr>
          <m:t>C</m:t>
        </m:r>
        <m:r>
          <w:rPr>
            <w:rFonts w:ascii="Cambria Math"/>
            <w:szCs w:val="16"/>
          </w:rPr>
          <m:t>.</m:t>
        </m:r>
      </m:oMath>
      <w:r w:rsidRPr="007F73AB">
        <w:rPr>
          <w:szCs w:val="16"/>
        </w:rPr>
        <w:t xml:space="preserve"> The ZPE consists of electromagnetic waves of all wavelengths, and was discovered to control the properties of the vacuum, including its electric permittivity and magnetic permeability. It was proven to exist by Mulliken in 1925, but by then the foundations of Quantum Electro-Dynamics (or QED physics) were being laid. Quantum physics consider</w:t>
      </w:r>
      <w:r w:rsidR="00745D9D">
        <w:rPr>
          <w:szCs w:val="16"/>
        </w:rPr>
        <w:t>ed</w:t>
      </w:r>
      <w:r w:rsidRPr="007F73AB">
        <w:rPr>
          <w:color w:val="FF0000"/>
          <w:szCs w:val="16"/>
        </w:rPr>
        <w:t xml:space="preserve"> </w:t>
      </w:r>
      <w:r w:rsidRPr="007F73AB">
        <w:rPr>
          <w:szCs w:val="16"/>
        </w:rPr>
        <w:t>the ZPE to be</w:t>
      </w:r>
      <w:r w:rsidRPr="007F73AB">
        <w:rPr>
          <w:color w:val="FF0000"/>
          <w:szCs w:val="16"/>
        </w:rPr>
        <w:t xml:space="preserve"> </w:t>
      </w:r>
      <w:r w:rsidRPr="007F73AB">
        <w:rPr>
          <w:szCs w:val="16"/>
        </w:rPr>
        <w:t>a mere mathematical abstraction with no real physical existence</w:t>
      </w:r>
      <w:r w:rsidR="00745D9D">
        <w:rPr>
          <w:szCs w:val="16"/>
        </w:rPr>
        <w:t>, despite the evidence</w:t>
      </w:r>
      <w:r w:rsidRPr="007F73AB">
        <w:rPr>
          <w:szCs w:val="16"/>
        </w:rPr>
        <w:t xml:space="preserve">. In 1962, Louis de Broglie, one of the physicists who had initially supported the QED approach, re-examined the situation.  He suggested that science may have taken a wrong turn in siding with the QED </w:t>
      </w:r>
      <w:proofErr w:type="gramStart"/>
      <w:r w:rsidRPr="007F73AB">
        <w:rPr>
          <w:szCs w:val="16"/>
        </w:rPr>
        <w:t>approach</w:t>
      </w:r>
      <w:proofErr w:type="gramEnd"/>
      <w:r w:rsidRPr="007F73AB">
        <w:rPr>
          <w:szCs w:val="16"/>
        </w:rPr>
        <w:t xml:space="preserve">. </w:t>
      </w:r>
      <w:r w:rsidRPr="007F73AB">
        <w:rPr>
          <w:color w:val="FF0000"/>
          <w:szCs w:val="16"/>
        </w:rPr>
        <w:t xml:space="preserve"> </w:t>
      </w:r>
      <w:r w:rsidRPr="007F73AB">
        <w:rPr>
          <w:szCs w:val="16"/>
        </w:rPr>
        <w:t xml:space="preserve">Since then, an approach </w:t>
      </w:r>
      <w:r w:rsidR="00745D9D">
        <w:rPr>
          <w:szCs w:val="16"/>
        </w:rPr>
        <w:t xml:space="preserve">that </w:t>
      </w:r>
      <w:r w:rsidRPr="007F73AB">
        <w:rPr>
          <w:szCs w:val="16"/>
        </w:rPr>
        <w:t>recogniz</w:t>
      </w:r>
      <w:r w:rsidR="00745D9D">
        <w:rPr>
          <w:szCs w:val="16"/>
        </w:rPr>
        <w:t>ed</w:t>
      </w:r>
      <w:r w:rsidRPr="007F73AB">
        <w:rPr>
          <w:szCs w:val="16"/>
        </w:rPr>
        <w:t xml:space="preserve"> a</w:t>
      </w:r>
      <w:r w:rsidRPr="007F73AB">
        <w:rPr>
          <w:color w:val="FF0000"/>
          <w:szCs w:val="16"/>
        </w:rPr>
        <w:t xml:space="preserve"> </w:t>
      </w:r>
      <w:r w:rsidRPr="007F73AB">
        <w:rPr>
          <w:szCs w:val="16"/>
        </w:rPr>
        <w:t>real, physical ZPE combined with classical physics has been developed</w:t>
      </w:r>
      <w:r w:rsidRPr="007F73AB">
        <w:rPr>
          <w:color w:val="FF0000"/>
          <w:szCs w:val="16"/>
        </w:rPr>
        <w:t xml:space="preserve">. </w:t>
      </w:r>
      <w:r w:rsidRPr="007F73AB">
        <w:rPr>
          <w:szCs w:val="16"/>
        </w:rPr>
        <w:t xml:space="preserve">This approach is now called Stochastic Electro-Dynamics or SED physics. SED physics shows the ZPE to be the physical reason behind quantum effects on atoms.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This study examines the origin of the ZPE in accord with known physical principles. Data</w:t>
      </w:r>
      <w:r w:rsidRPr="007F73AB">
        <w:rPr>
          <w:color w:val="FF0000"/>
          <w:szCs w:val="16"/>
        </w:rPr>
        <w:t xml:space="preserve"> </w:t>
      </w:r>
      <w:r w:rsidRPr="007F73AB">
        <w:rPr>
          <w:szCs w:val="16"/>
        </w:rPr>
        <w:t>and theory</w:t>
      </w:r>
      <w:r w:rsidRPr="007F73AB">
        <w:rPr>
          <w:color w:val="FF0000"/>
          <w:szCs w:val="16"/>
        </w:rPr>
        <w:t xml:space="preserve"> </w:t>
      </w:r>
      <w:r w:rsidRPr="007F73AB">
        <w:rPr>
          <w:szCs w:val="16"/>
        </w:rPr>
        <w:t xml:space="preserve">both suggest its strength should increase over the lifetime of the cosmos. The effects of a varying ZPE on atoms and atomic constants, such as Planck’s constant, </w:t>
      </w:r>
      <w:r w:rsidRPr="007F73AB">
        <w:rPr>
          <w:i/>
          <w:szCs w:val="16"/>
        </w:rPr>
        <w:t>h</w:t>
      </w:r>
      <w:r w:rsidRPr="007F73AB">
        <w:rPr>
          <w:szCs w:val="16"/>
        </w:rPr>
        <w:t xml:space="preserve">, the speed of light, </w:t>
      </w:r>
      <w:r w:rsidRPr="007F73AB">
        <w:rPr>
          <w:i/>
          <w:szCs w:val="16"/>
        </w:rPr>
        <w:t>c</w:t>
      </w:r>
      <w:r w:rsidRPr="007F73AB">
        <w:rPr>
          <w:szCs w:val="16"/>
        </w:rPr>
        <w:t xml:space="preserve"> , and the rest</w:t>
      </w:r>
      <w:r w:rsidR="00C80ED9">
        <w:rPr>
          <w:szCs w:val="16"/>
        </w:rPr>
        <w:t>-</w:t>
      </w:r>
      <w:r w:rsidRPr="007F73AB">
        <w:rPr>
          <w:szCs w:val="16"/>
        </w:rPr>
        <w:t xml:space="preserve">masses of atomic particles, </w:t>
      </w:r>
      <w:r w:rsidRPr="007F73AB">
        <w:rPr>
          <w:i/>
          <w:szCs w:val="16"/>
        </w:rPr>
        <w:t>m</w:t>
      </w:r>
      <w:r w:rsidRPr="007F73AB">
        <w:rPr>
          <w:szCs w:val="16"/>
        </w:rPr>
        <w:t xml:space="preserve"> is explored. The rate of ticking of atomic clocks, including radiometric clocks</w:t>
      </w:r>
      <w:r w:rsidR="00C80ED9">
        <w:rPr>
          <w:szCs w:val="16"/>
        </w:rPr>
        <w:t xml:space="preserve"> and their decay rates</w:t>
      </w:r>
      <w:r w:rsidRPr="007F73AB">
        <w:rPr>
          <w:szCs w:val="16"/>
        </w:rPr>
        <w:t>, can also be shown to be affected by the Zero Point Energy, whereas orbital clocks (gravity-based) are not.</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SED physicists have demonstrated that the ZPE maintains </w:t>
      </w:r>
      <w:r w:rsidR="00B77A9D">
        <w:rPr>
          <w:szCs w:val="16"/>
        </w:rPr>
        <w:t xml:space="preserve">the </w:t>
      </w:r>
      <w:r w:rsidRPr="007F73AB">
        <w:rPr>
          <w:szCs w:val="16"/>
        </w:rPr>
        <w:t>atomic orbits</w:t>
      </w:r>
      <w:r w:rsidR="00B77A9D">
        <w:rPr>
          <w:szCs w:val="16"/>
        </w:rPr>
        <w:t xml:space="preserve"> of electrons</w:t>
      </w:r>
      <w:r w:rsidRPr="007F73AB">
        <w:rPr>
          <w:szCs w:val="16"/>
        </w:rPr>
        <w:t xml:space="preserve"> throughout the cosmos. An increasing ZPE strength means all atomic orbits will become more energetic, resulting in all light emitted from atoms also</w:t>
      </w:r>
      <w:r w:rsidRPr="007F73AB">
        <w:rPr>
          <w:color w:val="FF0000"/>
          <w:szCs w:val="16"/>
        </w:rPr>
        <w:t xml:space="preserve"> </w:t>
      </w:r>
      <w:r w:rsidRPr="007F73AB">
        <w:rPr>
          <w:szCs w:val="16"/>
        </w:rPr>
        <w:t>becoming more energetic, or</w:t>
      </w:r>
      <w:r w:rsidRPr="007F73AB">
        <w:rPr>
          <w:color w:val="FF0000"/>
          <w:szCs w:val="16"/>
        </w:rPr>
        <w:t xml:space="preserve"> </w:t>
      </w:r>
      <w:r w:rsidRPr="007F73AB">
        <w:rPr>
          <w:szCs w:val="16"/>
        </w:rPr>
        <w:t>bluer, with time. This gives a clear</w:t>
      </w:r>
      <w:r w:rsidRPr="007F73AB">
        <w:rPr>
          <w:color w:val="FF0000"/>
          <w:szCs w:val="16"/>
        </w:rPr>
        <w:t xml:space="preserve"> </w:t>
      </w:r>
      <w:r w:rsidRPr="007F73AB">
        <w:rPr>
          <w:szCs w:val="16"/>
        </w:rPr>
        <w:t>explanation for</w:t>
      </w:r>
      <w:r w:rsidRPr="007F73AB">
        <w:rPr>
          <w:color w:val="FF0000"/>
          <w:szCs w:val="16"/>
        </w:rPr>
        <w:t xml:space="preserve"> </w:t>
      </w:r>
      <w:r w:rsidRPr="007F73AB">
        <w:rPr>
          <w:szCs w:val="16"/>
        </w:rPr>
        <w:t xml:space="preserve">the increasing red shifts which are seen in progressively more distant galaxies (the farther out we look, the further back in time we are seeing).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Changes in the Zero Point Energy through time also mean</w:t>
      </w:r>
      <w:r w:rsidRPr="007F73AB">
        <w:rPr>
          <w:color w:val="FF0000"/>
          <w:szCs w:val="16"/>
        </w:rPr>
        <w:t xml:space="preserve"> </w:t>
      </w:r>
      <w:r w:rsidRPr="007F73AB">
        <w:rPr>
          <w:szCs w:val="16"/>
        </w:rPr>
        <w:t>alteration of the electric and magnetic properties of the vacuum. This</w:t>
      </w:r>
      <w:r w:rsidRPr="007F73AB">
        <w:rPr>
          <w:color w:val="FF0000"/>
          <w:szCs w:val="16"/>
        </w:rPr>
        <w:t xml:space="preserve"> </w:t>
      </w:r>
      <w:r w:rsidRPr="007F73AB">
        <w:rPr>
          <w:szCs w:val="16"/>
        </w:rPr>
        <w:t xml:space="preserve">has implications for </w:t>
      </w:r>
      <w:r w:rsidR="00E81623">
        <w:rPr>
          <w:szCs w:val="16"/>
        </w:rPr>
        <w:t xml:space="preserve">both </w:t>
      </w:r>
      <w:r w:rsidRPr="007F73AB">
        <w:rPr>
          <w:szCs w:val="16"/>
        </w:rPr>
        <w:t>plasma physics and astronomy. It is shown that plasma interactions were</w:t>
      </w:r>
      <w:r w:rsidRPr="007F73AB">
        <w:rPr>
          <w:color w:val="FF0000"/>
          <w:szCs w:val="16"/>
        </w:rPr>
        <w:t xml:space="preserve"> </w:t>
      </w:r>
      <w:r w:rsidRPr="007F73AB">
        <w:rPr>
          <w:szCs w:val="16"/>
        </w:rPr>
        <w:t>more rapid when the ZPE strength was</w:t>
      </w:r>
      <w:r w:rsidRPr="007F73AB">
        <w:rPr>
          <w:color w:val="FF0000"/>
          <w:szCs w:val="16"/>
        </w:rPr>
        <w:t xml:space="preserve"> </w:t>
      </w:r>
      <w:r w:rsidRPr="007F73AB">
        <w:rPr>
          <w:szCs w:val="16"/>
        </w:rPr>
        <w:t>lower. In almost all cosmological models,</w:t>
      </w:r>
      <w:r w:rsidRPr="007F73AB">
        <w:rPr>
          <w:color w:val="FF0000"/>
          <w:szCs w:val="16"/>
        </w:rPr>
        <w:t xml:space="preserve"> </w:t>
      </w:r>
      <w:r w:rsidRPr="007F73AB">
        <w:rPr>
          <w:szCs w:val="16"/>
        </w:rPr>
        <w:t xml:space="preserve">the universe is considered to have begun as plasma.  Standard astronomy </w:t>
      </w:r>
      <w:r w:rsidR="00E81623">
        <w:rPr>
          <w:szCs w:val="16"/>
        </w:rPr>
        <w:t>says</w:t>
      </w:r>
      <w:r w:rsidRPr="007F73AB">
        <w:rPr>
          <w:szCs w:val="16"/>
        </w:rPr>
        <w:t xml:space="preserve"> gravity </w:t>
      </w:r>
      <w:r w:rsidR="00E81623">
        <w:rPr>
          <w:szCs w:val="16"/>
        </w:rPr>
        <w:t>began</w:t>
      </w:r>
      <w:r w:rsidRPr="007F73AB">
        <w:rPr>
          <w:szCs w:val="16"/>
        </w:rPr>
        <w:t xml:space="preserve"> to act once neutral atoms appeared, and then </w:t>
      </w:r>
      <w:r w:rsidR="00E81623">
        <w:rPr>
          <w:szCs w:val="16"/>
        </w:rPr>
        <w:t xml:space="preserve">vast amounts of time are needed </w:t>
      </w:r>
      <w:r w:rsidRPr="007F73AB">
        <w:rPr>
          <w:szCs w:val="16"/>
        </w:rPr>
        <w:t>to form galaxies and stars and planets.</w:t>
      </w:r>
      <w:r w:rsidRPr="007F73AB">
        <w:rPr>
          <w:color w:val="FF0000"/>
          <w:szCs w:val="16"/>
        </w:rPr>
        <w:t xml:space="preserve">  </w:t>
      </w:r>
      <w:r w:rsidRPr="007F73AB">
        <w:rPr>
          <w:szCs w:val="16"/>
        </w:rPr>
        <w:t>However, even today, our telescopes show that plasma comprises 99% of the universe.</w:t>
      </w:r>
      <w:r w:rsidRPr="007F73AB">
        <w:rPr>
          <w:color w:val="FF0000"/>
          <w:szCs w:val="16"/>
        </w:rPr>
        <w:t xml:space="preserve"> </w:t>
      </w:r>
      <w:r w:rsidRPr="007F73AB">
        <w:rPr>
          <w:szCs w:val="16"/>
        </w:rPr>
        <w:t>Therefore, using plasma physics, the rates of galaxy, star and planet formation can be shown to have been much</w:t>
      </w:r>
      <w:r w:rsidRPr="007F73AB">
        <w:rPr>
          <w:color w:val="FF0000"/>
          <w:szCs w:val="16"/>
        </w:rPr>
        <w:t xml:space="preserve"> </w:t>
      </w:r>
      <w:r w:rsidRPr="007F73AB">
        <w:rPr>
          <w:szCs w:val="16"/>
        </w:rPr>
        <w:t xml:space="preserve">more rapid in the early cosmos. This may resolve some astronomical anomalies </w:t>
      </w:r>
      <w:r w:rsidR="004677AB">
        <w:rPr>
          <w:szCs w:val="16"/>
        </w:rPr>
        <w:t xml:space="preserve">found </w:t>
      </w:r>
      <w:r w:rsidRPr="007F73AB">
        <w:rPr>
          <w:szCs w:val="16"/>
        </w:rPr>
        <w:t xml:space="preserve">at the frontiers of the universe. </w:t>
      </w:r>
    </w:p>
    <w:p w:rsidR="00EE535C" w:rsidRPr="007F73AB" w:rsidRDefault="00EE535C" w:rsidP="00EE535C">
      <w:pPr>
        <w:pStyle w:val="Abstract"/>
        <w:ind w:left="0" w:right="0"/>
        <w:rPr>
          <w:szCs w:val="16"/>
        </w:rPr>
      </w:pPr>
    </w:p>
    <w:p w:rsidR="00EE535C" w:rsidRPr="007F73AB" w:rsidRDefault="00EE535C" w:rsidP="00EE535C">
      <w:pPr>
        <w:pStyle w:val="Abstract"/>
        <w:ind w:left="0" w:right="0"/>
        <w:rPr>
          <w:szCs w:val="16"/>
        </w:rPr>
      </w:pPr>
      <w:r w:rsidRPr="007F73AB">
        <w:rPr>
          <w:szCs w:val="16"/>
        </w:rPr>
        <w:t xml:space="preserve">An increasing ZPE also has implications for planetary geology, as well as giving a reason for gigantism in Earth’s fossil record. In all fauna, bio-electro-magnetism governs the rate of transmission of nerve impulses, which are effectively electric currents. When the ZPE was low, all electric currents, and hence nerve impulses, flowed more rapidly. This allowed larger faunal types, such as dinosaurs, to be very efficient creatures. As the ZPE increased, this efficiency was lost and only smaller varieties survived.  Because of the Zero Point Energy’s effect upon light itself, photosynthesis was </w:t>
      </w:r>
      <w:r w:rsidR="004677AB">
        <w:rPr>
          <w:szCs w:val="16"/>
        </w:rPr>
        <w:t xml:space="preserve">also </w:t>
      </w:r>
      <w:r w:rsidRPr="007F73AB">
        <w:rPr>
          <w:szCs w:val="16"/>
        </w:rPr>
        <w:t>much more efficient, allowing the gigantism we see in plant fossils.</w:t>
      </w:r>
    </w:p>
    <w:p w:rsidR="00EE535C" w:rsidRPr="007F73AB" w:rsidRDefault="00EE535C" w:rsidP="00EE535C">
      <w:pPr>
        <w:pStyle w:val="Abstract"/>
        <w:ind w:left="0" w:right="0"/>
        <w:rPr>
          <w:color w:val="FF0000"/>
          <w:szCs w:val="16"/>
        </w:rPr>
      </w:pPr>
    </w:p>
    <w:p w:rsidR="00EE535C" w:rsidRPr="007F73AB" w:rsidRDefault="00EE535C" w:rsidP="00EE535C">
      <w:pPr>
        <w:pStyle w:val="Abstract"/>
        <w:ind w:left="0" w:right="0"/>
        <w:rPr>
          <w:szCs w:val="16"/>
        </w:rPr>
      </w:pPr>
      <w:r w:rsidRPr="007F73AB">
        <w:rPr>
          <w:szCs w:val="16"/>
        </w:rPr>
        <w:t>Finally, many of relativity’s predictions follow logically from the presence of a real ZPE. The concepts are intuitive and can be formulated with simple mathematics. This approach has the advantage that the restrictive postulates of relativity are not needed to achieve the same results. The real, physical ZPE is thus seen to be the common factor that unites a number of branches of science.</w:t>
      </w:r>
    </w:p>
    <w:p w:rsidR="00EE535C" w:rsidRPr="007F73AB" w:rsidRDefault="00EE535C" w:rsidP="00EE535C">
      <w:pPr>
        <w:pStyle w:val="Els-Abstract-text"/>
        <w:rPr>
          <w:rFonts w:ascii="Book Antiqua" w:hAnsi="Book Antiqua"/>
          <w:sz w:val="16"/>
          <w:szCs w:val="16"/>
        </w:rPr>
      </w:pPr>
    </w:p>
    <w:p w:rsidR="00EE535C" w:rsidRPr="007F73AB" w:rsidRDefault="00EE535C" w:rsidP="00EE535C">
      <w:pPr>
        <w:rPr>
          <w:rFonts w:ascii="Book Antiqua" w:hAnsi="Book Antiqua"/>
          <w:sz w:val="16"/>
          <w:szCs w:val="16"/>
          <w:lang w:val="en-US"/>
        </w:rPr>
      </w:pPr>
    </w:p>
    <w:p w:rsidR="00EE535C" w:rsidRPr="007F73AB" w:rsidRDefault="00EE535C" w:rsidP="00EE535C">
      <w:pPr>
        <w:pStyle w:val="Els-keywords"/>
        <w:rPr>
          <w:rFonts w:ascii="Book Antiqua" w:hAnsi="Book Antiqua"/>
          <w:szCs w:val="16"/>
        </w:rPr>
      </w:pPr>
      <w:r w:rsidRPr="007F73AB">
        <w:rPr>
          <w:rFonts w:ascii="Book Antiqua" w:hAnsi="Book Antiqua"/>
          <w:szCs w:val="16"/>
        </w:rPr>
        <w:t>Keywords: Zero Point Energy (ZPE); SED physics; vacuum properties; atomic constants; speed of light; atomic time; atomic rest masses; red shifts; plasma physics; planetary geology; fossil gigantism; bio-electro-magnetism; relativity (special and general).</w:t>
      </w:r>
    </w:p>
    <w:p w:rsidR="007501A0" w:rsidRPr="007501A0" w:rsidRDefault="007501A0" w:rsidP="007501A0">
      <w:pPr>
        <w:jc w:val="center"/>
        <w:rPr>
          <w:rFonts w:ascii="Book Antiqua" w:hAnsi="Book Antiqua"/>
          <w:b/>
          <w:sz w:val="32"/>
          <w:szCs w:val="32"/>
        </w:rPr>
      </w:pPr>
      <w:r w:rsidRPr="007501A0">
        <w:rPr>
          <w:rFonts w:ascii="Book Antiqua" w:hAnsi="Book Antiqua"/>
          <w:b/>
          <w:sz w:val="32"/>
          <w:szCs w:val="32"/>
        </w:rPr>
        <w:lastRenderedPageBreak/>
        <w:t>Contents</w:t>
      </w:r>
    </w:p>
    <w:p w:rsidR="007501A0" w:rsidRPr="00F96830" w:rsidRDefault="007501A0" w:rsidP="007501A0">
      <w:pPr>
        <w:pStyle w:val="NoSpacing"/>
        <w:rPr>
          <w:rFonts w:ascii="Book Antiqua" w:hAnsi="Book Antiqua"/>
          <w:b/>
        </w:rPr>
      </w:pPr>
      <w:r w:rsidRPr="00F96830">
        <w:rPr>
          <w:rFonts w:ascii="Book Antiqua" w:hAnsi="Book Antiqua"/>
          <w:b/>
        </w:rPr>
        <w:t>Abstract</w:t>
      </w: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Introduction: A layman’s Extended Summary</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Discerning the Zero Point Energy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Has the ZPE Strength Changed?</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Virtual Particles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the Speed of Light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Zero Point Energy and Planck’s Constant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Energy and Sub-Atomic Masses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Measuring Time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ZPE and the Redshift</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Plasma Physics and the ZPE</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Biology and the Zero Point Energy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Gigantism in Plants</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The Zero Point Energy and Relativity.</w:t>
      </w:r>
    </w:p>
    <w:p w:rsidR="007501A0" w:rsidRPr="00F96830" w:rsidRDefault="007501A0" w:rsidP="00252491">
      <w:pPr>
        <w:pStyle w:val="NoSpacing"/>
        <w:numPr>
          <w:ilvl w:val="0"/>
          <w:numId w:val="48"/>
        </w:numPr>
        <w:rPr>
          <w:rFonts w:ascii="Book Antiqua" w:hAnsi="Book Antiqua"/>
          <w:b/>
          <w:sz w:val="18"/>
          <w:szCs w:val="18"/>
        </w:rPr>
      </w:pPr>
      <w:r w:rsidRPr="00F96830">
        <w:rPr>
          <w:rFonts w:ascii="Book Antiqua" w:hAnsi="Book Antiqua"/>
          <w:b/>
          <w:sz w:val="18"/>
          <w:szCs w:val="18"/>
        </w:rPr>
        <w:t>References</w:t>
      </w:r>
    </w:p>
    <w:p w:rsidR="007501A0" w:rsidRPr="001343D8" w:rsidRDefault="007501A0" w:rsidP="007501A0">
      <w:pPr>
        <w:pStyle w:val="NoSpacing"/>
        <w:ind w:left="1080"/>
        <w:rPr>
          <w:rFonts w:ascii="Book Antiqua" w:hAnsi="Book Antiqua"/>
          <w:sz w:val="16"/>
          <w:szCs w:val="16"/>
        </w:rPr>
      </w:pPr>
    </w:p>
    <w:p w:rsidR="007501A0" w:rsidRPr="00F96830" w:rsidRDefault="007501A0" w:rsidP="007501A0">
      <w:pPr>
        <w:pStyle w:val="NoSpacing"/>
        <w:rPr>
          <w:rFonts w:ascii="Book Antiqua" w:hAnsi="Book Antiqua"/>
          <w:b/>
        </w:rPr>
      </w:pPr>
      <w:r w:rsidRPr="00F96830">
        <w:rPr>
          <w:rFonts w:ascii="Book Antiqua" w:hAnsi="Book Antiqua"/>
          <w:b/>
        </w:rPr>
        <w:t>Chapter 1: Exploring the Vacuum</w:t>
      </w:r>
    </w:p>
    <w:p w:rsidR="007501A0" w:rsidRPr="00F96830" w:rsidRDefault="007501A0" w:rsidP="007501A0">
      <w:pPr>
        <w:pStyle w:val="NoSpacing"/>
        <w:rPr>
          <w:rFonts w:ascii="Book Antiqua" w:hAnsi="Book Antiqua"/>
          <w:b/>
          <w:sz w:val="18"/>
          <w:szCs w:val="18"/>
        </w:rPr>
      </w:pP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Introduction to the Zero Point Energy (ZPE)</w:t>
      </w:r>
    </w:p>
    <w:p w:rsidR="007501A0" w:rsidRPr="00F9683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Two Approaches to ZPE Effects</w:t>
      </w:r>
    </w:p>
    <w:p w:rsidR="007501A0" w:rsidRDefault="007501A0" w:rsidP="00252491">
      <w:pPr>
        <w:pStyle w:val="NoSpacing"/>
        <w:numPr>
          <w:ilvl w:val="0"/>
          <w:numId w:val="49"/>
        </w:numPr>
        <w:rPr>
          <w:rFonts w:ascii="Book Antiqua" w:hAnsi="Book Antiqua"/>
          <w:b/>
          <w:sz w:val="18"/>
          <w:szCs w:val="18"/>
        </w:rPr>
      </w:pPr>
      <w:r w:rsidRPr="00F96830">
        <w:rPr>
          <w:rFonts w:ascii="Book Antiqua" w:hAnsi="Book Antiqua"/>
          <w:b/>
          <w:sz w:val="18"/>
          <w:szCs w:val="18"/>
        </w:rPr>
        <w:t>A Cosmological Constant and the ZPE</w:t>
      </w:r>
    </w:p>
    <w:p w:rsidR="007501A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The Cosmos and Origin of the ZPE</w:t>
      </w:r>
    </w:p>
    <w:p w:rsidR="007501A0" w:rsidRPr="00F96830" w:rsidRDefault="007501A0" w:rsidP="00252491">
      <w:pPr>
        <w:pStyle w:val="NoSpacing"/>
        <w:numPr>
          <w:ilvl w:val="0"/>
          <w:numId w:val="49"/>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ind w:firstLine="720"/>
        <w:rPr>
          <w:rFonts w:ascii="Book Antiqua" w:hAnsi="Book Antiqua"/>
          <w:b/>
          <w:sz w:val="16"/>
          <w:szCs w:val="16"/>
        </w:rPr>
      </w:pPr>
    </w:p>
    <w:p w:rsidR="007501A0" w:rsidRPr="00F96830" w:rsidRDefault="007501A0" w:rsidP="007501A0">
      <w:pPr>
        <w:pStyle w:val="NoSpacing"/>
        <w:rPr>
          <w:rFonts w:ascii="Book Antiqua" w:hAnsi="Book Antiqua"/>
          <w:b/>
        </w:rPr>
      </w:pPr>
    </w:p>
    <w:p w:rsidR="007501A0" w:rsidRPr="00F96830" w:rsidRDefault="007501A0" w:rsidP="007501A0">
      <w:pPr>
        <w:pStyle w:val="NoSpacing"/>
        <w:rPr>
          <w:rFonts w:ascii="Book Antiqua" w:hAnsi="Book Antiqua"/>
          <w:b/>
        </w:rPr>
      </w:pPr>
      <w:r w:rsidRPr="00F96830">
        <w:rPr>
          <w:rFonts w:ascii="Book Antiqua" w:hAnsi="Book Antiqua"/>
          <w:b/>
        </w:rPr>
        <w:t xml:space="preserve">Chapter 2: An Introduction to </w:t>
      </w:r>
      <w:proofErr w:type="gramStart"/>
      <w:r w:rsidRPr="00F96830">
        <w:rPr>
          <w:rFonts w:ascii="Book Antiqua" w:hAnsi="Book Antiqua"/>
          <w:b/>
        </w:rPr>
        <w:t>Planck’s Constant</w:t>
      </w:r>
      <w:proofErr w:type="gramEnd"/>
      <w:r w:rsidRPr="00F96830">
        <w:rPr>
          <w:rFonts w:ascii="Book Antiqua" w:hAnsi="Book Antiqua"/>
          <w:b/>
        </w:rPr>
        <w:t xml:space="preserve">, </w:t>
      </w:r>
      <w:r w:rsidRPr="007501A0">
        <w:rPr>
          <w:rFonts w:ascii="Book Antiqua" w:hAnsi="Book Antiqua"/>
          <w:b/>
          <w:i/>
        </w:rPr>
        <w:t>h</w:t>
      </w:r>
      <w:r w:rsidRPr="00F96830">
        <w:rPr>
          <w:rFonts w:ascii="Book Antiqua" w:hAnsi="Book Antiqua"/>
          <w:b/>
        </w:rPr>
        <w:t xml:space="preserve">, and the Speed of Light, </w:t>
      </w:r>
      <w:r w:rsidRPr="007501A0">
        <w:rPr>
          <w:rFonts w:ascii="Book Antiqua" w:hAnsi="Book Antiqua"/>
          <w:b/>
          <w:i/>
        </w:rPr>
        <w:t>c</w:t>
      </w:r>
      <w:r w:rsidRPr="00F96830">
        <w:rPr>
          <w:rFonts w:ascii="Book Antiqua" w:hAnsi="Book Antiqua"/>
          <w:b/>
        </w:rPr>
        <w:t>.</w:t>
      </w:r>
    </w:p>
    <w:p w:rsidR="007501A0" w:rsidRPr="00261011" w:rsidRDefault="007501A0" w:rsidP="007501A0">
      <w:pPr>
        <w:pStyle w:val="NoSpacing"/>
        <w:rPr>
          <w:rFonts w:ascii="Book Antiqua" w:hAnsi="Book Antiqua"/>
          <w:b/>
          <w:sz w:val="16"/>
          <w:szCs w:val="16"/>
        </w:rPr>
      </w:pP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Zero Point Energy and </w:t>
      </w:r>
      <w:proofErr w:type="gramStart"/>
      <w:r w:rsidRPr="00F96830">
        <w:rPr>
          <w:rFonts w:ascii="Book Antiqua" w:hAnsi="Book Antiqua"/>
          <w:b/>
          <w:sz w:val="18"/>
          <w:szCs w:val="18"/>
        </w:rPr>
        <w:t>Planck’s Constant</w:t>
      </w:r>
      <w:proofErr w:type="gramEnd"/>
      <w:r w:rsidRPr="00F96830">
        <w:rPr>
          <w:rFonts w:ascii="Book Antiqua" w:hAnsi="Book Antiqua"/>
          <w:b/>
          <w:sz w:val="18"/>
          <w:szCs w:val="18"/>
        </w:rPr>
        <w:t xml:space="preserve">, </w:t>
      </w:r>
      <w:r w:rsidRPr="00F96830">
        <w:rPr>
          <w:rFonts w:ascii="Book Antiqua" w:hAnsi="Book Antiqua"/>
          <w:b/>
          <w:i/>
          <w:sz w:val="18"/>
          <w:szCs w:val="18"/>
        </w:rPr>
        <w:t>h</w:t>
      </w:r>
      <w:r w:rsidRPr="00F96830">
        <w:rPr>
          <w:rFonts w:ascii="Book Antiqua" w:hAnsi="Book Antiqua"/>
          <w:b/>
          <w:sz w:val="18"/>
          <w:szCs w:val="18"/>
        </w:rPr>
        <w:t>.</w:t>
      </w:r>
      <w:r w:rsidRPr="00F96830">
        <w:rPr>
          <w:rFonts w:ascii="Book Antiqua" w:hAnsi="Book Antiqua"/>
          <w:b/>
          <w:sz w:val="18"/>
          <w:szCs w:val="18"/>
        </w:rPr>
        <w:tab/>
        <w:t xml:space="preserve"> </w:t>
      </w:r>
    </w:p>
    <w:p w:rsidR="007501A0" w:rsidRPr="00F9683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The ZPE and the Speed of Light, </w:t>
      </w:r>
      <w:r w:rsidRPr="00F96830">
        <w:rPr>
          <w:rFonts w:ascii="Book Antiqua" w:hAnsi="Book Antiqua"/>
          <w:b/>
          <w:i/>
          <w:sz w:val="18"/>
          <w:szCs w:val="18"/>
        </w:rPr>
        <w:t>c</w:t>
      </w:r>
      <w:r w:rsidRPr="00F96830">
        <w:rPr>
          <w:rFonts w:ascii="Book Antiqua" w:hAnsi="Book Antiqua"/>
          <w:b/>
          <w:sz w:val="18"/>
          <w:szCs w:val="18"/>
        </w:rPr>
        <w:t>.</w:t>
      </w:r>
    </w:p>
    <w:p w:rsidR="007501A0" w:rsidRDefault="007501A0" w:rsidP="00252491">
      <w:pPr>
        <w:pStyle w:val="NoSpacing"/>
        <w:numPr>
          <w:ilvl w:val="0"/>
          <w:numId w:val="50"/>
        </w:numPr>
        <w:rPr>
          <w:rFonts w:ascii="Book Antiqua" w:hAnsi="Book Antiqua"/>
          <w:b/>
          <w:sz w:val="18"/>
          <w:szCs w:val="18"/>
        </w:rPr>
      </w:pPr>
      <w:r w:rsidRPr="00F96830">
        <w:rPr>
          <w:rFonts w:ascii="Book Antiqua" w:hAnsi="Book Antiqua"/>
          <w:b/>
          <w:sz w:val="18"/>
          <w:szCs w:val="18"/>
        </w:rPr>
        <w:t xml:space="preserve">Overview of Discussion on </w:t>
      </w:r>
      <w:r w:rsidRPr="00C94C27">
        <w:rPr>
          <w:rFonts w:ascii="Book Antiqua" w:hAnsi="Book Antiqua"/>
          <w:b/>
          <w:i/>
          <w:sz w:val="18"/>
          <w:szCs w:val="18"/>
        </w:rPr>
        <w:t>c</w:t>
      </w:r>
      <w:r w:rsidRPr="00F96830">
        <w:rPr>
          <w:rFonts w:ascii="Book Antiqua" w:hAnsi="Book Antiqua"/>
          <w:b/>
          <w:sz w:val="18"/>
          <w:szCs w:val="18"/>
        </w:rPr>
        <w:t xml:space="preserve"> Variation </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Closing the Data Discussion and Universal Oscillation</w:t>
      </w:r>
    </w:p>
    <w:p w:rsidR="007501A0" w:rsidRDefault="007501A0" w:rsidP="00252491">
      <w:pPr>
        <w:pStyle w:val="NoSpacing"/>
        <w:numPr>
          <w:ilvl w:val="0"/>
          <w:numId w:val="50"/>
        </w:numPr>
        <w:rPr>
          <w:rFonts w:ascii="Book Antiqua" w:hAnsi="Book Antiqua"/>
          <w:b/>
          <w:sz w:val="18"/>
          <w:szCs w:val="18"/>
        </w:rPr>
      </w:pPr>
      <w:r>
        <w:rPr>
          <w:rFonts w:ascii="Book Antiqua" w:hAnsi="Book Antiqua"/>
          <w:b/>
          <w:sz w:val="18"/>
          <w:szCs w:val="18"/>
        </w:rPr>
        <w:t>References</w:t>
      </w:r>
    </w:p>
    <w:p w:rsidR="007501A0" w:rsidRDefault="007501A0" w:rsidP="007501A0">
      <w:pPr>
        <w:pStyle w:val="NoSpacing"/>
        <w:rPr>
          <w:rFonts w:ascii="Book Antiqua" w:hAnsi="Book Antiqua"/>
          <w:b/>
          <w:sz w:val="18"/>
          <w:szCs w:val="18"/>
        </w:rPr>
      </w:pPr>
    </w:p>
    <w:p w:rsidR="007501A0" w:rsidRPr="00564585" w:rsidRDefault="007501A0" w:rsidP="007501A0">
      <w:pPr>
        <w:pStyle w:val="NoSpacing"/>
        <w:rPr>
          <w:rFonts w:ascii="Book Antiqua" w:hAnsi="Book Antiqua"/>
          <w:b/>
        </w:rPr>
      </w:pPr>
      <w:r w:rsidRPr="00564585">
        <w:rPr>
          <w:rFonts w:ascii="Book Antiqua" w:hAnsi="Book Antiqua"/>
          <w:b/>
        </w:rPr>
        <w:t xml:space="preserve">Chapter 3: </w:t>
      </w:r>
      <w:r w:rsidR="002E34D2">
        <w:rPr>
          <w:rFonts w:ascii="Book Antiqua" w:hAnsi="Book Antiqua"/>
          <w:b/>
        </w:rPr>
        <w:t xml:space="preserve">The </w:t>
      </w:r>
      <w:r w:rsidRPr="00564585">
        <w:rPr>
          <w:rFonts w:ascii="Book Antiqua" w:hAnsi="Book Antiqua"/>
          <w:b/>
        </w:rPr>
        <w:t>Speed of Light Measurements</w:t>
      </w:r>
    </w:p>
    <w:p w:rsidR="007501A0" w:rsidRPr="00564585" w:rsidRDefault="007501A0" w:rsidP="007501A0">
      <w:pPr>
        <w:pStyle w:val="NoSpacing"/>
        <w:rPr>
          <w:rFonts w:ascii="Book Antiqua" w:hAnsi="Book Antiqua"/>
          <w:b/>
          <w:sz w:val="20"/>
        </w:rPr>
      </w:pPr>
      <w:r w:rsidRPr="00564585">
        <w:rPr>
          <w:rFonts w:ascii="Book Antiqua" w:hAnsi="Book Antiqua"/>
          <w:b/>
        </w:rPr>
        <w:t xml:space="preserve"> </w:t>
      </w:r>
    </w:p>
    <w:p w:rsidR="007501A0" w:rsidRPr="00564585" w:rsidRDefault="007501A0" w:rsidP="007501A0">
      <w:pPr>
        <w:pStyle w:val="NoSpacing"/>
        <w:rPr>
          <w:rFonts w:ascii="Book Antiqua" w:hAnsi="Book Antiqua"/>
          <w:b/>
          <w:sz w:val="20"/>
        </w:rPr>
      </w:pPr>
      <w:r w:rsidRPr="00564585">
        <w:rPr>
          <w:rFonts w:ascii="Book Antiqua" w:hAnsi="Book Antiqua"/>
          <w:b/>
          <w:sz w:val="20"/>
        </w:rPr>
        <w:t>Section One: Early Work on Light Speed</w:t>
      </w:r>
    </w:p>
    <w:p w:rsidR="007501A0" w:rsidRDefault="007501A0" w:rsidP="007501A0">
      <w:pPr>
        <w:pStyle w:val="NoSpacing"/>
        <w:rPr>
          <w:rFonts w:ascii="Book Antiqua" w:hAnsi="Book Antiqua"/>
          <w:b/>
          <w:sz w:val="18"/>
          <w:szCs w:val="18"/>
        </w:rPr>
      </w:pPr>
      <w:r>
        <w:rPr>
          <w:rFonts w:ascii="Book Antiqua" w:hAnsi="Book Antiqua"/>
          <w:b/>
          <w:sz w:val="18"/>
          <w:szCs w:val="18"/>
        </w:rPr>
        <w:t xml:space="preserve"> </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 Infinite Speed of Light?</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Ole Christensen Roemer</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Analysis of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A Modern Look at Roemer’s Work</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Jean Baptiste Joseph Delambre</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 P. Glazenapp</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Sampson, Harvard, and Various Values</w:t>
      </w:r>
    </w:p>
    <w:p w:rsidR="007501A0" w:rsidRDefault="007501A0" w:rsidP="00252491">
      <w:pPr>
        <w:pStyle w:val="NoSpacing"/>
        <w:numPr>
          <w:ilvl w:val="0"/>
          <w:numId w:val="51"/>
        </w:numPr>
        <w:rPr>
          <w:rFonts w:ascii="Book Antiqua" w:hAnsi="Book Antiqua"/>
          <w:b/>
          <w:sz w:val="18"/>
          <w:szCs w:val="18"/>
        </w:rPr>
      </w:pPr>
      <w:r>
        <w:rPr>
          <w:rFonts w:ascii="Book Antiqua" w:hAnsi="Book Antiqua"/>
          <w:b/>
          <w:sz w:val="18"/>
          <w:szCs w:val="18"/>
        </w:rPr>
        <w:t xml:space="preserve">Conclusions From Early Experiments </w:t>
      </w:r>
    </w:p>
    <w:p w:rsidR="007501A0" w:rsidRPr="00F96830" w:rsidRDefault="007501A0" w:rsidP="007501A0">
      <w:pPr>
        <w:pStyle w:val="NoSpacing"/>
        <w:ind w:left="720"/>
        <w:rPr>
          <w:rFonts w:ascii="Book Antiqua" w:hAnsi="Book Antiqua"/>
          <w:b/>
          <w:sz w:val="18"/>
          <w:szCs w:val="18"/>
        </w:rPr>
      </w:pPr>
    </w:p>
    <w:p w:rsidR="007501A0" w:rsidRPr="00200B3A" w:rsidRDefault="007501A0" w:rsidP="007501A0">
      <w:pPr>
        <w:rPr>
          <w:rFonts w:ascii="Book Antiqua" w:hAnsi="Book Antiqua"/>
          <w:b/>
        </w:rPr>
      </w:pPr>
      <w:r w:rsidRPr="00200B3A">
        <w:rPr>
          <w:rFonts w:ascii="Book Antiqua" w:hAnsi="Book Antiqua"/>
          <w:b/>
        </w:rPr>
        <w:t>Section 2: Bradley and the Aberration Experiments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Parallax and Aberration</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James Bradley’s Circumstances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Observing with Bradley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lastRenderedPageBreak/>
        <w:t>Bradley’s Discovery</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Bradley’s Initial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Results on Seven More Stars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Re-processing Bradley’s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Definitive Results</w:t>
      </w:r>
    </w:p>
    <w:p w:rsidR="007501A0" w:rsidRDefault="007501A0" w:rsidP="00252491">
      <w:pPr>
        <w:pStyle w:val="NoSpacing"/>
        <w:numPr>
          <w:ilvl w:val="0"/>
          <w:numId w:val="52"/>
        </w:numPr>
        <w:rPr>
          <w:rFonts w:ascii="Book Antiqua" w:hAnsi="Book Antiqua"/>
          <w:b/>
          <w:sz w:val="20"/>
          <w:lang w:val="en-GB"/>
        </w:rPr>
      </w:pPr>
      <w:r>
        <w:rPr>
          <w:rFonts w:ascii="Book Antiqua" w:hAnsi="Book Antiqua"/>
          <w:b/>
          <w:sz w:val="20"/>
          <w:lang w:val="en-GB"/>
        </w:rPr>
        <w:t>Other Aberration Values</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3: Fizeau and the Toothed Wheel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Armand Hippolyte-Louis Fizeau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Fizeau’s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Enter Marie Alfred Cornu</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Cornu’s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The Young-Forbes Result</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Perrotin’s Procedures and Results</w:t>
      </w:r>
    </w:p>
    <w:p w:rsidR="007501A0" w:rsidRDefault="007501A0" w:rsidP="00252491">
      <w:pPr>
        <w:pStyle w:val="NoSpacing"/>
        <w:numPr>
          <w:ilvl w:val="0"/>
          <w:numId w:val="53"/>
        </w:numPr>
        <w:rPr>
          <w:rFonts w:ascii="Book Antiqua" w:hAnsi="Book Antiqua"/>
          <w:b/>
          <w:sz w:val="20"/>
          <w:lang w:val="en-GB"/>
        </w:rPr>
      </w:pPr>
      <w:r>
        <w:rPr>
          <w:rFonts w:ascii="Book Antiqua" w:hAnsi="Book Antiqua"/>
          <w:b/>
          <w:sz w:val="20"/>
          <w:lang w:val="en-GB"/>
        </w:rPr>
        <w:t>Toothed Wheel Method Summary</w:t>
      </w:r>
    </w:p>
    <w:p w:rsidR="007501A0" w:rsidRDefault="007501A0" w:rsidP="007501A0">
      <w:pPr>
        <w:pStyle w:val="NoSpacing"/>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4: Foucault and the Rotating Mirror Experiments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English, French and Americans in Rotation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Rotating Mirror</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Foucault’s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 xml:space="preserve">Foucault’s Micrometer and </w:t>
      </w:r>
      <w:r w:rsidRPr="0018317B">
        <w:rPr>
          <w:rFonts w:ascii="Book Antiqua" w:hAnsi="Book Antiqua"/>
          <w:b/>
          <w:i/>
          <w:sz w:val="20"/>
          <w:lang w:val="en-GB"/>
        </w:rPr>
        <w:t>c</w:t>
      </w:r>
      <w:r>
        <w:rPr>
          <w:rFonts w:ascii="Book Antiqua" w:hAnsi="Book Antiqua"/>
          <w:b/>
          <w:sz w:val="20"/>
          <w:lang w:val="en-GB"/>
        </w:rPr>
        <w:t xml:space="preserve"> Value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Enter the Americans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Experiments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Problems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Newcomb’s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The Beginnings With Michelson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New Apparatus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Second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Third Series Results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 Tries Again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Details of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the New Try</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Results From Series Five</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Dorsey’s Comments</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Michelson’s Last Experiment</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Over to Pease and Pearson</w:t>
      </w:r>
    </w:p>
    <w:p w:rsidR="007501A0" w:rsidRDefault="007501A0" w:rsidP="00252491">
      <w:pPr>
        <w:pStyle w:val="NoSpacing"/>
        <w:numPr>
          <w:ilvl w:val="0"/>
          <w:numId w:val="54"/>
        </w:numPr>
        <w:rPr>
          <w:rFonts w:ascii="Book Antiqua" w:hAnsi="Book Antiqua"/>
          <w:b/>
          <w:sz w:val="20"/>
          <w:lang w:val="en-GB"/>
        </w:rPr>
      </w:pPr>
      <w:r>
        <w:rPr>
          <w:rFonts w:ascii="Book Antiqua" w:hAnsi="Book Antiqua"/>
          <w:b/>
          <w:sz w:val="20"/>
          <w:lang w:val="en-GB"/>
        </w:rPr>
        <w:t>Rotating Mirror Conclusions</w:t>
      </w:r>
    </w:p>
    <w:p w:rsidR="007501A0" w:rsidRDefault="007501A0" w:rsidP="007501A0">
      <w:pPr>
        <w:pStyle w:val="NoSpacing"/>
        <w:ind w:left="720"/>
        <w:rPr>
          <w:rFonts w:ascii="Book Antiqua" w:hAnsi="Book Antiqua"/>
          <w:b/>
          <w:sz w:val="20"/>
          <w:lang w:val="en-GB"/>
        </w:rPr>
      </w:pPr>
    </w:p>
    <w:p w:rsidR="007501A0" w:rsidRDefault="007501A0" w:rsidP="007501A0">
      <w:pPr>
        <w:pStyle w:val="NoSpacing"/>
        <w:rPr>
          <w:rFonts w:ascii="Book Antiqua" w:hAnsi="Book Antiqua"/>
          <w:b/>
          <w:sz w:val="20"/>
          <w:lang w:val="en-GB"/>
        </w:rPr>
      </w:pPr>
      <w:r>
        <w:rPr>
          <w:rFonts w:ascii="Book Antiqua" w:hAnsi="Book Antiqua"/>
          <w:b/>
          <w:sz w:val="20"/>
          <w:lang w:val="en-GB"/>
        </w:rPr>
        <w:t>Section 5: Recent c Measurements</w:t>
      </w:r>
    </w:p>
    <w:p w:rsidR="007501A0" w:rsidRDefault="007501A0" w:rsidP="007501A0">
      <w:pPr>
        <w:pStyle w:val="NoSpacing"/>
        <w:rPr>
          <w:rFonts w:ascii="Book Antiqua" w:hAnsi="Book Antiqua"/>
          <w:b/>
          <w:sz w:val="20"/>
          <w:lang w:val="en-GB"/>
        </w:rPr>
      </w:pP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Kerr-Cell Results 1928-1940</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Six Methods Used 1945-1960</w:t>
      </w:r>
    </w:p>
    <w:p w:rsidR="007501A0" w:rsidRPr="00B02598"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 xml:space="preserve">The Decreasing Decay Rate for </w:t>
      </w:r>
      <w:r w:rsidRPr="00B02598">
        <w:rPr>
          <w:rFonts w:ascii="Book Antiqua" w:hAnsi="Book Antiqua"/>
          <w:b/>
          <w:i/>
          <w:sz w:val="20"/>
          <w:lang w:val="en-GB"/>
        </w:rPr>
        <w:t>c</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The Oscillation Flat-Point</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Laser c Measurements and a Definition</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Problems With Laser Measurements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Addendum on Two Different Methods</w:t>
      </w:r>
    </w:p>
    <w:p w:rsidR="007501A0" w:rsidRDefault="007501A0" w:rsidP="00252491">
      <w:pPr>
        <w:pStyle w:val="NoSpacing"/>
        <w:numPr>
          <w:ilvl w:val="0"/>
          <w:numId w:val="55"/>
        </w:numPr>
        <w:rPr>
          <w:rFonts w:ascii="Book Antiqua" w:hAnsi="Book Antiqua"/>
          <w:b/>
          <w:sz w:val="20"/>
          <w:lang w:val="en-GB"/>
        </w:rPr>
      </w:pPr>
      <w:r>
        <w:rPr>
          <w:rFonts w:ascii="Book Antiqua" w:hAnsi="Book Antiqua"/>
          <w:b/>
          <w:sz w:val="20"/>
          <w:lang w:val="en-GB"/>
        </w:rPr>
        <w:t>References</w:t>
      </w:r>
    </w:p>
    <w:p w:rsidR="007501A0" w:rsidRPr="00200B3A" w:rsidRDefault="007501A0" w:rsidP="007501A0">
      <w:pPr>
        <w:pStyle w:val="NoSpacing"/>
        <w:ind w:left="720"/>
        <w:rPr>
          <w:rFonts w:ascii="Book Antiqua" w:hAnsi="Book Antiqua"/>
          <w:b/>
          <w:sz w:val="20"/>
          <w:lang w:val="en-GB"/>
        </w:rPr>
      </w:pPr>
    </w:p>
    <w:p w:rsidR="007501A0" w:rsidRDefault="007501A0" w:rsidP="007501A0">
      <w:pPr>
        <w:rPr>
          <w:rFonts w:ascii="Book Antiqua" w:hAnsi="Book Antiqua"/>
          <w:b/>
          <w:sz w:val="24"/>
          <w:szCs w:val="24"/>
        </w:rPr>
      </w:pPr>
      <w:r w:rsidRPr="002E34D2">
        <w:rPr>
          <w:rFonts w:ascii="Book Antiqua" w:hAnsi="Book Antiqua"/>
          <w:b/>
          <w:sz w:val="24"/>
          <w:szCs w:val="24"/>
        </w:rPr>
        <w:lastRenderedPageBreak/>
        <w:t>Chapter 4: The ZPE and Atomic Behavior</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Mass and the Zero Point Energy</w:t>
      </w:r>
    </w:p>
    <w:p w:rsidR="007501A0" w:rsidRPr="003E24BA"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 xml:space="preserve">The Newtonian Gravitational Constant, </w:t>
      </w:r>
      <w:r w:rsidRPr="003E24BA">
        <w:rPr>
          <w:rFonts w:ascii="Book Antiqua" w:hAnsi="Book Antiqua"/>
          <w:b/>
          <w:i/>
          <w:sz w:val="20"/>
          <w:lang w:val="en-GB"/>
        </w:rPr>
        <w:t>G</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Origin of Gravitation From SED Physics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Atomic and Orbital Clocks</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Comparing Trends in Clock Data</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The Gyromagnetic Ratio of the Proton</w:t>
      </w:r>
    </w:p>
    <w:p w:rsidR="007501A0" w:rsidRDefault="007501A0" w:rsidP="00252491">
      <w:pPr>
        <w:pStyle w:val="ListParagraph"/>
        <w:numPr>
          <w:ilvl w:val="0"/>
          <w:numId w:val="56"/>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5: The ZPE and the Redshift</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Introducing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Accuracy of the Redshift Equation</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Quantized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Some Conclusions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Atoms and Electron Orbits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ZPE and the Redshift</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Interim Summary</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of the Cosmic Microwave Background Radiation (CMBR)</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The Redshift, CMBR, Atomic Clock Rates and Lightspeed</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Where the Redshift Function Ends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Considering the Form of Recombination Equations</w:t>
      </w:r>
    </w:p>
    <w:p w:rsidR="007501A0" w:rsidRDefault="007501A0" w:rsidP="00252491">
      <w:pPr>
        <w:pStyle w:val="ListParagraph"/>
        <w:numPr>
          <w:ilvl w:val="0"/>
          <w:numId w:val="57"/>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6: The ZPE, Plasma Behavior, and Some Astronomical Implications</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Introducing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Zero Point Energy and Plasma Physics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Earth and Planetary Magnetic Fields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Examining Plasma Equations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Forming a Plasma Universe</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Galaxy Rotation and Missing Mass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Formation of Stars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The Sun and its Output</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Planet Formation in General</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Our Solar System</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 xml:space="preserve"> A ZPE Model for Planetary Geology</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Diamond, Oil and Salt Deposits on Earth</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Coming to Conclusions</w:t>
      </w:r>
    </w:p>
    <w:p w:rsidR="007501A0" w:rsidRDefault="007501A0" w:rsidP="00252491">
      <w:pPr>
        <w:pStyle w:val="ListParagraph"/>
        <w:numPr>
          <w:ilvl w:val="0"/>
          <w:numId w:val="58"/>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7: The ZPE and Relativity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Overview of the Topic</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lastRenderedPageBreak/>
        <w:t>Some Predictions of Relativity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General Relativity, Gravity and the ZPE</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Light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Atomic Clocks Slow in Gravitational Fields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Fine Structure Constant</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Perihelion Advance of Mercury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Frame Dragging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Waves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Cyclic Variations in Atomic Clocks</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The Speed of Gravity</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Gravitational Lensing and our Galaxy’s Center</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Conclusion</w:t>
      </w:r>
    </w:p>
    <w:p w:rsidR="007501A0" w:rsidRDefault="007501A0" w:rsidP="00252491">
      <w:pPr>
        <w:pStyle w:val="ListParagraph"/>
        <w:numPr>
          <w:ilvl w:val="0"/>
          <w:numId w:val="59"/>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2"/>
          <w:szCs w:val="22"/>
        </w:rPr>
      </w:pPr>
      <w:r w:rsidRPr="00B01B1A">
        <w:rPr>
          <w:rFonts w:ascii="Book Antiqua" w:hAnsi="Book Antiqua"/>
          <w:b/>
          <w:sz w:val="22"/>
          <w:szCs w:val="22"/>
        </w:rPr>
        <w:t>Chapter 8: The Zero Point Energy and Radioactive Decay Processes</w:t>
      </w:r>
    </w:p>
    <w:p w:rsidR="002E34D2" w:rsidRPr="00B01B1A" w:rsidRDefault="002E34D2" w:rsidP="007501A0">
      <w:pPr>
        <w:rPr>
          <w:rFonts w:ascii="Book Antiqua" w:hAnsi="Book Antiqua"/>
          <w:b/>
          <w:sz w:val="22"/>
          <w:szCs w:val="22"/>
        </w:rPr>
      </w:pP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Introduction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Nuclear “Potential Well”</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Alpha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Beta Decay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Electron or “K Capture” Processes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Coupling Constants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Pleochroic Haloes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Types of Fission and the Oklo Natural Reactor</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Radioactive Heating</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Heat and Radiation Intensities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Radiometric Dates and Carbon 14 Data</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Tracing Back the ZPE Oscillation</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C-14 Content in Ancient Coal and Diamonds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The ZPE and Accelerated Decay Rates</w:t>
      </w:r>
    </w:p>
    <w:p w:rsidR="007501A0" w:rsidRDefault="007501A0" w:rsidP="00252491">
      <w:pPr>
        <w:pStyle w:val="ListParagraph"/>
        <w:numPr>
          <w:ilvl w:val="0"/>
          <w:numId w:val="60"/>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9: The ZPE, Cosmic Ray Exposure Ages and Solar System History</w:t>
      </w:r>
    </w:p>
    <w:p w:rsidR="002E34D2" w:rsidRPr="002E34D2" w:rsidRDefault="002E34D2" w:rsidP="007501A0">
      <w:pPr>
        <w:rPr>
          <w:rFonts w:ascii="Book Antiqua" w:hAnsi="Book Antiqua"/>
          <w:b/>
          <w:sz w:val="24"/>
          <w:szCs w:val="24"/>
        </w:rPr>
      </w:pP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Cosmic Ray Exposure (CRE) and Meteorite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Geological Significance of CRE Ages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Parent Body For Meteorites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An Explosion or Collisions?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Radioactive Elements in Planetary Cores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Role of Radioactive Heating</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The Late Heavy Bombardment Radioactively Dated</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Crater Forming Processes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Electrical Machining of Planetary Surfaces?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Summary of Effects for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Focussing on the Inner Planets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lastRenderedPageBreak/>
        <w:t>A Brief History of the Earth</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Postponing Some Decisions</w:t>
      </w:r>
    </w:p>
    <w:p w:rsidR="007501A0" w:rsidRDefault="007501A0" w:rsidP="00252491">
      <w:pPr>
        <w:pStyle w:val="ListParagraph"/>
        <w:numPr>
          <w:ilvl w:val="0"/>
          <w:numId w:val="61"/>
        </w:numPr>
        <w:spacing w:after="200" w:line="276" w:lineRule="auto"/>
        <w:rPr>
          <w:rFonts w:ascii="Book Antiqua" w:hAnsi="Book Antiqua"/>
          <w:b/>
          <w:sz w:val="20"/>
          <w:lang w:val="en-GB"/>
        </w:rPr>
      </w:pPr>
      <w:r>
        <w:rPr>
          <w:rFonts w:ascii="Book Antiqua" w:hAnsi="Book Antiqua"/>
          <w:b/>
          <w:sz w:val="20"/>
          <w:lang w:val="en-GB"/>
        </w:rPr>
        <w:t>References</w:t>
      </w:r>
    </w:p>
    <w:p w:rsidR="007501A0" w:rsidRDefault="007501A0" w:rsidP="007501A0">
      <w:pPr>
        <w:rPr>
          <w:rFonts w:ascii="Book Antiqua" w:hAnsi="Book Antiqua"/>
          <w:b/>
          <w:sz w:val="24"/>
          <w:szCs w:val="24"/>
        </w:rPr>
      </w:pPr>
      <w:r w:rsidRPr="002E34D2">
        <w:rPr>
          <w:rFonts w:ascii="Book Antiqua" w:hAnsi="Book Antiqua"/>
          <w:b/>
          <w:sz w:val="24"/>
          <w:szCs w:val="24"/>
        </w:rPr>
        <w:t>Chapter 10: The ZPE, Fossil Gigantism, and Other Paleontological Puzzles</w:t>
      </w:r>
    </w:p>
    <w:p w:rsidR="002E34D2" w:rsidRPr="002E34D2" w:rsidRDefault="002E34D2" w:rsidP="007501A0">
      <w:pPr>
        <w:rPr>
          <w:rFonts w:ascii="Book Antiqua" w:hAnsi="Book Antiqua"/>
          <w:b/>
          <w:sz w:val="24"/>
          <w:szCs w:val="24"/>
        </w:rPr>
      </w:pPr>
    </w:p>
    <w:p w:rsidR="007501A0" w:rsidRDefault="007501A0" w:rsidP="00252491">
      <w:pPr>
        <w:pStyle w:val="NoSpacing"/>
        <w:numPr>
          <w:ilvl w:val="0"/>
          <w:numId w:val="62"/>
        </w:numPr>
        <w:rPr>
          <w:rFonts w:ascii="Book Antiqua" w:hAnsi="Book Antiqua"/>
          <w:b/>
          <w:sz w:val="20"/>
        </w:rPr>
      </w:pPr>
      <w:r>
        <w:rPr>
          <w:rFonts w:ascii="Book Antiqua" w:hAnsi="Book Antiqua"/>
          <w:b/>
          <w:sz w:val="20"/>
        </w:rPr>
        <w:t>Introducing the Fossils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Problems With Fossil Fauna</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Zero Point Energy and Biological Effects from Bio-Electro-Magnetism</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Fossil Flora, the ZPE and the Behavior of Light Amplitudes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Overview of Photosynthesis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Carbon Fixation Process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Activating the Rubisco Enzyme</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Other Implications for the Fossil Record</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The Oklo Reactor and Banded Iron Formations</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Summary</w:t>
      </w:r>
    </w:p>
    <w:p w:rsidR="007501A0" w:rsidRDefault="007501A0" w:rsidP="00252491">
      <w:pPr>
        <w:pStyle w:val="NoSpacing"/>
        <w:numPr>
          <w:ilvl w:val="0"/>
          <w:numId w:val="62"/>
        </w:numPr>
        <w:rPr>
          <w:rFonts w:ascii="Book Antiqua" w:hAnsi="Book Antiqua"/>
          <w:b/>
          <w:sz w:val="20"/>
        </w:rPr>
      </w:pPr>
      <w:r>
        <w:rPr>
          <w:rFonts w:ascii="Book Antiqua" w:hAnsi="Book Antiqua"/>
          <w:b/>
          <w:sz w:val="20"/>
        </w:rPr>
        <w:t>References</w:t>
      </w:r>
    </w:p>
    <w:p w:rsidR="007501A0" w:rsidRDefault="007501A0" w:rsidP="007501A0">
      <w:pPr>
        <w:pStyle w:val="NoSpacing"/>
        <w:rPr>
          <w:rFonts w:ascii="Book Antiqua" w:hAnsi="Book Antiqua"/>
          <w:b/>
          <w:sz w:val="20"/>
        </w:rPr>
      </w:pPr>
    </w:p>
    <w:p w:rsidR="007501A0" w:rsidRPr="002E34D2" w:rsidRDefault="007501A0" w:rsidP="007501A0">
      <w:pPr>
        <w:pStyle w:val="NoSpacing"/>
        <w:rPr>
          <w:rFonts w:ascii="Book Antiqua" w:hAnsi="Book Antiqua"/>
          <w:b/>
          <w:szCs w:val="24"/>
        </w:rPr>
      </w:pPr>
      <w:r w:rsidRPr="002E34D2">
        <w:rPr>
          <w:rFonts w:ascii="Book Antiqua" w:hAnsi="Book Antiqua"/>
          <w:b/>
          <w:szCs w:val="24"/>
        </w:rPr>
        <w:t>Chapter 11: Extended Technical Summary</w:t>
      </w:r>
    </w:p>
    <w:p w:rsidR="007501A0" w:rsidRDefault="007501A0" w:rsidP="007501A0">
      <w:pPr>
        <w:pStyle w:val="NoSpacing"/>
        <w:rPr>
          <w:rFonts w:ascii="Book Antiqua" w:hAnsi="Book Antiqua"/>
          <w:b/>
          <w:sz w:val="20"/>
        </w:rPr>
      </w:pPr>
    </w:p>
    <w:p w:rsidR="007501A0" w:rsidRDefault="007501A0" w:rsidP="00252491">
      <w:pPr>
        <w:pStyle w:val="NoSpacing"/>
        <w:numPr>
          <w:ilvl w:val="0"/>
          <w:numId w:val="63"/>
        </w:numPr>
        <w:rPr>
          <w:rFonts w:ascii="Book Antiqua" w:hAnsi="Book Antiqua"/>
          <w:b/>
          <w:sz w:val="20"/>
        </w:rPr>
      </w:pPr>
      <w:r>
        <w:rPr>
          <w:rFonts w:ascii="Book Antiqua" w:hAnsi="Book Antiqua"/>
          <w:b/>
          <w:sz w:val="20"/>
        </w:rPr>
        <w:t>Exploring the Vacuum</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Behavior of the Zero Point Energy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Planck’s Constant and the Speed of Light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Atomic Masses and Atomic Time</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the Redshift</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Implications in Other Disciplines</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The ZPE and Relativity</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Conclusion</w:t>
      </w:r>
    </w:p>
    <w:p w:rsidR="007501A0" w:rsidRDefault="007501A0" w:rsidP="00252491">
      <w:pPr>
        <w:pStyle w:val="NoSpacing"/>
        <w:numPr>
          <w:ilvl w:val="0"/>
          <w:numId w:val="63"/>
        </w:numPr>
        <w:rPr>
          <w:rFonts w:ascii="Book Antiqua" w:hAnsi="Book Antiqua"/>
          <w:b/>
          <w:sz w:val="20"/>
        </w:rPr>
      </w:pPr>
      <w:r>
        <w:rPr>
          <w:rFonts w:ascii="Book Antiqua" w:hAnsi="Book Antiqua"/>
          <w:b/>
          <w:sz w:val="20"/>
        </w:rPr>
        <w:t>References</w:t>
      </w:r>
    </w:p>
    <w:p w:rsidR="002E34D2" w:rsidRDefault="002E34D2" w:rsidP="002E34D2">
      <w:pPr>
        <w:pStyle w:val="NoSpacing"/>
        <w:ind w:left="72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A: The ZPE and the Redshift Equation Derivation</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B: Radiant Energy Emission</w:t>
      </w:r>
    </w:p>
    <w:p w:rsidR="007501A0" w:rsidRDefault="007501A0" w:rsidP="007501A0">
      <w:pPr>
        <w:pStyle w:val="NoSpacing"/>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B1. The Energy Density of Radiation</w:t>
      </w:r>
    </w:p>
    <w:p w:rsidR="007501A0" w:rsidRDefault="007501A0" w:rsidP="007501A0">
      <w:pPr>
        <w:pStyle w:val="NoSpacing"/>
        <w:ind w:left="360"/>
        <w:rPr>
          <w:rFonts w:ascii="Book Antiqua" w:hAnsi="Book Antiqua"/>
          <w:b/>
          <w:sz w:val="20"/>
        </w:rPr>
      </w:pPr>
      <w:r>
        <w:rPr>
          <w:rFonts w:ascii="Book Antiqua" w:hAnsi="Book Antiqua"/>
          <w:b/>
          <w:sz w:val="20"/>
        </w:rPr>
        <w:t>B2. Stellar Luminosities</w:t>
      </w:r>
    </w:p>
    <w:p w:rsidR="007501A0" w:rsidRDefault="007501A0" w:rsidP="007501A0">
      <w:pPr>
        <w:pStyle w:val="NoSpacing"/>
        <w:ind w:left="360"/>
        <w:rPr>
          <w:rFonts w:ascii="Book Antiqua" w:hAnsi="Book Antiqua"/>
          <w:b/>
          <w:sz w:val="20"/>
        </w:rPr>
      </w:pPr>
      <w:r>
        <w:rPr>
          <w:rFonts w:ascii="Book Antiqua" w:hAnsi="Book Antiqua"/>
          <w:b/>
          <w:sz w:val="20"/>
        </w:rPr>
        <w:t>B3. Cepheid Variables</w:t>
      </w:r>
    </w:p>
    <w:p w:rsidR="007501A0" w:rsidRDefault="007501A0" w:rsidP="007501A0">
      <w:pPr>
        <w:pStyle w:val="NoSpacing"/>
        <w:ind w:left="360"/>
        <w:rPr>
          <w:rFonts w:ascii="Book Antiqua" w:hAnsi="Book Antiqua"/>
          <w:b/>
          <w:sz w:val="20"/>
        </w:rPr>
      </w:pPr>
      <w:r>
        <w:rPr>
          <w:rFonts w:ascii="Book Antiqua" w:hAnsi="Book Antiqua"/>
          <w:b/>
          <w:sz w:val="20"/>
        </w:rPr>
        <w:t>B4. Supernova 1987A</w:t>
      </w:r>
    </w:p>
    <w:p w:rsidR="007501A0" w:rsidRDefault="007501A0" w:rsidP="007501A0">
      <w:pPr>
        <w:pStyle w:val="NoSpacing"/>
        <w:ind w:left="360"/>
        <w:rPr>
          <w:rFonts w:ascii="Book Antiqua" w:hAnsi="Book Antiqua"/>
          <w:b/>
          <w:sz w:val="20"/>
        </w:rPr>
      </w:pPr>
      <w:r>
        <w:rPr>
          <w:rFonts w:ascii="Book Antiqua" w:hAnsi="Book Antiqua"/>
          <w:b/>
          <w:sz w:val="20"/>
        </w:rPr>
        <w:t>B5. Chemical Reactions</w:t>
      </w:r>
    </w:p>
    <w:p w:rsidR="007501A0" w:rsidRDefault="007501A0" w:rsidP="007501A0">
      <w:pPr>
        <w:pStyle w:val="NoSpacing"/>
        <w:ind w:left="360"/>
        <w:rPr>
          <w:rFonts w:ascii="Book Antiqua" w:hAnsi="Book Antiqua"/>
          <w:b/>
          <w:sz w:val="20"/>
        </w:rPr>
      </w:pPr>
      <w:r>
        <w:rPr>
          <w:rFonts w:ascii="Book Antiqua" w:hAnsi="Book Antiqua"/>
          <w:b/>
          <w:sz w:val="20"/>
        </w:rPr>
        <w:t>B6.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C: Doppler Shifts and the ZPE</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C1. What is Being Measured</w:t>
      </w:r>
    </w:p>
    <w:p w:rsidR="007501A0" w:rsidRDefault="007501A0" w:rsidP="007501A0">
      <w:pPr>
        <w:pStyle w:val="NoSpacing"/>
        <w:ind w:left="360"/>
        <w:rPr>
          <w:rFonts w:ascii="Book Antiqua" w:hAnsi="Book Antiqua"/>
          <w:b/>
          <w:sz w:val="20"/>
        </w:rPr>
      </w:pPr>
      <w:r>
        <w:rPr>
          <w:rFonts w:ascii="Book Antiqua" w:hAnsi="Book Antiqua"/>
          <w:b/>
          <w:sz w:val="20"/>
        </w:rPr>
        <w:t xml:space="preserve">C2. Data </w:t>
      </w:r>
      <w:proofErr w:type="gramStart"/>
      <w:r>
        <w:rPr>
          <w:rFonts w:ascii="Book Antiqua" w:hAnsi="Book Antiqua"/>
          <w:b/>
          <w:sz w:val="20"/>
        </w:rPr>
        <w:t>From</w:t>
      </w:r>
      <w:proofErr w:type="gramEnd"/>
      <w:r>
        <w:rPr>
          <w:rFonts w:ascii="Book Antiqua" w:hAnsi="Book Antiqua"/>
          <w:b/>
          <w:sz w:val="20"/>
        </w:rPr>
        <w:t xml:space="preserve"> a Supernova</w:t>
      </w:r>
    </w:p>
    <w:p w:rsidR="007501A0" w:rsidRDefault="007501A0" w:rsidP="007501A0">
      <w:pPr>
        <w:pStyle w:val="NoSpacing"/>
        <w:ind w:left="360"/>
        <w:rPr>
          <w:rFonts w:ascii="Book Antiqua" w:hAnsi="Book Antiqua"/>
          <w:b/>
          <w:sz w:val="20"/>
        </w:rPr>
      </w:pPr>
      <w:r>
        <w:rPr>
          <w:rFonts w:ascii="Book Antiqua" w:hAnsi="Book Antiqua"/>
          <w:b/>
          <w:sz w:val="20"/>
        </w:rPr>
        <w:t>C3. Rotation Rates of Distant Galaxies</w:t>
      </w:r>
    </w:p>
    <w:p w:rsidR="007501A0" w:rsidRDefault="007501A0" w:rsidP="007501A0">
      <w:pPr>
        <w:pStyle w:val="NoSpacing"/>
        <w:ind w:left="360"/>
        <w:rPr>
          <w:rFonts w:ascii="Book Antiqua" w:hAnsi="Book Antiqua"/>
          <w:b/>
          <w:sz w:val="20"/>
        </w:rPr>
      </w:pPr>
      <w:r>
        <w:rPr>
          <w:rFonts w:ascii="Book Antiqua" w:hAnsi="Book Antiqua"/>
          <w:b/>
          <w:sz w:val="20"/>
        </w:rPr>
        <w:t>C4. Binary Stars’ Orbital Revolution Rates</w:t>
      </w:r>
    </w:p>
    <w:p w:rsidR="007501A0" w:rsidRDefault="007501A0" w:rsidP="007501A0">
      <w:pPr>
        <w:pStyle w:val="NoSpacing"/>
        <w:ind w:left="360"/>
        <w:rPr>
          <w:rFonts w:ascii="Book Antiqua" w:hAnsi="Book Antiqua"/>
          <w:b/>
          <w:sz w:val="20"/>
        </w:rPr>
      </w:pPr>
      <w:r>
        <w:rPr>
          <w:rFonts w:ascii="Book Antiqua" w:hAnsi="Book Antiqua"/>
          <w:b/>
          <w:sz w:val="20"/>
        </w:rPr>
        <w:t>C5. References</w:t>
      </w:r>
    </w:p>
    <w:p w:rsidR="007501A0" w:rsidRDefault="007501A0" w:rsidP="007501A0">
      <w:pPr>
        <w:pStyle w:val="NoSpacing"/>
        <w:ind w:left="360"/>
        <w:rPr>
          <w:rFonts w:ascii="Book Antiqua" w:hAnsi="Book Antiqua"/>
          <w:b/>
          <w:sz w:val="20"/>
        </w:rPr>
      </w:pPr>
    </w:p>
    <w:p w:rsidR="007501A0" w:rsidRPr="005D5F4E" w:rsidRDefault="007501A0" w:rsidP="007501A0">
      <w:pPr>
        <w:pStyle w:val="NoSpacing"/>
        <w:ind w:left="360"/>
        <w:rPr>
          <w:rFonts w:ascii="Book Antiqua" w:hAnsi="Book Antiqua"/>
          <w:b/>
          <w:sz w:val="22"/>
          <w:szCs w:val="22"/>
        </w:rPr>
      </w:pPr>
      <w:r w:rsidRPr="005D5F4E">
        <w:rPr>
          <w:rFonts w:ascii="Book Antiqua" w:hAnsi="Book Antiqua"/>
          <w:b/>
          <w:sz w:val="22"/>
          <w:szCs w:val="22"/>
        </w:rPr>
        <w:t>Appendix D: Pulsars and the ZPE</w:t>
      </w:r>
    </w:p>
    <w:p w:rsidR="007501A0" w:rsidRDefault="007501A0" w:rsidP="007501A0">
      <w:pPr>
        <w:pStyle w:val="NoSpacing"/>
        <w:ind w:left="360"/>
        <w:rPr>
          <w:rFonts w:ascii="Book Antiqua" w:hAnsi="Book Antiqua"/>
          <w:b/>
          <w:sz w:val="20"/>
        </w:rPr>
      </w:pPr>
    </w:p>
    <w:p w:rsidR="007501A0" w:rsidRPr="00895534" w:rsidRDefault="007501A0" w:rsidP="007501A0">
      <w:pPr>
        <w:pStyle w:val="NoSpacing"/>
        <w:ind w:left="360"/>
        <w:rPr>
          <w:rFonts w:ascii="Book Antiqua" w:hAnsi="Book Antiqua"/>
          <w:b/>
          <w:sz w:val="22"/>
          <w:szCs w:val="22"/>
        </w:rPr>
      </w:pPr>
      <w:r w:rsidRPr="00895534">
        <w:rPr>
          <w:rFonts w:ascii="Book Antiqua" w:hAnsi="Book Antiqua"/>
          <w:b/>
          <w:sz w:val="22"/>
          <w:szCs w:val="22"/>
        </w:rPr>
        <w:t xml:space="preserve">Appendix E: The Origins of Craters </w:t>
      </w:r>
      <w:proofErr w:type="gramStart"/>
      <w:r w:rsidRPr="00895534">
        <w:rPr>
          <w:rFonts w:ascii="Book Antiqua" w:hAnsi="Book Antiqua"/>
          <w:b/>
          <w:sz w:val="22"/>
          <w:szCs w:val="22"/>
        </w:rPr>
        <w:t>Throughout</w:t>
      </w:r>
      <w:proofErr w:type="gramEnd"/>
      <w:r w:rsidRPr="00895534">
        <w:rPr>
          <w:rFonts w:ascii="Book Antiqua" w:hAnsi="Book Antiqua"/>
          <w:b/>
          <w:sz w:val="22"/>
          <w:szCs w:val="22"/>
        </w:rPr>
        <w:t xml:space="preserve"> the Solar System</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0"/>
        </w:rPr>
      </w:pPr>
      <w:r>
        <w:rPr>
          <w:rFonts w:ascii="Book Antiqua" w:hAnsi="Book Antiqua"/>
          <w:b/>
          <w:sz w:val="20"/>
        </w:rPr>
        <w:t>E1. Two Processes Forming Craters</w:t>
      </w:r>
    </w:p>
    <w:p w:rsidR="007501A0" w:rsidRDefault="007501A0" w:rsidP="007501A0">
      <w:pPr>
        <w:pStyle w:val="NoSpacing"/>
        <w:ind w:left="360"/>
        <w:rPr>
          <w:rFonts w:ascii="Book Antiqua" w:hAnsi="Book Antiqua"/>
          <w:b/>
          <w:sz w:val="20"/>
        </w:rPr>
      </w:pPr>
      <w:r>
        <w:rPr>
          <w:rFonts w:ascii="Book Antiqua" w:hAnsi="Book Antiqua"/>
          <w:b/>
          <w:sz w:val="20"/>
        </w:rPr>
        <w:t>E2. Crater Ray Systems</w:t>
      </w:r>
    </w:p>
    <w:p w:rsidR="007501A0" w:rsidRDefault="007501A0" w:rsidP="007501A0">
      <w:pPr>
        <w:pStyle w:val="NoSpacing"/>
        <w:ind w:left="360"/>
        <w:rPr>
          <w:rFonts w:ascii="Book Antiqua" w:hAnsi="Book Antiqua"/>
          <w:b/>
          <w:sz w:val="20"/>
        </w:rPr>
      </w:pPr>
      <w:r>
        <w:rPr>
          <w:rFonts w:ascii="Book Antiqua" w:hAnsi="Book Antiqua"/>
          <w:b/>
          <w:sz w:val="20"/>
        </w:rPr>
        <w:t>E3. Types of Craters</w:t>
      </w:r>
    </w:p>
    <w:p w:rsidR="007501A0" w:rsidRDefault="007501A0" w:rsidP="007501A0">
      <w:pPr>
        <w:pStyle w:val="NoSpacing"/>
        <w:ind w:left="360"/>
        <w:rPr>
          <w:rFonts w:ascii="Book Antiqua" w:hAnsi="Book Antiqua"/>
          <w:b/>
          <w:sz w:val="20"/>
        </w:rPr>
      </w:pPr>
      <w:r>
        <w:rPr>
          <w:rFonts w:ascii="Book Antiqua" w:hAnsi="Book Antiqua"/>
          <w:b/>
          <w:sz w:val="20"/>
        </w:rPr>
        <w:t>E4. Additional Features</w:t>
      </w:r>
    </w:p>
    <w:p w:rsidR="007501A0" w:rsidRDefault="007501A0" w:rsidP="007501A0">
      <w:pPr>
        <w:pStyle w:val="NoSpacing"/>
        <w:ind w:left="360"/>
        <w:rPr>
          <w:rFonts w:ascii="Book Antiqua" w:hAnsi="Book Antiqua"/>
          <w:b/>
          <w:sz w:val="20"/>
        </w:rPr>
      </w:pPr>
      <w:r>
        <w:rPr>
          <w:rFonts w:ascii="Book Antiqua" w:hAnsi="Book Antiqua"/>
          <w:b/>
          <w:sz w:val="20"/>
        </w:rPr>
        <w:t>E5. Large Basins and Circular Structures</w:t>
      </w:r>
    </w:p>
    <w:p w:rsidR="007501A0" w:rsidRDefault="007501A0" w:rsidP="007501A0">
      <w:pPr>
        <w:pStyle w:val="NoSpacing"/>
        <w:ind w:left="360"/>
        <w:rPr>
          <w:rFonts w:ascii="Book Antiqua" w:hAnsi="Book Antiqua"/>
          <w:b/>
          <w:sz w:val="20"/>
        </w:rPr>
      </w:pPr>
      <w:r>
        <w:rPr>
          <w:rFonts w:ascii="Book Antiqua" w:hAnsi="Book Antiqua"/>
          <w:b/>
          <w:sz w:val="20"/>
        </w:rPr>
        <w:t>E6. Features of Craters and their Origins</w:t>
      </w:r>
    </w:p>
    <w:p w:rsidR="007501A0" w:rsidRDefault="007501A0" w:rsidP="007501A0">
      <w:pPr>
        <w:pStyle w:val="NoSpacing"/>
        <w:ind w:left="360"/>
        <w:rPr>
          <w:rFonts w:ascii="Book Antiqua" w:hAnsi="Book Antiqua"/>
          <w:b/>
          <w:sz w:val="20"/>
        </w:rPr>
      </w:pPr>
      <w:r>
        <w:rPr>
          <w:rFonts w:ascii="Book Antiqua" w:hAnsi="Book Antiqua"/>
          <w:b/>
          <w:sz w:val="20"/>
        </w:rPr>
        <w:t>E7. References</w:t>
      </w:r>
    </w:p>
    <w:p w:rsidR="007501A0" w:rsidRDefault="007501A0" w:rsidP="007501A0">
      <w:pPr>
        <w:pStyle w:val="NoSpacing"/>
        <w:ind w:left="360"/>
        <w:rPr>
          <w:rFonts w:ascii="Book Antiqua" w:hAnsi="Book Antiqua"/>
          <w:b/>
          <w:sz w:val="20"/>
        </w:rPr>
      </w:pPr>
    </w:p>
    <w:p w:rsidR="007501A0" w:rsidRDefault="007501A0" w:rsidP="007501A0">
      <w:pPr>
        <w:pStyle w:val="NoSpacing"/>
        <w:ind w:left="360"/>
        <w:rPr>
          <w:rFonts w:ascii="Book Antiqua" w:hAnsi="Book Antiqua"/>
          <w:b/>
          <w:sz w:val="22"/>
          <w:szCs w:val="22"/>
        </w:rPr>
      </w:pPr>
      <w:r w:rsidRPr="00895534">
        <w:rPr>
          <w:rFonts w:ascii="Book Antiqua" w:hAnsi="Book Antiqua"/>
          <w:b/>
          <w:sz w:val="22"/>
          <w:szCs w:val="22"/>
        </w:rPr>
        <w:t>Appendix F: Practical Matters</w:t>
      </w:r>
    </w:p>
    <w:p w:rsidR="00457D24" w:rsidRDefault="00457D24" w:rsidP="007501A0">
      <w:pPr>
        <w:pStyle w:val="NoSpacing"/>
        <w:ind w:left="360"/>
        <w:rPr>
          <w:rFonts w:ascii="Book Antiqua" w:hAnsi="Book Antiqua"/>
          <w:b/>
          <w:sz w:val="22"/>
          <w:szCs w:val="22"/>
        </w:rPr>
      </w:pPr>
    </w:p>
    <w:p w:rsidR="00457D24" w:rsidRDefault="00457D24" w:rsidP="00457D24">
      <w:pPr>
        <w:jc w:val="center"/>
        <w:rPr>
          <w:rFonts w:ascii="Book Antiqua" w:hAnsi="Book Antiqua"/>
          <w:b/>
          <w:sz w:val="28"/>
          <w:szCs w:val="28"/>
        </w:rPr>
      </w:pPr>
      <w:r w:rsidRPr="00882D94">
        <w:rPr>
          <w:rFonts w:ascii="Book Antiqua" w:hAnsi="Book Antiqua"/>
          <w:b/>
          <w:sz w:val="28"/>
          <w:szCs w:val="28"/>
        </w:rPr>
        <w:t>Acknowledgements:</w:t>
      </w:r>
    </w:p>
    <w:p w:rsidR="00457D24" w:rsidRDefault="00457D24" w:rsidP="00457D24">
      <w:pPr>
        <w:jc w:val="both"/>
        <w:rPr>
          <w:rFonts w:ascii="Book Antiqua" w:hAnsi="Book Antiqua"/>
          <w:b/>
          <w:sz w:val="28"/>
          <w:szCs w:val="28"/>
        </w:rPr>
      </w:pPr>
    </w:p>
    <w:p w:rsidR="00457D24" w:rsidRDefault="00457D24" w:rsidP="00457D24">
      <w:pPr>
        <w:jc w:val="both"/>
        <w:rPr>
          <w:rFonts w:ascii="Book Antiqua" w:hAnsi="Book Antiqua"/>
          <w:b/>
        </w:rPr>
      </w:pPr>
      <w:r>
        <w:rPr>
          <w:rFonts w:ascii="Book Antiqua" w:hAnsi="Book Antiqua"/>
          <w:b/>
        </w:rPr>
        <w:t xml:space="preserve">A heartfelt Thank You to my wife Helen (Penny) for the way in which she has borne the burden of this project for so long, and been such an encouragement to me and a help with it. Very grateful acknowledgements go to Jarko Meijer and Rinus Kiel for their helpful discussions in resolving a number of problems. Many thanks also go to Lambert Dolphin, Trevor Norman and John Heidenreich for their continuing interest in this project which they helped </w:t>
      </w:r>
      <w:proofErr w:type="gramStart"/>
      <w:r>
        <w:rPr>
          <w:rFonts w:ascii="Book Antiqua" w:hAnsi="Book Antiqua"/>
          <w:b/>
        </w:rPr>
        <w:t>initiate</w:t>
      </w:r>
      <w:proofErr w:type="gramEnd"/>
      <w:r>
        <w:rPr>
          <w:rFonts w:ascii="Book Antiqua" w:hAnsi="Book Antiqua"/>
          <w:b/>
        </w:rPr>
        <w:t>. To many friends and acquaintances I gratefully acknowledge their assistance at critical times. Finally, thank you to the Natural Philosophy Alliance Board and Referees for their consideration and acceptance of this Research Report.</w:t>
      </w:r>
    </w:p>
    <w:p w:rsidR="00457D24" w:rsidRDefault="00457D24" w:rsidP="00457D24">
      <w:pPr>
        <w:jc w:val="both"/>
        <w:rPr>
          <w:rFonts w:ascii="Book Antiqua" w:hAnsi="Book Antiqua"/>
          <w:b/>
        </w:rPr>
      </w:pPr>
    </w:p>
    <w:p w:rsidR="00457D24" w:rsidRDefault="00457D24" w:rsidP="00457D24">
      <w:pPr>
        <w:jc w:val="center"/>
        <w:rPr>
          <w:rFonts w:ascii="Book Antiqua" w:hAnsi="Book Antiqua"/>
          <w:b/>
        </w:rPr>
      </w:pPr>
      <w:r>
        <w:rPr>
          <w:rFonts w:ascii="Book Antiqua" w:hAnsi="Book Antiqua"/>
          <w:b/>
        </w:rPr>
        <w:t>Barry Setterfield, 20</w:t>
      </w:r>
      <w:r w:rsidRPr="00882D94">
        <w:rPr>
          <w:rFonts w:ascii="Book Antiqua" w:hAnsi="Book Antiqua"/>
          <w:b/>
          <w:vertAlign w:val="superscript"/>
        </w:rPr>
        <w:t>th</w:t>
      </w:r>
      <w:r>
        <w:rPr>
          <w:rFonts w:ascii="Book Antiqua" w:hAnsi="Book Antiqua"/>
          <w:b/>
        </w:rPr>
        <w:t xml:space="preserve"> June, 2013.</w:t>
      </w:r>
    </w:p>
    <w:p w:rsidR="00457D24" w:rsidRDefault="00457D24" w:rsidP="00457D24">
      <w:pPr>
        <w:jc w:val="center"/>
        <w:rPr>
          <w:rFonts w:ascii="Book Antiqua" w:hAnsi="Book Antiqua"/>
          <w:b/>
        </w:rPr>
      </w:pPr>
    </w:p>
    <w:p w:rsidR="00457D24" w:rsidRPr="00457D24" w:rsidRDefault="00457D24" w:rsidP="00457D24">
      <w:pPr>
        <w:pStyle w:val="ListParagraph"/>
        <w:jc w:val="center"/>
        <w:rPr>
          <w:rFonts w:ascii="Book Antiqua" w:hAnsi="Book Antiqua"/>
          <w:b/>
          <w:i/>
          <w:sz w:val="32"/>
          <w:szCs w:val="32"/>
        </w:rPr>
      </w:pPr>
      <w:r w:rsidRPr="00457D24">
        <w:rPr>
          <w:rFonts w:ascii="Book Antiqua" w:hAnsi="Book Antiqua"/>
          <w:b/>
          <w:i/>
          <w:sz w:val="32"/>
          <w:szCs w:val="32"/>
        </w:rPr>
        <w:t>*  *  *  *  *  *  *</w:t>
      </w:r>
    </w:p>
    <w:p w:rsidR="00457D24" w:rsidRPr="00895534" w:rsidRDefault="00457D24" w:rsidP="007501A0">
      <w:pPr>
        <w:pStyle w:val="NoSpacing"/>
        <w:ind w:left="360"/>
        <w:rPr>
          <w:rFonts w:ascii="Book Antiqua" w:hAnsi="Book Antiqua"/>
          <w:b/>
          <w:sz w:val="22"/>
          <w:szCs w:val="22"/>
        </w:rPr>
      </w:pPr>
    </w:p>
    <w:p w:rsidR="00457D24" w:rsidRDefault="00457D24">
      <w:pPr>
        <w:widowControl/>
        <w:spacing w:after="200" w:line="276" w:lineRule="auto"/>
        <w:rPr>
          <w:rFonts w:ascii="Book Antiqua" w:eastAsia="Times New Roman" w:hAnsi="Book Antiqua"/>
          <w:b/>
          <w:lang w:val="en-US"/>
        </w:rPr>
      </w:pPr>
      <w:r>
        <w:rPr>
          <w:rFonts w:ascii="Book Antiqua" w:hAnsi="Book Antiqua"/>
          <w:b/>
        </w:rPr>
        <w:br w:type="page"/>
      </w:r>
    </w:p>
    <w:p w:rsidR="00EE535C" w:rsidRPr="007F73AB" w:rsidRDefault="00103493" w:rsidP="00EE535C">
      <w:pPr>
        <w:pStyle w:val="NoSpacing"/>
        <w:jc w:val="center"/>
        <w:rPr>
          <w:rFonts w:ascii="Book Antiqua" w:hAnsi="Book Antiqua"/>
          <w:b/>
          <w:szCs w:val="24"/>
        </w:rPr>
      </w:pPr>
      <w:r>
        <w:rPr>
          <w:rFonts w:ascii="Book Antiqua" w:hAnsi="Book Antiqua"/>
          <w:b/>
          <w:szCs w:val="24"/>
        </w:rPr>
        <w:lastRenderedPageBreak/>
        <w:t xml:space="preserve">Introduction: </w:t>
      </w:r>
      <w:r w:rsidRPr="00FF3454">
        <w:rPr>
          <w:rFonts w:ascii="Book Antiqua" w:hAnsi="Book Antiqua"/>
          <w:b/>
          <w:i/>
          <w:szCs w:val="24"/>
        </w:rPr>
        <w:t xml:space="preserve">A </w:t>
      </w:r>
      <w:r w:rsidR="00EE535C" w:rsidRPr="00FF3454">
        <w:rPr>
          <w:rFonts w:ascii="Book Antiqua" w:hAnsi="Book Antiqua"/>
          <w:b/>
          <w:i/>
          <w:szCs w:val="24"/>
        </w:rPr>
        <w:t>Layman’s Extended Summary</w:t>
      </w:r>
      <w:r w:rsidR="00067B62">
        <w:rPr>
          <w:rFonts w:ascii="Book Antiqua" w:hAnsi="Book Antiqua"/>
          <w:b/>
          <w:i/>
          <w:szCs w:val="24"/>
        </w:rPr>
        <w:t>.</w:t>
      </w:r>
    </w:p>
    <w:p w:rsidR="00EE535C" w:rsidRPr="007F73AB" w:rsidRDefault="00EE535C" w:rsidP="00EE535C">
      <w:pPr>
        <w:pStyle w:val="NoSpacing"/>
        <w:jc w:val="both"/>
        <w:rPr>
          <w:rFonts w:ascii="Book Antiqua" w:hAnsi="Book Antiqua"/>
          <w:b/>
          <w:szCs w:val="24"/>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 Discovering the Zero Point Energy</w:t>
      </w:r>
    </w:p>
    <w:p w:rsidR="00EE535C" w:rsidRPr="007F73AB" w:rsidRDefault="00EE535C" w:rsidP="00EE535C">
      <w:pPr>
        <w:pStyle w:val="NoSpacing"/>
        <w:ind w:left="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Imagine that you have a container that can be perfectly sealed. Then remove all solids and liquids and gases from it so that no atoms or molecules remain. It is commonly thought that this is what a vacuum is. Indeed, in the 17</w:t>
      </w:r>
      <w:r w:rsidRPr="007F73AB">
        <w:rPr>
          <w:rFonts w:ascii="Book Antiqua" w:hAnsi="Book Antiqua"/>
          <w:sz w:val="20"/>
          <w:vertAlign w:val="superscript"/>
        </w:rPr>
        <w:t>th</w:t>
      </w:r>
      <w:r w:rsidRPr="007F73AB">
        <w:rPr>
          <w:rFonts w:ascii="Book Antiqua" w:hAnsi="Book Antiqua"/>
          <w:sz w:val="20"/>
        </w:rPr>
        <w:t xml:space="preserve"> century, this concept gave rise to the definition of a vacuum as a totally empty volume of space. Today, this is called a “bare vacuum.” In the 18</w:t>
      </w:r>
      <w:r w:rsidRPr="007F73AB">
        <w:rPr>
          <w:rFonts w:ascii="Book Antiqua" w:hAnsi="Book Antiqua"/>
          <w:sz w:val="20"/>
          <w:vertAlign w:val="superscript"/>
        </w:rPr>
        <w:t>th</w:t>
      </w:r>
      <w:r w:rsidRPr="007F73AB">
        <w:rPr>
          <w:rFonts w:ascii="Book Antiqua" w:hAnsi="Book Antiqua"/>
          <w:sz w:val="20"/>
        </w:rPr>
        <w:t xml:space="preserve"> century it was discovered that this vacuum would not transmit sound but would transmit light. But light is only a small fraction of the full electromagnetic spectrum of wavelengths which ranges from the very short wavelength gamma rays, down to radio and longer wavelengths.  </w:t>
      </w:r>
    </w:p>
    <w:p w:rsidR="00EE535C" w:rsidRPr="007F73AB" w:rsidRDefault="00EE535C" w:rsidP="00EE535C">
      <w:pPr>
        <w:pStyle w:val="NoSpacing"/>
        <w:ind w:left="360"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of this, it was realized late in the 19th century, that the vacuum could still contain heat or thermal radiation which is part of the same electromagnetic spectrum. If our container with the vacuum is then perfectly insulated so no heat can get in or out, and if it is cooled to absolute zero, or about </w:t>
      </w:r>
      <w:proofErr w:type="gramStart"/>
      <w:r w:rsidRPr="007F73AB">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7F73AB">
        <w:rPr>
          <w:rFonts w:ascii="Book Antiqua" w:hAnsi="Book Antiqua"/>
          <w:sz w:val="20"/>
        </w:rPr>
        <w:t>,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later discovered to be a universal phenomenon, uniform, all-pervasive, and penetrating every atomic structure throughout the cosmos. This is more fully discussed in Chapter 1.</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existence of the ZPE was not suspected until the early 20th century for the same reason that we are unaware of the atmospheric pressure of about 1 kilogram per square centimeter or 14 pounds per square inch that is imposed upon our bodies. There is a perfect balance within us and without. We only notice pressures on our bodies if it is above that atmospheric background level, no matter how slightly above. Similarly, the radiation pressures of the ZPE are everywhere balanced, and we only notice radiation if it is above this background level, even slightly above.</w:t>
      </w:r>
    </w:p>
    <w:p w:rsidR="00EE535C" w:rsidRPr="007F73AB" w:rsidRDefault="00EE535C" w:rsidP="00EE535C">
      <w:pPr>
        <w:pStyle w:val="NoSpacing"/>
        <w:ind w:left="360" w:firstLine="360"/>
        <w:jc w:val="both"/>
        <w:rPr>
          <w:rFonts w:ascii="Book Antiqua" w:hAnsi="Book Antiqua"/>
          <w:sz w:val="20"/>
        </w:rPr>
      </w:pPr>
    </w:p>
    <w:p w:rsidR="007E6C41" w:rsidRDefault="00EE535C" w:rsidP="000E32B9">
      <w:pPr>
        <w:pStyle w:val="NoSpacing"/>
        <w:ind w:firstLine="720"/>
        <w:jc w:val="both"/>
        <w:rPr>
          <w:rFonts w:ascii="Book Antiqua" w:hAnsi="Book Antiqua"/>
          <w:sz w:val="20"/>
        </w:rPr>
      </w:pPr>
      <w:r w:rsidRPr="007F73AB">
        <w:rPr>
          <w:rFonts w:ascii="Book Antiqua" w:hAnsi="Book Antiqua"/>
          <w:sz w:val="20"/>
        </w:rPr>
        <w:t xml:space="preserve">The presence of this Zero Point Energy was first deduced by Max Planck in his paper of 1911 [1]. The suggestion was then picked up by Einstein and Stern as well as Nernst, and subsequently by others. It was found that the ZPE was made up of many more waves of short wavelengths than long wavelengths. Because there are relatively so few long wavelengths, the vacuum is smooth and even featureless at the scale of yards and inches, or meters and centimeters. However, by the time we get down to the size of atoms and molecules, the vacuum has become a surging sea of electromagnetic waves. It has sometimes been called the “seething vacuum.” At the wavelength of the smallest waves, the structure of the vacuum becomes </w:t>
      </w:r>
      <w:r w:rsidR="0089392D">
        <w:rPr>
          <w:rFonts w:ascii="Book Antiqua" w:hAnsi="Book Antiqua"/>
          <w:sz w:val="20"/>
        </w:rPr>
        <w:t>restrictive</w:t>
      </w:r>
      <w:r w:rsidRPr="007F73AB">
        <w:rPr>
          <w:rFonts w:ascii="Book Antiqua" w:hAnsi="Book Antiqua"/>
          <w:sz w:val="20"/>
        </w:rPr>
        <w:t>. The vacuum seems to behave something like a woven fabric, and this is referred to as the “fabric of space.” An illustration of one possible model for this fabric is in Figure 1.</w:t>
      </w:r>
    </w:p>
    <w:p w:rsid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0E32B9">
        <w:rPr>
          <w:rFonts w:ascii="Book Antiqua" w:hAnsi="Book Antiqua"/>
          <w:sz w:val="20"/>
        </w:rPr>
        <w:t xml:space="preserve">Because the ZPE is made up of far more short waves than long ones, most of the effects of the ZPE occur at the atomic level or smaller.  However, there is a restrictive limit as to how short those waves can be, which is caused by the ‘fabric’ quality of space at that level. This limit is called the Planck length and is equal to </w:t>
      </w:r>
      <m:oMath>
        <m:r>
          <w:rPr>
            <w:rFonts w:ascii="Cambria Math" w:hAnsi="Book Antiqua"/>
            <w:sz w:val="20"/>
          </w:rPr>
          <m:t xml:space="preserve">1.61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33</m:t>
            </m:r>
          </m:sup>
        </m:sSup>
      </m:oMath>
      <w:r w:rsidRPr="000E32B9">
        <w:rPr>
          <w:rFonts w:ascii="Book Antiqua" w:hAnsi="Book Antiqua"/>
          <w:sz w:val="20"/>
        </w:rPr>
        <w:t xml:space="preserve"> centimeters. That is the distance between the centers of the individual “shapes” illustrated in Figure 1. Waves shorter than this limit are absorbed into the “fabric.”</w:t>
      </w:r>
    </w:p>
    <w:p w:rsidR="000E32B9" w:rsidRPr="000E32B9" w:rsidRDefault="000E32B9" w:rsidP="000E32B9">
      <w:pPr>
        <w:pStyle w:val="NoSpacing"/>
        <w:ind w:firstLine="720"/>
        <w:jc w:val="both"/>
        <w:rPr>
          <w:rFonts w:ascii="Book Antiqua" w:hAnsi="Book Antiqua"/>
          <w:sz w:val="20"/>
        </w:rPr>
      </w:pPr>
    </w:p>
    <w:p w:rsidR="000E32B9" w:rsidRDefault="000E32B9" w:rsidP="000E32B9">
      <w:pPr>
        <w:pStyle w:val="NoSpacing"/>
        <w:ind w:firstLine="720"/>
        <w:jc w:val="both"/>
        <w:rPr>
          <w:rFonts w:ascii="Book Antiqua" w:hAnsi="Book Antiqua"/>
          <w:sz w:val="20"/>
        </w:rPr>
      </w:pPr>
      <w:r w:rsidRPr="007F73AB">
        <w:rPr>
          <w:rFonts w:ascii="Book Antiqua" w:hAnsi="Book Antiqua"/>
          <w:sz w:val="20"/>
        </w:rPr>
        <w:t>There are two branches of physics today, and they have very different approaches regarding the Zero Point Energy.  Despite Planck’s second paper in 1911 in which he showed that the ZPE was real, four</w:t>
      </w:r>
      <w:r w:rsidRPr="007F73AB">
        <w:rPr>
          <w:rFonts w:ascii="Book Antiqua" w:hAnsi="Book Antiqua"/>
          <w:sz w:val="18"/>
          <w:szCs w:val="18"/>
        </w:rPr>
        <w:t xml:space="preserve"> </w:t>
      </w:r>
      <w:r w:rsidRPr="007F73AB">
        <w:rPr>
          <w:rFonts w:ascii="Book Antiqua" w:hAnsi="Book Antiqua"/>
          <w:sz w:val="20"/>
        </w:rPr>
        <w:t xml:space="preserve">papers were written in the 1920’s which turned the course of physics away from the classical approach and toward what is now referred to as Quantum Physics, or Quantum Electro-Dynamics (QED physics).  This approach treats the ZPE as entirely hypothetical and useful only in mathematical approaches.  </w:t>
      </w:r>
    </w:p>
    <w:p w:rsidR="000E32B9" w:rsidRDefault="000E32B9" w:rsidP="000E32B9">
      <w:pPr>
        <w:pStyle w:val="NoSpacing"/>
        <w:ind w:firstLine="720"/>
        <w:jc w:val="both"/>
        <w:rPr>
          <w:rFonts w:ascii="Book Antiqua" w:hAnsi="Book Antiqua"/>
          <w:sz w:val="20"/>
        </w:rPr>
      </w:pPr>
    </w:p>
    <w:p w:rsidR="007E6C41" w:rsidRPr="007F73AB" w:rsidRDefault="007E6C41" w:rsidP="007E6C41">
      <w:pPr>
        <w:ind w:firstLine="360"/>
        <w:rPr>
          <w:rFonts w:ascii="Book Antiqua" w:hAnsi="Book Antiqua"/>
          <w:sz w:val="18"/>
          <w:szCs w:val="18"/>
        </w:rPr>
      </w:pPr>
    </w:p>
    <w:p w:rsidR="00EE535C" w:rsidRPr="007F73AB" w:rsidRDefault="00EE535C" w:rsidP="00EE535C">
      <w:pPr>
        <w:pStyle w:val="NoSpacing"/>
        <w:jc w:val="center"/>
        <w:rPr>
          <w:rFonts w:ascii="Book Antiqua" w:hAnsi="Book Antiqua"/>
          <w:sz w:val="18"/>
          <w:szCs w:val="18"/>
        </w:rPr>
      </w:pPr>
      <w:r w:rsidRPr="007F73AB">
        <w:rPr>
          <w:rFonts w:ascii="Book Antiqua" w:hAnsi="Book Antiqua"/>
          <w:noProof/>
          <w:sz w:val="18"/>
          <w:szCs w:val="18"/>
        </w:rPr>
        <w:lastRenderedPageBreak/>
        <w:drawing>
          <wp:inline distT="0" distB="0" distL="0" distR="0">
            <wp:extent cx="2432157" cy="2110791"/>
            <wp:effectExtent l="19050" t="0" r="6243" b="0"/>
            <wp:docPr id="1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2431213" cy="2109971"/>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jc w:val="both"/>
        <w:rPr>
          <w:rFonts w:ascii="Book Antiqua" w:hAnsi="Book Antiqua"/>
          <w:sz w:val="18"/>
          <w:szCs w:val="18"/>
        </w:rPr>
      </w:pPr>
    </w:p>
    <w:p w:rsidR="007E6C41"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1:</w:t>
      </w:r>
      <w:r w:rsidRPr="00F479C6">
        <w:rPr>
          <w:rFonts w:ascii="Book Antiqua" w:hAnsi="Book Antiqua"/>
          <w:i/>
          <w:sz w:val="18"/>
          <w:szCs w:val="18"/>
        </w:rPr>
        <w:t xml:space="preserve"> The fabric of space, according to String Theory, </w:t>
      </w:r>
      <w:r w:rsidR="00F80A64" w:rsidRPr="00F479C6">
        <w:rPr>
          <w:rFonts w:ascii="Book Antiqua" w:hAnsi="Book Antiqua"/>
          <w:i/>
          <w:sz w:val="18"/>
          <w:szCs w:val="18"/>
        </w:rPr>
        <w:t>is made up of</w:t>
      </w:r>
      <w:r w:rsidRPr="00F479C6">
        <w:rPr>
          <w:rFonts w:ascii="Book Antiqua" w:hAnsi="Book Antiqua"/>
          <w:i/>
          <w:sz w:val="18"/>
          <w:szCs w:val="18"/>
        </w:rPr>
        <w:t xml:space="preserve"> compactified extra dimensions called Calabi-Yau shapes. These shapes are a Planck length apart, or just over </w:t>
      </w:r>
      <m:oMath>
        <m:sSup>
          <m:sSupPr>
            <m:ctrlPr>
              <w:rPr>
                <w:rFonts w:ascii="Cambria Math" w:hAnsi="Book Antiqua"/>
                <w:i/>
                <w:sz w:val="18"/>
                <w:szCs w:val="18"/>
              </w:rPr>
            </m:ctrlPr>
          </m:sSupPr>
          <m:e>
            <m:r>
              <w:rPr>
                <w:rFonts w:ascii="Cambria Math" w:hAnsi="Book Antiqua"/>
                <w:sz w:val="18"/>
                <w:szCs w:val="18"/>
              </w:rPr>
              <m:t>10</m:t>
            </m:r>
          </m:e>
          <m:sup>
            <m:r>
              <w:rPr>
                <w:rFonts w:ascii="Book Antiqua" w:hAnsi="Book Antiqua"/>
                <w:sz w:val="18"/>
                <w:szCs w:val="18"/>
              </w:rPr>
              <m:t>-</m:t>
            </m:r>
            <m:r>
              <w:rPr>
                <w:rFonts w:ascii="Cambria Math" w:hAnsi="Book Antiqua"/>
                <w:sz w:val="18"/>
                <w:szCs w:val="18"/>
              </w:rPr>
              <m:t>33</m:t>
            </m:r>
          </m:sup>
        </m:sSup>
      </m:oMath>
      <w:r w:rsidRPr="00F479C6">
        <w:rPr>
          <w:rFonts w:ascii="Book Antiqua" w:hAnsi="Book Antiqua"/>
          <w:i/>
          <w:sz w:val="18"/>
          <w:szCs w:val="18"/>
        </w:rPr>
        <w:t xml:space="preserve"> centimeters.</w:t>
      </w:r>
      <w:r w:rsidR="0089392D" w:rsidRPr="00F479C6">
        <w:rPr>
          <w:rFonts w:ascii="Book Antiqua" w:hAnsi="Book Antiqua"/>
          <w:i/>
          <w:sz w:val="18"/>
          <w:szCs w:val="18"/>
        </w:rPr>
        <w:t xml:space="preserve"> </w:t>
      </w:r>
      <w:r w:rsidR="00A16F78" w:rsidRPr="00F479C6">
        <w:rPr>
          <w:rFonts w:ascii="Book Antiqua" w:hAnsi="Book Antiqua"/>
          <w:i/>
          <w:sz w:val="18"/>
          <w:szCs w:val="18"/>
        </w:rPr>
        <w:t>Instead of this “fabric” existing in two dimensions as shown here, t</w:t>
      </w:r>
      <w:r w:rsidR="0089392D" w:rsidRPr="00F479C6">
        <w:rPr>
          <w:rFonts w:ascii="Book Antiqua" w:hAnsi="Book Antiqua"/>
          <w:i/>
          <w:sz w:val="18"/>
          <w:szCs w:val="18"/>
        </w:rPr>
        <w:t>h</w:t>
      </w:r>
      <w:r w:rsidR="006B09DA" w:rsidRPr="00F479C6">
        <w:rPr>
          <w:rFonts w:ascii="Book Antiqua" w:hAnsi="Book Antiqua"/>
          <w:i/>
          <w:sz w:val="18"/>
          <w:szCs w:val="18"/>
        </w:rPr>
        <w:t>ere is</w:t>
      </w:r>
      <w:r w:rsidR="0089392D" w:rsidRPr="00F479C6">
        <w:rPr>
          <w:rFonts w:ascii="Book Antiqua" w:hAnsi="Book Antiqua"/>
          <w:i/>
          <w:sz w:val="18"/>
          <w:szCs w:val="18"/>
        </w:rPr>
        <w:t xml:space="preserve"> “stacking” in </w:t>
      </w:r>
      <w:r w:rsidR="006B09DA" w:rsidRPr="00F479C6">
        <w:rPr>
          <w:rFonts w:ascii="Book Antiqua" w:hAnsi="Book Antiqua"/>
          <w:i/>
          <w:sz w:val="18"/>
          <w:szCs w:val="18"/>
        </w:rPr>
        <w:t xml:space="preserve">a </w:t>
      </w:r>
      <w:r w:rsidR="0089392D" w:rsidRPr="00F479C6">
        <w:rPr>
          <w:rFonts w:ascii="Book Antiqua" w:hAnsi="Book Antiqua"/>
          <w:i/>
          <w:sz w:val="18"/>
          <w:szCs w:val="18"/>
        </w:rPr>
        <w:t>3 dimension</w:t>
      </w:r>
      <w:r w:rsidR="006B09DA" w:rsidRPr="00F479C6">
        <w:rPr>
          <w:rFonts w:ascii="Book Antiqua" w:hAnsi="Book Antiqua"/>
          <w:i/>
          <w:sz w:val="18"/>
          <w:szCs w:val="18"/>
        </w:rPr>
        <w:t xml:space="preserve">al lattice </w:t>
      </w:r>
      <w:r w:rsidR="0089392D" w:rsidRPr="00F479C6">
        <w:rPr>
          <w:rFonts w:ascii="Book Antiqua" w:hAnsi="Book Antiqua"/>
          <w:i/>
          <w:sz w:val="18"/>
          <w:szCs w:val="18"/>
        </w:rPr>
        <w:t xml:space="preserve">with </w:t>
      </w:r>
      <w:r w:rsidR="006B09DA" w:rsidRPr="00F479C6">
        <w:rPr>
          <w:rFonts w:ascii="Book Antiqua" w:hAnsi="Book Antiqua"/>
          <w:i/>
          <w:sz w:val="18"/>
          <w:szCs w:val="18"/>
        </w:rPr>
        <w:t>the Calabi-Yau shapes in adjacent</w:t>
      </w:r>
      <w:r w:rsidR="00A16F78" w:rsidRPr="00F479C6">
        <w:rPr>
          <w:rFonts w:ascii="Book Antiqua" w:hAnsi="Book Antiqua"/>
          <w:i/>
          <w:sz w:val="18"/>
          <w:szCs w:val="18"/>
        </w:rPr>
        <w:t xml:space="preserve"> layers </w:t>
      </w:r>
      <w:r w:rsidR="006B09DA" w:rsidRPr="00F479C6">
        <w:rPr>
          <w:rFonts w:ascii="Book Antiqua" w:hAnsi="Book Antiqua"/>
          <w:i/>
          <w:sz w:val="18"/>
          <w:szCs w:val="18"/>
        </w:rPr>
        <w:t>filling the gaps</w:t>
      </w:r>
      <w:r w:rsidR="00A16F78" w:rsidRPr="00F479C6">
        <w:rPr>
          <w:rFonts w:ascii="Book Antiqua" w:hAnsi="Book Antiqua"/>
          <w:i/>
          <w:sz w:val="18"/>
          <w:szCs w:val="18"/>
        </w:rPr>
        <w:t xml:space="preserve"> in the grid shown in this layer.</w:t>
      </w:r>
    </w:p>
    <w:p w:rsidR="00EE535C" w:rsidRDefault="00EE535C" w:rsidP="00EE535C">
      <w:pPr>
        <w:pStyle w:val="NoSpacing"/>
        <w:ind w:firstLine="360"/>
        <w:jc w:val="both"/>
        <w:rPr>
          <w:rFonts w:ascii="Book Antiqua" w:hAnsi="Book Antiqua"/>
          <w:sz w:val="20"/>
        </w:rPr>
      </w:pPr>
    </w:p>
    <w:p w:rsidR="000E32B9" w:rsidRPr="007F73AB" w:rsidRDefault="000E32B9" w:rsidP="000E32B9">
      <w:pPr>
        <w:pStyle w:val="NoSpacing"/>
        <w:ind w:firstLine="720"/>
        <w:jc w:val="both"/>
        <w:rPr>
          <w:rFonts w:ascii="Book Antiqua" w:hAnsi="Book Antiqua"/>
          <w:sz w:val="20"/>
        </w:rPr>
      </w:pPr>
      <w:r w:rsidRPr="007F73AB">
        <w:rPr>
          <w:rFonts w:ascii="Book Antiqua" w:hAnsi="Book Antiqua"/>
          <w:sz w:val="20"/>
        </w:rPr>
        <w:t>However in 1962, de Broglie, a physicist who had written one of those four papers, wrote that physics may well have taken a wrong turn in the 1920’s [2].  The Zero Point Energy is real and measureable and, when that is combined with classical physics, quantum phenomena are much more easily understood and worked with.  This is called Stochastic Electrodynamics, or SED physics, because of the random or stochastic distribution of the ZPE waves in space.</w:t>
      </w:r>
    </w:p>
    <w:p w:rsidR="000E32B9" w:rsidRPr="007F73AB" w:rsidRDefault="000E32B9" w:rsidP="000E32B9">
      <w:pPr>
        <w:pStyle w:val="NoSpacing"/>
        <w:ind w:firstLine="720"/>
        <w:jc w:val="both"/>
        <w:rPr>
          <w:rFonts w:ascii="Book Antiqua" w:hAnsi="Book Antiqua"/>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experimental evidence that hinted at the existence of the ZPE comes mostly from the realms of atoms which are being ‘jiggled’ by the impacting waves of the ZPE.  For 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caused by the ‘jittering’ of atomic and subatomic particles, can never be removed no matter how perfect the technology. Indeed, the suggestion has been made that this incessant electronic 'noise' might be harnessed as an energy source.</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According to the SED branch of physics (which deals specifically with the actual ZPE), the electron, for example, undergoes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random hits per second from the impacting ZPE waves. This is known as the Compton frequency. This means an electron changes direction and “jitters”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7F73AB">
        <w:rPr>
          <w:rFonts w:ascii="Book Antiqua" w:hAnsi="Book Antiqua"/>
          <w:sz w:val="20"/>
        </w:rPr>
        <w:t xml:space="preserve"> times each second. In science this jitter motion is known by its German equivalent “</w:t>
      </w:r>
      <w:r w:rsidRPr="007F73AB">
        <w:rPr>
          <w:rFonts w:ascii="Book Antiqua" w:hAnsi="Book Antiqua"/>
          <w:i/>
          <w:sz w:val="20"/>
        </w:rPr>
        <w:t>zitterbewegung</w:t>
      </w:r>
      <w:r w:rsidRPr="007F73AB">
        <w:rPr>
          <w:rFonts w:ascii="Book Antiqua" w:hAnsi="Book Antiqua"/>
          <w:sz w:val="20"/>
        </w:rPr>
        <w:t>.” For this reason, the electron’s precise position and momentum can never be accurately measured at any given instant; this is called “</w:t>
      </w:r>
      <w:r w:rsidRPr="007F73AB">
        <w:rPr>
          <w:rFonts w:ascii="Book Antiqua" w:hAnsi="Book Antiqua"/>
          <w:i/>
          <w:sz w:val="20"/>
        </w:rPr>
        <w:t>quantum uncertainty</w:t>
      </w:r>
      <w:r w:rsidRPr="007F73AB">
        <w:rPr>
          <w:rFonts w:ascii="Book Antiqua" w:hAnsi="Book Antiqua"/>
          <w:sz w:val="20"/>
        </w:rPr>
        <w:t>.” Even an electron’s exact atomic orbit is uncertain or ‘smeared out,’ giving rise to uncertainty in momentum. This occurs because these impacting waves cause the electron to undergo over 18,700 changes in direction in the time it takes to execute just one orbit around the atomic nucleus. The same can be said about all subatomic particles.</w:t>
      </w:r>
      <w:r w:rsidR="007C5DFE">
        <w:rPr>
          <w:rFonts w:ascii="Book Antiqua" w:hAnsi="Book Antiqua"/>
          <w:sz w:val="20"/>
        </w:rPr>
        <w:t xml:space="preserve"> </w:t>
      </w:r>
      <w:r w:rsidR="00354747">
        <w:rPr>
          <w:rFonts w:ascii="Book Antiqua" w:hAnsi="Book Antiqua"/>
          <w:sz w:val="20"/>
        </w:rPr>
        <w:t xml:space="preserve">The picture that emerges is that of a negative electron being attracted to the positive proton(s) in the nucleus. However, because of the impacting waves of the ZPE causing it to continually change its direction of </w:t>
      </w:r>
      <w:proofErr w:type="gramStart"/>
      <w:r w:rsidR="00354747">
        <w:rPr>
          <w:rFonts w:ascii="Book Antiqua" w:hAnsi="Book Antiqua"/>
          <w:sz w:val="20"/>
        </w:rPr>
        <w:t>movement,</w:t>
      </w:r>
      <w:proofErr w:type="gramEnd"/>
      <w:r w:rsidR="00354747">
        <w:rPr>
          <w:rFonts w:ascii="Book Antiqua" w:hAnsi="Book Antiqua"/>
          <w:sz w:val="20"/>
        </w:rPr>
        <w:t xml:space="preserve"> the electron is forced to “orbit” the nucleus instead of falling into it. It can be shown that the more hits</w:t>
      </w:r>
      <w:r w:rsidR="00467084">
        <w:rPr>
          <w:rFonts w:ascii="Book Antiqua" w:hAnsi="Book Antiqua"/>
          <w:sz w:val="20"/>
        </w:rPr>
        <w:t xml:space="preserve"> the electron receives per unit time, the </w:t>
      </w:r>
      <w:r w:rsidR="00D63E39">
        <w:rPr>
          <w:rFonts w:ascii="Book Antiqua" w:hAnsi="Book Antiqua"/>
          <w:sz w:val="20"/>
        </w:rPr>
        <w:t xml:space="preserve">shorter the distance the electron travels in a straight line between the hits. The overall result is that </w:t>
      </w:r>
      <w:r w:rsidR="00467084">
        <w:rPr>
          <w:rFonts w:ascii="Book Antiqua" w:hAnsi="Book Antiqua"/>
          <w:sz w:val="20"/>
        </w:rPr>
        <w:t>the orbit radius will tend to become</w:t>
      </w:r>
      <w:r w:rsidR="00D63E39">
        <w:rPr>
          <w:rFonts w:ascii="Book Antiqua" w:hAnsi="Book Antiqua"/>
          <w:sz w:val="20"/>
        </w:rPr>
        <w:t xml:space="preserve"> smaller with more hits</w:t>
      </w:r>
      <w:r w:rsidR="00467084">
        <w:rPr>
          <w:rFonts w:ascii="Book Antiqua" w:hAnsi="Book Antiqua"/>
          <w:sz w:val="20"/>
        </w:rPr>
        <w:t>.</w:t>
      </w:r>
      <w:r w:rsidR="00354747">
        <w:rPr>
          <w:rFonts w:ascii="Book Antiqua" w:hAnsi="Book Antiqua"/>
          <w:sz w:val="20"/>
        </w:rPr>
        <w:t xml:space="preserve"> </w:t>
      </w:r>
    </w:p>
    <w:p w:rsidR="00EE535C" w:rsidRPr="007F73AB" w:rsidRDefault="00EE535C" w:rsidP="00EE535C">
      <w:pPr>
        <w:pStyle w:val="NoSpacing"/>
        <w:ind w:firstLine="36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Has the Zero Point Energy Strength Changed?</w:t>
      </w:r>
    </w:p>
    <w:p w:rsidR="00EE535C" w:rsidRPr="007F73AB" w:rsidRDefault="00EE535C" w:rsidP="00EE535C">
      <w:pPr>
        <w:pStyle w:val="NoSpacing"/>
        <w:ind w:left="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evidence says yes.  Most cosmologies start with the stretching or expansion of the universe. That concept is accepted here. Consider a rubber band for a moment. When it is stretched, energy is invested into its fabric as potential energy. When the rubber band is released, that energy goes into its motion and it becomes kinetic energy. In a similar way, the initial stretching of the cosmos put potential energy into its fabric. This then converted to the kinetic energy of the ZPE.   In the same way the potential energy converts to kinetic energy most rapidly immediately after the rubber band </w:t>
      </w:r>
      <w:r w:rsidRPr="007F73AB">
        <w:rPr>
          <w:rFonts w:ascii="Book Antiqua" w:hAnsi="Book Antiqua"/>
          <w:sz w:val="20"/>
        </w:rPr>
        <w:lastRenderedPageBreak/>
        <w:t xml:space="preserve">is released, the ZPE built up extremely rapidly at first and then tapered down until the conversion was complete.  The physical processes involved are well-known and are outlined in Chapter 1.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However, data discussed in Chapters 2-5 indicate that after a period of time, the stretching ceased and the universe became static. In 1993, Narlikar and Arp demonstrated that a static cosmos would be stable and would not collapse provided that it oscillated slightly in a variety of modes around its mean position [3]. Once the ZPE had built up to its maximum, it was maintained by a feedback mechanism as outlined by Puthoff and others [4]. As the universe then oscillated about its new average position, the perceived strength of the ZPE would also oscillate. Thus when the universe was at its maximum size, the same ZPE strength was in a larger volume, so at any point in space, the ZPE energy density would be measured as less. Alternately, when the cosmos was at its minimum size, the same ZPE strength was contained in a smaller volume and so its energy density was greater.  Regardless of this, however, the ZPE strength throughout the whole universe is the same at any one</w:t>
      </w:r>
      <w:r w:rsidR="00B86CA1">
        <w:rPr>
          <w:rFonts w:ascii="Book Antiqua" w:hAnsi="Book Antiqua"/>
          <w:sz w:val="20"/>
        </w:rPr>
        <w:t xml:space="preserve"> instant of</w:t>
      </w:r>
      <w:r w:rsidRPr="007F73AB">
        <w:rPr>
          <w:rFonts w:ascii="Book Antiqua" w:hAnsi="Book Antiqua"/>
          <w:sz w:val="20"/>
        </w:rPr>
        <w:t xml:space="preserve">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 xml:space="preserve">Virtual Particles </w:t>
      </w:r>
    </w:p>
    <w:p w:rsidR="00EE535C" w:rsidRPr="007F73AB" w:rsidRDefault="00EE535C" w:rsidP="004D4E88">
      <w:pPr>
        <w:pStyle w:val="Els-1storder-head"/>
        <w:numPr>
          <w:ilvl w:val="0"/>
          <w:numId w:val="0"/>
        </w:numPr>
        <w:ind w:firstLine="720"/>
        <w:jc w:val="both"/>
        <w:rPr>
          <w:rFonts w:ascii="Book Antiqua" w:hAnsi="Book Antiqua"/>
          <w:b w:val="0"/>
        </w:rPr>
      </w:pPr>
      <w:r w:rsidRPr="007F73AB">
        <w:rPr>
          <w:rFonts w:ascii="Book Antiqua" w:hAnsi="Book Antiqua"/>
          <w:b w:val="0"/>
        </w:rPr>
        <w:t xml:space="preserve">The electromagnetic waves of the Zero Point Energy are not only of all wavelengths, they are going in all different directions at once. In other words they have a random distribution. The interaction of these waves may be pictured as being somewhat similar to the waves of the sea. When something such as a passing boat causes a cross-current, and ocean waves meet, the waves peak, crest and form whitecaps, which then die down quickly and disappear. </w:t>
      </w:r>
      <w:r w:rsidR="002B47EA">
        <w:rPr>
          <w:rFonts w:ascii="Book Antiqua" w:hAnsi="Book Antiqua"/>
          <w:b w:val="0"/>
        </w:rPr>
        <w:t xml:space="preserve">This occurs in the ocean because of the constructive interference of wave </w:t>
      </w:r>
      <w:r w:rsidR="00F80A64">
        <w:rPr>
          <w:rFonts w:ascii="Book Antiqua" w:hAnsi="Book Antiqua"/>
          <w:b w:val="0"/>
        </w:rPr>
        <w:t>heights (</w:t>
      </w:r>
      <w:r w:rsidR="002B47EA">
        <w:rPr>
          <w:rFonts w:ascii="Book Antiqua" w:hAnsi="Book Antiqua"/>
          <w:b w:val="0"/>
        </w:rPr>
        <w:t>amplitudes</w:t>
      </w:r>
      <w:r w:rsidR="00F80A64">
        <w:rPr>
          <w:rFonts w:ascii="Book Antiqua" w:hAnsi="Book Antiqua"/>
          <w:b w:val="0"/>
        </w:rPr>
        <w:t>)</w:t>
      </w:r>
      <w:r w:rsidR="002B47EA">
        <w:rPr>
          <w:rFonts w:ascii="Book Antiqua" w:hAnsi="Book Antiqua"/>
          <w:b w:val="0"/>
        </w:rPr>
        <w:t xml:space="preserve"> which build up </w:t>
      </w:r>
      <w:r w:rsidR="00793A4C">
        <w:rPr>
          <w:rFonts w:ascii="Book Antiqua" w:hAnsi="Book Antiqua"/>
          <w:b w:val="0"/>
        </w:rPr>
        <w:t xml:space="preserve">because wave energy is added to the system. </w:t>
      </w:r>
      <w:r w:rsidRPr="007F73AB">
        <w:rPr>
          <w:rFonts w:ascii="Book Antiqua" w:hAnsi="Book Antiqua"/>
          <w:b w:val="0"/>
        </w:rPr>
        <w:t>In the same way, when ZPE waves meet, they create a concentration of energy that results</w:t>
      </w:r>
      <w:r w:rsidR="00793A4C">
        <w:rPr>
          <w:rFonts w:ascii="Book Antiqua" w:hAnsi="Book Antiqua"/>
          <w:b w:val="0"/>
        </w:rPr>
        <w:t>, not in the formation of whitecaps, but rather</w:t>
      </w:r>
      <w:r w:rsidRPr="007F73AB">
        <w:rPr>
          <w:rFonts w:ascii="Book Antiqua" w:hAnsi="Book Antiqua"/>
          <w:b w:val="0"/>
        </w:rPr>
        <w:t xml:space="preserve"> in the formation of positive and negative particle pairs.  Because these pairs will almost immediately recombine, releasing the energy that caused them, they are referred to as ‘virtual particles.’  During their brief existence, however, they behave exactly as regular particles do and can absorb light.</w:t>
      </w: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Virtual particles can happen because energy and mass are inter-convertible. However, in order to maintain conservation of electronic charge, virtual particles must be in the form of particle-antiparticle pairs. There is a veritable zoo of such particles, such as electron-positron pairs, or proton-antiproton pairs or a positive and negative pion.  It has been calculated that, at any instant, there are at over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7F73AB">
        <w:rPr>
          <w:rFonts w:ascii="Book Antiqua" w:hAnsi="Book Antiqua"/>
          <w:sz w:val="20"/>
        </w:rPr>
        <w:t xml:space="preserve"> such particle pairs in any cubic meter (or cubic yard) of space. Therefore, if the strength of the ZPE increased, the number of virtual particle pairs present at any instant would have increased in proportion. Effectively, space would have become “thicker” with these virtual particle pairs. Conversely, if the ZPE strength decreased, the number of virtual particles in a given volume would likewise decrease.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Because these particles are electrically charged they control the electric properties of the vacuum. Because these charged particles also move, and a charge in motion </w:t>
      </w:r>
      <w:r w:rsidR="00494B65">
        <w:rPr>
          <w:rFonts w:ascii="Book Antiqua" w:hAnsi="Book Antiqua"/>
          <w:sz w:val="20"/>
        </w:rPr>
        <w:t xml:space="preserve">(an electric current) </w:t>
      </w:r>
      <w:r w:rsidRPr="007F73AB">
        <w:rPr>
          <w:rFonts w:ascii="Book Antiqua" w:hAnsi="Book Antiqua"/>
          <w:sz w:val="20"/>
        </w:rPr>
        <w:t>always produces a circling magnetic field, they also control the magnetic properties of the vacuum. Because the strength of the Zero Point Energy</w:t>
      </w:r>
      <w:r w:rsidR="00AF5DED">
        <w:rPr>
          <w:rFonts w:ascii="Book Antiqua" w:hAnsi="Book Antiqua"/>
          <w:sz w:val="20"/>
        </w:rPr>
        <w:t xml:space="preserve"> (the number of ZPE waves per unit volume)</w:t>
      </w:r>
      <w:r w:rsidRPr="007F73AB">
        <w:rPr>
          <w:rFonts w:ascii="Book Antiqua" w:hAnsi="Book Antiqua"/>
          <w:sz w:val="20"/>
        </w:rPr>
        <w:t xml:space="preserve"> controls the number of virtual particle pairs in a given volume of space, any change in the strength of the ZPE changes the number of virtual particle pairs per unit volume.  This, in turn, brings about a change in the electric and magnetic properties of the vacuum. The electric properties of the vacuum are described by a quantity known as the permittivity of free space, (designated by the Greek letter epsilon</w:t>
      </w:r>
      <w:proofErr w:type="gramStart"/>
      <w:r w:rsidRPr="007F73AB">
        <w:rPr>
          <w:rFonts w:ascii="Book Antiqua" w:hAnsi="Book Antiqua"/>
          <w:sz w:val="20"/>
        </w:rPr>
        <w:t>,</w:t>
      </w:r>
      <w:r w:rsidR="00276CA2">
        <w:rPr>
          <w:rFonts w:ascii="Book Antiqua" w:hAnsi="Book Antiqua"/>
          <w:sz w:val="20"/>
        </w:rPr>
        <w:t xml:space="preserve"> </w:t>
      </w:r>
      <m:oMath>
        <w:proofErr w:type="gramEnd"/>
        <m:r>
          <w:rPr>
            <w:rFonts w:ascii="Cambria Math" w:hAnsi="Cambria Math"/>
            <w:sz w:val="18"/>
            <w:szCs w:val="18"/>
          </w:rPr>
          <m:t>ε</m:t>
        </m:r>
        <m:r>
          <w:rPr>
            <w:rFonts w:ascii="Cambria Math" w:hAnsi="Book Antiqua"/>
            <w:sz w:val="18"/>
            <w:szCs w:val="18"/>
          </w:rPr>
          <m:t>)</m:t>
        </m:r>
      </m:oMath>
      <w:r w:rsidRPr="007F73AB">
        <w:rPr>
          <w:rFonts w:ascii="Book Antiqua" w:hAnsi="Book Antiqua"/>
          <w:sz w:val="20"/>
        </w:rPr>
        <w:t xml:space="preserve">, while the magnetic properties are controlled by the permeability (designated by the Greek letter mu, </w:t>
      </w:r>
      <m:oMath>
        <m:r>
          <w:rPr>
            <w:rFonts w:ascii="Cambria Math" w:hAnsi="Book Antiqua"/>
            <w:sz w:val="18"/>
            <w:szCs w:val="18"/>
          </w:rPr>
          <m:t>µ</m:t>
        </m:r>
      </m:oMath>
      <w:r w:rsidRPr="007F73AB">
        <w:rPr>
          <w:rFonts w:ascii="Book Antiqua" w:hAnsi="Book Antiqua"/>
          <w:sz w:val="20"/>
        </w:rPr>
        <w:t xml:space="preserve">). </w:t>
      </w:r>
      <w:proofErr w:type="gramStart"/>
      <w:r w:rsidRPr="007F73AB">
        <w:rPr>
          <w:rFonts w:ascii="Book Antiqua" w:hAnsi="Book Antiqua"/>
          <w:sz w:val="20"/>
        </w:rPr>
        <w:t xml:space="preserve">If the ZPE strength increased, then both </w:t>
      </w:r>
      <m:oMath>
        <m:r>
          <w:rPr>
            <w:rFonts w:ascii="Cambria Math" w:hAnsi="Cambria Math"/>
            <w:sz w:val="18"/>
            <w:szCs w:val="18"/>
          </w:rPr>
          <m:t>ε</m:t>
        </m:r>
      </m:oMath>
      <w:r w:rsidRPr="007F73AB">
        <w:rPr>
          <w:rFonts w:ascii="Book Antiqua" w:hAnsi="Book Antiqua"/>
          <w:sz w:val="20"/>
        </w:rPr>
        <w:t xml:space="preserve"> and </w:t>
      </w:r>
      <m:oMath>
        <m:r>
          <w:rPr>
            <w:rFonts w:ascii="Cambria Math" w:hAnsi="Book Antiqua"/>
            <w:sz w:val="18"/>
            <w:szCs w:val="18"/>
          </w:rPr>
          <m:t>µ</m:t>
        </m:r>
      </m:oMath>
      <w:r w:rsidRPr="007F73AB">
        <w:rPr>
          <w:rFonts w:ascii="Book Antiqua" w:hAnsi="Book Antiqua"/>
          <w:sz w:val="20"/>
        </w:rPr>
        <w:t xml:space="preserve"> would also increase proportionally as a result of the proportional increase in the number of virtual particle pairs.</w:t>
      </w:r>
      <w:proofErr w:type="gramEnd"/>
      <w:r w:rsidR="00AF5DED">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ZPE and the Speed of Light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As well as controlling the electric and magnetic properties of the vacuum, the ZPE also controls the speed of light in a vacuum.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Therefore, as a photon travels, the number of interactions with virtual particles will increase in </w:t>
      </w:r>
      <w:r w:rsidRPr="007F73AB">
        <w:rPr>
          <w:rFonts w:ascii="Book Antiqua" w:hAnsi="Book Antiqua"/>
          <w:sz w:val="20"/>
        </w:rPr>
        <w:lastRenderedPageBreak/>
        <w:t xml:space="preserve">direct proportion to any ZPE increase. The more virtual particles per unit volume, the longer it takes light photons to traverse it. Thus, as the ZPE strength increased </w:t>
      </w:r>
      <w:r w:rsidRPr="00276CA2">
        <w:rPr>
          <w:rFonts w:ascii="Book Antiqua" w:hAnsi="Book Antiqua"/>
          <w:sz w:val="20"/>
        </w:rPr>
        <w:t>through time</w:t>
      </w:r>
      <w:r w:rsidR="00276CA2">
        <w:rPr>
          <w:rFonts w:ascii="Book Antiqua" w:hAnsi="Book Antiqua"/>
          <w:sz w:val="20"/>
        </w:rPr>
        <w:t xml:space="preserve"> and</w:t>
      </w:r>
      <w:r w:rsidRPr="00276CA2">
        <w:rPr>
          <w:rFonts w:ascii="Book Antiqua" w:hAnsi="Book Antiqua"/>
          <w:sz w:val="20"/>
        </w:rPr>
        <w:t xml:space="preserve"> space became</w:t>
      </w:r>
      <w:r w:rsidRPr="007F73AB">
        <w:rPr>
          <w:rFonts w:ascii="Book Antiqua" w:hAnsi="Book Antiqua"/>
          <w:sz w:val="20"/>
        </w:rPr>
        <w:t xml:space="preserve"> “thicker” with virtual particles</w:t>
      </w:r>
      <w:proofErr w:type="gramStart"/>
      <w:r w:rsidRPr="007F73AB">
        <w:rPr>
          <w:rFonts w:ascii="Book Antiqua" w:hAnsi="Book Antiqua"/>
          <w:sz w:val="20"/>
        </w:rPr>
        <w:t>,  photons</w:t>
      </w:r>
      <w:proofErr w:type="gramEnd"/>
      <w:r w:rsidRPr="007F73AB">
        <w:rPr>
          <w:rFonts w:ascii="Book Antiqua" w:hAnsi="Book Antiqua"/>
          <w:sz w:val="20"/>
        </w:rPr>
        <w:t xml:space="preserve"> took longer to reach their destination. An analysis shows that the speed of light (designated by the symbol “</w:t>
      </w:r>
      <m:oMath>
        <m:r>
          <w:rPr>
            <w:rFonts w:ascii="Cambria Math" w:hAnsi="Cambria Math"/>
            <w:sz w:val="18"/>
            <w:szCs w:val="18"/>
          </w:rPr>
          <m:t>c</m:t>
        </m:r>
      </m:oMath>
      <w:r w:rsidRPr="007F73AB">
        <w:rPr>
          <w:rFonts w:ascii="Book Antiqua" w:hAnsi="Book Antiqua"/>
          <w:sz w:val="20"/>
        </w:rPr>
        <w:t xml:space="preserve">”) is inversely proportional to the ZPE strength. Thus, as the ZPE strength increases, the speed of light drops in inverse proportion. The basic equations used by Maxwell to describe the speed of light did so in terms of </w:t>
      </w:r>
      <m:oMath>
        <m:r>
          <w:rPr>
            <w:rFonts w:ascii="Cambria Math" w:hAnsi="Cambria Math"/>
            <w:sz w:val="18"/>
            <w:szCs w:val="18"/>
          </w:rPr>
          <m:t>ε</m:t>
        </m:r>
      </m:oMath>
      <w:r w:rsidRPr="007F73AB">
        <w:rPr>
          <w:rFonts w:ascii="Book Antiqua" w:hAnsi="Book Antiqua"/>
          <w:sz w:val="20"/>
        </w:rPr>
        <w:t xml:space="preserve"> </w:t>
      </w:r>
      <w:proofErr w:type="gramStart"/>
      <w:r w:rsidRPr="007F73AB">
        <w:rPr>
          <w:rFonts w:ascii="Book Antiqua" w:hAnsi="Book Antiqua"/>
          <w:sz w:val="20"/>
        </w:rPr>
        <w:t xml:space="preserve">and </w:t>
      </w:r>
      <m:oMath>
        <w:proofErr w:type="gramEnd"/>
        <m:r>
          <w:rPr>
            <w:rFonts w:ascii="Cambria Math" w:hAnsi="Book Antiqua"/>
            <w:sz w:val="18"/>
            <w:szCs w:val="18"/>
          </w:rPr>
          <m:t>µ</m:t>
        </m:r>
      </m:oMath>
      <w:r w:rsidRPr="007F73AB">
        <w:rPr>
          <w:rFonts w:ascii="Book Antiqua" w:hAnsi="Book Antiqua"/>
          <w:sz w:val="20"/>
        </w:rPr>
        <w:t>. These concepts are discussed in Chapter 2 with details of speed of light measurements in Chapter 3.</w:t>
      </w:r>
    </w:p>
    <w:p w:rsidR="00EE535C" w:rsidRPr="007F73AB" w:rsidRDefault="00EE535C" w:rsidP="00EE535C">
      <w:pPr>
        <w:pStyle w:val="NoSpacing"/>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The question then arises, can light slow down as the ZPE gets stronger without light being ‘bent’ or refracted the way light is bent as it goes from air into water as shown in Figure 2?</w:t>
      </w:r>
    </w:p>
    <w:p w:rsidR="00651826" w:rsidRDefault="00651826" w:rsidP="00EE535C">
      <w:pPr>
        <w:pStyle w:val="NoSpacing"/>
        <w:ind w:firstLine="720"/>
        <w:jc w:val="both"/>
        <w:rPr>
          <w:rFonts w:ascii="Book Antiqua" w:hAnsi="Book Antiqua"/>
          <w:sz w:val="20"/>
        </w:rPr>
      </w:pPr>
    </w:p>
    <w:p w:rsidR="00651826" w:rsidRPr="007F73AB" w:rsidRDefault="00651826" w:rsidP="00651826">
      <w:pPr>
        <w:pStyle w:val="NoSpacing"/>
        <w:ind w:firstLine="720"/>
        <w:jc w:val="both"/>
        <w:rPr>
          <w:rFonts w:ascii="Book Antiqua" w:hAnsi="Book Antiqua"/>
          <w:sz w:val="20"/>
        </w:rPr>
      </w:pPr>
      <w:r w:rsidRPr="007F73AB">
        <w:rPr>
          <w:rFonts w:ascii="Book Antiqua" w:hAnsi="Book Antiqua"/>
          <w:sz w:val="20"/>
        </w:rPr>
        <w:t xml:space="preserve">When you put a straw into a glass of water, the straw appears ‘broken’ at the surface of the water, as in Figure 2.  This is because light is slowing down in the thicker medium of water.  </w:t>
      </w:r>
      <w:r>
        <w:rPr>
          <w:rFonts w:ascii="Book Antiqua" w:hAnsi="Book Antiqua"/>
          <w:sz w:val="20"/>
        </w:rPr>
        <w:t>But when</w:t>
      </w:r>
      <w:r w:rsidRPr="007F73AB">
        <w:rPr>
          <w:rFonts w:ascii="Book Antiqua" w:hAnsi="Book Antiqua"/>
          <w:sz w:val="20"/>
        </w:rPr>
        <w:t xml:space="preserve"> the straw </w:t>
      </w:r>
      <w:r>
        <w:rPr>
          <w:rFonts w:ascii="Book Antiqua" w:hAnsi="Book Antiqua"/>
          <w:sz w:val="20"/>
        </w:rPr>
        <w:t xml:space="preserve">is </w:t>
      </w:r>
      <w:r w:rsidRPr="007F73AB">
        <w:rPr>
          <w:rFonts w:ascii="Book Antiqua" w:hAnsi="Book Antiqua"/>
          <w:sz w:val="20"/>
        </w:rPr>
        <w:t xml:space="preserve">in the glass of water, two different mediums are present simultaneously in the path of the light ray:  air and water.  This produces the ‘broken’ look. The waves in air are still traveling at the original speed, so the </w:t>
      </w:r>
      <w:proofErr w:type="gramStart"/>
      <w:r w:rsidRPr="007F73AB">
        <w:rPr>
          <w:rFonts w:ascii="Book Antiqua" w:hAnsi="Book Antiqua"/>
          <w:sz w:val="20"/>
        </w:rPr>
        <w:t>waves</w:t>
      </w:r>
      <w:proofErr w:type="gramEnd"/>
      <w:r w:rsidRPr="007F73AB">
        <w:rPr>
          <w:rFonts w:ascii="Book Antiqua" w:hAnsi="Book Antiqua"/>
          <w:sz w:val="20"/>
        </w:rPr>
        <w:t xml:space="preserve"> crowd together in the new medium (the water) and therefore the wavelength changes. </w:t>
      </w:r>
      <w:r w:rsidRPr="00276CA2">
        <w:rPr>
          <w:rFonts w:ascii="Book Antiqua" w:hAnsi="Book Antiqua"/>
          <w:sz w:val="20"/>
        </w:rPr>
        <w:t>However,</w:t>
      </w:r>
      <w:r w:rsidRPr="007F73AB">
        <w:rPr>
          <w:rFonts w:ascii="Book Antiqua" w:hAnsi="Book Antiqua"/>
          <w:sz w:val="20"/>
        </w:rPr>
        <w:t xml:space="preserve"> that is </w:t>
      </w:r>
      <w:r w:rsidRPr="00494B65">
        <w:rPr>
          <w:rFonts w:ascii="Book Antiqua" w:hAnsi="Book Antiqua"/>
          <w:sz w:val="20"/>
          <w:u w:val="single"/>
        </w:rPr>
        <w:t>not</w:t>
      </w:r>
      <w:r w:rsidRPr="007F73AB">
        <w:rPr>
          <w:rFonts w:ascii="Book Antiqua" w:hAnsi="Book Antiqua"/>
          <w:sz w:val="20"/>
        </w:rPr>
        <w:t xml:space="preserve"> what happens in space, since ZPE strength is the same throughout the </w:t>
      </w:r>
      <w:r>
        <w:rPr>
          <w:rFonts w:ascii="Book Antiqua" w:hAnsi="Book Antiqua"/>
          <w:sz w:val="20"/>
        </w:rPr>
        <w:t>cosmos</w:t>
      </w:r>
      <w:r w:rsidRPr="007F73AB">
        <w:rPr>
          <w:rFonts w:ascii="Book Antiqua" w:hAnsi="Book Antiqua"/>
          <w:sz w:val="20"/>
        </w:rPr>
        <w:t xml:space="preserve"> at any one time</w:t>
      </w:r>
      <w:r>
        <w:rPr>
          <w:rFonts w:ascii="Book Antiqua" w:hAnsi="Book Antiqua"/>
          <w:sz w:val="20"/>
        </w:rPr>
        <w:t xml:space="preserve">, since the stretching of the fabric of space, which produced the ZPE, was uniform. </w:t>
      </w:r>
    </w:p>
    <w:p w:rsidR="00651826" w:rsidRPr="007F73AB" w:rsidRDefault="00651826"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69"/>
        <w:gridCol w:w="3581"/>
      </w:tblGrid>
      <w:tr w:rsidR="00EE535C" w:rsidRPr="007F73AB" w:rsidTr="000E32B9">
        <w:trPr>
          <w:trHeight w:val="3176"/>
          <w:jc w:val="center"/>
        </w:trPr>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1855854" cy="1855854"/>
                  <wp:effectExtent l="19050" t="0" r="0" b="0"/>
                  <wp:docPr id="76" name="il_fi" descr="http://www.spiritualliving.net/straw%20glass%20sma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iritualliving.net/straw%20glass%20smalll.jpg"/>
                          <pic:cNvPicPr>
                            <a:picLocks noChangeAspect="1" noChangeArrowheads="1"/>
                          </pic:cNvPicPr>
                        </pic:nvPicPr>
                        <pic:blipFill>
                          <a:blip r:embed="rId9" cstate="print"/>
                          <a:srcRect/>
                          <a:stretch>
                            <a:fillRect/>
                          </a:stretch>
                        </pic:blipFill>
                        <pic:spPr bwMode="auto">
                          <a:xfrm>
                            <a:off x="0" y="0"/>
                            <a:ext cx="1856743" cy="1856743"/>
                          </a:xfrm>
                          <a:prstGeom prst="rect">
                            <a:avLst/>
                          </a:prstGeom>
                          <a:noFill/>
                          <a:ln w="9525">
                            <a:noFill/>
                            <a:miter lim="800000"/>
                            <a:headEnd/>
                            <a:tailEnd/>
                          </a:ln>
                        </pic:spPr>
                      </pic:pic>
                    </a:graphicData>
                  </a:graphic>
                </wp:inline>
              </w:drawing>
            </w:r>
          </w:p>
        </w:tc>
        <w:tc>
          <w:tcPr>
            <w:tcW w:w="2628" w:type="dxa"/>
          </w:tcPr>
          <w:p w:rsidR="00EE535C" w:rsidRPr="007F73AB" w:rsidRDefault="00EE535C" w:rsidP="00A471B1">
            <w:pPr>
              <w:pStyle w:val="NoSpacing"/>
              <w:tabs>
                <w:tab w:val="center" w:pos="4706"/>
                <w:tab w:val="right" w:pos="9356"/>
              </w:tabs>
              <w:spacing w:after="240" w:line="200" w:lineRule="atLeast"/>
              <w:jc w:val="center"/>
              <w:rPr>
                <w:rFonts w:ascii="Book Antiqua" w:hAnsi="Book Antiqua"/>
                <w:i/>
                <w:noProof/>
                <w:sz w:val="20"/>
              </w:rPr>
            </w:pPr>
            <w:r w:rsidRPr="007F73AB">
              <w:rPr>
                <w:rFonts w:ascii="Book Antiqua" w:hAnsi="Book Antiqua"/>
                <w:i/>
                <w:noProof/>
                <w:sz w:val="20"/>
              </w:rPr>
              <w:drawing>
                <wp:inline distT="0" distB="0" distL="0" distR="0">
                  <wp:extent cx="2117111" cy="1858627"/>
                  <wp:effectExtent l="19050" t="0" r="0" b="0"/>
                  <wp:docPr id="75" name="il_fi" descr="http://sci-toys.com/scitoys/scitoys/light/permanent_rainbows/refra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i-toys.com/scitoys/scitoys/light/permanent_rainbows/refraction.gif"/>
                          <pic:cNvPicPr>
                            <a:picLocks noChangeAspect="1" noChangeArrowheads="1"/>
                          </pic:cNvPicPr>
                        </pic:nvPicPr>
                        <pic:blipFill>
                          <a:blip r:embed="rId10" cstate="print"/>
                          <a:srcRect r="20332"/>
                          <a:stretch>
                            <a:fillRect/>
                          </a:stretch>
                        </pic:blipFill>
                        <pic:spPr bwMode="auto">
                          <a:xfrm flipH="1">
                            <a:off x="0" y="0"/>
                            <a:ext cx="2123452" cy="1864194"/>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sz w:val="20"/>
        </w:rPr>
      </w:pPr>
    </w:p>
    <w:p w:rsidR="00EE535C" w:rsidRPr="00F479C6" w:rsidRDefault="00EE535C" w:rsidP="00A3114D">
      <w:pPr>
        <w:pStyle w:val="NoSpacing"/>
        <w:rPr>
          <w:rFonts w:ascii="Book Antiqua" w:hAnsi="Book Antiqua"/>
          <w:i/>
          <w:sz w:val="18"/>
          <w:szCs w:val="18"/>
        </w:rPr>
      </w:pPr>
      <w:r w:rsidRPr="00262DE1">
        <w:rPr>
          <w:rFonts w:ascii="Book Antiqua" w:hAnsi="Book Antiqua"/>
          <w:b/>
          <w:i/>
          <w:sz w:val="18"/>
          <w:szCs w:val="18"/>
        </w:rPr>
        <w:t>Figure 2:</w:t>
      </w:r>
      <w:r w:rsidRPr="00F479C6">
        <w:rPr>
          <w:rFonts w:ascii="Book Antiqua" w:hAnsi="Book Antiqua"/>
          <w:i/>
          <w:sz w:val="18"/>
          <w:szCs w:val="18"/>
        </w:rPr>
        <w:t xml:space="preserve"> Light is “bent” as it goes from air to water. The wavelengths crowd together in the denser medium (water) as they travel more slowly. In the diagram illustrating the wavefronts, the right side of the wavefront hits the water first and slows while the left side travels further at a faster speed bending the wave-front and causing them to ‘bunch up’ in the water.</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order to understand what is happening in space, then, it must first be noted that, as the photon travels through space and its speed declines, Maxwell’s equations demonstrate that the photon’s energy is maintained.  The photon’s energy is shown by its wavelength </w:t>
      </w:r>
      <w:r w:rsidR="00276CA2">
        <w:rPr>
          <w:rFonts w:ascii="Book Antiqua" w:hAnsi="Book Antiqua"/>
          <w:sz w:val="20"/>
        </w:rPr>
        <w:t>(</w:t>
      </w:r>
      <w:r w:rsidRPr="00276CA2">
        <w:rPr>
          <w:rFonts w:ascii="Book Antiqua" w:hAnsi="Book Antiqua"/>
          <w:sz w:val="20"/>
        </w:rPr>
        <w:t>which is its color</w:t>
      </w:r>
      <w:r w:rsidR="00276CA2">
        <w:rPr>
          <w:rFonts w:ascii="Book Antiqua" w:hAnsi="Book Antiqua"/>
          <w:sz w:val="20"/>
        </w:rPr>
        <w:t>)</w:t>
      </w:r>
      <w:r w:rsidRPr="007F73AB">
        <w:rPr>
          <w:rFonts w:ascii="Book Antiqua" w:hAnsi="Book Antiqua"/>
          <w:sz w:val="20"/>
        </w:rPr>
        <w:t>. If its energy is maintained, despite its speed, this means that the photon’s wavelength</w:t>
      </w:r>
      <w:r w:rsidR="00276CA2">
        <w:rPr>
          <w:rFonts w:ascii="Book Antiqua" w:hAnsi="Book Antiqua"/>
          <w:sz w:val="20"/>
        </w:rPr>
        <w:t>,</w:t>
      </w:r>
      <w:r w:rsidRPr="007F73AB">
        <w:rPr>
          <w:rFonts w:ascii="Book Antiqua" w:hAnsi="Book Antiqua"/>
          <w:sz w:val="20"/>
        </w:rPr>
        <w:t xml:space="preserve"> and hence its color</w:t>
      </w:r>
      <w:r w:rsidR="00276CA2">
        <w:rPr>
          <w:rFonts w:ascii="Book Antiqua" w:hAnsi="Book Antiqua"/>
          <w:sz w:val="20"/>
        </w:rPr>
        <w:t>,</w:t>
      </w:r>
      <w:r w:rsidRPr="007F73AB">
        <w:rPr>
          <w:rFonts w:ascii="Book Antiqua" w:hAnsi="Book Antiqua"/>
          <w:sz w:val="20"/>
        </w:rPr>
        <w:t xml:space="preserve"> remains unchanged.  (There is such a slight change of wavelength in the water when the straw is inserted that we don’t really see the change in color.)</w:t>
      </w:r>
    </w:p>
    <w:p w:rsidR="00EE535C" w:rsidRPr="007F73AB" w:rsidRDefault="00EE535C" w:rsidP="00EE535C">
      <w:pPr>
        <w:pStyle w:val="NoSpacing"/>
        <w:ind w:firstLine="720"/>
        <w:jc w:val="both"/>
        <w:rPr>
          <w:rFonts w:ascii="Book Antiqua" w:hAnsi="Book Antiqua"/>
          <w:sz w:val="20"/>
        </w:rPr>
      </w:pPr>
    </w:p>
    <w:p w:rsidR="006919E5" w:rsidRDefault="006919E5" w:rsidP="006919E5">
      <w:pPr>
        <w:pStyle w:val="NoSpacing"/>
        <w:ind w:firstLine="720"/>
        <w:jc w:val="both"/>
        <w:rPr>
          <w:rFonts w:ascii="Book Antiqua" w:hAnsi="Book Antiqua"/>
          <w:sz w:val="20"/>
        </w:rPr>
      </w:pPr>
      <w:r w:rsidRPr="007F73AB">
        <w:rPr>
          <w:rFonts w:ascii="Book Antiqua" w:hAnsi="Book Antiqua"/>
          <w:sz w:val="20"/>
        </w:rPr>
        <w:t xml:space="preserve">Instead, it is the photon’s frequency that changes in proportion to the speed. It is rather like a long series of freight cars being pulled by a locomotive that is slowing down (see Figure 3).  The size of the individual cars (the wavelength) does not change, but the number of cars passing the observer in a given amount of time (the frequency) </w:t>
      </w:r>
      <w:r w:rsidR="008372ED">
        <w:rPr>
          <w:rFonts w:ascii="Book Antiqua" w:hAnsi="Book Antiqua"/>
          <w:sz w:val="20"/>
        </w:rPr>
        <w:t>gets less</w:t>
      </w:r>
      <w:r w:rsidRPr="007F73AB">
        <w:rPr>
          <w:rFonts w:ascii="Book Antiqua" w:hAnsi="Book Antiqua"/>
          <w:sz w:val="20"/>
        </w:rPr>
        <w:t xml:space="preserve">.  </w:t>
      </w:r>
    </w:p>
    <w:p w:rsidR="00514AEC" w:rsidRDefault="00514AEC" w:rsidP="00EE535C">
      <w:pPr>
        <w:pStyle w:val="NoSpacing"/>
        <w:ind w:firstLine="720"/>
        <w:jc w:val="both"/>
        <w:rPr>
          <w:rFonts w:ascii="Book Antiqua" w:hAnsi="Book Antiqua"/>
          <w:sz w:val="20"/>
        </w:rPr>
      </w:pPr>
    </w:p>
    <w:p w:rsidR="006919E5" w:rsidRDefault="006919E5" w:rsidP="00276CA2">
      <w:pPr>
        <w:pStyle w:val="NoSpacing"/>
        <w:ind w:firstLine="720"/>
        <w:jc w:val="both"/>
        <w:rPr>
          <w:rFonts w:ascii="Book Antiqua" w:hAnsi="Book Antiqua"/>
          <w:sz w:val="20"/>
        </w:rPr>
      </w:pPr>
      <w:r w:rsidRPr="007F73AB">
        <w:rPr>
          <w:rFonts w:ascii="Book Antiqua" w:hAnsi="Book Antiqua"/>
          <w:sz w:val="20"/>
        </w:rPr>
        <w:t xml:space="preserve">Light from far distant </w:t>
      </w:r>
      <w:r w:rsidR="00276CA2">
        <w:rPr>
          <w:rFonts w:ascii="Book Antiqua" w:hAnsi="Book Antiqua"/>
          <w:sz w:val="20"/>
        </w:rPr>
        <w:t>objects behaves in the same way.</w:t>
      </w:r>
      <w:r w:rsidRPr="007F73AB">
        <w:rPr>
          <w:rFonts w:ascii="Book Antiqua" w:hAnsi="Book Antiqua"/>
          <w:sz w:val="20"/>
        </w:rPr>
        <w:t xml:space="preserve">  Because the ZPE is increasing homogeneously throughout the whole cosmos, then the whole long train of waves is slowing simultaneously. There is no difference in the medium in the path of the light ray. At any instant, the medium is uniform along the whole length of the ray. Therefore the horizontal distance</w:t>
      </w:r>
      <w:r w:rsidR="00276CA2">
        <w:rPr>
          <w:rFonts w:ascii="Book Antiqua" w:hAnsi="Book Antiqua"/>
          <w:sz w:val="20"/>
        </w:rPr>
        <w:t xml:space="preserve"> </w:t>
      </w:r>
      <w:r w:rsidRPr="007F73AB">
        <w:rPr>
          <w:rFonts w:ascii="Book Antiqua" w:hAnsi="Book Antiqua"/>
          <w:sz w:val="20"/>
        </w:rPr>
        <w:t>between the wave crests remains the same. Only the frequency, the number of waves passing a given point in a unit of time, will drop.</w:t>
      </w:r>
    </w:p>
    <w:p w:rsidR="006919E5" w:rsidRPr="007F73AB" w:rsidRDefault="006919E5"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cs="Arial"/>
          <w:sz w:val="18"/>
          <w:szCs w:val="18"/>
        </w:rPr>
      </w:pPr>
      <w:r w:rsidRPr="007F73AB">
        <w:rPr>
          <w:rFonts w:ascii="Book Antiqua" w:hAnsi="Book Antiqua" w:cs="Arial"/>
          <w:noProof/>
          <w:sz w:val="20"/>
        </w:rPr>
        <w:lastRenderedPageBreak/>
        <w:drawing>
          <wp:inline distT="0" distB="0" distL="0" distR="0">
            <wp:extent cx="3658085" cy="1874904"/>
            <wp:effectExtent l="19050" t="0" r="0" b="0"/>
            <wp:docPr id="113" name="il_fi" descr="http://www.taipeitimes.com/images/2012/09/06/thumbs/p15-12090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ipeitimes.com/images/2012/09/06/thumbs/p15-120906-a2.jpg"/>
                    <pic:cNvPicPr>
                      <a:picLocks noChangeAspect="1" noChangeArrowheads="1"/>
                    </pic:cNvPicPr>
                  </pic:nvPicPr>
                  <pic:blipFill>
                    <a:blip r:embed="rId11" cstate="print"/>
                    <a:srcRect t="7219" r="1333" b="16196"/>
                    <a:stretch>
                      <a:fillRect/>
                    </a:stretch>
                  </pic:blipFill>
                  <pic:spPr bwMode="auto">
                    <a:xfrm>
                      <a:off x="0" y="0"/>
                      <a:ext cx="3658085" cy="1874904"/>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cs="Arial"/>
          <w:sz w:val="18"/>
          <w:szCs w:val="18"/>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3:</w:t>
      </w:r>
      <w:r w:rsidRPr="00F479C6">
        <w:rPr>
          <w:rFonts w:ascii="Book Antiqua" w:hAnsi="Book Antiqua"/>
          <w:i/>
          <w:sz w:val="18"/>
          <w:szCs w:val="18"/>
        </w:rPr>
        <w:t xml:space="preserve"> A long train with cars of equal length. As it slows down, the number of cars passing an observer per second also drops in proportion. This is the frequency. However, the length of each car remains the same. This is like the wavelength of a beam of light traveling across the universe with increasing ZPE strength. The whole beam is slowing simultaneously so the wavelength remains unchanged, but the number of waves passing per second, (the frequency), drops.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space, through time, all the changes in </w:t>
      </w:r>
      <w:r w:rsidRPr="000E1FA4">
        <w:rPr>
          <w:rFonts w:ascii="Book Antiqua" w:hAnsi="Book Antiqua"/>
          <w:sz w:val="20"/>
        </w:rPr>
        <w:t>the ZPE occur</w:t>
      </w:r>
      <w:r w:rsidRPr="007F73AB">
        <w:rPr>
          <w:rFonts w:ascii="Book Antiqua" w:hAnsi="Book Antiqua"/>
          <w:sz w:val="20"/>
        </w:rPr>
        <w:t xml:space="preserve"> simultaneously throughout all of the cosmos, so that different mediums and hence different velocities are not present at the same time.  Even extremely long wave-trains, such as those from distant quasars, are slowing simultaneously throughout the cosmos</w:t>
      </w:r>
      <w:r w:rsidRPr="007F73AB">
        <w:rPr>
          <w:rFonts w:ascii="Book Antiqua" w:hAnsi="Book Antiqua"/>
          <w:b/>
          <w:sz w:val="20"/>
        </w:rPr>
        <w:t xml:space="preserve"> </w:t>
      </w:r>
      <w:r w:rsidRPr="007F73AB">
        <w:rPr>
          <w:rFonts w:ascii="Book Antiqua" w:hAnsi="Book Antiqua"/>
          <w:sz w:val="20"/>
        </w:rPr>
        <w:t>so there is no bunching up effect. Just as the cars on the freight train are not changing their length as the train slows, there is no refracting or bending of light with changes in the Zero Point Energy.</w:t>
      </w:r>
      <w:r w:rsidR="00BD5931" w:rsidRPr="00BD5931">
        <w:rPr>
          <w:rFonts w:ascii="Book Antiqua" w:hAnsi="Book Antiqua"/>
          <w:sz w:val="20"/>
        </w:rPr>
        <w:t xml:space="preserve"> </w:t>
      </w:r>
      <w:r w:rsidR="00BD5931">
        <w:rPr>
          <w:rFonts w:ascii="Book Antiqua" w:hAnsi="Book Antiqua"/>
          <w:sz w:val="20"/>
        </w:rPr>
        <w:t>(Note:  to avoid apparent contradiction, a local increase in ZPE strength does occur around massive bodies. It is because of this increase in ZPE strength locally that light rays are ‘bent’ in gravitational fields. This is discussed fully in the context of mass and gravitation in Chapter 4 and for relativity</w:t>
      </w:r>
      <w:r w:rsidR="002E6622">
        <w:rPr>
          <w:rFonts w:ascii="Book Antiqua" w:hAnsi="Book Antiqua"/>
          <w:sz w:val="20"/>
        </w:rPr>
        <w:t xml:space="preserve"> theory</w:t>
      </w:r>
      <w:r w:rsidR="00BD5931">
        <w:rPr>
          <w:rFonts w:ascii="Book Antiqua" w:hAnsi="Book Antiqua"/>
          <w:sz w:val="20"/>
        </w:rPr>
        <w:t xml:space="preserve"> in Chapter 7</w:t>
      </w:r>
      <w:r w:rsidR="00E8509C">
        <w:rPr>
          <w:rFonts w:ascii="Book Antiqua" w:hAnsi="Book Antiqua"/>
          <w:sz w:val="20"/>
        </w:rPr>
        <w:t>)</w:t>
      </w:r>
      <w:r w:rsidR="002E6622">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415F0E" w:rsidRDefault="00EE535C" w:rsidP="00EE535C">
      <w:pPr>
        <w:pStyle w:val="NoSpacing"/>
        <w:numPr>
          <w:ilvl w:val="0"/>
          <w:numId w:val="3"/>
        </w:numPr>
        <w:jc w:val="both"/>
        <w:rPr>
          <w:rFonts w:ascii="Book Antiqua" w:hAnsi="Book Antiqua"/>
          <w:b/>
          <w:sz w:val="20"/>
        </w:rPr>
      </w:pPr>
      <w:r w:rsidRPr="00415F0E">
        <w:rPr>
          <w:rFonts w:ascii="Book Antiqua" w:hAnsi="Book Antiqua"/>
          <w:b/>
          <w:sz w:val="20"/>
        </w:rPr>
        <w:t>The ZPE and Planck’s Constant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According to Planck’s 1911 analysis, the strength of the Zero Point Energy is measured by what is now called Planck’s constant</w:t>
      </w:r>
      <w:proofErr w:type="gramStart"/>
      <w:r w:rsidRPr="007F73AB">
        <w:rPr>
          <w:rFonts w:ascii="Book Antiqua" w:hAnsi="Book Antiqua"/>
          <w:sz w:val="20"/>
        </w:rPr>
        <w:t xml:space="preserve">, </w:t>
      </w:r>
      <m:oMath>
        <w:proofErr w:type="gramEnd"/>
        <m:r>
          <w:rPr>
            <w:rFonts w:ascii="Cambria Math" w:hAnsi="Cambria Math"/>
            <w:sz w:val="18"/>
            <w:szCs w:val="18"/>
          </w:rPr>
          <m:t>h</m:t>
        </m:r>
      </m:oMath>
      <w:r w:rsidRPr="007F73AB">
        <w:rPr>
          <w:rFonts w:ascii="Book Antiqua" w:hAnsi="Book Antiqua"/>
          <w:sz w:val="20"/>
        </w:rPr>
        <w:t xml:space="preserve">. The greater the ZPE strength, the higher is the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xml:space="preserve">; the less the ZPE strength, the lower is the value of </w:t>
      </w:r>
      <m:oMath>
        <m:r>
          <w:rPr>
            <w:rFonts w:ascii="Cambria Math" w:hAnsi="Cambria Math"/>
            <w:sz w:val="18"/>
            <w:szCs w:val="18"/>
          </w:rPr>
          <m:t>h</m:t>
        </m:r>
      </m:oMath>
      <w:r w:rsidRPr="007F73AB">
        <w:rPr>
          <w:rFonts w:ascii="Book Antiqua" w:hAnsi="Book Antiqua"/>
          <w:sz w:val="20"/>
        </w:rPr>
        <w:t xml:space="preserve">.  </w:t>
      </w:r>
      <w:r w:rsidR="00415F0E">
        <w:rPr>
          <w:rFonts w:ascii="Book Antiqua" w:hAnsi="Book Antiqua"/>
          <w:sz w:val="20"/>
        </w:rPr>
        <w:t>Because of this,</w:t>
      </w:r>
      <w:r w:rsidRPr="007F73AB">
        <w:rPr>
          <w:rFonts w:ascii="Book Antiqua" w:hAnsi="Book Antiqua"/>
          <w:sz w:val="20"/>
        </w:rPr>
        <w:t xml:space="preserve"> </w:t>
      </w:r>
      <m:oMath>
        <m:r>
          <w:rPr>
            <w:rFonts w:ascii="Cambria Math" w:hAnsi="Cambria Math"/>
            <w:sz w:val="18"/>
            <w:szCs w:val="18"/>
          </w:rPr>
          <m:t>h</m:t>
        </m:r>
      </m:oMath>
      <w:r w:rsidRPr="007F73AB">
        <w:rPr>
          <w:rFonts w:ascii="Book Antiqua" w:hAnsi="Book Antiqua"/>
          <w:sz w:val="20"/>
        </w:rPr>
        <w:t xml:space="preserve"> is a measure of quantum uncertainty, which depends on the ZPE </w:t>
      </w:r>
      <w:proofErr w:type="gramStart"/>
      <w:r w:rsidRPr="007F73AB">
        <w:rPr>
          <w:rFonts w:ascii="Book Antiqua" w:hAnsi="Book Antiqua"/>
          <w:sz w:val="20"/>
        </w:rPr>
        <w:t>strength.</w:t>
      </w:r>
      <w:proofErr w:type="gramEnd"/>
      <w:r w:rsidRPr="007F73AB">
        <w:rPr>
          <w:rFonts w:ascii="Book Antiqua" w:hAnsi="Book Antiqua"/>
          <w:sz w:val="20"/>
        </w:rPr>
        <w:t xml:space="preserve">  Because </w:t>
      </w:r>
      <m:oMath>
        <m:r>
          <w:rPr>
            <w:rFonts w:ascii="Cambria Math" w:hAnsi="Cambria Math"/>
            <w:sz w:val="18"/>
            <w:szCs w:val="18"/>
          </w:rPr>
          <m:t>h</m:t>
        </m:r>
      </m:oMath>
      <w:r w:rsidRPr="007F73AB">
        <w:rPr>
          <w:rFonts w:ascii="Book Antiqua" w:hAnsi="Book Antiqua"/>
          <w:sz w:val="20"/>
        </w:rPr>
        <w:t xml:space="preserve"> is a measure of the ZPE, and the speed of light drops in inverse proportion as the ZPE increases, Planck’s constant, </w:t>
      </w:r>
      <m:oMath>
        <m:r>
          <w:rPr>
            <w:rFonts w:ascii="Book Antiqua" w:hAnsi="Cambria Math"/>
            <w:sz w:val="18"/>
            <w:szCs w:val="18"/>
          </w:rPr>
          <m:t>h</m:t>
        </m:r>
      </m:oMath>
      <w:r w:rsidRPr="007F73AB">
        <w:rPr>
          <w:rFonts w:ascii="Book Antiqua" w:hAnsi="Book Antiqua"/>
          <w:sz w:val="20"/>
        </w:rPr>
        <w:t xml:space="preserve">, multiplied by the speed of light </w:t>
      </w:r>
      <m:oMath>
        <m:r>
          <w:rPr>
            <w:rFonts w:ascii="Cambria Math" w:hAnsi="Cambria Math"/>
            <w:sz w:val="18"/>
            <w:szCs w:val="18"/>
          </w:rPr>
          <m:t>c</m:t>
        </m:r>
      </m:oMath>
      <w:r w:rsidRPr="007F73AB">
        <w:rPr>
          <w:rFonts w:ascii="Book Antiqua" w:hAnsi="Book Antiqua"/>
          <w:sz w:val="20"/>
        </w:rPr>
        <w:t>, is always an absolute constant. A simple example can be shown with the number “</w:t>
      </w:r>
      <m:oMath>
        <m:r>
          <w:rPr>
            <w:rFonts w:ascii="Cambria Math" w:hAnsi="Book Antiqua"/>
            <w:sz w:val="18"/>
            <w:szCs w:val="18"/>
          </w:rPr>
          <m:t>12</m:t>
        </m:r>
      </m:oMath>
      <w:r w:rsidRPr="007F73AB">
        <w:rPr>
          <w:rFonts w:ascii="Book Antiqua" w:hAnsi="Book Antiqua"/>
          <w:sz w:val="20"/>
        </w:rPr>
        <w:t xml:space="preserve">.”  The total of </w:t>
      </w:r>
      <m:oMath>
        <m:r>
          <w:rPr>
            <w:rFonts w:ascii="Cambria Math" w:hAnsi="Book Antiqua"/>
            <w:sz w:val="18"/>
            <w:szCs w:val="18"/>
          </w:rPr>
          <m:t>12</m:t>
        </m:r>
      </m:oMath>
      <w:r w:rsidRPr="007F73AB">
        <w:rPr>
          <w:rFonts w:ascii="Book Antiqua" w:hAnsi="Book Antiqua"/>
          <w:sz w:val="20"/>
        </w:rPr>
        <w:t xml:space="preserve"> will remain constant whether we get there </w:t>
      </w:r>
      <w:proofErr w:type="gramStart"/>
      <w:r w:rsidRPr="007F73AB">
        <w:rPr>
          <w:rFonts w:ascii="Book Antiqua" w:hAnsi="Book Antiqua"/>
          <w:sz w:val="20"/>
        </w:rPr>
        <w:t xml:space="preserve">by </w:t>
      </w:r>
      <m:oMath>
        <w:proofErr w:type="gramEnd"/>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7F73AB">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7F73AB">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7F73AB">
        <w:rPr>
          <w:rFonts w:ascii="Book Antiqua" w:hAnsi="Book Antiqua"/>
          <w:sz w:val="20"/>
        </w:rPr>
        <w:t xml:space="preserve">.  </w:t>
      </w:r>
      <w:proofErr w:type="gramStart"/>
      <w:r w:rsidRPr="007F73AB">
        <w:rPr>
          <w:rFonts w:ascii="Book Antiqua" w:hAnsi="Book Antiqua"/>
          <w:sz w:val="20"/>
        </w:rPr>
        <w:t xml:space="preserve">In the same way,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can remain constant if </w:t>
      </w:r>
      <m:oMath>
        <m:r>
          <w:rPr>
            <w:rFonts w:ascii="Book Antiqua" w:hAnsi="Cambria Math"/>
            <w:sz w:val="18"/>
            <w:szCs w:val="18"/>
          </w:rPr>
          <m:t>h</m:t>
        </m:r>
      </m:oMath>
      <w:r w:rsidRPr="007F73AB">
        <w:rPr>
          <w:rFonts w:ascii="Book Antiqua" w:hAnsi="Book Antiqua"/>
          <w:sz w:val="20"/>
        </w:rPr>
        <w:t xml:space="preserve"> increases at the same time</w:t>
      </w:r>
      <w:r w:rsidR="006919E5">
        <w:rPr>
          <w:rFonts w:ascii="Book Antiqua" w:hAnsi="Book Antiqua"/>
          <w:sz w:val="20"/>
        </w:rPr>
        <w:t xml:space="preserve"> that</w:t>
      </w:r>
      <w:r w:rsidRPr="007F73AB">
        <w:rPr>
          <w:rFonts w:ascii="Book Antiqua" w:hAnsi="Book Antiqua"/>
          <w:sz w:val="20"/>
        </w:rPr>
        <w:t xml:space="preserve"> </w:t>
      </w:r>
      <m:oMath>
        <m:r>
          <w:rPr>
            <w:rFonts w:ascii="Cambria Math" w:hAnsi="Cambria Math"/>
            <w:sz w:val="18"/>
            <w:szCs w:val="18"/>
          </w:rPr>
          <m:t>c</m:t>
        </m:r>
      </m:oMath>
      <w:r w:rsidRPr="007F73AB">
        <w:rPr>
          <w:rFonts w:ascii="Book Antiqua" w:hAnsi="Book Antiqua"/>
          <w:sz w:val="20"/>
        </w:rPr>
        <w:t xml:space="preserve"> decreases, or vice versa.</w:t>
      </w:r>
      <w:proofErr w:type="gramEnd"/>
      <w:r w:rsidRPr="007F73AB">
        <w:rPr>
          <w:rFonts w:ascii="Book Antiqua" w:hAnsi="Book Antiqua"/>
          <w:sz w:val="20"/>
        </w:rPr>
        <w:t xml:space="preserve"> In other words, </w:t>
      </w:r>
      <m:oMath>
        <m:r>
          <w:rPr>
            <w:rFonts w:ascii="Book Antiqua" w:hAnsi="Cambria Math"/>
            <w:sz w:val="18"/>
            <w:szCs w:val="18"/>
          </w:rPr>
          <m:t>h</m:t>
        </m:r>
      </m:oMath>
      <w:r w:rsidRPr="007F73AB">
        <w:rPr>
          <w:rFonts w:ascii="Book Antiqua" w:hAnsi="Book Antiqua"/>
          <w:sz w:val="20"/>
        </w:rPr>
        <w:t xml:space="preserve"> is proportional to </w:t>
      </w:r>
      <m:oMath>
        <m:r>
          <w:rPr>
            <w:rFonts w:ascii="Cambria Math" w:hAnsi="Book Antiqua"/>
            <w:sz w:val="18"/>
            <w:szCs w:val="18"/>
          </w:rPr>
          <m:t>1/</m:t>
        </m:r>
        <m:r>
          <w:rPr>
            <w:rFonts w:ascii="Cambria Math" w:hAnsi="Cambria Math"/>
            <w:sz w:val="18"/>
            <w:szCs w:val="18"/>
          </w:rPr>
          <m:t>c</m:t>
        </m:r>
        <m:r>
          <w:rPr>
            <w:rFonts w:ascii="Cambria Math" w:hAnsi="Book Antiqua"/>
            <w:sz w:val="18"/>
            <w:szCs w:val="18"/>
          </w:rPr>
          <m:t xml:space="preserve"> </m:t>
        </m:r>
      </m:oMath>
      <w:r w:rsidRPr="007F73AB">
        <w:rPr>
          <w:rFonts w:ascii="Book Antiqua" w:hAnsi="Book Antiqua"/>
          <w:sz w:val="20"/>
        </w:rPr>
        <w:t xml:space="preserve">or </w:t>
      </w:r>
      <m:oMath>
        <m:r>
          <w:rPr>
            <w:rFonts w:ascii="Cambria Math" w:hAnsi="Cambria Math"/>
            <w:sz w:val="18"/>
            <w:szCs w:val="18"/>
          </w:rPr>
          <m:t>c</m:t>
        </m:r>
      </m:oMath>
      <w:r w:rsidRPr="007F73AB">
        <w:rPr>
          <w:rFonts w:ascii="Book Antiqua" w:hAnsi="Book Antiqua"/>
          <w:sz w:val="20"/>
        </w:rPr>
        <w:t xml:space="preserve"> is proportional </w:t>
      </w:r>
      <w:proofErr w:type="gramStart"/>
      <w:r w:rsidRPr="007F73AB">
        <w:rPr>
          <w:rFonts w:ascii="Book Antiqua" w:hAnsi="Book Antiqua"/>
          <w:sz w:val="20"/>
        </w:rPr>
        <w:t>to</w:t>
      </w:r>
      <w:r w:rsidR="00205A99">
        <w:rPr>
          <w:rFonts w:ascii="Book Antiqua" w:hAnsi="Book Antiqua"/>
          <w:sz w:val="20"/>
        </w:rPr>
        <w:t xml:space="preserve"> </w:t>
      </w:r>
      <m:oMath>
        <w:proofErr w:type="gramEnd"/>
        <m:r>
          <w:rPr>
            <w:rFonts w:ascii="Cambria Math" w:hAnsi="Book Antiqua"/>
            <w:sz w:val="18"/>
            <w:szCs w:val="18"/>
          </w:rPr>
          <m:t>1/</m:t>
        </m:r>
        <m:r>
          <w:rPr>
            <w:rFonts w:ascii="Cambria Math" w:hAnsi="Cambria Math"/>
            <w:sz w:val="18"/>
            <w:szCs w:val="18"/>
          </w:rPr>
          <m:t>h</m:t>
        </m:r>
      </m:oMath>
      <w:r w:rsidRPr="007F73AB">
        <w:rPr>
          <w:rFonts w:ascii="Book Antiqua" w:hAnsi="Book Antiqua"/>
          <w:sz w:val="20"/>
        </w:rPr>
        <w:t>. This conclusion is supported by observations out to the furthest reaches of space with an accuracy of parts per million.</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has implications for studies into the behavior of something called “the fine structure constant.”  The fine structure constant, called Alpha, </w:t>
      </w:r>
      <w:proofErr w:type="gramStart"/>
      <w:r w:rsidRPr="007F73AB">
        <w:rPr>
          <w:rFonts w:ascii="Book Antiqua" w:hAnsi="Book Antiqua"/>
          <w:sz w:val="20"/>
        </w:rPr>
        <w:t xml:space="preserve">or </w:t>
      </w:r>
      <m:oMath>
        <w:proofErr w:type="gramEnd"/>
        <m:r>
          <w:rPr>
            <w:rFonts w:ascii="Cambria Math" w:hAnsi="Cambria Math"/>
            <w:sz w:val="18"/>
            <w:szCs w:val="18"/>
          </w:rPr>
          <m:t>α</m:t>
        </m:r>
      </m:oMath>
      <w:r w:rsidRPr="007F73AB">
        <w:rPr>
          <w:rFonts w:ascii="Book Antiqua" w:hAnsi="Book Antiqua"/>
          <w:sz w:val="20"/>
        </w:rPr>
        <w:t xml:space="preserve">, is used in relation to the measurement of the wavelengths of light put out by the atoms of different elements. This constant contains the product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as part of its formulation. The fine structure constant has been examined recently by John Webb and others to see if the speed of light has changed [5]. Unfortunately, those doing the examination have adopted what is called a minimalist position in which only one constant in the group is considered to vary. They then look at the product</w:t>
      </w:r>
      <m:oMath>
        <m:r>
          <w:rPr>
            <w:rFonts w:ascii="Cambria Math" w:hAnsi="Book Antiqua"/>
            <w:sz w:val="18"/>
            <w:szCs w:val="18"/>
          </w:rPr>
          <m:t xml:space="preserve"> </m:t>
        </m:r>
        <m:r>
          <w:rPr>
            <w:rFonts w:ascii="Cambria Math" w:hAnsi="Cambria Math"/>
            <w:sz w:val="18"/>
            <w:szCs w:val="18"/>
          </w:rPr>
          <m:t>hc</m:t>
        </m:r>
      </m:oMath>
      <w:r w:rsidRPr="007F73AB">
        <w:rPr>
          <w:rFonts w:ascii="Book Antiqua" w:hAnsi="Book Antiqua"/>
          <w:sz w:val="20"/>
        </w:rPr>
        <w:t xml:space="preserve">, and, because that has remained constant over astronomical time, the claim is made that the speed of light has not changed. </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What this ZPE research has shown is that quantities like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and the fine structure constant can themselves be invariant while, at the same time, their component parts may vary synchronously. Wesson was aware of just such a possibility. He wrote: </w:t>
      </w:r>
      <w:r w:rsidRPr="007F73AB">
        <w:rPr>
          <w:rFonts w:ascii="Book Antiqua" w:hAnsi="Book Antiqua"/>
          <w:i/>
          <w:sz w:val="20"/>
        </w:rPr>
        <w:t xml:space="preserve">"It is conceivable that the dimensionless numbers ... could be absolute constants, while the component parameters comprising them are variable. The possibility of such a conspiracy between the dimensional numbers was recognised by </w:t>
      </w:r>
      <w:r w:rsidRPr="007F73AB">
        <w:rPr>
          <w:rFonts w:ascii="Book Antiqua" w:hAnsi="Book Antiqua"/>
          <w:i/>
          <w:sz w:val="20"/>
        </w:rPr>
        <w:lastRenderedPageBreak/>
        <w:t xml:space="preserve">Dirac (see Harwit 1971)." </w:t>
      </w:r>
      <w:r w:rsidRPr="007F73AB">
        <w:rPr>
          <w:rFonts w:ascii="Book Antiqua" w:hAnsi="Book Antiqua"/>
          <w:sz w:val="20"/>
        </w:rPr>
        <w:t>[6]</w:t>
      </w:r>
      <w:r w:rsidRPr="007F73AB">
        <w:rPr>
          <w:rFonts w:ascii="Book Antiqua" w:hAnsi="Book Antiqua"/>
          <w:i/>
          <w:sz w:val="20"/>
        </w:rPr>
        <w:t xml:space="preserve"> </w:t>
      </w:r>
      <w:r w:rsidRPr="007F73AB">
        <w:rPr>
          <w:rFonts w:ascii="Book Antiqua" w:hAnsi="Book Antiqua"/>
          <w:sz w:val="20"/>
        </w:rPr>
        <w:t>Thus Paul Dirac, Martin Harwit and Paul Wesson have each recognized this possibility</w:t>
      </w:r>
      <w:r w:rsidR="00415F0E">
        <w:rPr>
          <w:rFonts w:ascii="Book Antiqua" w:hAnsi="Book Antiqua"/>
          <w:sz w:val="20"/>
        </w:rPr>
        <w:t>,</w:t>
      </w:r>
      <w:r w:rsidRPr="007F73AB">
        <w:rPr>
          <w:rFonts w:ascii="Book Antiqua" w:hAnsi="Book Antiqua"/>
          <w:sz w:val="20"/>
        </w:rPr>
        <w:t xml:space="preserve"> which has been ignored by many current researchers.</w:t>
      </w:r>
    </w:p>
    <w:p w:rsidR="00F06132" w:rsidRPr="007F73AB" w:rsidRDefault="00F06132"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Energy and Subatomic Masses</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The Zero Point Energy also controls the mass of sub-atomic particles. This is discussed in Chapter 4. Subatomic particles are usually assumed to be charges without mass, and that some mechanism is needed to impart mass to them. It is for this purpose that the Higgs boson was postulated to exist. The energy from a cloud of Higgs bosons around each particle is supposed to impart mass to the particle on the basis of the equation </w:t>
      </w:r>
      <w:r w:rsidRPr="007F73AB">
        <w:rPr>
          <w:rFonts w:ascii="Book Antiqua" w:hAnsi="Book Antiqua"/>
          <w:i/>
          <w:sz w:val="20"/>
        </w:rPr>
        <w:t>E = mc</w:t>
      </w:r>
      <w:r w:rsidRPr="007F73AB">
        <w:rPr>
          <w:rFonts w:ascii="Book Antiqua" w:hAnsi="Book Antiqua"/>
          <w:i/>
          <w:sz w:val="20"/>
          <w:vertAlign w:val="superscript"/>
        </w:rPr>
        <w:t>2</w:t>
      </w:r>
      <w:r w:rsidRPr="007F73AB">
        <w:rPr>
          <w:rFonts w:ascii="Book Antiqua" w:hAnsi="Book Antiqua"/>
          <w:sz w:val="20"/>
        </w:rPr>
        <w:t>.</w:t>
      </w:r>
      <w:r w:rsidRPr="007F73AB">
        <w:rPr>
          <w:rFonts w:ascii="Book Antiqua" w:hAnsi="Book Antiqua"/>
          <w:sz w:val="20"/>
          <w:vertAlign w:val="superscript"/>
        </w:rPr>
        <w:t xml:space="preserve"> </w:t>
      </w:r>
      <w:r w:rsidRPr="007F73AB">
        <w:rPr>
          <w:rFonts w:ascii="Book Antiqua" w:hAnsi="Book Antiqua"/>
          <w:sz w:val="20"/>
        </w:rPr>
        <w:t>This, however, depends on how well these hypothesized Higgs bosons “stick” to the particle. But, as Wilczek, of the Massachusetts Institute of Technology, points out, nobody knows what governs the amount of “sticking” [7]. Although scientists at the CERN facility announced the discovery of a “Higgs-like particle,” on 4 July, 2012, there are some lingering doubts as to whether it does what the theoretical model wants it to</w:t>
      </w:r>
      <w:r w:rsidR="008534F5">
        <w:rPr>
          <w:rFonts w:ascii="Book Antiqua" w:hAnsi="Book Antiqua"/>
          <w:sz w:val="20"/>
        </w:rPr>
        <w:t xml:space="preserve"> do</w:t>
      </w:r>
      <w:r w:rsidRPr="007F73AB">
        <w:rPr>
          <w:rFonts w:ascii="Book Antiqua" w:hAnsi="Book Antiqua"/>
          <w:sz w:val="20"/>
        </w:rPr>
        <w:t xml:space="preserve"> [8].</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415F0E">
        <w:rPr>
          <w:rFonts w:ascii="Book Antiqua" w:hAnsi="Book Antiqua"/>
          <w:sz w:val="20"/>
        </w:rPr>
        <w:t xml:space="preserve">Whether or not </w:t>
      </w:r>
      <w:r w:rsidRPr="007F73AB">
        <w:rPr>
          <w:rFonts w:ascii="Book Antiqua" w:hAnsi="Book Antiqua"/>
          <w:sz w:val="20"/>
        </w:rPr>
        <w:t>the Higgs boson</w:t>
      </w:r>
      <w:r w:rsidR="00415F0E">
        <w:rPr>
          <w:rFonts w:ascii="Book Antiqua" w:hAnsi="Book Antiqua"/>
          <w:sz w:val="20"/>
        </w:rPr>
        <w:t xml:space="preserve"> even exists, SED physics does not need it to impart mass since it acknowledges the reality of the Zero Point Energy.   </w:t>
      </w:r>
      <w:r w:rsidRPr="007F73AB">
        <w:rPr>
          <w:rFonts w:ascii="Book Antiqua" w:hAnsi="Book Antiqua"/>
          <w:sz w:val="20"/>
        </w:rPr>
        <w:t>According to SED physics, the random battering of the ZPE waves imparts motion to the point charges that make up the various subatomic particles. This motion is a kinetic energy</w:t>
      </w:r>
      <w:r w:rsidR="00415F0E">
        <w:rPr>
          <w:rFonts w:ascii="Book Antiqua" w:hAnsi="Book Antiqua"/>
          <w:sz w:val="20"/>
        </w:rPr>
        <w:t>.</w:t>
      </w:r>
      <w:r w:rsidRPr="007F73AB">
        <w:rPr>
          <w:rFonts w:ascii="Book Antiqua" w:hAnsi="Book Antiqua"/>
          <w:sz w:val="20"/>
        </w:rPr>
        <w:t xml:space="preserve"> </w:t>
      </w:r>
      <w:r w:rsidR="00415F0E">
        <w:rPr>
          <w:rFonts w:ascii="Book Antiqua" w:hAnsi="Book Antiqua"/>
          <w:sz w:val="20"/>
        </w:rPr>
        <w:t>As</w:t>
      </w:r>
      <w:r w:rsidRPr="007F73AB">
        <w:rPr>
          <w:rFonts w:ascii="Book Antiqua" w:hAnsi="Book Antiqua"/>
          <w:sz w:val="20"/>
        </w:rPr>
        <w:t xml:space="preserve"> expressed by the famous </w:t>
      </w:r>
      <w:r w:rsidRPr="007F73AB">
        <w:rPr>
          <w:rFonts w:ascii="Book Antiqua" w:hAnsi="Book Antiqua"/>
          <w:i/>
          <w:sz w:val="20"/>
        </w:rPr>
        <w:t xml:space="preserve">E = </w:t>
      </w:r>
      <w:proofErr w:type="gramStart"/>
      <w:r w:rsidRPr="007F73AB">
        <w:rPr>
          <w:rFonts w:ascii="Book Antiqua" w:hAnsi="Book Antiqua"/>
          <w:i/>
          <w:sz w:val="20"/>
        </w:rPr>
        <w:t>mc</w:t>
      </w:r>
      <w:r w:rsidRPr="007F73AB">
        <w:rPr>
          <w:rFonts w:ascii="Book Antiqua" w:hAnsi="Book Antiqua"/>
          <w:i/>
          <w:sz w:val="20"/>
          <w:vertAlign w:val="superscript"/>
        </w:rPr>
        <w:t xml:space="preserve">2 </w:t>
      </w:r>
      <w:r w:rsidRPr="007F73AB">
        <w:rPr>
          <w:rFonts w:ascii="Book Antiqua" w:hAnsi="Book Antiqua"/>
          <w:sz w:val="20"/>
        </w:rPr>
        <w:t>,</w:t>
      </w:r>
      <w:proofErr w:type="gramEnd"/>
      <w:r w:rsidRPr="007F73AB">
        <w:rPr>
          <w:rFonts w:ascii="Book Antiqua" w:hAnsi="Book Antiqua"/>
          <w:sz w:val="20"/>
        </w:rPr>
        <w:t xml:space="preserve"> energy and mass are interconvertible.  It is this energy, then, which gives subatomic particles their mass. This has been quantified by Haisch, Rueda and Puthoff in a series of papers [9]. It therefore follows that if the ZPE strength increases, so, too does the rest-mass of all subatomic particles. The formula that emerges from the mathematical treatment of this phenomenon shows that the atomic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xml:space="preserve">, is proportional to the square of the ZPE strength, which is the same as the inverse square of the speed of light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This means that </w:t>
      </w:r>
      <m:oMath>
        <m:sSup>
          <m:sSupPr>
            <m:ctrlPr>
              <w:rPr>
                <w:rFonts w:ascii="Cambria Math" w:hAnsi="Book Antiqua"/>
                <w:i/>
                <w:sz w:val="18"/>
                <w:szCs w:val="18"/>
              </w:rPr>
            </m:ctrlPr>
          </m:sSupPr>
          <m:e>
            <m:r>
              <w:rPr>
                <w:rFonts w:ascii="Cambria Math" w:hAnsi="Cambria Math"/>
                <w:sz w:val="18"/>
                <w:szCs w:val="18"/>
              </w:rPr>
              <m:t>mc</m:t>
            </m:r>
          </m:e>
          <m:sup>
            <m:r>
              <w:rPr>
                <w:rFonts w:ascii="Cambria Math" w:hAnsi="Book Antiqua"/>
                <w:sz w:val="18"/>
                <w:szCs w:val="18"/>
              </w:rPr>
              <m:t>2</m:t>
            </m:r>
          </m:sup>
        </m:sSup>
      </m:oMath>
      <w:r w:rsidRPr="007F73AB">
        <w:rPr>
          <w:rFonts w:ascii="Book Antiqua" w:hAnsi="Book Antiqua"/>
          <w:sz w:val="20"/>
        </w:rPr>
        <w:t xml:space="preserve"> </w:t>
      </w:r>
      <w:r w:rsidR="00E84F17">
        <w:rPr>
          <w:rFonts w:ascii="Book Antiqua" w:hAnsi="Book Antiqua"/>
          <w:sz w:val="20"/>
        </w:rPr>
        <w:t xml:space="preserve">(and, therefore, energy itself) </w:t>
      </w:r>
      <w:r w:rsidRPr="007F73AB">
        <w:rPr>
          <w:rFonts w:ascii="Book Antiqua" w:hAnsi="Book Antiqua"/>
          <w:sz w:val="20"/>
        </w:rPr>
        <w:t xml:space="preserve">is a constant in the same way that </w:t>
      </w:r>
      <m:oMath>
        <m:r>
          <w:rPr>
            <w:rFonts w:ascii="Book Antiqua" w:hAnsi="Cambria Math"/>
            <w:sz w:val="18"/>
            <w:szCs w:val="18"/>
          </w:rPr>
          <m:t>h</m:t>
        </m:r>
        <m:r>
          <w:rPr>
            <w:rFonts w:ascii="Cambria Math" w:hAnsi="Cambria Math"/>
            <w:sz w:val="18"/>
            <w:szCs w:val="18"/>
          </w:rPr>
          <m:t>c</m:t>
        </m:r>
      </m:oMath>
      <w:r w:rsidRPr="007F73AB">
        <w:rPr>
          <w:rFonts w:ascii="Book Antiqua" w:hAnsi="Book Antiqua"/>
          <w:sz w:val="20"/>
        </w:rPr>
        <w:t xml:space="preserve"> is a constant even if the ZPE strength is changing.</w:t>
      </w:r>
    </w:p>
    <w:p w:rsidR="00EE535C" w:rsidRPr="007F73AB" w:rsidRDefault="00EE535C" w:rsidP="00EE535C">
      <w:pPr>
        <w:pStyle w:val="NoSpacing"/>
        <w:ind w:firstLine="720"/>
        <w:jc w:val="both"/>
        <w:rPr>
          <w:rFonts w:ascii="Book Antiqua" w:hAnsi="Book Antiqua"/>
          <w:sz w:val="20"/>
        </w:rPr>
      </w:pPr>
    </w:p>
    <w:p w:rsidR="00E84F17"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can now be applied to electrons in orbits and nucleons in orbitals. The ZPE approach indicates the kinetic energy of all of these particles is conserved. The kinetic energy of these particles is given by </w:t>
      </w:r>
      <m:oMath>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xml:space="preserve"> where </w:t>
      </w:r>
      <m:oMath>
        <m:r>
          <w:rPr>
            <w:rFonts w:ascii="Cambria Math" w:hAnsi="Cambria Math"/>
            <w:sz w:val="18"/>
            <w:szCs w:val="18"/>
          </w:rPr>
          <m:t>v</m:t>
        </m:r>
        <m:r>
          <w:rPr>
            <w:rFonts w:ascii="Cambria Math" w:hAnsi="Book Antiqua"/>
            <w:sz w:val="18"/>
            <w:szCs w:val="18"/>
          </w:rPr>
          <m:t xml:space="preserve"> </m:t>
        </m:r>
      </m:oMath>
      <w:r w:rsidRPr="007F73AB">
        <w:rPr>
          <w:rFonts w:ascii="Book Antiqua" w:hAnsi="Book Antiqua"/>
          <w:sz w:val="20"/>
        </w:rPr>
        <w:t xml:space="preserve">is the tangential velocity. If </w:t>
      </w:r>
      <m:oMath>
        <m:r>
          <w:rPr>
            <w:rFonts w:ascii="Cambria Math" w:hAnsi="Cambria Math"/>
            <w:sz w:val="18"/>
            <w:szCs w:val="18"/>
          </w:rPr>
          <m:t>m</m:t>
        </m:r>
      </m:oMath>
      <w:r w:rsidRPr="007F73AB">
        <w:rPr>
          <w:rFonts w:ascii="Book Antiqua" w:hAnsi="Book Antiqua"/>
          <w:sz w:val="20"/>
        </w:rPr>
        <w:t xml:space="preserve"> varies as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7F73AB">
        <w:rPr>
          <w:rFonts w:ascii="Book Antiqua" w:hAnsi="Book Antiqua"/>
          <w:sz w:val="20"/>
        </w:rPr>
        <w:t xml:space="preserve"> it follows that </w:t>
      </w:r>
      <m:oMath>
        <m:r>
          <w:rPr>
            <w:rFonts w:ascii="Cambria Math" w:hAnsi="Cambria Math"/>
            <w:sz w:val="18"/>
            <w:szCs w:val="18"/>
          </w:rPr>
          <m:t>v</m:t>
        </m:r>
      </m:oMath>
      <w:r w:rsidRPr="007F73AB">
        <w:rPr>
          <w:rFonts w:ascii="Book Antiqua" w:hAnsi="Book Antiqua"/>
          <w:sz w:val="20"/>
        </w:rPr>
        <w:t xml:space="preserve"> must vary </w:t>
      </w:r>
      <w:proofErr w:type="gramStart"/>
      <w:r w:rsidRPr="007F73AB">
        <w:rPr>
          <w:rFonts w:ascii="Book Antiqua" w:hAnsi="Book Antiqua"/>
          <w:sz w:val="20"/>
        </w:rPr>
        <w:t xml:space="preserve">as </w:t>
      </w:r>
      <m:oMath>
        <w:proofErr w:type="gramEnd"/>
        <m:r>
          <w:rPr>
            <w:rFonts w:ascii="Cambria Math" w:hAnsi="Cambria Math"/>
            <w:sz w:val="18"/>
            <w:szCs w:val="18"/>
          </w:rPr>
          <m:t>c</m:t>
        </m:r>
      </m:oMath>
      <w:r w:rsidRPr="007F73AB">
        <w:rPr>
          <w:rFonts w:ascii="Book Antiqua" w:hAnsi="Book Antiqua"/>
          <w:i/>
          <w:sz w:val="20"/>
        </w:rPr>
        <w:t>,</w:t>
      </w:r>
      <w:r w:rsidRPr="007F73AB">
        <w:rPr>
          <w:rFonts w:ascii="Book Antiqua" w:hAnsi="Book Antiqua"/>
          <w:sz w:val="20"/>
        </w:rPr>
        <w:t xml:space="preserve"> if kinetic energy is conserved in the atomic environment. This means that when the ZPE strength was lower, and sub-atomic particle masses were lower, then their rate of movement was faster proportional to the speed of light. </w:t>
      </w:r>
      <w:r w:rsidR="00E84F17">
        <w:rPr>
          <w:rFonts w:ascii="Book Antiqua" w:hAnsi="Book Antiqua"/>
          <w:sz w:val="20"/>
        </w:rPr>
        <w:t xml:space="preserve"> In other words,</w:t>
      </w:r>
      <w:r w:rsidRPr="007F73AB">
        <w:rPr>
          <w:rFonts w:ascii="Book Antiqua" w:hAnsi="Book Antiqua"/>
          <w:sz w:val="20"/>
        </w:rPr>
        <w:t xml:space="preserve"> electrons orbit the nucleus of atoms </w:t>
      </w:r>
      <w:r w:rsidR="00E84F17">
        <w:rPr>
          <w:rFonts w:ascii="Book Antiqua" w:hAnsi="Book Antiqua"/>
          <w:sz w:val="20"/>
        </w:rPr>
        <w:t>at a rate</w:t>
      </w:r>
      <w:r w:rsidRPr="007F73AB">
        <w:rPr>
          <w:rFonts w:ascii="Book Antiqua" w:hAnsi="Book Antiqua"/>
          <w:sz w:val="20"/>
        </w:rPr>
        <w:t xml:space="preserve"> proportion</w:t>
      </w:r>
      <w:r w:rsidR="00E84F17">
        <w:rPr>
          <w:rFonts w:ascii="Book Antiqua" w:hAnsi="Book Antiqua"/>
          <w:sz w:val="20"/>
        </w:rPr>
        <w:t>al</w:t>
      </w:r>
      <w:r w:rsidRPr="007F73AB">
        <w:rPr>
          <w:rFonts w:ascii="Book Antiqua" w:hAnsi="Book Antiqua"/>
          <w:sz w:val="20"/>
        </w:rPr>
        <w:t xml:space="preserve"> to c.</w:t>
      </w:r>
      <w:r w:rsidR="002E6622">
        <w:rPr>
          <w:rFonts w:ascii="Book Antiqua" w:hAnsi="Book Antiqua"/>
          <w:sz w:val="20"/>
        </w:rPr>
        <w:t xml:space="preserve"> </w:t>
      </w:r>
    </w:p>
    <w:p w:rsidR="00E84F17" w:rsidRDefault="00E84F17"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This </w:t>
      </w:r>
      <w:r w:rsidR="008534F5">
        <w:rPr>
          <w:rFonts w:ascii="Book Antiqua" w:hAnsi="Book Antiqua"/>
          <w:sz w:val="20"/>
        </w:rPr>
        <w:t xml:space="preserve">also </w:t>
      </w:r>
      <w:r w:rsidRPr="007F73AB">
        <w:rPr>
          <w:rFonts w:ascii="Book Antiqua" w:hAnsi="Book Antiqua"/>
          <w:sz w:val="20"/>
        </w:rPr>
        <w:t xml:space="preserve">relates to the fine structure constant. One of the earliest definitions of the fine structure constant was that </w:t>
      </w:r>
      <w:r w:rsidRPr="007F73AB">
        <w:rPr>
          <w:rFonts w:ascii="Book Antiqua" w:hAnsi="Book Antiqua"/>
          <w:i/>
          <w:sz w:val="20"/>
        </w:rPr>
        <w:t>“it is the ratio of the velocity of the electron in the first Bohr orbit to the velocity of light in a vacuum.</w:t>
      </w:r>
      <w:r w:rsidRPr="007F73AB">
        <w:rPr>
          <w:rFonts w:ascii="Book Antiqua" w:hAnsi="Book Antiqua"/>
          <w:sz w:val="20"/>
        </w:rPr>
        <w:t>” [10]</w:t>
      </w:r>
      <w:r w:rsidRPr="007F73AB">
        <w:rPr>
          <w:rFonts w:ascii="Book Antiqua" w:hAnsi="Book Antiqua"/>
          <w:color w:val="FF0000"/>
          <w:sz w:val="20"/>
        </w:rPr>
        <w:t xml:space="preserve"> </w:t>
      </w:r>
      <w:r w:rsidRPr="007F73AB">
        <w:rPr>
          <w:rFonts w:ascii="Book Antiqua" w:hAnsi="Book Antiqua"/>
          <w:sz w:val="20"/>
        </w:rPr>
        <w:t xml:space="preserve">It has been proven that the fine structure constant is fixed to parts per million across the universe. Thus, any alteration in the properties of the vacuum affecting the speed of light must </w:t>
      </w:r>
      <w:r w:rsidR="00E84F17">
        <w:rPr>
          <w:rFonts w:ascii="Book Antiqua" w:hAnsi="Book Antiqua"/>
          <w:sz w:val="20"/>
        </w:rPr>
        <w:t>also and equally</w:t>
      </w:r>
      <w:r w:rsidRPr="007F73AB">
        <w:rPr>
          <w:rFonts w:ascii="Book Antiqua" w:hAnsi="Book Antiqua"/>
          <w:sz w:val="20"/>
        </w:rPr>
        <w:t xml:space="preserve"> affect the speed of electrons</w:t>
      </w:r>
      <w:r w:rsidR="002E6622">
        <w:rPr>
          <w:rFonts w:ascii="Book Antiqua" w:hAnsi="Book Antiqua"/>
          <w:sz w:val="20"/>
        </w:rPr>
        <w:t xml:space="preserve"> </w:t>
      </w:r>
      <w:r w:rsidRPr="007F73AB">
        <w:rPr>
          <w:rFonts w:ascii="Book Antiqua" w:hAnsi="Book Antiqua"/>
          <w:sz w:val="20"/>
        </w:rPr>
        <w:t>in their orbits</w:t>
      </w:r>
      <w:r w:rsidR="002E6622">
        <w:rPr>
          <w:rFonts w:ascii="Book Antiqua" w:hAnsi="Book Antiqua"/>
          <w:sz w:val="20"/>
        </w:rPr>
        <w:t xml:space="preserve">. </w:t>
      </w:r>
      <w:r w:rsidR="00E84F17">
        <w:rPr>
          <w:rFonts w:ascii="Book Antiqua" w:hAnsi="Book Antiqua"/>
          <w:sz w:val="20"/>
        </w:rPr>
        <w:t>T</w:t>
      </w:r>
      <w:r w:rsidR="002E6622">
        <w:rPr>
          <w:rFonts w:ascii="Book Antiqua" w:hAnsi="Book Antiqua"/>
          <w:sz w:val="20"/>
        </w:rPr>
        <w:t xml:space="preserve">he motion of all subatomic particles is </w:t>
      </w:r>
      <w:r w:rsidR="000056C0">
        <w:rPr>
          <w:rFonts w:ascii="Book Antiqua" w:hAnsi="Book Antiqua"/>
          <w:sz w:val="20"/>
        </w:rPr>
        <w:t xml:space="preserve">similarly </w:t>
      </w:r>
      <w:r w:rsidR="002E6622">
        <w:rPr>
          <w:rFonts w:ascii="Book Antiqua" w:hAnsi="Book Antiqua"/>
          <w:sz w:val="20"/>
        </w:rPr>
        <w:t>affected</w:t>
      </w:r>
      <w:r w:rsidR="000056C0">
        <w:rPr>
          <w:rFonts w:ascii="Book Antiqua" w:hAnsi="Book Antiqua"/>
          <w:sz w:val="20"/>
        </w:rPr>
        <w:t>.</w:t>
      </w:r>
      <w:r w:rsidRPr="007F73AB">
        <w:rPr>
          <w:rFonts w:ascii="Book Antiqua" w:hAnsi="Book Antiqua"/>
          <w:sz w:val="20"/>
        </w:rPr>
        <w:t xml:space="preserve">  </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Measuring Time</w:t>
      </w:r>
    </w:p>
    <w:p w:rsidR="00EE535C" w:rsidRPr="007F73AB" w:rsidRDefault="00EE535C" w:rsidP="00EE535C">
      <w:pPr>
        <w:pStyle w:val="NoSpacing"/>
        <w:jc w:val="both"/>
        <w:rPr>
          <w:rFonts w:ascii="Book Antiqua" w:hAnsi="Book Antiqua"/>
          <w:b/>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In our daily lives, we measure time with clocks and calendars.  These are based on the movements of the earth in its rotation on its axis, the moon’s orbit </w:t>
      </w:r>
      <w:r w:rsidR="000036C3">
        <w:rPr>
          <w:rFonts w:ascii="Book Antiqua" w:hAnsi="Book Antiqua"/>
          <w:sz w:val="20"/>
        </w:rPr>
        <w:t>around</w:t>
      </w:r>
      <w:r w:rsidRPr="007F73AB">
        <w:rPr>
          <w:rFonts w:ascii="Book Antiqua" w:hAnsi="Book Antiqua"/>
          <w:sz w:val="20"/>
        </w:rPr>
        <w:t xml:space="preserve"> the earth, and the earth’s orbit </w:t>
      </w:r>
      <w:r w:rsidR="000036C3">
        <w:rPr>
          <w:rFonts w:ascii="Book Antiqua" w:hAnsi="Book Antiqua"/>
          <w:sz w:val="20"/>
        </w:rPr>
        <w:t>around</w:t>
      </w:r>
      <w:r w:rsidRPr="007F73AB">
        <w:rPr>
          <w:rFonts w:ascii="Book Antiqua" w:hAnsi="Book Antiqua"/>
          <w:sz w:val="20"/>
        </w:rPr>
        <w:t xml:space="preserve"> the sun.  This type of time-keeping is based on gravitationally controlled movements.  </w:t>
      </w:r>
      <w:r w:rsidR="000036C3">
        <w:rPr>
          <w:rFonts w:ascii="Book Antiqua" w:hAnsi="Book Antiqua"/>
          <w:sz w:val="20"/>
        </w:rPr>
        <w:t>It is shown in Chapters 4 and 7 that c</w:t>
      </w:r>
      <w:r w:rsidRPr="007F73AB">
        <w:rPr>
          <w:rFonts w:ascii="Book Antiqua" w:hAnsi="Book Antiqua"/>
          <w:sz w:val="20"/>
        </w:rPr>
        <w:t>hanges in the Zero Point Energy do not affect gravity</w:t>
      </w:r>
      <w:r w:rsidR="000036C3">
        <w:rPr>
          <w:rFonts w:ascii="Book Antiqua" w:hAnsi="Book Antiqua"/>
          <w:sz w:val="20"/>
        </w:rPr>
        <w:t>. Consequently</w:t>
      </w:r>
      <w:r w:rsidRPr="007F73AB">
        <w:rPr>
          <w:rFonts w:ascii="Book Antiqua" w:hAnsi="Book Antiqua"/>
          <w:sz w:val="20"/>
        </w:rPr>
        <w:t>,</w:t>
      </w:r>
      <w:r w:rsidR="000036C3">
        <w:rPr>
          <w:rFonts w:ascii="Book Antiqua" w:hAnsi="Book Antiqua"/>
          <w:sz w:val="20"/>
        </w:rPr>
        <w:t xml:space="preserve"> t</w:t>
      </w:r>
      <w:r w:rsidRPr="007F73AB">
        <w:rPr>
          <w:rFonts w:ascii="Book Antiqua" w:hAnsi="Book Antiqua"/>
          <w:sz w:val="20"/>
        </w:rPr>
        <w:t xml:space="preserve">ime </w:t>
      </w:r>
      <w:r w:rsidR="000036C3">
        <w:rPr>
          <w:rFonts w:ascii="Book Antiqua" w:hAnsi="Book Antiqua"/>
          <w:sz w:val="20"/>
        </w:rPr>
        <w:t>measured by gravitational methods has</w:t>
      </w:r>
      <w:r w:rsidRPr="007F73AB">
        <w:rPr>
          <w:rFonts w:ascii="Book Antiqua" w:hAnsi="Book Antiqua"/>
          <w:sz w:val="20"/>
        </w:rPr>
        <w:t xml:space="preserve"> been steady throughout history.  </w:t>
      </w:r>
    </w:p>
    <w:p w:rsidR="00EE535C" w:rsidRPr="007F73AB" w:rsidRDefault="00EE535C" w:rsidP="00EE535C">
      <w:pPr>
        <w:pStyle w:val="NoSpacing"/>
        <w:ind w:firstLine="360"/>
        <w:jc w:val="both"/>
        <w:rPr>
          <w:rFonts w:ascii="Book Antiqua" w:hAnsi="Book Antiqua"/>
          <w:sz w:val="20"/>
        </w:rPr>
      </w:pPr>
    </w:p>
    <w:p w:rsidR="00630F65" w:rsidRDefault="00EE535C" w:rsidP="004D4E88">
      <w:pPr>
        <w:pStyle w:val="NoSpacing"/>
        <w:ind w:firstLine="720"/>
        <w:jc w:val="both"/>
        <w:rPr>
          <w:rFonts w:ascii="Book Antiqua" w:hAnsi="Book Antiqua"/>
          <w:sz w:val="20"/>
        </w:rPr>
      </w:pPr>
      <w:r w:rsidRPr="007F73AB">
        <w:rPr>
          <w:rFonts w:ascii="Book Antiqua" w:hAnsi="Book Antiqua"/>
          <w:sz w:val="20"/>
        </w:rPr>
        <w:t xml:space="preserve">There is another form of timekeeping used by science.  It is based on atomic and subatomic actions and reactions.  The time it takes an electron to orbit a proton in a hydrogen atom, and the time it takes heavy elements to decay into their daughter elements, are examples of this type of measuring time.  </w:t>
      </w:r>
    </w:p>
    <w:p w:rsidR="00630F65" w:rsidRDefault="00630F65" w:rsidP="004D4E88">
      <w:pPr>
        <w:pStyle w:val="NoSpacing"/>
        <w:ind w:firstLine="720"/>
        <w:jc w:val="both"/>
        <w:rPr>
          <w:rFonts w:ascii="Book Antiqua" w:hAnsi="Book Antiqua"/>
          <w:sz w:val="20"/>
        </w:rPr>
      </w:pPr>
    </w:p>
    <w:p w:rsidR="00EE535C" w:rsidRPr="007F73AB" w:rsidRDefault="00630F65" w:rsidP="004D4E88">
      <w:pPr>
        <w:pStyle w:val="NoSpacing"/>
        <w:ind w:firstLine="720"/>
        <w:jc w:val="both"/>
        <w:rPr>
          <w:rFonts w:ascii="Book Antiqua" w:hAnsi="Book Antiqua"/>
          <w:sz w:val="20"/>
        </w:rPr>
      </w:pPr>
      <w:proofErr w:type="gramStart"/>
      <w:r>
        <w:rPr>
          <w:rFonts w:ascii="Book Antiqua" w:hAnsi="Book Antiqua"/>
          <w:sz w:val="20"/>
        </w:rPr>
        <w:t>So</w:t>
      </w:r>
      <w:r w:rsidR="00EE535C" w:rsidRPr="007F73AB">
        <w:rPr>
          <w:rFonts w:ascii="Book Antiqua" w:hAnsi="Book Antiqua"/>
          <w:sz w:val="20"/>
        </w:rPr>
        <w:t xml:space="preserve"> atomic and subatomic phenomena</w:t>
      </w:r>
      <w:r>
        <w:rPr>
          <w:rFonts w:ascii="Book Antiqua" w:hAnsi="Book Antiqua"/>
          <w:sz w:val="20"/>
        </w:rPr>
        <w:t>, including radioactive decay,</w:t>
      </w:r>
      <w:r w:rsidR="00EE535C" w:rsidRPr="007F73AB">
        <w:rPr>
          <w:rFonts w:ascii="Book Antiqua" w:hAnsi="Book Antiqua"/>
          <w:sz w:val="20"/>
        </w:rPr>
        <w:t xml:space="preserve"> are dependent upon the strength of the Zero Point Energy.</w:t>
      </w:r>
      <w:proofErr w:type="gramEnd"/>
      <w:r w:rsidR="00EE535C" w:rsidRPr="007F73AB">
        <w:rPr>
          <w:rFonts w:ascii="Book Antiqua" w:hAnsi="Book Antiqua"/>
          <w:sz w:val="20"/>
        </w:rPr>
        <w:t xml:space="preserve">  This means that all atomic clocks tick at a rate proportional to the speed of light or at a rate inversely </w:t>
      </w:r>
      <w:r w:rsidR="00EE535C" w:rsidRPr="007F73AB">
        <w:rPr>
          <w:rFonts w:ascii="Book Antiqua" w:hAnsi="Book Antiqua"/>
          <w:sz w:val="20"/>
        </w:rPr>
        <w:lastRenderedPageBreak/>
        <w:t>proportional to the strength of the ZPE. This is discussed in Chapters 5 &amp; 8, with Chapter 9 discussing our solar system’s history in relation to a changing ZPE.</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The observational evidence now becomes important. Data from the last 100 years indicates that Planck’s constant</w:t>
      </w:r>
      <w:proofErr w:type="gramStart"/>
      <w:r w:rsidRPr="007F73AB">
        <w:rPr>
          <w:rFonts w:ascii="Book Antiqua" w:hAnsi="Book Antiqua"/>
          <w:sz w:val="20"/>
        </w:rPr>
        <w:t xml:space="preserve">, </w:t>
      </w:r>
      <m:oMath>
        <w:proofErr w:type="gramEnd"/>
        <m:r>
          <w:rPr>
            <w:rFonts w:ascii="Book Antiqua" w:hAnsi="Cambria Math"/>
            <w:sz w:val="18"/>
            <w:szCs w:val="18"/>
          </w:rPr>
          <m:t>h</m:t>
        </m:r>
      </m:oMath>
      <w:r w:rsidRPr="007F73AB">
        <w:rPr>
          <w:rFonts w:ascii="Book Antiqua" w:hAnsi="Book Antiqua"/>
          <w:sz w:val="20"/>
        </w:rPr>
        <w:t xml:space="preserve">, and atomic masses, </w:t>
      </w:r>
      <m:oMath>
        <m:r>
          <w:rPr>
            <w:rFonts w:ascii="Cambria Math" w:hAnsi="Cambria Math"/>
            <w:sz w:val="18"/>
            <w:szCs w:val="18"/>
          </w:rPr>
          <m:t>m</m:t>
        </m:r>
      </m:oMath>
      <w:r w:rsidRPr="007F73AB">
        <w:rPr>
          <w:rFonts w:ascii="Book Antiqua" w:hAnsi="Book Antiqua"/>
          <w:sz w:val="20"/>
        </w:rPr>
        <w:t>, have increased. Conversely, the speed of light</w:t>
      </w:r>
      <w:proofErr w:type="gramStart"/>
      <w:r w:rsidRPr="007F73AB">
        <w:rPr>
          <w:rFonts w:ascii="Book Antiqua" w:hAnsi="Book Antiqua"/>
          <w:sz w:val="20"/>
        </w:rPr>
        <w:t xml:space="preserve">, </w:t>
      </w:r>
      <m:oMath>
        <w:proofErr w:type="gramEnd"/>
        <m:r>
          <w:rPr>
            <w:rFonts w:ascii="Cambria Math" w:hAnsi="Cambria Math"/>
            <w:sz w:val="18"/>
            <w:szCs w:val="18"/>
          </w:rPr>
          <m:t>c</m:t>
        </m:r>
      </m:oMath>
      <w:r w:rsidRPr="007F73AB">
        <w:rPr>
          <w:rFonts w:ascii="Book Antiqua" w:hAnsi="Book Antiqua"/>
          <w:sz w:val="20"/>
        </w:rPr>
        <w:t xml:space="preserve">, has decreased and the run-rate of atomic clocks, </w:t>
      </w:r>
      <m:oMath>
        <m:r>
          <w:rPr>
            <w:rFonts w:ascii="Cambria Math" w:hAnsi="Cambria Math"/>
            <w:sz w:val="18"/>
            <w:szCs w:val="18"/>
          </w:rPr>
          <m:t>t</m:t>
        </m:r>
      </m:oMath>
      <w:r w:rsidRPr="007F73AB">
        <w:rPr>
          <w:rFonts w:ascii="Book Antiqua" w:hAnsi="Book Antiqua"/>
          <w:sz w:val="20"/>
        </w:rPr>
        <w:t>, against the orbital clock has been slowing. The graphs of the recommended and internationally accepted values of these quantities are given in Figure 4. These graphs show a change in direction, or a flat point, occurred around 1970. That may be taken as evidence for a change in the direction of the Narlikar-Arp oscillation of the cosmos affecting ZPE strength</w:t>
      </w:r>
      <w:r w:rsidR="00BB64A9">
        <w:rPr>
          <w:rFonts w:ascii="Book Antiqua" w:hAnsi="Book Antiqua"/>
          <w:sz w:val="20"/>
        </w:rPr>
        <w:t xml:space="preserve"> [3]</w:t>
      </w:r>
      <w:r w:rsidRPr="007F73AB">
        <w:rPr>
          <w:rFonts w:ascii="Book Antiqua" w:hAnsi="Book Antiqua"/>
          <w:sz w:val="20"/>
        </w:rPr>
        <w:t>.</w:t>
      </w:r>
    </w:p>
    <w:p w:rsidR="00EE535C" w:rsidRDefault="00EE535C" w:rsidP="00EE535C">
      <w:pPr>
        <w:pStyle w:val="NoSpacing"/>
        <w:ind w:firstLine="360"/>
        <w:jc w:val="both"/>
        <w:rPr>
          <w:rFonts w:ascii="Book Antiqua" w:hAnsi="Book Antiqua"/>
          <w:sz w:val="20"/>
        </w:rPr>
      </w:pPr>
    </w:p>
    <w:p w:rsidR="00651826" w:rsidRPr="007F73AB" w:rsidRDefault="00651826" w:rsidP="00EE535C">
      <w:pPr>
        <w:pStyle w:val="NoSpacing"/>
        <w:ind w:firstLine="360"/>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66"/>
        <w:gridCol w:w="4416"/>
      </w:tblGrid>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1465" cy="2286000"/>
                  <wp:effectExtent l="19050" t="0" r="1235" b="0"/>
                  <wp:docPr id="285"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556246" cy="2290284"/>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86000"/>
                  <wp:effectExtent l="19050" t="0" r="9525" b="0"/>
                  <wp:docPr id="284"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42056" cy="2289146"/>
                          </a:xfrm>
                          <a:prstGeom prst="rect">
                            <a:avLst/>
                          </a:prstGeom>
                          <a:noFill/>
                          <a:ln w="9525">
                            <a:noFill/>
                            <a:miter lim="800000"/>
                            <a:headEnd/>
                            <a:tailEnd/>
                          </a:ln>
                        </pic:spPr>
                      </pic:pic>
                    </a:graphicData>
                  </a:graphic>
                </wp:inline>
              </w:drawing>
            </w:r>
          </w:p>
        </w:tc>
      </w:tr>
      <w:tr w:rsidR="00EE535C" w:rsidRPr="007F73AB" w:rsidTr="000E32B9">
        <w:trPr>
          <w:jc w:val="center"/>
        </w:trPr>
        <w:tc>
          <w:tcPr>
            <w:tcW w:w="2577"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552700" cy="2238375"/>
                  <wp:effectExtent l="19050" t="0" r="0" b="0"/>
                  <wp:docPr id="28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552700" cy="2238375"/>
                          </a:xfrm>
                          <a:prstGeom prst="rect">
                            <a:avLst/>
                          </a:prstGeom>
                          <a:noFill/>
                          <a:ln w="9525">
                            <a:noFill/>
                            <a:miter lim="800000"/>
                            <a:headEnd/>
                            <a:tailEnd/>
                          </a:ln>
                        </pic:spPr>
                      </pic:pic>
                    </a:graphicData>
                  </a:graphic>
                </wp:inline>
              </w:drawing>
            </w:r>
          </w:p>
        </w:tc>
        <w:tc>
          <w:tcPr>
            <w:tcW w:w="2679" w:type="dxa"/>
          </w:tcPr>
          <w:p w:rsidR="00EE535C" w:rsidRPr="007F73AB" w:rsidRDefault="00EE535C" w:rsidP="00A471B1">
            <w:pPr>
              <w:pStyle w:val="NormPara"/>
              <w:tabs>
                <w:tab w:val="center" w:pos="4706"/>
                <w:tab w:val="right" w:pos="9356"/>
              </w:tabs>
              <w:spacing w:after="240"/>
              <w:ind w:firstLine="0"/>
              <w:rPr>
                <w:i/>
                <w:noProof/>
                <w:sz w:val="20"/>
              </w:rPr>
            </w:pPr>
            <w:r w:rsidRPr="007F73AB">
              <w:rPr>
                <w:i/>
                <w:noProof/>
                <w:sz w:val="20"/>
              </w:rPr>
              <w:drawing>
                <wp:inline distT="0" distB="0" distL="0" distR="0">
                  <wp:extent cx="2638425" cy="2238375"/>
                  <wp:effectExtent l="19050" t="0" r="0" b="0"/>
                  <wp:docPr id="282"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rsidR="00EE535C" w:rsidRPr="007F73AB" w:rsidRDefault="00EE535C" w:rsidP="00EE535C">
      <w:pPr>
        <w:pStyle w:val="NoSpacing"/>
        <w:rPr>
          <w:rFonts w:ascii="Book Antiqua" w:hAnsi="Book Antiqua"/>
          <w:sz w:val="18"/>
          <w:szCs w:val="18"/>
        </w:rPr>
      </w:pPr>
    </w:p>
    <w:p w:rsidR="00EE535C" w:rsidRDefault="00EE535C" w:rsidP="00EE535C">
      <w:pPr>
        <w:pStyle w:val="NoSpacing"/>
        <w:rPr>
          <w:rFonts w:ascii="Book Antiqua" w:hAnsi="Book Antiqua"/>
          <w:i/>
          <w:sz w:val="18"/>
          <w:szCs w:val="18"/>
        </w:rPr>
      </w:pPr>
      <w:r w:rsidRPr="00262DE1">
        <w:rPr>
          <w:rFonts w:ascii="Book Antiqua" w:hAnsi="Book Antiqua"/>
          <w:b/>
          <w:i/>
          <w:sz w:val="18"/>
          <w:szCs w:val="18"/>
        </w:rPr>
        <w:t>Figure 4:</w:t>
      </w:r>
      <w:r w:rsidRPr="00F479C6">
        <w:rPr>
          <w:rFonts w:ascii="Book Antiqua" w:hAnsi="Book Antiqua"/>
          <w:i/>
          <w:sz w:val="18"/>
          <w:szCs w:val="18"/>
        </w:rPr>
        <w:t xml:space="preserve">  Clockwise from top left—Recommended values of Planck’s constant, </w:t>
      </w:r>
      <w:r w:rsidRPr="00F479C6">
        <w:rPr>
          <w:rFonts w:ascii="Book Antiqua" w:hAnsi="Book Antiqua"/>
          <w:sz w:val="18"/>
          <w:szCs w:val="18"/>
        </w:rPr>
        <w:t>h</w:t>
      </w:r>
      <w:r w:rsidRPr="00F479C6">
        <w:rPr>
          <w:rFonts w:ascii="Book Antiqua" w:hAnsi="Book Antiqua"/>
          <w:i/>
          <w:sz w:val="18"/>
          <w:szCs w:val="18"/>
        </w:rPr>
        <w:t xml:space="preserve">; electron rest mass, </w:t>
      </w:r>
      <w:r w:rsidRPr="00F479C6">
        <w:rPr>
          <w:rFonts w:ascii="Book Antiqua" w:hAnsi="Book Antiqua"/>
          <w:sz w:val="18"/>
          <w:szCs w:val="18"/>
        </w:rPr>
        <w:t>m</w:t>
      </w:r>
      <w:r w:rsidRPr="00F479C6">
        <w:rPr>
          <w:rFonts w:ascii="Book Antiqua" w:hAnsi="Book Antiqua"/>
          <w:i/>
          <w:sz w:val="18"/>
          <w:szCs w:val="18"/>
        </w:rPr>
        <w:t>; the run-rate of atomic clocks,</w:t>
      </w:r>
      <w:r w:rsidRPr="00F479C6">
        <w:rPr>
          <w:rFonts w:ascii="Book Antiqua" w:hAnsi="Book Antiqua"/>
          <w:sz w:val="18"/>
          <w:szCs w:val="18"/>
        </w:rPr>
        <w:t xml:space="preserve"> t</w:t>
      </w:r>
      <w:r w:rsidRPr="00F479C6">
        <w:rPr>
          <w:rFonts w:ascii="Book Antiqua" w:hAnsi="Book Antiqua"/>
          <w:i/>
          <w:sz w:val="18"/>
          <w:szCs w:val="18"/>
        </w:rPr>
        <w:t xml:space="preserve">, </w:t>
      </w:r>
      <w:r w:rsidR="000036C3" w:rsidRPr="00F479C6">
        <w:rPr>
          <w:rFonts w:ascii="Book Antiqua" w:hAnsi="Book Antiqua"/>
          <w:i/>
          <w:sz w:val="18"/>
          <w:szCs w:val="18"/>
        </w:rPr>
        <w:t>(</w:t>
      </w:r>
      <w:r w:rsidRPr="00F479C6">
        <w:rPr>
          <w:rFonts w:ascii="Book Antiqua" w:hAnsi="Book Antiqua"/>
          <w:i/>
          <w:sz w:val="18"/>
          <w:szCs w:val="18"/>
        </w:rPr>
        <w:t xml:space="preserve">with orbital time </w:t>
      </w:r>
      <w:r w:rsidR="000036C3" w:rsidRPr="00F479C6">
        <w:rPr>
          <w:rFonts w:ascii="Book Antiqua" w:hAnsi="Book Antiqua"/>
          <w:i/>
          <w:sz w:val="18"/>
          <w:szCs w:val="18"/>
        </w:rPr>
        <w:t xml:space="preserve">on the </w:t>
      </w:r>
      <w:r w:rsidRPr="00F479C6">
        <w:rPr>
          <w:rFonts w:ascii="Book Antiqua" w:hAnsi="Book Antiqua"/>
          <w:i/>
          <w:sz w:val="18"/>
          <w:szCs w:val="18"/>
        </w:rPr>
        <w:t>horizontal</w:t>
      </w:r>
      <w:r w:rsidR="000036C3" w:rsidRPr="00F479C6">
        <w:rPr>
          <w:rFonts w:ascii="Book Antiqua" w:hAnsi="Book Antiqua"/>
          <w:i/>
          <w:sz w:val="18"/>
          <w:szCs w:val="18"/>
        </w:rPr>
        <w:t xml:space="preserve"> axis)</w:t>
      </w:r>
      <w:r w:rsidRPr="00F479C6">
        <w:rPr>
          <w:rFonts w:ascii="Book Antiqua" w:hAnsi="Book Antiqua"/>
          <w:i/>
          <w:sz w:val="18"/>
          <w:szCs w:val="18"/>
        </w:rPr>
        <w:t xml:space="preserve">; and light-speed, </w:t>
      </w:r>
      <w:r w:rsidRPr="00F479C6">
        <w:rPr>
          <w:rFonts w:ascii="Book Antiqua" w:hAnsi="Book Antiqua"/>
          <w:sz w:val="18"/>
          <w:szCs w:val="18"/>
        </w:rPr>
        <w:t>c</w:t>
      </w:r>
      <w:r w:rsidRPr="00F479C6">
        <w:rPr>
          <w:rFonts w:ascii="Book Antiqua" w:hAnsi="Book Antiqua"/>
          <w:i/>
          <w:sz w:val="18"/>
          <w:szCs w:val="18"/>
        </w:rPr>
        <w:t>. All exhibit a change in direction near 1970.</w:t>
      </w:r>
    </w:p>
    <w:p w:rsidR="000E32B9" w:rsidRDefault="000E32B9" w:rsidP="00EE535C">
      <w:pPr>
        <w:pStyle w:val="NoSpacing"/>
        <w:rPr>
          <w:rFonts w:ascii="Book Antiqua" w:hAnsi="Book Antiqua"/>
          <w:i/>
          <w:sz w:val="18"/>
          <w:szCs w:val="18"/>
        </w:rPr>
      </w:pPr>
    </w:p>
    <w:p w:rsidR="000E32B9" w:rsidRDefault="000E32B9" w:rsidP="000E32B9">
      <w:pPr>
        <w:pStyle w:val="NormPara"/>
        <w:ind w:firstLine="720"/>
        <w:rPr>
          <w:sz w:val="20"/>
        </w:rPr>
      </w:pPr>
      <w:r w:rsidRPr="007F73AB">
        <w:rPr>
          <w:sz w:val="20"/>
        </w:rPr>
        <w:t xml:space="preserve">These data all point to a ZPE </w:t>
      </w:r>
      <w:r>
        <w:rPr>
          <w:sz w:val="20"/>
        </w:rPr>
        <w:t>which can change</w:t>
      </w:r>
      <w:r w:rsidRPr="007F73AB">
        <w:rPr>
          <w:sz w:val="20"/>
        </w:rPr>
        <w:t xml:space="preserve">.  However these graphs only go back a hundred years.  Can we go back further?  When the </w:t>
      </w:r>
      <w:proofErr w:type="gramStart"/>
      <w:r w:rsidRPr="007F73AB">
        <w:rPr>
          <w:sz w:val="20"/>
        </w:rPr>
        <w:t>speed of light observations are</w:t>
      </w:r>
      <w:proofErr w:type="gramEnd"/>
      <w:r w:rsidRPr="007F73AB">
        <w:rPr>
          <w:sz w:val="20"/>
        </w:rPr>
        <w:t xml:space="preserve"> studied in detail, as is done in Chapter 3, we can obtain data back over 300 years or so. The decline in the value of </w:t>
      </w:r>
      <m:oMath>
        <m:r>
          <w:rPr>
            <w:rFonts w:ascii="Cambria Math" w:hAnsi="Cambria Math"/>
            <w:szCs w:val="18"/>
          </w:rPr>
          <m:t>c</m:t>
        </m:r>
      </m:oMath>
      <w:r w:rsidRPr="007F73AB">
        <w:rPr>
          <w:sz w:val="20"/>
        </w:rPr>
        <w:t xml:space="preserve"> is generally noticed over that period, so the ZPE was increasing during that time. But given the history of our universe, 300 years is still not much time.  It is at this point we can look to the universe itself.  </w:t>
      </w:r>
    </w:p>
    <w:p w:rsidR="000E32B9" w:rsidRDefault="000E32B9" w:rsidP="000E32B9">
      <w:pPr>
        <w:pStyle w:val="NormPara"/>
        <w:ind w:firstLine="270"/>
        <w:rPr>
          <w:sz w:val="20"/>
        </w:rPr>
      </w:pPr>
    </w:p>
    <w:p w:rsidR="000E32B9" w:rsidRPr="007F73AB" w:rsidRDefault="000E32B9" w:rsidP="000E32B9">
      <w:pPr>
        <w:pStyle w:val="NormPara"/>
        <w:ind w:firstLine="720"/>
        <w:rPr>
          <w:sz w:val="20"/>
        </w:rPr>
      </w:pPr>
      <w:r w:rsidRPr="007F73AB">
        <w:rPr>
          <w:sz w:val="20"/>
        </w:rPr>
        <w:t xml:space="preserve">We know how atoms react to changes in the strength of the Zero Point Energy.  We also know that the farther out in space we look, the further back in time we are looking – </w:t>
      </w:r>
      <w:r>
        <w:rPr>
          <w:sz w:val="20"/>
        </w:rPr>
        <w:t>both are</w:t>
      </w:r>
      <w:r w:rsidRPr="007F73AB">
        <w:rPr>
          <w:sz w:val="20"/>
        </w:rPr>
        <w:t xml:space="preserve"> linear progression</w:t>
      </w:r>
      <w:r>
        <w:rPr>
          <w:sz w:val="20"/>
        </w:rPr>
        <w:t>s</w:t>
      </w:r>
      <w:r w:rsidRPr="007F73AB">
        <w:rPr>
          <w:sz w:val="20"/>
        </w:rPr>
        <w:t xml:space="preserve">.  So, by looking out into space, we can track atomic behavior, and that tells us how strong the ZPE was at </w:t>
      </w:r>
      <w:r>
        <w:rPr>
          <w:sz w:val="20"/>
        </w:rPr>
        <w:t xml:space="preserve">any </w:t>
      </w:r>
      <w:r w:rsidRPr="007F73AB">
        <w:rPr>
          <w:sz w:val="20"/>
        </w:rPr>
        <w:t xml:space="preserve">given point in time.  </w:t>
      </w:r>
    </w:p>
    <w:p w:rsidR="000D0122" w:rsidRPr="007F73AB" w:rsidRDefault="000D0122" w:rsidP="00EE535C">
      <w:pPr>
        <w:pStyle w:val="NormPara"/>
        <w:ind w:firstLine="270"/>
        <w:rPr>
          <w:sz w:val="20"/>
        </w:rPr>
      </w:pPr>
    </w:p>
    <w:p w:rsidR="00EE535C" w:rsidRPr="007F73AB" w:rsidRDefault="00EE535C" w:rsidP="00EE535C">
      <w:pPr>
        <w:pStyle w:val="NormPara"/>
        <w:numPr>
          <w:ilvl w:val="0"/>
          <w:numId w:val="3"/>
        </w:numPr>
        <w:rPr>
          <w:b/>
          <w:sz w:val="20"/>
        </w:rPr>
      </w:pPr>
      <w:r w:rsidRPr="007F73AB">
        <w:rPr>
          <w:b/>
          <w:sz w:val="20"/>
        </w:rPr>
        <w:t xml:space="preserve">The ZPE and the Redshift </w:t>
      </w:r>
    </w:p>
    <w:p w:rsidR="00EE535C" w:rsidRPr="007F73AB" w:rsidRDefault="00EE535C" w:rsidP="00EE535C">
      <w:pPr>
        <w:pStyle w:val="NormPara"/>
        <w:ind w:firstLine="270"/>
        <w:rPr>
          <w:sz w:val="20"/>
        </w:rPr>
      </w:pPr>
    </w:p>
    <w:p w:rsidR="00EE535C" w:rsidRPr="007F73AB" w:rsidRDefault="008677B0" w:rsidP="004D4E88">
      <w:pPr>
        <w:pStyle w:val="NormPara"/>
        <w:ind w:firstLine="720"/>
        <w:rPr>
          <w:sz w:val="20"/>
        </w:rPr>
      </w:pPr>
      <w:r>
        <w:rPr>
          <w:sz w:val="20"/>
        </w:rPr>
        <w:t>A</w:t>
      </w:r>
      <w:r w:rsidRPr="008677B0">
        <w:rPr>
          <w:sz w:val="20"/>
        </w:rPr>
        <w:t>n electron orbiting a proton will be radiating energy.</w:t>
      </w:r>
      <w:r>
        <w:rPr>
          <w:sz w:val="20"/>
        </w:rPr>
        <w:t xml:space="preserve">  This presents a problem in classical physics.  </w:t>
      </w:r>
      <w:r w:rsidR="00EE535C" w:rsidRPr="008677B0">
        <w:rPr>
          <w:sz w:val="20"/>
        </w:rPr>
        <w:t xml:space="preserve"> </w:t>
      </w:r>
      <w:r>
        <w:rPr>
          <w:sz w:val="20"/>
        </w:rPr>
        <w:t xml:space="preserve">If the electron radiates energy then it must, </w:t>
      </w:r>
      <w:proofErr w:type="gramStart"/>
      <w:r>
        <w:rPr>
          <w:sz w:val="20"/>
        </w:rPr>
        <w:t xml:space="preserve">at </w:t>
      </w:r>
      <w:r w:rsidR="00EE535C" w:rsidRPr="008677B0">
        <w:rPr>
          <w:sz w:val="20"/>
        </w:rPr>
        <w:t xml:space="preserve"> some</w:t>
      </w:r>
      <w:proofErr w:type="gramEnd"/>
      <w:r w:rsidR="00EE535C" w:rsidRPr="008677B0">
        <w:rPr>
          <w:sz w:val="20"/>
        </w:rPr>
        <w:t xml:space="preserve"> point, spiral into the nucleus.</w:t>
      </w:r>
      <w:r w:rsidR="00EE535C" w:rsidRPr="007F73AB">
        <w:rPr>
          <w:sz w:val="20"/>
        </w:rPr>
        <w:t xml:space="preserve"> This does not happen. QED physics simply invokes the action of quantum laws</w:t>
      </w:r>
      <w:r w:rsidR="00515175">
        <w:rPr>
          <w:sz w:val="20"/>
        </w:rPr>
        <w:t xml:space="preserve"> to prevent it from happening</w:t>
      </w:r>
      <w:r w:rsidR="00EE535C" w:rsidRPr="007F73AB">
        <w:rPr>
          <w:sz w:val="20"/>
        </w:rPr>
        <w:t xml:space="preserve">. But the actual reason why it does not happen comes from SED physics.  </w:t>
      </w:r>
    </w:p>
    <w:p w:rsidR="00EE535C" w:rsidRPr="007F73AB" w:rsidRDefault="00EE535C" w:rsidP="00EE535C">
      <w:pPr>
        <w:pStyle w:val="NormPara"/>
        <w:ind w:firstLine="270"/>
        <w:rPr>
          <w:sz w:val="20"/>
        </w:rPr>
      </w:pPr>
    </w:p>
    <w:p w:rsidR="00EE535C" w:rsidRPr="007F73AB" w:rsidRDefault="00EE535C" w:rsidP="004D4E88">
      <w:pPr>
        <w:pStyle w:val="Els-body-text"/>
        <w:ind w:firstLine="720"/>
        <w:rPr>
          <w:rFonts w:ascii="Book Antiqua" w:hAnsi="Book Antiqua"/>
          <w:color w:val="000000"/>
        </w:rPr>
      </w:pPr>
      <w:r w:rsidRPr="007F73AB">
        <w:rPr>
          <w:rFonts w:ascii="Book Antiqua" w:hAnsi="Book Antiqua"/>
        </w:rPr>
        <w:t>According to the SED approach, classical physics is correct in considering the electron to be radiating energy, but this must be coupled with the effects of the</w:t>
      </w:r>
      <w:r w:rsidR="008677B0">
        <w:rPr>
          <w:rFonts w:ascii="Book Antiqua" w:hAnsi="Book Antiqua"/>
        </w:rPr>
        <w:t xml:space="preserve"> real</w:t>
      </w:r>
      <w:r w:rsidRPr="007F73AB">
        <w:rPr>
          <w:rFonts w:ascii="Book Antiqua" w:hAnsi="Book Antiqua"/>
        </w:rPr>
        <w:t xml:space="preserve"> ZPE. The energy that electrons radiate as they orbit their protons can be calculated, along with the energy that these electrons absorb from the ZPE. Quantitative analyses were done, and the results were summarized by de la Pena who stated that</w:t>
      </w:r>
      <w:r w:rsidRPr="007F73AB">
        <w:rPr>
          <w:rFonts w:ascii="Book Antiqua" w:hAnsi="Book Antiqua"/>
          <w:color w:val="000000"/>
        </w:rPr>
        <w:t xml:space="preserve"> “</w:t>
      </w:r>
      <w:r w:rsidRPr="007F73AB">
        <w:rPr>
          <w:rFonts w:ascii="Book Antiqua" w:hAnsi="Book Antiqua"/>
          <w:i/>
          <w:iCs/>
          <w:color w:val="000000"/>
        </w:rPr>
        <w:t xml:space="preserve">Boyer and Claverie &amp; Diner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7F73AB">
        <w:rPr>
          <w:rFonts w:ascii="Book Antiqua" w:hAnsi="Book Antiqua"/>
          <w:iCs/>
        </w:rPr>
        <w:t>[11]</w:t>
      </w:r>
    </w:p>
    <w:p w:rsidR="00EE535C" w:rsidRPr="007F73AB" w:rsidRDefault="00EE535C" w:rsidP="00EE535C">
      <w:pPr>
        <w:pStyle w:val="NormPara"/>
        <w:ind w:firstLine="270"/>
        <w:rPr>
          <w:color w:val="000000"/>
          <w:sz w:val="20"/>
        </w:rPr>
      </w:pPr>
    </w:p>
    <w:p w:rsidR="00EE535C" w:rsidRPr="007F73AB" w:rsidRDefault="00EE535C" w:rsidP="00EE535C">
      <w:pPr>
        <w:pStyle w:val="NormPara"/>
        <w:ind w:firstLine="270"/>
        <w:rPr>
          <w:i/>
          <w:iCs/>
          <w:sz w:val="20"/>
        </w:rPr>
      </w:pPr>
      <w:r w:rsidRPr="007F73AB">
        <w:rPr>
          <w:color w:val="000000"/>
          <w:sz w:val="20"/>
        </w:rPr>
        <w:tab/>
      </w:r>
      <w:r w:rsidRPr="007F73AB">
        <w:rPr>
          <w:sz w:val="20"/>
        </w:rPr>
        <w:t xml:space="preserve">In 1987 Puthoff examined this further in an SED context. His conclusion carries unusual significance. It reads: </w:t>
      </w:r>
      <w:r w:rsidRPr="007F73AB">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7F73AB">
        <w:rPr>
          <w:sz w:val="20"/>
        </w:rPr>
        <w:t xml:space="preserve"> [12]. Thus </w:t>
      </w:r>
      <w:r w:rsidR="008677B0">
        <w:rPr>
          <w:sz w:val="20"/>
        </w:rPr>
        <w:t xml:space="preserve">it appears that </w:t>
      </w:r>
      <w:r w:rsidRPr="007F73AB">
        <w:rPr>
          <w:sz w:val="20"/>
        </w:rPr>
        <w:t>the very existence of atomic structures depends on this</w:t>
      </w:r>
      <w:r w:rsidR="008A12AD">
        <w:rPr>
          <w:sz w:val="20"/>
        </w:rPr>
        <w:t xml:space="preserve"> seething sea of</w:t>
      </w:r>
      <w:r w:rsidRPr="007F73AB">
        <w:rPr>
          <w:sz w:val="20"/>
        </w:rPr>
        <w:t xml:space="preserve"> ZPE</w:t>
      </w:r>
      <w:r w:rsidR="008A12AD">
        <w:rPr>
          <w:sz w:val="20"/>
        </w:rPr>
        <w:t xml:space="preserve"> to maintain them. </w:t>
      </w:r>
      <w:r w:rsidRPr="007F73AB">
        <w:rPr>
          <w:sz w:val="20"/>
        </w:rPr>
        <w:t xml:space="preserve">Without </w:t>
      </w:r>
      <w:r w:rsidR="008A12AD">
        <w:rPr>
          <w:sz w:val="20"/>
        </w:rPr>
        <w:t>the ZPE</w:t>
      </w:r>
      <w:r w:rsidRPr="007F73AB">
        <w:rPr>
          <w:sz w:val="20"/>
        </w:rPr>
        <w:t xml:space="preserve">, all matter in the cosmos would collapse. </w:t>
      </w:r>
      <w:proofErr w:type="gramStart"/>
      <w:r w:rsidRPr="007F73AB">
        <w:rPr>
          <w:sz w:val="20"/>
        </w:rPr>
        <w:t xml:space="preserve">Articles in </w:t>
      </w:r>
      <w:r w:rsidR="008677B0">
        <w:rPr>
          <w:sz w:val="20"/>
        </w:rPr>
        <w:t>“</w:t>
      </w:r>
      <w:r w:rsidRPr="007F73AB">
        <w:rPr>
          <w:sz w:val="20"/>
        </w:rPr>
        <w:t>New Scientist</w:t>
      </w:r>
      <w:r w:rsidR="008677B0">
        <w:rPr>
          <w:sz w:val="20"/>
        </w:rPr>
        <w:t>”</w:t>
      </w:r>
      <w:r w:rsidRPr="007F73AB">
        <w:rPr>
          <w:sz w:val="20"/>
        </w:rPr>
        <w:t xml:space="preserve"> discussed this in July 1987 and July 1990 under the heading </w:t>
      </w:r>
      <w:r w:rsidRPr="007F73AB">
        <w:rPr>
          <w:i/>
          <w:iCs/>
          <w:sz w:val="20"/>
        </w:rPr>
        <w:t>“Why atoms don’t collapse.”</w:t>
      </w:r>
      <w:proofErr w:type="gramEnd"/>
      <w:r w:rsidRPr="007F73AB">
        <w:rPr>
          <w:i/>
          <w:iCs/>
          <w:sz w:val="20"/>
        </w:rPr>
        <w:t xml:space="preserve"> </w:t>
      </w:r>
    </w:p>
    <w:p w:rsidR="00EE535C" w:rsidRPr="007F73AB" w:rsidRDefault="00EE535C" w:rsidP="00EE535C">
      <w:pPr>
        <w:pStyle w:val="NormPara"/>
        <w:ind w:firstLine="270"/>
        <w:rPr>
          <w:i/>
          <w:iCs/>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Puthoff’s equations also demonstrate that the ZPE controls the angular momentum in atomic orbits. This appears in the equation of angular momentum as the </w:t>
      </w:r>
      <w:proofErr w:type="gramStart"/>
      <w:r w:rsidRPr="007F73AB">
        <w:rPr>
          <w:rFonts w:ascii="Book Antiqua" w:hAnsi="Book Antiqua"/>
          <w:sz w:val="20"/>
        </w:rPr>
        <w:t xml:space="preserve">quantity </w:t>
      </w:r>
      <m:oMath>
        <w:proofErr w:type="gramEnd"/>
        <m:r>
          <w:rPr>
            <w:rFonts w:ascii="Cambria Math" w:hAnsi="Cambria Math"/>
            <w:sz w:val="18"/>
            <w:szCs w:val="18"/>
          </w:rPr>
          <m:t>h</m:t>
        </m:r>
      </m:oMath>
      <w:r w:rsidRPr="007F73AB">
        <w:rPr>
          <w:rFonts w:ascii="Book Antiqua" w:hAnsi="Book Antiqua"/>
          <w:sz w:val="20"/>
        </w:rPr>
        <w:t xml:space="preserve">, or Planck’s constant. As the ZPE strength increases with time, so, too, does the numerical value </w:t>
      </w:r>
      <w:proofErr w:type="gramStart"/>
      <w:r w:rsidRPr="007F73AB">
        <w:rPr>
          <w:rFonts w:ascii="Book Antiqua" w:hAnsi="Book Antiqua"/>
          <w:sz w:val="20"/>
        </w:rPr>
        <w:t xml:space="preserve">of </w:t>
      </w:r>
      <m:oMath>
        <w:proofErr w:type="gramEnd"/>
        <m:r>
          <w:rPr>
            <w:rFonts w:ascii="Cambria Math" w:hAnsi="Cambria Math"/>
            <w:sz w:val="18"/>
            <w:szCs w:val="18"/>
          </w:rPr>
          <m:t>h</m:t>
        </m:r>
      </m:oMath>
      <w:r w:rsidRPr="007F73AB">
        <w:rPr>
          <w:rFonts w:ascii="Book Antiqua" w:hAnsi="Book Antiqua"/>
          <w:sz w:val="20"/>
        </w:rPr>
        <w:t>, and with it the angular momentum of every atomic orbit. This means that atomic orbits gain energy as the ZPE strength increases. However, it has been long established that electron orbits resist changes until a threshold of energy has been passed.  What is happening is that the mass</w:t>
      </w:r>
      <w:proofErr w:type="gramStart"/>
      <w:r w:rsidRPr="007F73AB">
        <w:rPr>
          <w:rFonts w:ascii="Book Antiqua" w:hAnsi="Book Antiqua"/>
          <w:sz w:val="20"/>
        </w:rPr>
        <w:t xml:space="preserve">, </w:t>
      </w:r>
      <m:oMath>
        <w:proofErr w:type="gramEnd"/>
        <m:r>
          <w:rPr>
            <w:rFonts w:ascii="Cambria Math" w:hAnsi="Cambria Math"/>
            <w:sz w:val="18"/>
            <w:szCs w:val="18"/>
          </w:rPr>
          <m:t>m</m:t>
        </m:r>
      </m:oMath>
      <w:r w:rsidRPr="007F73AB">
        <w:rPr>
          <w:rFonts w:ascii="Book Antiqua" w:hAnsi="Book Antiqua"/>
          <w:sz w:val="20"/>
        </w:rPr>
        <w:t>, of the electron is steadily increasing as the ZPE strength increases. Since the kinetic energy of the electron is conserved with these changes, and since this energy is equal to</w:t>
      </w:r>
      <m:oMath>
        <m:r>
          <w:rPr>
            <w:rFonts w:ascii="Cambria Math" w:hAnsi="Book Antiqua"/>
            <w:sz w:val="18"/>
            <w:szCs w:val="18"/>
          </w:rPr>
          <m:t xml:space="preserve"> </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v</m:t>
            </m:r>
          </m:e>
          <m:sup>
            <m:r>
              <w:rPr>
                <w:rFonts w:ascii="Cambria Math" w:hAnsi="Book Antiqua"/>
                <w:sz w:val="18"/>
                <w:szCs w:val="18"/>
              </w:rPr>
              <m:t>2</m:t>
            </m:r>
          </m:sup>
        </m:sSup>
      </m:oMath>
      <w:r w:rsidRPr="007F73AB">
        <w:rPr>
          <w:rFonts w:ascii="Book Antiqua" w:hAnsi="Book Antiqua"/>
          <w:sz w:val="20"/>
        </w:rPr>
        <w:t>, this means that the velocity of the electron in its orbit must decrease. The velocity of the electron decreases until it is too slow to stay in orbit. It then falls</w:t>
      </w:r>
      <w:r w:rsidRPr="007F73AB">
        <w:rPr>
          <w:rFonts w:ascii="Book Antiqua" w:hAnsi="Book Antiqua"/>
          <w:color w:val="000000"/>
          <w:sz w:val="20"/>
        </w:rPr>
        <w:t xml:space="preserve"> towards the nucleus because of electrostatic attraction. This attraction results in an increased acceleration which means that it picks up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As its speed</w:t>
      </w:r>
      <w:proofErr w:type="gramStart"/>
      <w:r w:rsidRPr="007F73AB">
        <w:rPr>
          <w:rFonts w:ascii="Book Antiqua" w:hAnsi="Book Antiqua"/>
          <w:color w:val="000000"/>
          <w:sz w:val="20"/>
        </w:rPr>
        <w:t xml:space="preserve">, </w:t>
      </w:r>
      <m:oMath>
        <w:proofErr w:type="gramEnd"/>
        <m:r>
          <w:rPr>
            <w:rFonts w:ascii="Cambria Math" w:hAnsi="Cambria Math" w:cs="Courier New"/>
            <w:color w:val="000000"/>
            <w:sz w:val="18"/>
            <w:szCs w:val="18"/>
          </w:rPr>
          <m:t>v</m:t>
        </m:r>
      </m:oMath>
      <w:r w:rsidRPr="007F73AB">
        <w:rPr>
          <w:rFonts w:ascii="Book Antiqua" w:hAnsi="Book Antiqua"/>
          <w:color w:val="000000"/>
          <w:sz w:val="20"/>
        </w:rPr>
        <w:t xml:space="preserve">, increases, since it now has a greater mass, </w:t>
      </w:r>
      <m:oMath>
        <m:r>
          <w:rPr>
            <w:rFonts w:ascii="Cambria Math" w:hAnsi="Cambria Math" w:cs="Courier New"/>
            <w:color w:val="000000"/>
            <w:sz w:val="18"/>
            <w:szCs w:val="18"/>
          </w:rPr>
          <m:t>m</m:t>
        </m:r>
      </m:oMath>
      <w:r w:rsidRPr="007F73AB">
        <w:rPr>
          <w:rFonts w:ascii="Book Antiqua" w:hAnsi="Book Antiqua"/>
          <w:color w:val="000000"/>
          <w:sz w:val="20"/>
        </w:rPr>
        <w:t xml:space="preserve">, and greater value for </w:t>
      </w:r>
      <m:oMath>
        <m:r>
          <w:rPr>
            <w:rFonts w:ascii="Cambria Math" w:hAnsi="Cambria Math" w:cs="Courier New"/>
            <w:color w:val="000000"/>
            <w:sz w:val="18"/>
            <w:szCs w:val="18"/>
          </w:rPr>
          <m:t>h</m:t>
        </m:r>
      </m:oMath>
      <w:r w:rsidRPr="007F73AB">
        <w:rPr>
          <w:rFonts w:ascii="Book Antiqua" w:hAnsi="Book Antiqua"/>
          <w:color w:val="000000"/>
          <w:sz w:val="20"/>
        </w:rPr>
        <w:t>, it now has more energy than in its previous orbit. For this reason, the ZPE must build up to a certain level to force the electron to go to an orbit</w:t>
      </w:r>
      <w:r w:rsidRPr="007F73AB">
        <w:rPr>
          <w:rFonts w:ascii="Book Antiqua" w:hAnsi="Book Antiqua"/>
          <w:sz w:val="20"/>
        </w:rPr>
        <w:t xml:space="preserve"> with numerically higher energy. Because the ZPE is the same throughout the universe, all atoms will jump to a higher energy state at the same time.  Since the </w:t>
      </w:r>
      <w:r w:rsidR="00AE6E0F">
        <w:rPr>
          <w:rFonts w:ascii="Book Antiqua" w:hAnsi="Book Antiqua"/>
          <w:sz w:val="20"/>
        </w:rPr>
        <w:t xml:space="preserve">electron orbitals in </w:t>
      </w:r>
      <w:r w:rsidRPr="007F73AB">
        <w:rPr>
          <w:rFonts w:ascii="Book Antiqua" w:hAnsi="Book Antiqua"/>
          <w:sz w:val="20"/>
        </w:rPr>
        <w:t xml:space="preserve">atoms do not change gradually, along with the ZPE, but resist change until a jump is forced upon them, we refer to these specific energy values as being “quantized.”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Any atom of any element can emit light.  Visible light is a small part of the entire electromagnetic spectrum.  The wavelengths go from ‘long and lazy’ to very short and very energetic.  In the color spectrum, the red end has the longer and less energetic wavelengths while the blue end has the shorter and more energetic wavelengths.  An atom emits light when an electron is forced out of its proper place in regard to the nucleus and then snaps back into that place.  The energy it took to force it out is released when it snaps back – and it is released</w:t>
      </w:r>
      <w:r w:rsidR="008677B0">
        <w:rPr>
          <w:rFonts w:ascii="Book Antiqua" w:hAnsi="Book Antiqua"/>
          <w:sz w:val="20"/>
        </w:rPr>
        <w:t>,</w:t>
      </w:r>
      <w:r w:rsidRPr="007F73AB">
        <w:rPr>
          <w:rFonts w:ascii="Book Antiqua" w:hAnsi="Book Antiqua"/>
          <w:sz w:val="20"/>
        </w:rPr>
        <w:t xml:space="preserve"> or emitted</w:t>
      </w:r>
      <w:r w:rsidR="008677B0">
        <w:rPr>
          <w:rFonts w:ascii="Book Antiqua" w:hAnsi="Book Antiqua"/>
          <w:sz w:val="20"/>
        </w:rPr>
        <w:t>,</w:t>
      </w:r>
      <w:r w:rsidRPr="007F73AB">
        <w:rPr>
          <w:rFonts w:ascii="Book Antiqua" w:hAnsi="Book Antiqua"/>
          <w:sz w:val="20"/>
        </w:rPr>
        <w:t xml:space="preserve"> as a photon of light.  Light from any element can be identified because each element emits light with its own distinct signature. The emission results in a particular pattern of lines at specific places on the spectrum. For bright lines of specific colors, it is called an emission </w:t>
      </w:r>
      <w:r w:rsidRPr="007F73AB">
        <w:rPr>
          <w:rFonts w:ascii="Book Antiqua" w:hAnsi="Book Antiqua"/>
          <w:sz w:val="20"/>
        </w:rPr>
        <w:lastRenderedPageBreak/>
        <w:t xml:space="preserve">spectrum. For dark lines in the same position, it is </w:t>
      </w:r>
      <w:r w:rsidR="008677B0">
        <w:rPr>
          <w:rFonts w:ascii="Book Antiqua" w:hAnsi="Book Antiqua"/>
          <w:sz w:val="20"/>
        </w:rPr>
        <w:t xml:space="preserve">called </w:t>
      </w:r>
      <w:r w:rsidRPr="007F73AB">
        <w:rPr>
          <w:rFonts w:ascii="Book Antiqua" w:hAnsi="Book Antiqua"/>
          <w:sz w:val="20"/>
        </w:rPr>
        <w:t>an absorption spectrum. The result is something like the bar codes we see on products.  In the same way a bar code identifies the product, the series of bright (or dark) lines identifies the element which released the light.  This is how we know what elements are in stars. For example, the 'bar-codes' or 'spectral lines' of hydrogen, helium, mercury and uranium are illustrated in Figure 5. These are emission lines.</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190725" cy="3226446"/>
            <wp:effectExtent l="19050" t="0" r="0" b="0"/>
            <wp:docPr id="371"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5202838" cy="323397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b/>
          <w:i/>
          <w:sz w:val="18"/>
          <w:szCs w:val="18"/>
        </w:rPr>
      </w:pPr>
      <w:r w:rsidRPr="00262DE1">
        <w:rPr>
          <w:rFonts w:ascii="Book Antiqua" w:hAnsi="Book Antiqua"/>
          <w:b/>
          <w:i/>
          <w:sz w:val="18"/>
          <w:szCs w:val="18"/>
        </w:rPr>
        <w:t>Figure 5:</w:t>
      </w:r>
      <w:r w:rsidRPr="00F479C6">
        <w:rPr>
          <w:rFonts w:ascii="Book Antiqua" w:hAnsi="Book Antiqua"/>
          <w:i/>
          <w:sz w:val="18"/>
          <w:szCs w:val="18"/>
        </w:rPr>
        <w:t xml:space="preserve"> The characteristic spectral lines of hydrogen, helium, mercury and uranium (going from top to bottom). These are spectral lines in which an atom has emitted the light of a given wavelength. The corresponding black spectral lines for the same element occur at the same place in the rainbow spectrum, but are dark because the same atom has absorbed light of the same wavelength.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Here on earth there is a standard for each of the ‘bar codes’ produced by light from the various elements.  However, the farther out in space we go, the more these identifiable bar codes become shifted to the red end of the spectrum.  The same patterns exist, so we know what the elements are, but they are not at the ‘right’ place on the color spectrum. They are shifted towards the red end of the spectrum as shown in Figure 6 for absorption lines.</w:t>
      </w:r>
    </w:p>
    <w:p w:rsidR="00CE0014" w:rsidRDefault="00CE0014" w:rsidP="004D4E88">
      <w:pPr>
        <w:pStyle w:val="Els-body-text"/>
        <w:ind w:firstLine="720"/>
        <w:rPr>
          <w:rFonts w:ascii="Book Antiqua" w:hAnsi="Book Antiqua"/>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The standard explanation for this “redshift,” or longer wavelength for a given line, is that the universe is expanding at an ever-faster rate and so the result is a stretching out of the light waves.  Since the length </w:t>
      </w:r>
      <w:r w:rsidR="004D4E88" w:rsidRPr="007F73AB">
        <w:rPr>
          <w:rFonts w:ascii="Book Antiqua" w:hAnsi="Book Antiqua"/>
        </w:rPr>
        <w:t>of the waves determines the color they produce, the theory is that this stretching then produces longer and longer waves the farther out we see, and thus redder and redder shifts.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076825" cy="1200150"/>
            <wp:effectExtent l="19050" t="0" r="9525" b="0"/>
            <wp:docPr id="370"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a:off x="0" y="0"/>
                      <a:ext cx="5076825" cy="1200150"/>
                    </a:xfrm>
                    <a:prstGeom prst="rect">
                      <a:avLst/>
                    </a:prstGeom>
                    <a:noFill/>
                    <a:ln w="9525">
                      <a:noFill/>
                      <a:miter lim="800000"/>
                      <a:headEnd/>
                      <a:tailEnd/>
                    </a:ln>
                  </pic:spPr>
                </pic:pic>
              </a:graphicData>
            </a:graphic>
          </wp:inline>
        </w:drawing>
      </w:r>
    </w:p>
    <w:p w:rsidR="00EE535C" w:rsidRPr="007F73AB" w:rsidRDefault="00EE535C" w:rsidP="00EE535C">
      <w:pPr>
        <w:pStyle w:val="NoSpacing"/>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6:</w:t>
      </w:r>
      <w:r w:rsidRPr="00F479C6">
        <w:rPr>
          <w:rFonts w:ascii="Book Antiqua" w:hAnsi="Book Antiqua"/>
          <w:i/>
          <w:sz w:val="18"/>
          <w:szCs w:val="18"/>
        </w:rPr>
        <w:t xml:space="preserve"> The shifting of spectral lines towards the red end of the spectrum is called the redshift. Essentially it is a longer wavelength for a given line. </w:t>
      </w:r>
    </w:p>
    <w:p w:rsidR="006919E5" w:rsidRPr="007F73AB" w:rsidRDefault="006919E5" w:rsidP="00EE535C">
      <w:pPr>
        <w:pStyle w:val="NoSpacing"/>
        <w:rPr>
          <w:rFonts w:ascii="Book Antiqua" w:hAnsi="Book Antiqua"/>
          <w:sz w:val="18"/>
          <w:szCs w:val="18"/>
        </w:rPr>
      </w:pPr>
    </w:p>
    <w:p w:rsidR="00EE535C" w:rsidRPr="007F73AB" w:rsidRDefault="00EE535C" w:rsidP="004D4E88">
      <w:pPr>
        <w:pStyle w:val="NoSpacing"/>
        <w:jc w:val="both"/>
        <w:rPr>
          <w:rFonts w:ascii="Book Antiqua" w:hAnsi="Book Antiqua"/>
          <w:sz w:val="20"/>
        </w:rPr>
      </w:pPr>
      <w:r w:rsidRPr="007F73AB">
        <w:rPr>
          <w:rFonts w:ascii="Book Antiqua" w:hAnsi="Book Antiqua"/>
          <w:sz w:val="20"/>
        </w:rPr>
        <w:t xml:space="preserve">.  </w:t>
      </w:r>
      <w:r w:rsidR="004D4E88" w:rsidRPr="007F73AB">
        <w:rPr>
          <w:rFonts w:ascii="Book Antiqua" w:hAnsi="Book Antiqua"/>
          <w:sz w:val="20"/>
        </w:rPr>
        <w:tab/>
      </w:r>
      <w:r w:rsidRPr="007F73AB">
        <w:rPr>
          <w:rFonts w:ascii="Book Antiqua" w:hAnsi="Book Antiqua"/>
          <w:sz w:val="20"/>
        </w:rPr>
        <w:t>There are problems with this theory.  If the fabric of space itself were stretching, thus lengthening out the light waves themselves, as shown in Figure 7, then the black lines</w:t>
      </w:r>
      <w:r w:rsidR="00CE0014">
        <w:rPr>
          <w:rFonts w:ascii="Book Antiqua" w:hAnsi="Book Antiqua"/>
          <w:sz w:val="20"/>
        </w:rPr>
        <w:t xml:space="preserve"> (or bright lines)</w:t>
      </w:r>
      <w:r w:rsidRPr="007F73AB">
        <w:rPr>
          <w:rFonts w:ascii="Book Antiqua" w:hAnsi="Book Antiqua"/>
          <w:sz w:val="20"/>
        </w:rPr>
        <w:t xml:space="preserve"> in the ‘bar codes’ should also become wider and perhaps fuzzier in appearance.  This does not happen; the</w:t>
      </w:r>
      <w:r w:rsidR="00CE0014">
        <w:rPr>
          <w:rFonts w:ascii="Book Antiqua" w:hAnsi="Book Antiqua"/>
          <w:sz w:val="20"/>
        </w:rPr>
        <w:t>se</w:t>
      </w:r>
      <w:r w:rsidRPr="007F73AB">
        <w:rPr>
          <w:rFonts w:ascii="Book Antiqua" w:hAnsi="Book Antiqua"/>
          <w:sz w:val="20"/>
        </w:rPr>
        <w:t xml:space="preserve"> lines remain thin and sharp regardless of distance.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33800" cy="2257425"/>
            <wp:effectExtent l="19050" t="0" r="0" b="0"/>
            <wp:docPr id="409"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a:stretch>
                      <a:fillRect/>
                    </a:stretch>
                  </pic:blipFill>
                  <pic:spPr bwMode="auto">
                    <a:xfrm>
                      <a:off x="0" y="0"/>
                      <a:ext cx="3733800" cy="2257425"/>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20"/>
        </w:rPr>
      </w:pPr>
      <w:r w:rsidRPr="00262DE1">
        <w:rPr>
          <w:rFonts w:ascii="Book Antiqua" w:hAnsi="Book Antiqua"/>
          <w:b/>
          <w:i/>
          <w:sz w:val="18"/>
          <w:szCs w:val="18"/>
        </w:rPr>
        <w:t>Figure 7:</w:t>
      </w:r>
      <w:r w:rsidRPr="00F479C6">
        <w:rPr>
          <w:rFonts w:ascii="Book Antiqua" w:hAnsi="Book Antiqua"/>
          <w:i/>
          <w:sz w:val="18"/>
          <w:szCs w:val="18"/>
        </w:rPr>
        <w:t xml:space="preserve"> In the top diagram, a wave is drawn on a piece of unstretched elastic fabric. Then in the bottom diagram, the fabric is stretched. As it does so, the wavelength is stretched proportionally. This is how it is proposed that expanding the fabric of space causes the redshift. The problem is that this would also broaden the </w:t>
      </w:r>
      <w:r w:rsidR="00C12558" w:rsidRPr="00F479C6">
        <w:rPr>
          <w:rFonts w:ascii="Book Antiqua" w:hAnsi="Book Antiqua"/>
          <w:i/>
          <w:sz w:val="18"/>
          <w:szCs w:val="18"/>
        </w:rPr>
        <w:t xml:space="preserve">elemental </w:t>
      </w:r>
      <w:r w:rsidRPr="00F479C6">
        <w:rPr>
          <w:rFonts w:ascii="Book Antiqua" w:hAnsi="Book Antiqua"/>
          <w:i/>
          <w:sz w:val="18"/>
          <w:szCs w:val="18"/>
        </w:rPr>
        <w:t xml:space="preserve">spectral lines </w:t>
      </w:r>
      <w:r w:rsidR="00C12558" w:rsidRPr="00F479C6">
        <w:rPr>
          <w:rFonts w:ascii="Book Antiqua" w:hAnsi="Book Antiqua"/>
          <w:i/>
          <w:sz w:val="18"/>
          <w:szCs w:val="18"/>
        </w:rPr>
        <w:t>(whether black or colored),</w:t>
      </w:r>
      <w:r w:rsidRPr="00F479C6">
        <w:rPr>
          <w:rFonts w:ascii="Book Antiqua" w:hAnsi="Book Antiqua"/>
          <w:i/>
          <w:sz w:val="18"/>
          <w:szCs w:val="18"/>
        </w:rPr>
        <w:t xml:space="preserve"> but they stay thin</w:t>
      </w:r>
      <w:r w:rsidRPr="00F479C6">
        <w:rPr>
          <w:rFonts w:ascii="Book Antiqua" w:hAnsi="Book Antiqua"/>
          <w:i/>
          <w:sz w:val="20"/>
        </w:rPr>
        <w:t>.</w:t>
      </w:r>
    </w:p>
    <w:p w:rsidR="00947595" w:rsidRPr="007F73AB" w:rsidRDefault="00947595" w:rsidP="00EE535C">
      <w:pPr>
        <w:pStyle w:val="NoSpacing"/>
        <w:ind w:firstLine="720"/>
        <w:jc w:val="both"/>
        <w:rPr>
          <w:rFonts w:ascii="Book Antiqua" w:hAnsi="Book Antiqua"/>
          <w:sz w:val="20"/>
        </w:rPr>
      </w:pPr>
    </w:p>
    <w:p w:rsidR="00CE0014" w:rsidRPr="007F73AB" w:rsidRDefault="00CE0014" w:rsidP="00CE0014">
      <w:pPr>
        <w:pStyle w:val="NoSpacing"/>
        <w:ind w:firstLine="720"/>
        <w:jc w:val="both"/>
        <w:rPr>
          <w:rFonts w:ascii="Book Antiqua" w:hAnsi="Book Antiqua"/>
          <w:sz w:val="20"/>
        </w:rPr>
      </w:pPr>
      <w:r w:rsidRPr="007F73AB">
        <w:rPr>
          <w:rFonts w:ascii="Book Antiqua" w:hAnsi="Book Antiqua"/>
          <w:sz w:val="20"/>
        </w:rPr>
        <w:t>In addition, if the redshift were due to the universe stretching, the measurements should show a smooth progression toward the red end of the spectrum.  But that is not what the astronomer William Tifft discovered. Others, who initially disagreed with him, later ended up supporting something he found:  the measurements of the redshift are quantized [13].  They come in groups, with jumps in between.  If we consider the reaction of atoms to an increasing ZPE, we can see why this happens.  It has nothing to do with any universal expansion at all. When the atom reacts to the change in the ZPE by shifting to a higher energy state for each orbit, the light it emits is more energetic (when electrons jump from one orbit to another), and hence bluer, than before. Therefore, as we go back in time to a lower ZPE strength, the light emitted from atoms would be redder or less energetic. Furthermore, this would occur in steps or be “quantized.” Astronomy sees precisely this phenomenon, a quantized redshift. Space would be expected to expand smoothly and uniformly, not in jumps. So the quantized redshift is further evidence against th</w:t>
      </w:r>
      <w:r w:rsidR="00C12558">
        <w:rPr>
          <w:rFonts w:ascii="Book Antiqua" w:hAnsi="Book Antiqua"/>
          <w:sz w:val="20"/>
        </w:rPr>
        <w:t>e standard</w:t>
      </w:r>
      <w:r w:rsidRPr="007F73AB">
        <w:rPr>
          <w:rFonts w:ascii="Book Antiqua" w:hAnsi="Book Antiqua"/>
          <w:sz w:val="20"/>
        </w:rPr>
        <w:t xml:space="preserve"> explanation.</w:t>
      </w:r>
    </w:p>
    <w:p w:rsidR="00CE0014" w:rsidRDefault="00CE0014"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other alternative explanation of the redshift is that it is due to a Doppler effect of the galaxies themselves racing away from each other. The further away a galaxy is, the faster it is moving away from us. The effect is shown in Fig. 8.</w:t>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5625419" cy="1275550"/>
            <wp:effectExtent l="19050" t="0" r="0" b="0"/>
            <wp:docPr id="408" name="il_fi" descr="http://astro.unl.edu/naap/esp/graphics/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unl.edu/naap/esp/graphics/doppler.png"/>
                    <pic:cNvPicPr>
                      <a:picLocks noChangeAspect="1" noChangeArrowheads="1"/>
                    </pic:cNvPicPr>
                  </pic:nvPicPr>
                  <pic:blipFill>
                    <a:blip r:embed="rId19" cstate="print"/>
                    <a:srcRect/>
                    <a:stretch>
                      <a:fillRect/>
                    </a:stretch>
                  </pic:blipFill>
                  <pic:spPr bwMode="auto">
                    <a:xfrm>
                      <a:off x="0" y="0"/>
                      <a:ext cx="5648135" cy="1280701"/>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8:</w:t>
      </w:r>
      <w:r w:rsidRPr="00F479C6">
        <w:rPr>
          <w:rFonts w:ascii="Book Antiqua" w:hAnsi="Book Antiqua"/>
          <w:i/>
          <w:sz w:val="18"/>
          <w:szCs w:val="18"/>
        </w:rPr>
        <w:t xml:space="preserve"> The Doppler </w:t>
      </w:r>
      <w:proofErr w:type="gramStart"/>
      <w:r w:rsidRPr="00F479C6">
        <w:rPr>
          <w:rFonts w:ascii="Book Antiqua" w:hAnsi="Book Antiqua"/>
          <w:i/>
          <w:sz w:val="18"/>
          <w:szCs w:val="18"/>
        </w:rPr>
        <w:t>effect</w:t>
      </w:r>
      <w:proofErr w:type="gramEnd"/>
      <w:r w:rsidRPr="00F479C6">
        <w:rPr>
          <w:rFonts w:ascii="Book Antiqua" w:hAnsi="Book Antiqua"/>
          <w:i/>
          <w:sz w:val="18"/>
          <w:szCs w:val="18"/>
        </w:rPr>
        <w:t>. Light waves coming forward from a moving source ‘bunch up’ ahead of it and are shortened. Light waves moving back from the source trail out behind and are lengthened - giving a redshift.</w:t>
      </w:r>
    </w:p>
    <w:p w:rsidR="00EE535C" w:rsidRPr="007F73AB" w:rsidRDefault="00EE535C" w:rsidP="00EE535C">
      <w:pPr>
        <w:pStyle w:val="NoSpacing"/>
        <w:jc w:val="both"/>
        <w:rPr>
          <w:rFonts w:ascii="Book Antiqua" w:hAnsi="Book Antiqua"/>
          <w:sz w:val="20"/>
        </w:rPr>
      </w:pPr>
      <w:r w:rsidRPr="007F73AB">
        <w:rPr>
          <w:rFonts w:ascii="Book Antiqua" w:hAnsi="Book Antiqua"/>
          <w:sz w:val="20"/>
        </w:rPr>
        <w:lastRenderedPageBreak/>
        <w:t xml:space="preserve">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In considering the validity of the Doppler shift proposal, Tifft also pointed out that the quantum jump in the redshift sometimes went right through individual galaxies</w:t>
      </w:r>
      <w:r w:rsidR="00A604C4">
        <w:rPr>
          <w:rFonts w:ascii="Book Antiqua" w:hAnsi="Book Antiqua"/>
          <w:sz w:val="20"/>
        </w:rPr>
        <w:t xml:space="preserve"> [14-16]</w:t>
      </w:r>
      <w:r w:rsidRPr="007F73AB">
        <w:rPr>
          <w:rFonts w:ascii="Book Antiqua" w:hAnsi="Book Antiqua"/>
          <w:sz w:val="20"/>
        </w:rPr>
        <w:t xml:space="preserve">. But a jump in redshift is </w:t>
      </w:r>
      <w:r w:rsidR="00B82CBB">
        <w:rPr>
          <w:rFonts w:ascii="Book Antiqua" w:hAnsi="Book Antiqua"/>
          <w:sz w:val="20"/>
        </w:rPr>
        <w:t xml:space="preserve">often considered to be </w:t>
      </w:r>
      <w:r w:rsidRPr="007F73AB">
        <w:rPr>
          <w:rFonts w:ascii="Book Antiqua" w:hAnsi="Book Antiqua"/>
          <w:sz w:val="20"/>
        </w:rPr>
        <w:t xml:space="preserve">a jump in speed away from the observer. So in these cases where the redshift jump goes through the middle of a galaxy, </w:t>
      </w:r>
      <w:r w:rsidR="00810634">
        <w:rPr>
          <w:rFonts w:ascii="Book Antiqua" w:hAnsi="Book Antiqua"/>
          <w:sz w:val="20"/>
        </w:rPr>
        <w:t>any</w:t>
      </w:r>
      <w:r w:rsidRPr="007F73AB">
        <w:rPr>
          <w:rFonts w:ascii="Book Antiqua" w:hAnsi="Book Antiqua"/>
          <w:sz w:val="20"/>
        </w:rPr>
        <w:t xml:space="preserve"> change in speed between the two halves of the galaxy would tear the galaxy apart</w:t>
      </w:r>
      <w:r w:rsidR="00D27351">
        <w:rPr>
          <w:rFonts w:ascii="Book Antiqua" w:hAnsi="Book Antiqua"/>
          <w:sz w:val="20"/>
        </w:rPr>
        <w:t>. There is no</w:t>
      </w:r>
      <w:r w:rsidRPr="007F73AB">
        <w:rPr>
          <w:rFonts w:ascii="Book Antiqua" w:hAnsi="Book Antiqua"/>
          <w:sz w:val="20"/>
        </w:rPr>
        <w:t xml:space="preserve"> evidence of disruption</w:t>
      </w:r>
      <w:r w:rsidR="00D27351">
        <w:rPr>
          <w:rFonts w:ascii="Book Antiqua" w:hAnsi="Book Antiqua"/>
          <w:sz w:val="20"/>
        </w:rPr>
        <w:t xml:space="preserve"> occurring in those galaxies</w:t>
      </w:r>
      <w:r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In addition, if the redshift was </w:t>
      </w:r>
      <w:r w:rsidR="00810634">
        <w:rPr>
          <w:rFonts w:ascii="Book Antiqua" w:hAnsi="Book Antiqua"/>
          <w:sz w:val="20"/>
        </w:rPr>
        <w:t xml:space="preserve">due to the </w:t>
      </w:r>
      <w:r w:rsidRPr="007F73AB">
        <w:rPr>
          <w:rFonts w:ascii="Book Antiqua" w:hAnsi="Book Antiqua"/>
          <w:sz w:val="20"/>
        </w:rPr>
        <w:t xml:space="preserve">Doppler effect of galaxies moving away from each other, then that means that motion of the galaxies would also have to be quantized. This means that galaxy motions would be like cars moving down a highway only at multiples of, say, 10 miles per hour. In other words, even if the accelerator was flat to the boards, the car would only travel at 10 mph, then 20, then 30, then 40, etc, and no other speed. This is impossible. </w:t>
      </w:r>
      <w:r w:rsidR="00810634">
        <w:rPr>
          <w:rFonts w:ascii="Book Antiqua" w:hAnsi="Book Antiqua"/>
          <w:sz w:val="20"/>
        </w:rPr>
        <w:t>T</w:t>
      </w:r>
      <w:r w:rsidRPr="007F73AB">
        <w:rPr>
          <w:rFonts w:ascii="Book Antiqua" w:hAnsi="Book Antiqua"/>
          <w:sz w:val="20"/>
        </w:rPr>
        <w:t xml:space="preserve">he conclusion is that the redshift is not due to galaxy motion, space expansion or a Doppler effect. </w:t>
      </w:r>
      <w:r w:rsidR="00810634">
        <w:rPr>
          <w:rFonts w:ascii="Book Antiqua" w:hAnsi="Book Antiqua"/>
          <w:sz w:val="20"/>
        </w:rPr>
        <w:t>(</w:t>
      </w:r>
      <w:r w:rsidRPr="007F73AB">
        <w:rPr>
          <w:rFonts w:ascii="Book Antiqua" w:hAnsi="Book Antiqua"/>
          <w:sz w:val="20"/>
        </w:rPr>
        <w:t xml:space="preserve">Note that there are genuine Doppler effects. Appendix C </w:t>
      </w:r>
      <w:r w:rsidR="0063736F">
        <w:rPr>
          <w:rFonts w:ascii="Book Antiqua" w:hAnsi="Book Antiqua"/>
          <w:sz w:val="20"/>
        </w:rPr>
        <w:t>discusses these when the ZPE changes, and the effect</w:t>
      </w:r>
      <w:r w:rsidRPr="007F73AB">
        <w:rPr>
          <w:rFonts w:ascii="Book Antiqua" w:hAnsi="Book Antiqua"/>
          <w:sz w:val="20"/>
        </w:rPr>
        <w:t xml:space="preserve"> on the Doppler equation.</w:t>
      </w:r>
      <w:r w:rsidR="00810634">
        <w:rPr>
          <w:rFonts w:ascii="Book Antiqua" w:hAnsi="Book Antiqua"/>
          <w:sz w:val="20"/>
        </w:rPr>
        <w:t>)</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There is one other observation of importance. Tifft noted that in some areas of the sky, the redshift of some galaxies in that region had actually reduced or got bluer by one quantum jump over a period of 15 years</w:t>
      </w:r>
      <w:r w:rsidR="00A604C4">
        <w:rPr>
          <w:rFonts w:ascii="Book Antiqua" w:hAnsi="Book Antiqua"/>
          <w:sz w:val="20"/>
        </w:rPr>
        <w:t xml:space="preserve"> [13]</w:t>
      </w:r>
      <w:r w:rsidRPr="007F73AB">
        <w:rPr>
          <w:rFonts w:ascii="Book Antiqua" w:hAnsi="Book Antiqua"/>
          <w:sz w:val="20"/>
        </w:rPr>
        <w:t>. This is impossible on an expanding universe proposition</w:t>
      </w:r>
      <w:r w:rsidR="009E42A4">
        <w:rPr>
          <w:rFonts w:ascii="Book Antiqua" w:hAnsi="Book Antiqua"/>
          <w:sz w:val="20"/>
        </w:rPr>
        <w:t>, and even more unlikely if the expansion of the cosmos is accelerating as some cosmologists claim</w:t>
      </w:r>
      <w:r w:rsidRPr="007F73AB">
        <w:rPr>
          <w:rFonts w:ascii="Book Antiqua" w:hAnsi="Book Antiqua"/>
          <w:sz w:val="20"/>
        </w:rPr>
        <w:t>. Even Arp’s explanation</w:t>
      </w:r>
      <w:r w:rsidR="009E42A4">
        <w:rPr>
          <w:rFonts w:ascii="Book Antiqua" w:hAnsi="Book Antiqua"/>
          <w:sz w:val="20"/>
        </w:rPr>
        <w:t xml:space="preserve"> of the redshift</w:t>
      </w:r>
      <w:r w:rsidRPr="007F73AB">
        <w:rPr>
          <w:rFonts w:ascii="Book Antiqua" w:hAnsi="Book Antiqua"/>
          <w:sz w:val="20"/>
        </w:rPr>
        <w:t xml:space="preserve"> did not anticipate this. However, it is just what would be expected if the redshift was due to a ZPE that was increasing with time from an initially low value back in the past at the inception of the cosmos.</w:t>
      </w:r>
      <w:r w:rsidR="0024097D">
        <w:rPr>
          <w:rFonts w:ascii="Book Antiqua" w:hAnsi="Book Antiqua"/>
          <w:sz w:val="20"/>
        </w:rPr>
        <w:t xml:space="preserve"> </w:t>
      </w:r>
      <w:r w:rsidR="00810634">
        <w:rPr>
          <w:rFonts w:ascii="Book Antiqua" w:hAnsi="Book Antiqua"/>
          <w:sz w:val="20"/>
        </w:rPr>
        <w:t>The</w:t>
      </w:r>
      <w:r w:rsidR="0024097D">
        <w:rPr>
          <w:rFonts w:ascii="Book Antiqua" w:hAnsi="Book Antiqua"/>
          <w:sz w:val="20"/>
        </w:rPr>
        <w:t xml:space="preserve"> </w:t>
      </w:r>
      <w:r w:rsidR="009E42A4">
        <w:rPr>
          <w:rFonts w:ascii="Book Antiqua" w:hAnsi="Book Antiqua"/>
          <w:sz w:val="20"/>
        </w:rPr>
        <w:t xml:space="preserve">ZPE </w:t>
      </w:r>
      <w:r w:rsidR="0024097D">
        <w:rPr>
          <w:rFonts w:ascii="Book Antiqua" w:hAnsi="Book Antiqua"/>
          <w:sz w:val="20"/>
        </w:rPr>
        <w:t>model predicts some redshifts will actually reduce by one quantum over time.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While other evidence is presented in Chapter 5, these </w:t>
      </w:r>
      <w:r w:rsidR="00810634">
        <w:rPr>
          <w:rFonts w:ascii="Book Antiqua" w:hAnsi="Book Antiqua"/>
          <w:sz w:val="20"/>
        </w:rPr>
        <w:t>observations</w:t>
      </w:r>
      <w:r w:rsidRPr="007F73AB">
        <w:rPr>
          <w:rFonts w:ascii="Book Antiqua" w:hAnsi="Book Antiqua"/>
          <w:sz w:val="20"/>
        </w:rPr>
        <w:t xml:space="preserve"> indicate that the redshift </w:t>
      </w:r>
      <w:r w:rsidR="00810634">
        <w:rPr>
          <w:rFonts w:ascii="Book Antiqua" w:hAnsi="Book Antiqua"/>
          <w:sz w:val="20"/>
        </w:rPr>
        <w:t>is probably</w:t>
      </w:r>
      <w:r w:rsidRPr="007F73AB">
        <w:rPr>
          <w:rFonts w:ascii="Book Antiqua" w:hAnsi="Book Antiqua"/>
          <w:sz w:val="20"/>
        </w:rPr>
        <w:t xml:space="preserve"> a measure of the strength of the ZPE</w:t>
      </w:r>
      <w:r w:rsidR="00810634">
        <w:rPr>
          <w:rFonts w:ascii="Book Antiqua" w:hAnsi="Book Antiqua"/>
          <w:sz w:val="20"/>
        </w:rPr>
        <w:t>;</w:t>
      </w:r>
      <w:r w:rsidRPr="007F73AB">
        <w:rPr>
          <w:rFonts w:ascii="Book Antiqua" w:hAnsi="Book Antiqua"/>
          <w:sz w:val="20"/>
        </w:rPr>
        <w:t xml:space="preserve"> </w:t>
      </w:r>
      <w:r w:rsidR="00810634">
        <w:rPr>
          <w:rFonts w:ascii="Book Antiqua" w:hAnsi="Book Antiqua"/>
          <w:sz w:val="20"/>
        </w:rPr>
        <w:t>t</w:t>
      </w:r>
      <w:r w:rsidRPr="007F73AB">
        <w:rPr>
          <w:rFonts w:ascii="Book Antiqua" w:hAnsi="Book Antiqua"/>
          <w:sz w:val="20"/>
        </w:rPr>
        <w:t xml:space="preserve">he lower the ZPE strength, the redder the light emitted by atoms. </w:t>
      </w:r>
      <w:r w:rsidR="00810634">
        <w:rPr>
          <w:rFonts w:ascii="Book Antiqua" w:hAnsi="Book Antiqua"/>
          <w:sz w:val="20"/>
        </w:rPr>
        <w:t>This means</w:t>
      </w:r>
      <w:r w:rsidRPr="007F73AB">
        <w:rPr>
          <w:rFonts w:ascii="Book Antiqua" w:hAnsi="Book Antiqua"/>
          <w:sz w:val="20"/>
        </w:rPr>
        <w:t xml:space="preserve"> the redshift of most astronomical objects gives us data on ZPE behavior back to the origin of the cosmos. This, then, allows us to accept the usual graph of astronomers of redshift against distance as describing the behavior of the ZPE with both time and distance.</w:t>
      </w:r>
    </w:p>
    <w:p w:rsidR="00EE535C" w:rsidRPr="007F73AB" w:rsidRDefault="00EE535C" w:rsidP="00EE535C">
      <w:pPr>
        <w:pStyle w:val="NoSpacing"/>
        <w:ind w:firstLine="720"/>
        <w:jc w:val="both"/>
        <w:rPr>
          <w:rFonts w:ascii="Book Antiqua" w:hAnsi="Book Antiqua"/>
          <w:sz w:val="20"/>
        </w:rPr>
      </w:pPr>
    </w:p>
    <w:p w:rsidR="00EE535C"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Plasma Physics and the Zero Point Energy</w:t>
      </w:r>
    </w:p>
    <w:p w:rsidR="00E070BB" w:rsidRDefault="00E070BB" w:rsidP="00E070BB">
      <w:pPr>
        <w:pStyle w:val="NoSpacing"/>
        <w:ind w:left="360"/>
        <w:jc w:val="both"/>
        <w:rPr>
          <w:rFonts w:ascii="Book Antiqua" w:hAnsi="Book Antiqua"/>
          <w:b/>
          <w:sz w:val="20"/>
        </w:rPr>
      </w:pPr>
    </w:p>
    <w:p w:rsidR="00E070BB" w:rsidRPr="007F73AB" w:rsidRDefault="00E070BB" w:rsidP="003454BA">
      <w:pPr>
        <w:pStyle w:val="NoSpacing"/>
        <w:ind w:firstLine="720"/>
        <w:jc w:val="both"/>
        <w:rPr>
          <w:rFonts w:ascii="Book Antiqua" w:hAnsi="Book Antiqua"/>
          <w:b/>
          <w:sz w:val="20"/>
        </w:rPr>
      </w:pPr>
      <w:r w:rsidRPr="007F73AB">
        <w:rPr>
          <w:rFonts w:ascii="Book Antiqua" w:hAnsi="Book Antiqua"/>
          <w:sz w:val="20"/>
        </w:rPr>
        <w:t xml:space="preserve">There are three states of matter that </w:t>
      </w:r>
      <w:r w:rsidR="0063736F">
        <w:rPr>
          <w:rFonts w:ascii="Book Antiqua" w:hAnsi="Book Antiqua"/>
          <w:sz w:val="20"/>
        </w:rPr>
        <w:t xml:space="preserve">most </w:t>
      </w:r>
      <w:r w:rsidRPr="007F73AB">
        <w:rPr>
          <w:rFonts w:ascii="Book Antiqua" w:hAnsi="Book Antiqua"/>
          <w:sz w:val="20"/>
        </w:rPr>
        <w:t>are familiar</w:t>
      </w:r>
      <w:r w:rsidR="0063736F">
        <w:rPr>
          <w:rFonts w:ascii="Book Antiqua" w:hAnsi="Book Antiqua"/>
          <w:sz w:val="20"/>
        </w:rPr>
        <w:t xml:space="preserve"> with</w:t>
      </w:r>
      <w:r w:rsidRPr="007F73AB">
        <w:rPr>
          <w:rFonts w:ascii="Book Antiqua" w:hAnsi="Book Antiqua"/>
          <w:sz w:val="20"/>
        </w:rPr>
        <w:t>:  solid, liquid and gas.  But a fourth state of matter</w:t>
      </w:r>
      <w:r w:rsidR="0063736F">
        <w:rPr>
          <w:rFonts w:ascii="Book Antiqua" w:hAnsi="Book Antiqua"/>
          <w:sz w:val="20"/>
        </w:rPr>
        <w:t xml:space="preserve"> also</w:t>
      </w:r>
      <w:r w:rsidRPr="007F73AB">
        <w:rPr>
          <w:rFonts w:ascii="Book Antiqua" w:hAnsi="Book Antiqua"/>
          <w:sz w:val="20"/>
        </w:rPr>
        <w:t xml:space="preserve"> </w:t>
      </w:r>
      <w:r w:rsidR="0063736F">
        <w:rPr>
          <w:rFonts w:ascii="Book Antiqua" w:hAnsi="Book Antiqua"/>
          <w:sz w:val="20"/>
        </w:rPr>
        <w:t>exists</w:t>
      </w:r>
      <w:r w:rsidRPr="007F73AB">
        <w:rPr>
          <w:rFonts w:ascii="Book Antiqua" w:hAnsi="Book Antiqua"/>
          <w:sz w:val="20"/>
        </w:rPr>
        <w:t xml:space="preserve">:  plasma.  </w:t>
      </w:r>
      <w:proofErr w:type="gramStart"/>
      <w:r w:rsidRPr="007F73AB">
        <w:rPr>
          <w:rFonts w:ascii="Book Antiqua" w:hAnsi="Book Antiqua"/>
          <w:sz w:val="20"/>
        </w:rPr>
        <w:t>A plasma</w:t>
      </w:r>
      <w:proofErr w:type="gramEnd"/>
      <w:r w:rsidRPr="007F73AB">
        <w:rPr>
          <w:rFonts w:ascii="Book Antiqua" w:hAnsi="Book Antiqua"/>
          <w:sz w:val="20"/>
        </w:rPr>
        <w:t xml:space="preserve"> is formed when one or more electrons are stripped off atoms in a gas.  An atom with too few electrons is an ion, and carries a positive charge.  The free electrons carry a negative charge. This is illustrated in Figure 9.</w:t>
      </w:r>
      <w:r w:rsidR="00810634">
        <w:rPr>
          <w:rFonts w:ascii="Book Antiqua" w:hAnsi="Book Antiqua"/>
          <w:sz w:val="20"/>
        </w:rPr>
        <w:t xml:space="preserve"> </w:t>
      </w:r>
    </w:p>
    <w:p w:rsidR="00EE535C" w:rsidRPr="007F73AB" w:rsidRDefault="00EE535C" w:rsidP="00EE535C">
      <w:pPr>
        <w:pStyle w:val="NoSpacing"/>
        <w:jc w:val="both"/>
        <w:rPr>
          <w:rFonts w:ascii="Book Antiqua" w:hAnsi="Book Antiqua"/>
          <w:b/>
          <w:sz w:val="20"/>
        </w:rPr>
      </w:pPr>
    </w:p>
    <w:p w:rsidR="00EE535C" w:rsidRPr="007F73AB" w:rsidRDefault="00D44329"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065497" cy="2228370"/>
            <wp:effectExtent l="19050" t="0" r="0" b="0"/>
            <wp:docPr id="1" name="Picture 1" descr="http://www.nasa.gov/images/content/147515main_phases_large.jpg"/>
            <wp:cNvGraphicFramePr/>
            <a:graphic xmlns:a="http://schemas.openxmlformats.org/drawingml/2006/main">
              <a:graphicData uri="http://schemas.openxmlformats.org/drawingml/2006/picture">
                <pic:pic xmlns:pic="http://schemas.openxmlformats.org/drawingml/2006/picture">
                  <pic:nvPicPr>
                    <pic:cNvPr id="109573" name="Picture 5" descr="http://www.nasa.gov/images/content/147515main_phases_large.jpg"/>
                    <pic:cNvPicPr>
                      <a:picLocks noChangeAspect="1" noChangeArrowheads="1"/>
                    </pic:cNvPicPr>
                  </pic:nvPicPr>
                  <pic:blipFill>
                    <a:blip r:embed="rId20" cstate="print"/>
                    <a:srcRect t="43875"/>
                    <a:stretch>
                      <a:fillRect/>
                    </a:stretch>
                  </pic:blipFill>
                  <pic:spPr bwMode="auto">
                    <a:xfrm>
                      <a:off x="0" y="0"/>
                      <a:ext cx="6076950" cy="2232578"/>
                    </a:xfrm>
                    <a:prstGeom prst="rect">
                      <a:avLst/>
                    </a:prstGeom>
                    <a:noFill/>
                  </pic:spPr>
                </pic:pic>
              </a:graphicData>
            </a:graphic>
          </wp:inline>
        </w:drawing>
      </w:r>
    </w:p>
    <w:p w:rsidR="00EE535C" w:rsidRPr="007F73AB" w:rsidRDefault="00EE535C" w:rsidP="00EE535C">
      <w:pPr>
        <w:pStyle w:val="NoSpacing"/>
        <w:ind w:firstLine="360"/>
        <w:jc w:val="both"/>
        <w:rPr>
          <w:rFonts w:ascii="Book Antiqua" w:hAnsi="Book Antiqua"/>
          <w:sz w:val="20"/>
        </w:rPr>
      </w:pPr>
    </w:p>
    <w:p w:rsidR="00EE535C" w:rsidRPr="00F479C6" w:rsidRDefault="00EE535C" w:rsidP="00EE535C">
      <w:pPr>
        <w:pStyle w:val="NoSpacing"/>
        <w:rPr>
          <w:rFonts w:ascii="Book Antiqua" w:hAnsi="Book Antiqua"/>
          <w:i/>
          <w:sz w:val="18"/>
          <w:szCs w:val="18"/>
        </w:rPr>
      </w:pPr>
      <w:r w:rsidRPr="00262DE1">
        <w:rPr>
          <w:rFonts w:ascii="Book Antiqua" w:hAnsi="Book Antiqua"/>
          <w:b/>
          <w:i/>
          <w:sz w:val="18"/>
          <w:szCs w:val="18"/>
        </w:rPr>
        <w:t>Figure 9:</w:t>
      </w:r>
      <w:r w:rsidRPr="00F479C6">
        <w:rPr>
          <w:rFonts w:ascii="Book Antiqua" w:hAnsi="Book Antiqua"/>
          <w:i/>
          <w:sz w:val="18"/>
          <w:szCs w:val="18"/>
        </w:rPr>
        <w:t xml:space="preserve"> If either the available energy or the temperature increases, a substance will change from solid, to liquid to gas and then to plasma. In this sequence, water starts as solid ice, </w:t>
      </w:r>
      <w:proofErr w:type="gramStart"/>
      <w:r w:rsidRPr="00F479C6">
        <w:rPr>
          <w:rFonts w:ascii="Book Antiqua" w:hAnsi="Book Antiqua"/>
          <w:i/>
          <w:sz w:val="18"/>
          <w:szCs w:val="18"/>
        </w:rPr>
        <w:t>then</w:t>
      </w:r>
      <w:proofErr w:type="gramEnd"/>
      <w:r w:rsidRPr="00F479C6">
        <w:rPr>
          <w:rFonts w:ascii="Book Antiqua" w:hAnsi="Book Antiqua"/>
          <w:i/>
          <w:sz w:val="18"/>
          <w:szCs w:val="18"/>
        </w:rPr>
        <w:t xml:space="preserve"> becomes liquid water, then gaseous steam, and finally plasma, as electrons are stripped off </w:t>
      </w:r>
      <w:r w:rsidR="0063736F">
        <w:rPr>
          <w:rFonts w:ascii="Book Antiqua" w:hAnsi="Book Antiqua"/>
          <w:i/>
          <w:sz w:val="18"/>
          <w:szCs w:val="18"/>
        </w:rPr>
        <w:t xml:space="preserve">their </w:t>
      </w:r>
      <w:r w:rsidRPr="00F479C6">
        <w:rPr>
          <w:rFonts w:ascii="Book Antiqua" w:hAnsi="Book Antiqua"/>
          <w:i/>
          <w:sz w:val="18"/>
          <w:szCs w:val="18"/>
        </w:rPr>
        <w:t>atoms</w:t>
      </w:r>
      <w:r w:rsidR="0063736F">
        <w:rPr>
          <w:rFonts w:ascii="Book Antiqua" w:hAnsi="Book Antiqua"/>
          <w:i/>
          <w:sz w:val="18"/>
          <w:szCs w:val="18"/>
        </w:rPr>
        <w:t>.</w:t>
      </w:r>
    </w:p>
    <w:p w:rsidR="00EE535C" w:rsidRPr="007F73AB" w:rsidRDefault="00EE535C" w:rsidP="00EE535C">
      <w:pPr>
        <w:pStyle w:val="NoSpacing"/>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  When the positive ions or the negative electrons are in motion, they form electric currents.  Electric </w:t>
      </w:r>
      <w:r w:rsidR="009E0387">
        <w:rPr>
          <w:rFonts w:ascii="Book Antiqua" w:hAnsi="Book Antiqua"/>
          <w:sz w:val="20"/>
        </w:rPr>
        <w:t xml:space="preserve">currents come from moving charges, </w:t>
      </w:r>
      <w:r w:rsidR="00810634">
        <w:rPr>
          <w:rFonts w:ascii="Book Antiqua" w:hAnsi="Book Antiqua"/>
          <w:sz w:val="20"/>
        </w:rPr>
        <w:t>and all</w:t>
      </w:r>
      <w:r w:rsidR="009E0387">
        <w:rPr>
          <w:rFonts w:ascii="Book Antiqua" w:hAnsi="Book Antiqua"/>
          <w:sz w:val="20"/>
        </w:rPr>
        <w:t xml:space="preserve"> electric currents have circling magnetic fields</w:t>
      </w:r>
      <w:r w:rsidRPr="007F73AB">
        <w:rPr>
          <w:rFonts w:ascii="Book Antiqua" w:hAnsi="Book Antiqua"/>
          <w:sz w:val="20"/>
        </w:rPr>
        <w:t xml:space="preserve">.  </w:t>
      </w:r>
      <w:r w:rsidR="00810634">
        <w:rPr>
          <w:rFonts w:ascii="Book Antiqua" w:hAnsi="Book Antiqua"/>
          <w:sz w:val="20"/>
        </w:rPr>
        <w:t>An electric current does not require all the atoms involved to be ionized -- if only 1%</w:t>
      </w:r>
      <w:r w:rsidR="00810634" w:rsidRPr="007F73AB">
        <w:rPr>
          <w:rFonts w:ascii="Book Antiqua" w:hAnsi="Book Antiqua"/>
          <w:sz w:val="20"/>
        </w:rPr>
        <w:t xml:space="preserve"> of the atoms in a gas </w:t>
      </w:r>
      <w:r w:rsidR="00810634">
        <w:rPr>
          <w:rFonts w:ascii="Book Antiqua" w:hAnsi="Book Antiqua"/>
          <w:sz w:val="20"/>
        </w:rPr>
        <w:t>are</w:t>
      </w:r>
      <w:r w:rsidR="00810634" w:rsidRPr="007F73AB">
        <w:rPr>
          <w:rFonts w:ascii="Book Antiqua" w:hAnsi="Book Antiqua"/>
          <w:sz w:val="20"/>
        </w:rPr>
        <w:t xml:space="preserve"> ionized</w:t>
      </w:r>
      <w:r w:rsidR="00810634">
        <w:rPr>
          <w:rFonts w:ascii="Book Antiqua" w:hAnsi="Book Antiqua"/>
          <w:sz w:val="20"/>
        </w:rPr>
        <w:t>,</w:t>
      </w:r>
      <w:r w:rsidR="00810634" w:rsidRPr="007F73AB">
        <w:rPr>
          <w:rFonts w:ascii="Book Antiqua" w:hAnsi="Book Antiqua"/>
          <w:sz w:val="20"/>
        </w:rPr>
        <w:t xml:space="preserve"> the entire gas </w:t>
      </w:r>
      <w:r w:rsidR="00810634">
        <w:rPr>
          <w:rFonts w:ascii="Book Antiqua" w:hAnsi="Book Antiqua"/>
          <w:sz w:val="20"/>
        </w:rPr>
        <w:t>will</w:t>
      </w:r>
      <w:r w:rsidR="00810634" w:rsidRPr="007F73AB">
        <w:rPr>
          <w:rFonts w:ascii="Book Antiqua" w:hAnsi="Book Antiqua"/>
          <w:sz w:val="20"/>
        </w:rPr>
        <w:t xml:space="preserve"> behave as </w:t>
      </w:r>
      <w:proofErr w:type="gramStart"/>
      <w:r w:rsidR="00810634" w:rsidRPr="007F73AB">
        <w:rPr>
          <w:rFonts w:ascii="Book Antiqua" w:hAnsi="Book Antiqua"/>
          <w:sz w:val="20"/>
        </w:rPr>
        <w:t>a plasma</w:t>
      </w:r>
      <w:proofErr w:type="gramEnd"/>
      <w:r w:rsidR="00810634" w:rsidRPr="007F73AB">
        <w:rPr>
          <w:rFonts w:ascii="Book Antiqua" w:hAnsi="Book Antiqua"/>
          <w:sz w:val="20"/>
        </w:rPr>
        <w:t>.</w:t>
      </w:r>
    </w:p>
    <w:p w:rsidR="00B82CBB" w:rsidRDefault="00B82CBB"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Because of the confining magnetic fields, plasmas typically form either filaments or sheets.  They always have electric currents, magnetic fields and voltage differences associated with them. As a consequence of this, the behavior </w:t>
      </w:r>
      <w:proofErr w:type="gramStart"/>
      <w:r w:rsidRPr="007F73AB">
        <w:rPr>
          <w:rFonts w:ascii="Book Antiqua" w:hAnsi="Book Antiqua"/>
          <w:sz w:val="20"/>
        </w:rPr>
        <w:t>of  plasmas</w:t>
      </w:r>
      <w:proofErr w:type="gramEnd"/>
      <w:r w:rsidRPr="007F73AB">
        <w:rPr>
          <w:rFonts w:ascii="Book Antiqua" w:hAnsi="Book Antiqua"/>
          <w:sz w:val="20"/>
        </w:rPr>
        <w:t xml:space="preserve"> will be influenced by the strength of the ZPE. Because the ZPE strength controls the electromagnetic properties of the vacuum, a study is made in Chapter 6 of what would have happened electrically and magnetically with a lower ZPE in the past. The analysis shows that electric currents would be intrinsically stronger, voltages intrinsically greater and capacitances lower while resistances remain unchanged. These changes have some important consequences, particularly in the realm of plasma physics.</w:t>
      </w:r>
    </w:p>
    <w:p w:rsidR="00EE535C" w:rsidRPr="007F73AB" w:rsidRDefault="00EE535C" w:rsidP="00EE535C">
      <w:pPr>
        <w:pStyle w:val="NoSpacing"/>
        <w:jc w:val="both"/>
        <w:rPr>
          <w:rFonts w:ascii="Book Antiqua" w:hAnsi="Book Antiqua"/>
          <w:sz w:val="20"/>
        </w:rPr>
      </w:pPr>
    </w:p>
    <w:p w:rsidR="00630F65" w:rsidRPr="00521E54" w:rsidRDefault="00EE535C" w:rsidP="00630F65">
      <w:pPr>
        <w:pStyle w:val="NoSpacing"/>
        <w:rPr>
          <w:rFonts w:ascii="Book Antiqua" w:hAnsi="Book Antiqua"/>
          <w:sz w:val="20"/>
        </w:rPr>
      </w:pPr>
      <w:r w:rsidRPr="007F73AB">
        <w:rPr>
          <w:rFonts w:ascii="Book Antiqua" w:hAnsi="Book Antiqua"/>
          <w:sz w:val="20"/>
        </w:rPr>
        <w:t>Plasma physics has recently opened up new vistas in astronomy based on the interaction of electric and magnetic fields in plasma filaments and sheets [1</w:t>
      </w:r>
      <w:r w:rsidR="00A604C4">
        <w:rPr>
          <w:rFonts w:ascii="Book Antiqua" w:hAnsi="Book Antiqua"/>
          <w:sz w:val="20"/>
        </w:rPr>
        <w:t>7</w:t>
      </w:r>
      <w:r w:rsidRPr="007F73AB">
        <w:rPr>
          <w:rFonts w:ascii="Book Antiqua" w:hAnsi="Book Antiqua"/>
          <w:sz w:val="20"/>
        </w:rPr>
        <w:t xml:space="preserve">]. Experiments and simulations with plasma in the laboratory have shown that interacting plasma filaments will form, in miniature, the whole sequence of galaxy types that we see out in space (see Fig. 10). </w:t>
      </w:r>
      <w:r w:rsidR="00630F65" w:rsidRPr="00521E54">
        <w:rPr>
          <w:rFonts w:ascii="Book Antiqua" w:hAnsi="Book Antiqua"/>
          <w:sz w:val="20"/>
        </w:rPr>
        <w:t xml:space="preserve">Since plasma interactions scale in a manner proportional to size, these laboratory results can be upscaled to cosmic dimensions. </w:t>
      </w:r>
    </w:p>
    <w:p w:rsidR="00630F65" w:rsidRDefault="00630F65" w:rsidP="00630F65">
      <w:pPr>
        <w:pStyle w:val="NoSpacing"/>
        <w:ind w:firstLine="720"/>
        <w:jc w:val="both"/>
        <w:rPr>
          <w:rFonts w:ascii="Book Antiqua" w:hAnsi="Book Antiqua"/>
          <w:sz w:val="20"/>
        </w:rPr>
      </w:pPr>
    </w:p>
    <w:p w:rsidR="00630F65" w:rsidRDefault="00630F65" w:rsidP="00630F65">
      <w:pPr>
        <w:pStyle w:val="NoSpacing"/>
        <w:ind w:firstLine="720"/>
        <w:jc w:val="both"/>
        <w:rPr>
          <w:rFonts w:ascii="Book Antiqua" w:hAnsi="Book Antiqua"/>
          <w:sz w:val="20"/>
        </w:rPr>
      </w:pPr>
      <w:r w:rsidRPr="007F73AB">
        <w:rPr>
          <w:rFonts w:ascii="Book Antiqua" w:hAnsi="Book Antiqua"/>
          <w:sz w:val="20"/>
        </w:rPr>
        <w:t xml:space="preserve">Plasma filaments are extremely unstable.  Any disturbance in the magnetic field around them will cause them to twist, bend, or pinch.  An easy to see example of this is lightning. Lightning is </w:t>
      </w:r>
      <w:proofErr w:type="gramStart"/>
      <w:r w:rsidRPr="007F73AB">
        <w:rPr>
          <w:rFonts w:ascii="Book Antiqua" w:hAnsi="Book Antiqua"/>
          <w:sz w:val="20"/>
        </w:rPr>
        <w:t>a plasma</w:t>
      </w:r>
      <w:proofErr w:type="gramEnd"/>
      <w:r w:rsidRPr="007F73AB">
        <w:rPr>
          <w:rFonts w:ascii="Book Antiqua" w:hAnsi="Book Antiqua"/>
          <w:sz w:val="20"/>
        </w:rPr>
        <w:t xml:space="preserve"> and it can be seen forking, twisting, and occasionally even rolling.  </w:t>
      </w:r>
      <w:r w:rsidRPr="00521E54">
        <w:rPr>
          <w:rFonts w:ascii="Book Antiqua" w:hAnsi="Book Antiqua"/>
          <w:sz w:val="20"/>
        </w:rPr>
        <w:t xml:space="preserve">When a cosmic plasma filament pinches, a star </w:t>
      </w:r>
      <w:r>
        <w:rPr>
          <w:rFonts w:ascii="Book Antiqua" w:hAnsi="Book Antiqua"/>
          <w:sz w:val="20"/>
        </w:rPr>
        <w:t xml:space="preserve">can </w:t>
      </w:r>
      <w:r w:rsidRPr="00521E54">
        <w:rPr>
          <w:rFonts w:ascii="Book Antiqua" w:hAnsi="Book Antiqua"/>
          <w:sz w:val="20"/>
        </w:rPr>
        <w:t>form at the pinch.</w:t>
      </w:r>
      <w:r w:rsidRPr="007F73AB">
        <w:rPr>
          <w:rFonts w:ascii="Book Antiqua" w:hAnsi="Book Antiqua"/>
          <w:sz w:val="20"/>
        </w:rPr>
        <w:t xml:space="preserve">  This is easily seen in such formations as the Bug and Ant Nebulas (see Figure 11).  Gravity is not necessary </w:t>
      </w:r>
      <w:r>
        <w:rPr>
          <w:rFonts w:ascii="Book Antiqua" w:hAnsi="Book Antiqua"/>
          <w:sz w:val="20"/>
        </w:rPr>
        <w:t>this</w:t>
      </w:r>
      <w:r w:rsidRPr="007F73AB">
        <w:rPr>
          <w:rFonts w:ascii="Book Antiqua" w:hAnsi="Book Antiqua"/>
          <w:sz w:val="20"/>
        </w:rPr>
        <w:t xml:space="preserve"> to occur.</w:t>
      </w:r>
      <w:r>
        <w:rPr>
          <w:rFonts w:ascii="Book Antiqua" w:hAnsi="Book Antiqua"/>
          <w:sz w:val="20"/>
        </w:rPr>
        <w:t xml:space="preserve">  </w:t>
      </w:r>
      <w:r w:rsidRPr="007F73AB">
        <w:rPr>
          <w:rFonts w:ascii="Book Antiqua" w:hAnsi="Book Antiqua"/>
          <w:sz w:val="20"/>
        </w:rPr>
        <w:t>Chapter 6 discusses this</w:t>
      </w:r>
      <w:r>
        <w:rPr>
          <w:rFonts w:ascii="Book Antiqua" w:hAnsi="Book Antiqua"/>
          <w:sz w:val="20"/>
        </w:rPr>
        <w:t>.</w:t>
      </w:r>
    </w:p>
    <w:p w:rsidR="0063736F" w:rsidRPr="007F73AB" w:rsidRDefault="0063736F" w:rsidP="00630F65">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6676652" cy="3019825"/>
            <wp:effectExtent l="19050" t="0" r="0" b="0"/>
            <wp:docPr id="418" name="il_fi" descr="http://www.thunderbolts.info/tpod/2004/images/040913plasma-gala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4/images/040913plasma-galaxy.jpg"/>
                    <pic:cNvPicPr>
                      <a:picLocks noChangeAspect="1" noChangeArrowheads="1"/>
                    </pic:cNvPicPr>
                  </pic:nvPicPr>
                  <pic:blipFill>
                    <a:blip r:embed="rId21" cstate="print"/>
                    <a:srcRect t="63068" r="1587"/>
                    <a:stretch>
                      <a:fillRect/>
                    </a:stretch>
                  </pic:blipFill>
                  <pic:spPr bwMode="auto">
                    <a:xfrm>
                      <a:off x="0" y="0"/>
                      <a:ext cx="6676723" cy="3019857"/>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7F73AB" w:rsidRDefault="00EE535C" w:rsidP="00EE535C">
      <w:pPr>
        <w:pStyle w:val="NoSpacing"/>
        <w:rPr>
          <w:rFonts w:ascii="Book Antiqua" w:hAnsi="Book Antiqua"/>
          <w:sz w:val="18"/>
          <w:szCs w:val="18"/>
        </w:rPr>
      </w:pPr>
      <w:r w:rsidRPr="00262DE1">
        <w:rPr>
          <w:rFonts w:ascii="Book Antiqua" w:hAnsi="Book Antiqua"/>
          <w:b/>
          <w:i/>
          <w:sz w:val="18"/>
          <w:szCs w:val="18"/>
        </w:rPr>
        <w:t>Figure 10:</w:t>
      </w:r>
      <w:r w:rsidRPr="00F479C6">
        <w:rPr>
          <w:rFonts w:ascii="Book Antiqua" w:hAnsi="Book Antiqua"/>
          <w:i/>
          <w:sz w:val="18"/>
          <w:szCs w:val="18"/>
        </w:rPr>
        <w:t xml:space="preserve"> The formation of miniature galaxies in the lab by two interacting plasma filaments. In this set of illustrations we are looking down the long axis of the filaments</w:t>
      </w:r>
      <w:r w:rsidR="005E236E" w:rsidRPr="00F479C6">
        <w:rPr>
          <w:rFonts w:ascii="Book Antiqua" w:hAnsi="Book Antiqua"/>
          <w:i/>
          <w:sz w:val="18"/>
          <w:szCs w:val="18"/>
        </w:rPr>
        <w:t xml:space="preserve"> at the point where the two filaments interact</w:t>
      </w:r>
      <w:r w:rsidRPr="00F479C6">
        <w:rPr>
          <w:rFonts w:ascii="Book Antiqua" w:hAnsi="Book Antiqua"/>
          <w:i/>
          <w:sz w:val="18"/>
          <w:szCs w:val="18"/>
        </w:rPr>
        <w:t>. Experiments used up to 12 interacting filaments</w:t>
      </w:r>
      <w:r w:rsidRPr="007F73AB">
        <w:rPr>
          <w:rFonts w:ascii="Book Antiqua" w:hAnsi="Book Antiqua"/>
          <w:sz w:val="18"/>
          <w:szCs w:val="18"/>
        </w:rPr>
        <w:t>.</w:t>
      </w:r>
    </w:p>
    <w:p w:rsidR="00521E54" w:rsidRDefault="00521E54" w:rsidP="00893B02">
      <w:pPr>
        <w:pStyle w:val="NoSpacing"/>
        <w:ind w:firstLine="720"/>
        <w:jc w:val="both"/>
        <w:rPr>
          <w:rFonts w:ascii="Book Antiqua" w:hAnsi="Book Antiqua"/>
          <w:sz w:val="20"/>
        </w:rPr>
      </w:pPr>
    </w:p>
    <w:p w:rsidR="006919E5" w:rsidRPr="007F73AB" w:rsidRDefault="006919E5" w:rsidP="00EE535C">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6"/>
        <w:gridCol w:w="5346"/>
      </w:tblGrid>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lastRenderedPageBreak/>
              <w:drawing>
                <wp:inline distT="0" distB="0" distL="0" distR="0">
                  <wp:extent cx="3008459" cy="2289948"/>
                  <wp:effectExtent l="19050" t="0" r="1441" b="0"/>
                  <wp:docPr id="417"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014480" cy="2294531"/>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color w:val="FF0000"/>
                <w:sz w:val="20"/>
              </w:rPr>
              <w:drawing>
                <wp:inline distT="0" distB="0" distL="0" distR="0">
                  <wp:extent cx="3234693" cy="2289842"/>
                  <wp:effectExtent l="19050" t="0" r="3807" b="0"/>
                  <wp:docPr id="416"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235523" cy="2290429"/>
                          </a:xfrm>
                          <a:prstGeom prst="rect">
                            <a:avLst/>
                          </a:prstGeom>
                          <a:noFill/>
                          <a:ln w="9525">
                            <a:noFill/>
                            <a:miter lim="800000"/>
                            <a:headEnd/>
                            <a:tailEnd/>
                          </a:ln>
                        </pic:spPr>
                      </pic:pic>
                    </a:graphicData>
                  </a:graphic>
                </wp:inline>
              </w:drawing>
            </w:r>
          </w:p>
        </w:tc>
      </w:tr>
      <w:tr w:rsidR="00EE535C" w:rsidRPr="007F73AB" w:rsidTr="0063736F">
        <w:trPr>
          <w:jc w:val="center"/>
        </w:trPr>
        <w:tc>
          <w:tcPr>
            <w:tcW w:w="2826"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005919" cy="2243738"/>
                  <wp:effectExtent l="19050" t="0" r="3981" b="0"/>
                  <wp:docPr id="415"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016325" cy="2251505"/>
                          </a:xfrm>
                          <a:prstGeom prst="rect">
                            <a:avLst/>
                          </a:prstGeom>
                          <a:noFill/>
                          <a:ln w="9525">
                            <a:noFill/>
                            <a:miter lim="800000"/>
                            <a:headEnd/>
                            <a:tailEnd/>
                          </a:ln>
                        </pic:spPr>
                      </pic:pic>
                    </a:graphicData>
                  </a:graphic>
                </wp:inline>
              </w:drawing>
            </w:r>
          </w:p>
        </w:tc>
        <w:tc>
          <w:tcPr>
            <w:tcW w:w="2610" w:type="dxa"/>
          </w:tcPr>
          <w:p w:rsidR="00EE535C" w:rsidRPr="007F73AB" w:rsidRDefault="00EE535C" w:rsidP="00A471B1">
            <w:pPr>
              <w:pStyle w:val="NoSpacing"/>
              <w:jc w:val="both"/>
              <w:rPr>
                <w:rFonts w:ascii="Book Antiqua" w:hAnsi="Book Antiqua"/>
                <w:color w:val="FF0000"/>
                <w:sz w:val="20"/>
              </w:rPr>
            </w:pPr>
            <w:r w:rsidRPr="007F73AB">
              <w:rPr>
                <w:rFonts w:ascii="Book Antiqua" w:hAnsi="Book Antiqua"/>
                <w:noProof/>
                <w:sz w:val="20"/>
              </w:rPr>
              <w:drawing>
                <wp:inline distT="0" distB="0" distL="0" distR="0">
                  <wp:extent cx="3204676" cy="2243738"/>
                  <wp:effectExtent l="19050" t="0" r="0" b="0"/>
                  <wp:docPr id="414"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211485" cy="2248505"/>
                          </a:xfrm>
                          <a:prstGeom prst="rect">
                            <a:avLst/>
                          </a:prstGeom>
                          <a:noFill/>
                          <a:ln w="9525">
                            <a:noFill/>
                            <a:miter lim="800000"/>
                            <a:headEnd/>
                            <a:tailEnd/>
                          </a:ln>
                        </pic:spPr>
                      </pic:pic>
                    </a:graphicData>
                  </a:graphic>
                </wp:inline>
              </w:drawing>
            </w:r>
          </w:p>
        </w:tc>
      </w:tr>
    </w:tbl>
    <w:p w:rsidR="00EE535C" w:rsidRPr="007F73AB" w:rsidRDefault="00EE535C" w:rsidP="00EE535C">
      <w:pPr>
        <w:pStyle w:val="NoSpacing"/>
        <w:jc w:val="both"/>
        <w:rPr>
          <w:rFonts w:ascii="Book Antiqua" w:hAnsi="Book Antiqua"/>
          <w:color w:val="FF0000"/>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11:</w:t>
      </w:r>
      <w:r w:rsidRPr="00262DE1">
        <w:rPr>
          <w:rFonts w:ascii="Book Antiqua" w:hAnsi="Book Antiqua"/>
          <w:i/>
          <w:sz w:val="18"/>
          <w:szCs w:val="18"/>
        </w:rPr>
        <w:t xml:space="preserve"> Examples of plasma filaments undergoing a pinch with stars formed at the focus of the pinch. </w:t>
      </w:r>
      <w:r w:rsidRPr="00262DE1">
        <w:rPr>
          <w:rFonts w:ascii="Book Antiqua" w:hAnsi="Book Antiqua"/>
          <w:b/>
          <w:i/>
          <w:sz w:val="18"/>
          <w:szCs w:val="18"/>
        </w:rPr>
        <w:t>Top Left</w:t>
      </w:r>
      <w:r w:rsidRPr="00262DE1">
        <w:rPr>
          <w:rFonts w:ascii="Book Antiqua" w:hAnsi="Book Antiqua"/>
          <w:i/>
          <w:sz w:val="18"/>
          <w:szCs w:val="18"/>
        </w:rPr>
        <w:t xml:space="preserve">: Ant Nebula Mz3 in Norma. </w:t>
      </w:r>
      <w:r w:rsidRPr="00262DE1">
        <w:rPr>
          <w:rFonts w:ascii="Book Antiqua" w:hAnsi="Book Antiqua"/>
          <w:b/>
          <w:i/>
          <w:sz w:val="18"/>
          <w:szCs w:val="18"/>
        </w:rPr>
        <w:t>Top Right:</w:t>
      </w:r>
      <w:r w:rsidRPr="00262DE1">
        <w:rPr>
          <w:rFonts w:ascii="Book Antiqua" w:hAnsi="Book Antiqua"/>
          <w:i/>
          <w:sz w:val="18"/>
          <w:szCs w:val="18"/>
        </w:rPr>
        <w:t xml:space="preserve"> Bug nebula NGC 6302 in Scorpius. </w:t>
      </w:r>
      <w:r w:rsidRPr="00262DE1">
        <w:rPr>
          <w:rFonts w:ascii="Book Antiqua" w:hAnsi="Book Antiqua"/>
          <w:b/>
          <w:i/>
          <w:sz w:val="18"/>
          <w:szCs w:val="18"/>
        </w:rPr>
        <w:t>Bottom Left:</w:t>
      </w:r>
      <w:r w:rsidRPr="00262DE1">
        <w:rPr>
          <w:rFonts w:ascii="Book Antiqua" w:hAnsi="Book Antiqua"/>
          <w:i/>
          <w:sz w:val="18"/>
          <w:szCs w:val="18"/>
        </w:rPr>
        <w:t xml:space="preserve"> Double Balloon nebula in Sagittarius. </w:t>
      </w:r>
      <w:proofErr w:type="gramStart"/>
      <w:r w:rsidRPr="00262DE1">
        <w:rPr>
          <w:rFonts w:ascii="Book Antiqua" w:hAnsi="Book Antiqua"/>
          <w:b/>
          <w:i/>
          <w:sz w:val="18"/>
          <w:szCs w:val="18"/>
        </w:rPr>
        <w:t>Bottom Right:</w:t>
      </w:r>
      <w:r w:rsidRPr="00262DE1">
        <w:rPr>
          <w:rFonts w:ascii="Book Antiqua" w:hAnsi="Book Antiqua"/>
          <w:i/>
          <w:sz w:val="18"/>
          <w:szCs w:val="18"/>
        </w:rPr>
        <w:t xml:space="preserve"> The Butterfly Wing nebula M2-9 in Ophiuchus.</w:t>
      </w:r>
      <w:proofErr w:type="gramEnd"/>
    </w:p>
    <w:p w:rsidR="00EE535C" w:rsidRPr="007F73AB" w:rsidRDefault="00EE535C" w:rsidP="00EE535C">
      <w:pPr>
        <w:pStyle w:val="NoSpacing"/>
        <w:ind w:firstLine="720"/>
        <w:jc w:val="both"/>
        <w:rPr>
          <w:rFonts w:ascii="Book Antiqua" w:hAnsi="Book Antiqua"/>
          <w:sz w:val="20"/>
        </w:rPr>
      </w:pPr>
    </w:p>
    <w:p w:rsidR="0045265A" w:rsidRDefault="00521E54" w:rsidP="00A4752B">
      <w:pPr>
        <w:pStyle w:val="NoSpacing"/>
        <w:ind w:firstLine="720"/>
        <w:jc w:val="both"/>
        <w:rPr>
          <w:rFonts w:ascii="Book Antiqua" w:hAnsi="Book Antiqua"/>
          <w:sz w:val="20"/>
        </w:rPr>
      </w:pPr>
      <w:r>
        <w:rPr>
          <w:rFonts w:ascii="Book Antiqua" w:hAnsi="Book Antiqua"/>
          <w:sz w:val="20"/>
        </w:rPr>
        <w:t>Both g</w:t>
      </w:r>
      <w:r w:rsidRPr="007F73AB">
        <w:rPr>
          <w:rFonts w:ascii="Book Antiqua" w:hAnsi="Book Antiqua"/>
          <w:sz w:val="20"/>
        </w:rPr>
        <w:t>ravitationally based astronomy</w:t>
      </w:r>
      <w:r>
        <w:rPr>
          <w:rFonts w:ascii="Book Antiqua" w:hAnsi="Book Antiqua"/>
          <w:sz w:val="20"/>
        </w:rPr>
        <w:t xml:space="preserve"> and</w:t>
      </w:r>
      <w:r w:rsidRPr="007F73AB">
        <w:rPr>
          <w:rFonts w:ascii="Book Antiqua" w:hAnsi="Book Antiqua"/>
          <w:sz w:val="20"/>
        </w:rPr>
        <w:t xml:space="preserve"> plasma physics consider the universe to have begun as </w:t>
      </w:r>
      <w:proofErr w:type="gramStart"/>
      <w:r w:rsidRPr="007F73AB">
        <w:rPr>
          <w:rFonts w:ascii="Book Antiqua" w:hAnsi="Book Antiqua"/>
          <w:sz w:val="20"/>
        </w:rPr>
        <w:t>a plasma</w:t>
      </w:r>
      <w:proofErr w:type="gramEnd"/>
      <w:r w:rsidRPr="007F73AB">
        <w:rPr>
          <w:rFonts w:ascii="Book Antiqua" w:hAnsi="Book Antiqua"/>
          <w:sz w:val="20"/>
        </w:rPr>
        <w:t xml:space="preserve">.  Gravitational physics then </w:t>
      </w:r>
      <w:r w:rsidR="0045265A">
        <w:rPr>
          <w:rFonts w:ascii="Book Antiqua" w:hAnsi="Book Antiqua"/>
          <w:sz w:val="20"/>
        </w:rPr>
        <w:t>postulates</w:t>
      </w:r>
      <w:r w:rsidRPr="007F73AB">
        <w:rPr>
          <w:rFonts w:ascii="Book Antiqua" w:hAnsi="Book Antiqua"/>
          <w:sz w:val="20"/>
        </w:rPr>
        <w:t xml:space="preserve"> this plasma </w:t>
      </w:r>
      <w:r w:rsidR="0045265A">
        <w:rPr>
          <w:rFonts w:ascii="Book Antiqua" w:hAnsi="Book Antiqua"/>
          <w:sz w:val="20"/>
        </w:rPr>
        <w:t>cooled</w:t>
      </w:r>
      <w:r w:rsidRPr="007F73AB">
        <w:rPr>
          <w:rFonts w:ascii="Book Antiqua" w:hAnsi="Book Antiqua"/>
          <w:sz w:val="20"/>
        </w:rPr>
        <w:t xml:space="preserve"> so that neutral atoms form, after which gravity </w:t>
      </w:r>
      <w:r w:rsidR="0045265A">
        <w:rPr>
          <w:rFonts w:ascii="Book Antiqua" w:hAnsi="Book Antiqua"/>
          <w:sz w:val="20"/>
        </w:rPr>
        <w:t>acted</w:t>
      </w:r>
      <w:r w:rsidRPr="007F73AB">
        <w:rPr>
          <w:rFonts w:ascii="Book Antiqua" w:hAnsi="Book Antiqua"/>
          <w:sz w:val="20"/>
        </w:rPr>
        <w:t xml:space="preserve"> on </w:t>
      </w:r>
      <w:r w:rsidR="0045265A">
        <w:rPr>
          <w:rFonts w:ascii="Book Antiqua" w:hAnsi="Book Antiqua"/>
          <w:sz w:val="20"/>
        </w:rPr>
        <w:t xml:space="preserve">the atoms </w:t>
      </w:r>
      <w:r w:rsidRPr="007F73AB">
        <w:rPr>
          <w:rFonts w:ascii="Book Antiqua" w:hAnsi="Book Antiqua"/>
          <w:sz w:val="20"/>
        </w:rPr>
        <w:t xml:space="preserve">to form galaxies, stars and planets over long eons of time. Gravitational astronomy has difficulty in accounting for the fact that fully formed galaxies involved in massive star-formation episodes are present at the most distant reaches of the universe, and therefore remarkably soon after the inception of the cosmos. </w:t>
      </w:r>
    </w:p>
    <w:p w:rsidR="0045265A" w:rsidRDefault="0045265A" w:rsidP="00521E54">
      <w:pPr>
        <w:pStyle w:val="NoSpacing"/>
        <w:ind w:firstLine="360"/>
        <w:jc w:val="both"/>
        <w:rPr>
          <w:rFonts w:ascii="Book Antiqua" w:hAnsi="Book Antiqua"/>
          <w:sz w:val="20"/>
        </w:rPr>
      </w:pPr>
    </w:p>
    <w:p w:rsidR="00521E54" w:rsidRPr="007F73AB" w:rsidRDefault="0045265A" w:rsidP="00A4752B">
      <w:pPr>
        <w:pStyle w:val="NoSpacing"/>
        <w:ind w:firstLine="720"/>
        <w:jc w:val="both"/>
        <w:rPr>
          <w:rFonts w:ascii="Book Antiqua" w:hAnsi="Book Antiqua"/>
          <w:sz w:val="20"/>
        </w:rPr>
      </w:pPr>
      <w:r>
        <w:rPr>
          <w:rFonts w:ascii="Book Antiqua" w:hAnsi="Book Antiqua"/>
          <w:sz w:val="20"/>
        </w:rPr>
        <w:t>By way of contrast,</w:t>
      </w:r>
      <w:r w:rsidR="00521E54" w:rsidRPr="007F73AB">
        <w:rPr>
          <w:rFonts w:ascii="Book Antiqua" w:hAnsi="Book Antiqua"/>
          <w:sz w:val="20"/>
        </w:rPr>
        <w:t xml:space="preserve"> work with plasma filaments in the lab has shown us that the structures we see in the cosmos could easily be formed by plasma interactions while the universe was still in a plasma state. </w:t>
      </w:r>
      <w:r>
        <w:rPr>
          <w:rFonts w:ascii="Book Antiqua" w:hAnsi="Book Antiqua"/>
          <w:sz w:val="20"/>
        </w:rPr>
        <w:t xml:space="preserve">Plasma interactions in the lab are very fast.  In the early universe, they would have been much faster </w:t>
      </w:r>
      <w:r w:rsidR="00521E54" w:rsidRPr="007F73AB">
        <w:rPr>
          <w:rFonts w:ascii="Book Antiqua" w:hAnsi="Book Antiqua"/>
          <w:sz w:val="20"/>
        </w:rPr>
        <w:t xml:space="preserve">because the ZPE was very low. As a result, the rapid formation of galaxies and </w:t>
      </w:r>
      <w:r>
        <w:rPr>
          <w:rFonts w:ascii="Book Antiqua" w:hAnsi="Book Antiqua"/>
          <w:sz w:val="20"/>
        </w:rPr>
        <w:t>would be expected</w:t>
      </w:r>
      <w:r w:rsidR="00521E54" w:rsidRPr="007F73AB">
        <w:rPr>
          <w:rFonts w:ascii="Book Antiqua" w:hAnsi="Book Antiqua"/>
          <w:sz w:val="20"/>
        </w:rPr>
        <w:t xml:space="preserve">, and the evidence presented by the early cosmos is </w:t>
      </w:r>
      <w:r>
        <w:rPr>
          <w:rFonts w:ascii="Book Antiqua" w:hAnsi="Book Antiqua"/>
          <w:sz w:val="20"/>
        </w:rPr>
        <w:t>no surprise</w:t>
      </w:r>
      <w:r w:rsidR="00521E54" w:rsidRPr="007F73AB">
        <w:rPr>
          <w:rFonts w:ascii="Book Antiqua" w:hAnsi="Book Antiqua"/>
          <w:sz w:val="20"/>
        </w:rPr>
        <w:t xml:space="preserve">. This is explored further in Chapters 6 </w:t>
      </w:r>
      <w:proofErr w:type="gramStart"/>
      <w:r w:rsidR="00521E54" w:rsidRPr="007F73AB">
        <w:rPr>
          <w:rFonts w:ascii="Book Antiqua" w:hAnsi="Book Antiqua"/>
          <w:sz w:val="20"/>
        </w:rPr>
        <w:t>and  9</w:t>
      </w:r>
      <w:proofErr w:type="gramEnd"/>
      <w:r w:rsidR="00521E54" w:rsidRPr="007F73AB">
        <w:rPr>
          <w:rFonts w:ascii="Book Antiqua" w:hAnsi="Book Antiqua"/>
          <w:sz w:val="20"/>
        </w:rPr>
        <w:t>.</w:t>
      </w:r>
    </w:p>
    <w:p w:rsidR="00996EDA" w:rsidRPr="007F73AB" w:rsidRDefault="00996EDA" w:rsidP="00996EDA">
      <w:pPr>
        <w:pStyle w:val="NoSpacing"/>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Biology and the Zero Point Energy</w:t>
      </w:r>
    </w:p>
    <w:p w:rsidR="00EE535C" w:rsidRPr="007F73AB" w:rsidRDefault="00EE535C" w:rsidP="00EE535C">
      <w:pPr>
        <w:pStyle w:val="NoSpacing"/>
        <w:ind w:firstLine="720"/>
        <w:jc w:val="both"/>
        <w:rPr>
          <w:rFonts w:ascii="Book Antiqua" w:hAnsi="Book Antiqua"/>
          <w:sz w:val="20"/>
        </w:rPr>
      </w:pPr>
    </w:p>
    <w:p w:rsidR="005E236E" w:rsidRDefault="0045265A" w:rsidP="00A4752B">
      <w:pPr>
        <w:pStyle w:val="NoSpacing"/>
        <w:ind w:firstLine="720"/>
        <w:jc w:val="both"/>
        <w:rPr>
          <w:rFonts w:ascii="Book Antiqua" w:hAnsi="Book Antiqua"/>
          <w:sz w:val="20"/>
        </w:rPr>
      </w:pPr>
      <w:r>
        <w:rPr>
          <w:rFonts w:ascii="Book Antiqua" w:hAnsi="Book Antiqua"/>
          <w:sz w:val="20"/>
        </w:rPr>
        <w:t xml:space="preserve">Fossils of giant plant and animal life have long been a puzzle to paleontologists.  </w:t>
      </w:r>
      <w:r w:rsidR="00EE535C" w:rsidRPr="00DE2ACC">
        <w:rPr>
          <w:rFonts w:ascii="Book Antiqua" w:hAnsi="Book Antiqua"/>
          <w:sz w:val="20"/>
        </w:rPr>
        <w:t xml:space="preserve">How did they attain these sizes?  </w:t>
      </w:r>
      <w:r>
        <w:rPr>
          <w:rFonts w:ascii="Book Antiqua" w:hAnsi="Book Antiqua"/>
          <w:sz w:val="20"/>
        </w:rPr>
        <w:t>The answer may again lie in the different conditions early life experienced.  B</w:t>
      </w:r>
      <w:r w:rsidRPr="00DE2ACC">
        <w:rPr>
          <w:rFonts w:ascii="Book Antiqua" w:hAnsi="Book Antiqua"/>
          <w:sz w:val="20"/>
        </w:rPr>
        <w:t xml:space="preserve">ecause many </w:t>
      </w:r>
      <w:r>
        <w:rPr>
          <w:rFonts w:ascii="Book Antiqua" w:hAnsi="Book Antiqua"/>
          <w:sz w:val="20"/>
        </w:rPr>
        <w:t xml:space="preserve">biologic </w:t>
      </w:r>
      <w:r w:rsidRPr="00DE2ACC">
        <w:rPr>
          <w:rFonts w:ascii="Book Antiqua" w:hAnsi="Book Antiqua"/>
          <w:sz w:val="20"/>
        </w:rPr>
        <w:t xml:space="preserve">systems function </w:t>
      </w:r>
      <w:r>
        <w:rPr>
          <w:rFonts w:ascii="Book Antiqua" w:hAnsi="Book Antiqua"/>
          <w:sz w:val="20"/>
        </w:rPr>
        <w:t>via</w:t>
      </w:r>
      <w:r w:rsidRPr="00DE2ACC">
        <w:rPr>
          <w:rFonts w:ascii="Book Antiqua" w:hAnsi="Book Antiqua"/>
          <w:sz w:val="20"/>
        </w:rPr>
        <w:t xml:space="preserve"> </w:t>
      </w:r>
      <w:r w:rsidRPr="00DE2ACC">
        <w:rPr>
          <w:rFonts w:ascii="Book Antiqua" w:hAnsi="Book Antiqua"/>
          <w:sz w:val="20"/>
        </w:rPr>
        <w:lastRenderedPageBreak/>
        <w:t>bio-electro-magnetism</w:t>
      </w:r>
      <w:r>
        <w:rPr>
          <w:rFonts w:ascii="Book Antiqua" w:hAnsi="Book Antiqua"/>
          <w:sz w:val="20"/>
        </w:rPr>
        <w:t>, c</w:t>
      </w:r>
      <w:r w:rsidR="00EE535C" w:rsidRPr="00DE2ACC">
        <w:rPr>
          <w:rFonts w:ascii="Book Antiqua" w:hAnsi="Book Antiqua"/>
          <w:sz w:val="20"/>
        </w:rPr>
        <w:t xml:space="preserve">hanges </w:t>
      </w:r>
      <w:r>
        <w:rPr>
          <w:rFonts w:ascii="Book Antiqua" w:hAnsi="Book Antiqua"/>
          <w:sz w:val="20"/>
        </w:rPr>
        <w:t>of</w:t>
      </w:r>
      <w:r w:rsidR="00EE535C" w:rsidRPr="00DE2ACC">
        <w:rPr>
          <w:rFonts w:ascii="Book Antiqua" w:hAnsi="Book Antiqua"/>
          <w:sz w:val="20"/>
        </w:rPr>
        <w:t xml:space="preserve"> the electric and magnetic properties of the vacuum </w:t>
      </w:r>
      <w:r>
        <w:rPr>
          <w:rFonts w:ascii="Book Antiqua" w:hAnsi="Book Antiqua"/>
          <w:sz w:val="20"/>
        </w:rPr>
        <w:t>would have affected them</w:t>
      </w:r>
      <w:r w:rsidR="00EE535C" w:rsidRPr="00DE2ACC">
        <w:rPr>
          <w:rFonts w:ascii="Book Antiqua" w:hAnsi="Book Antiqua"/>
          <w:sz w:val="20"/>
        </w:rPr>
        <w:t>. For example, the nervous system of all fauna is effectively the transmission of an electric current. The outcome is that the rate of transmission of the</w:t>
      </w:r>
      <w:r w:rsidR="00DE2ACC" w:rsidRPr="00DE2ACC">
        <w:rPr>
          <w:rFonts w:ascii="Book Antiqua" w:hAnsi="Book Antiqua"/>
          <w:sz w:val="20"/>
        </w:rPr>
        <w:t xml:space="preserve"> nerve </w:t>
      </w:r>
      <w:r w:rsidR="005E236E" w:rsidRPr="00DE2ACC">
        <w:rPr>
          <w:rFonts w:ascii="Book Antiqua" w:hAnsi="Book Antiqua"/>
          <w:sz w:val="20"/>
        </w:rPr>
        <w:t xml:space="preserve">impulses as an electric current is dependent upon the capacitance of the system. This </w:t>
      </w:r>
      <w:r>
        <w:rPr>
          <w:rFonts w:ascii="Book Antiqua" w:hAnsi="Book Antiqua"/>
          <w:sz w:val="20"/>
        </w:rPr>
        <w:t>was</w:t>
      </w:r>
      <w:r w:rsidR="005E236E" w:rsidRPr="00DE2ACC">
        <w:rPr>
          <w:rFonts w:ascii="Book Antiqua" w:hAnsi="Book Antiqua"/>
          <w:sz w:val="20"/>
        </w:rPr>
        <w:t xml:space="preserve"> lower when the ZPE </w:t>
      </w:r>
      <w:r>
        <w:rPr>
          <w:rFonts w:ascii="Book Antiqua" w:hAnsi="Book Antiqua"/>
          <w:sz w:val="20"/>
        </w:rPr>
        <w:t xml:space="preserve">was </w:t>
      </w:r>
      <w:r w:rsidR="005E236E" w:rsidRPr="00DE2ACC">
        <w:rPr>
          <w:rFonts w:ascii="Book Antiqua" w:hAnsi="Book Antiqua"/>
          <w:sz w:val="20"/>
        </w:rPr>
        <w:t xml:space="preserve">lower, and voltages </w:t>
      </w:r>
      <w:r>
        <w:rPr>
          <w:rFonts w:ascii="Book Antiqua" w:hAnsi="Book Antiqua"/>
          <w:sz w:val="20"/>
        </w:rPr>
        <w:t>were</w:t>
      </w:r>
      <w:r w:rsidR="005E236E" w:rsidRPr="00DE2ACC">
        <w:rPr>
          <w:rFonts w:ascii="Book Antiqua" w:hAnsi="Book Antiqua"/>
          <w:sz w:val="20"/>
        </w:rPr>
        <w:t xml:space="preserve"> higher, so currents </w:t>
      </w:r>
      <w:r>
        <w:rPr>
          <w:rFonts w:ascii="Book Antiqua" w:hAnsi="Book Antiqua"/>
          <w:sz w:val="20"/>
        </w:rPr>
        <w:t>would have been</w:t>
      </w:r>
      <w:r w:rsidR="005E236E" w:rsidRPr="00DE2ACC">
        <w:rPr>
          <w:rFonts w:ascii="Book Antiqua" w:hAnsi="Book Antiqua"/>
          <w:sz w:val="20"/>
        </w:rPr>
        <w:t xml:space="preserve"> transmitted more quickly.</w:t>
      </w:r>
    </w:p>
    <w:p w:rsidR="00DE2ACC" w:rsidRPr="00DE2ACC" w:rsidRDefault="00DE2ACC" w:rsidP="005E236E">
      <w:pPr>
        <w:pStyle w:val="NoSpacing"/>
        <w:ind w:firstLine="360"/>
        <w:jc w:val="both"/>
        <w:rPr>
          <w:rFonts w:ascii="Book Antiqua" w:hAnsi="Book Antiqua"/>
          <w:sz w:val="20"/>
        </w:rPr>
      </w:pPr>
    </w:p>
    <w:p w:rsidR="00EE535C" w:rsidRPr="007F73AB" w:rsidRDefault="00EE535C" w:rsidP="004D4E88">
      <w:pPr>
        <w:pStyle w:val="Els-body-text"/>
        <w:ind w:firstLine="720"/>
        <w:rPr>
          <w:rFonts w:ascii="Book Antiqua" w:hAnsi="Book Antiqua"/>
        </w:rPr>
      </w:pPr>
      <w:r w:rsidRPr="007F73AB">
        <w:rPr>
          <w:rFonts w:ascii="Book Antiqua" w:hAnsi="Book Antiqua"/>
        </w:rPr>
        <w:t xml:space="preserve"> </w:t>
      </w: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4253272" cy="4579684"/>
            <wp:effectExtent l="19050" t="0" r="0" b="0"/>
            <wp:docPr id="435"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4264880" cy="4592183"/>
                    </a:xfrm>
                    <a:prstGeom prst="rect">
                      <a:avLst/>
                    </a:prstGeom>
                    <a:noFill/>
                    <a:ln w="9525">
                      <a:noFill/>
                      <a:miter lim="800000"/>
                      <a:headEnd/>
                      <a:tailEnd/>
                    </a:ln>
                  </pic:spPr>
                </pic:pic>
              </a:graphicData>
            </a:graphic>
          </wp:inline>
        </w:drawing>
      </w:r>
    </w:p>
    <w:p w:rsidR="00EE535C" w:rsidRPr="007F73AB" w:rsidRDefault="00EE535C" w:rsidP="00EE535C">
      <w:pPr>
        <w:pStyle w:val="NoSpacing"/>
        <w:jc w:val="both"/>
        <w:rPr>
          <w:rFonts w:ascii="Book Antiqua" w:hAnsi="Book Antiqua"/>
          <w:sz w:val="20"/>
        </w:rPr>
      </w:pPr>
    </w:p>
    <w:p w:rsidR="00EE535C" w:rsidRPr="00262DE1" w:rsidRDefault="00EE535C" w:rsidP="004B6882">
      <w:pPr>
        <w:pStyle w:val="NoSpacing"/>
        <w:jc w:val="center"/>
        <w:rPr>
          <w:rFonts w:ascii="Book Antiqua" w:hAnsi="Book Antiqua"/>
          <w:i/>
          <w:sz w:val="18"/>
          <w:szCs w:val="18"/>
        </w:rPr>
      </w:pPr>
      <w:r w:rsidRPr="00262DE1">
        <w:rPr>
          <w:rFonts w:ascii="Book Antiqua" w:hAnsi="Book Antiqua"/>
          <w:b/>
          <w:i/>
          <w:sz w:val="18"/>
          <w:szCs w:val="18"/>
        </w:rPr>
        <w:t>Figure 12:</w:t>
      </w:r>
      <w:r w:rsidRPr="00262DE1">
        <w:rPr>
          <w:rFonts w:ascii="Book Antiqua" w:hAnsi="Book Antiqua"/>
          <w:i/>
          <w:sz w:val="18"/>
          <w:szCs w:val="18"/>
        </w:rPr>
        <w:t xml:space="preserve"> Gigantism in the fossil record. </w:t>
      </w:r>
      <w:proofErr w:type="gramStart"/>
      <w:r w:rsidRPr="00262DE1">
        <w:rPr>
          <w:rFonts w:ascii="Book Antiqua" w:hAnsi="Book Antiqua"/>
          <w:i/>
          <w:sz w:val="18"/>
          <w:szCs w:val="18"/>
        </w:rPr>
        <w:t>(a) sea-scorpion, (b) a trilobite, (c) dragonfly, and (d) millipede.</w:t>
      </w:r>
      <w:proofErr w:type="gramEnd"/>
    </w:p>
    <w:p w:rsidR="00EE535C" w:rsidRDefault="00EE535C" w:rsidP="00613E74">
      <w:pPr>
        <w:pStyle w:val="NoSpacing"/>
        <w:jc w:val="both"/>
        <w:rPr>
          <w:rFonts w:ascii="Book Antiqua" w:hAnsi="Book Antiqua"/>
          <w:sz w:val="20"/>
        </w:rPr>
      </w:pPr>
    </w:p>
    <w:p w:rsidR="00EE535C" w:rsidRPr="007F73AB" w:rsidRDefault="005429CE" w:rsidP="00EE535C">
      <w:pPr>
        <w:pStyle w:val="NoSpacing"/>
        <w:ind w:firstLine="720"/>
        <w:jc w:val="both"/>
        <w:rPr>
          <w:rFonts w:ascii="Book Antiqua" w:hAnsi="Book Antiqua"/>
          <w:sz w:val="20"/>
        </w:rPr>
      </w:pPr>
      <w:r w:rsidRPr="007F73AB">
        <w:rPr>
          <w:rFonts w:ascii="Book Antiqua" w:hAnsi="Book Antiqua"/>
          <w:sz w:val="20"/>
        </w:rPr>
        <w:t xml:space="preserve">This would allow creatures like scorpions, which today only attain a </w:t>
      </w:r>
      <w:r w:rsidR="00E60FD1">
        <w:rPr>
          <w:rFonts w:ascii="Book Antiqua" w:hAnsi="Book Antiqua"/>
          <w:sz w:val="20"/>
        </w:rPr>
        <w:t xml:space="preserve">maximum </w:t>
      </w:r>
      <w:r w:rsidRPr="007F73AB">
        <w:rPr>
          <w:rFonts w:ascii="Book Antiqua" w:hAnsi="Book Antiqua"/>
          <w:sz w:val="20"/>
        </w:rPr>
        <w:t xml:space="preserve">size of about a foot (30 centimeters), to attain sizes ranging up to 8.5 feet and still be a functional entity. We see sea scorpions </w:t>
      </w:r>
      <w:r w:rsidR="00E60FD1" w:rsidRPr="007F73AB">
        <w:rPr>
          <w:rFonts w:ascii="Book Antiqua" w:hAnsi="Book Antiqua"/>
          <w:sz w:val="20"/>
        </w:rPr>
        <w:t xml:space="preserve">of these sizes </w:t>
      </w:r>
      <w:r w:rsidRPr="007F73AB">
        <w:rPr>
          <w:rFonts w:ascii="Book Antiqua" w:hAnsi="Book Antiqua"/>
          <w:sz w:val="20"/>
        </w:rPr>
        <w:t xml:space="preserve">in the fossil record (see Figure 12). </w:t>
      </w:r>
      <w:r w:rsidR="00E60FD1">
        <w:rPr>
          <w:rFonts w:ascii="Book Antiqua" w:hAnsi="Book Antiqua"/>
          <w:sz w:val="20"/>
        </w:rPr>
        <w:t>Fossils contain</w:t>
      </w:r>
      <w:r w:rsidR="00EE535C" w:rsidRPr="007F73AB">
        <w:rPr>
          <w:rFonts w:ascii="Book Antiqua" w:hAnsi="Book Antiqua"/>
          <w:sz w:val="20"/>
        </w:rPr>
        <w:t xml:space="preserve"> giant millipedes over 2 meters long (6.6 feet) and huge dragonflies with wingspans up to 75 centimeters (2.5 feet) and weighing ½ kilogram (1 pound). </w:t>
      </w:r>
      <w:r w:rsidR="00E60FD1">
        <w:rPr>
          <w:rFonts w:ascii="Book Antiqua" w:hAnsi="Book Antiqua"/>
          <w:sz w:val="20"/>
        </w:rPr>
        <w:t>It was t</w:t>
      </w:r>
      <w:r w:rsidR="00EE535C" w:rsidRPr="007F73AB">
        <w:rPr>
          <w:rFonts w:ascii="Book Antiqua" w:hAnsi="Book Antiqua"/>
          <w:sz w:val="20"/>
        </w:rPr>
        <w:t xml:space="preserve">he low </w:t>
      </w:r>
      <w:proofErr w:type="gramStart"/>
      <w:r w:rsidR="00EE535C" w:rsidRPr="007F73AB">
        <w:rPr>
          <w:rFonts w:ascii="Book Antiqua" w:hAnsi="Book Antiqua"/>
          <w:sz w:val="20"/>
        </w:rPr>
        <w:t xml:space="preserve">ZPE </w:t>
      </w:r>
      <w:r w:rsidR="00E60FD1">
        <w:rPr>
          <w:rFonts w:ascii="Book Antiqua" w:hAnsi="Book Antiqua"/>
          <w:sz w:val="20"/>
        </w:rPr>
        <w:t xml:space="preserve"> that</w:t>
      </w:r>
      <w:proofErr w:type="gramEnd"/>
      <w:r w:rsidR="00E60FD1">
        <w:rPr>
          <w:rFonts w:ascii="Book Antiqua" w:hAnsi="Book Antiqua"/>
          <w:sz w:val="20"/>
        </w:rPr>
        <w:t xml:space="preserve"> </w:t>
      </w:r>
      <w:r w:rsidR="00EE535C" w:rsidRPr="007F73AB">
        <w:rPr>
          <w:rFonts w:ascii="Book Antiqua" w:hAnsi="Book Antiqua"/>
          <w:sz w:val="20"/>
        </w:rPr>
        <w:t>made this possible. As the ZPE strength built up, so did capacitances, and the rate of nerve transmission dropped. Ultimately, it was only the smaller forms that survived</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w:t>
      </w:r>
    </w:p>
    <w:p w:rsidR="00EE535C" w:rsidRPr="007F73AB" w:rsidRDefault="00ED313B" w:rsidP="00EE535C">
      <w:pPr>
        <w:pStyle w:val="NoSpacing"/>
        <w:ind w:firstLine="720"/>
        <w:jc w:val="both"/>
        <w:rPr>
          <w:rFonts w:ascii="Book Antiqua" w:hAnsi="Book Antiqua"/>
          <w:sz w:val="20"/>
        </w:rPr>
      </w:pPr>
      <w:r>
        <w:rPr>
          <w:rFonts w:ascii="Book Antiqua" w:hAnsi="Book Antiqua"/>
          <w:sz w:val="20"/>
        </w:rPr>
        <w:t>Given today’s ZPE strength, s</w:t>
      </w:r>
      <w:r w:rsidR="00EE535C" w:rsidRPr="007F73AB">
        <w:rPr>
          <w:rFonts w:ascii="Book Antiqua" w:hAnsi="Book Antiqua"/>
          <w:sz w:val="20"/>
        </w:rPr>
        <w:t xml:space="preserve">ome of the largest of </w:t>
      </w:r>
      <w:r>
        <w:rPr>
          <w:rFonts w:ascii="Book Antiqua" w:hAnsi="Book Antiqua"/>
          <w:sz w:val="20"/>
        </w:rPr>
        <w:t>the dinosaurs</w:t>
      </w:r>
      <w:r w:rsidR="00EE535C" w:rsidRPr="007F73AB">
        <w:rPr>
          <w:rFonts w:ascii="Book Antiqua" w:hAnsi="Book Antiqua"/>
          <w:sz w:val="20"/>
        </w:rPr>
        <w:t xml:space="preserve">, like Apatosaurus, would take 40 seconds to transmit a message from his tail to his brain, and another 40 seconds </w:t>
      </w:r>
      <w:r w:rsidR="0002542B">
        <w:rPr>
          <w:rFonts w:ascii="Book Antiqua" w:hAnsi="Book Antiqua"/>
          <w:sz w:val="20"/>
        </w:rPr>
        <w:t xml:space="preserve">for the tail </w:t>
      </w:r>
      <w:r w:rsidR="00EE535C" w:rsidRPr="007F73AB">
        <w:rPr>
          <w:rFonts w:ascii="Book Antiqua" w:hAnsi="Book Antiqua"/>
          <w:sz w:val="20"/>
        </w:rPr>
        <w:t>to receive a response</w:t>
      </w:r>
      <w:r>
        <w:rPr>
          <w:rFonts w:ascii="Book Antiqua" w:hAnsi="Book Antiqua"/>
          <w:sz w:val="20"/>
        </w:rPr>
        <w:t>.</w:t>
      </w:r>
      <w:r w:rsidR="00EE535C" w:rsidRPr="007F73AB">
        <w:rPr>
          <w:rFonts w:ascii="Book Antiqua" w:hAnsi="Book Antiqua"/>
          <w:sz w:val="20"/>
        </w:rPr>
        <w:t xml:space="preserve"> [1</w:t>
      </w:r>
      <w:r w:rsidR="00A604C4">
        <w:rPr>
          <w:rFonts w:ascii="Book Antiqua" w:hAnsi="Book Antiqua"/>
          <w:sz w:val="20"/>
        </w:rPr>
        <w:t>8</w:t>
      </w:r>
      <w:r w:rsidR="00EE535C" w:rsidRPr="007F73AB">
        <w:rPr>
          <w:rFonts w:ascii="Book Antiqua" w:hAnsi="Book Antiqua"/>
          <w:sz w:val="20"/>
        </w:rPr>
        <w:t xml:space="preserve">]. </w:t>
      </w:r>
      <w:proofErr w:type="gramStart"/>
      <w:r w:rsidR="00EE535C" w:rsidRPr="007F73AB">
        <w:rPr>
          <w:rFonts w:ascii="Book Antiqua" w:hAnsi="Book Antiqua"/>
          <w:sz w:val="20"/>
        </w:rPr>
        <w:t>This</w:t>
      </w:r>
      <w:proofErr w:type="gramEnd"/>
      <w:r w:rsidR="00EE535C" w:rsidRPr="007F73AB">
        <w:rPr>
          <w:rFonts w:ascii="Book Antiqua" w:hAnsi="Book Antiqua"/>
          <w:sz w:val="20"/>
        </w:rPr>
        <w:t xml:space="preserve"> would make survival difficult. </w:t>
      </w:r>
      <w:r>
        <w:rPr>
          <w:rFonts w:ascii="Book Antiqua" w:hAnsi="Book Antiqua"/>
          <w:sz w:val="20"/>
        </w:rPr>
        <w:t>A</w:t>
      </w:r>
      <w:r w:rsidR="00EE535C" w:rsidRPr="007F73AB">
        <w:rPr>
          <w:rFonts w:ascii="Book Antiqua" w:hAnsi="Book Antiqua"/>
          <w:sz w:val="20"/>
        </w:rPr>
        <w:t xml:space="preserve"> significantly lower ZPE, </w:t>
      </w:r>
      <w:r>
        <w:rPr>
          <w:rFonts w:ascii="Book Antiqua" w:hAnsi="Book Antiqua"/>
          <w:sz w:val="20"/>
        </w:rPr>
        <w:t xml:space="preserve">however, as </w:t>
      </w:r>
      <w:r w:rsidR="00EE535C" w:rsidRPr="007F73AB">
        <w:rPr>
          <w:rFonts w:ascii="Book Antiqua" w:hAnsi="Book Antiqua"/>
          <w:sz w:val="20"/>
        </w:rPr>
        <w:t xml:space="preserve">suggested by the redshift curve, </w:t>
      </w:r>
      <w:r>
        <w:rPr>
          <w:rFonts w:ascii="Book Antiqua" w:hAnsi="Book Antiqua"/>
          <w:sz w:val="20"/>
        </w:rPr>
        <w:t xml:space="preserve">would allow </w:t>
      </w:r>
      <w:r w:rsidR="00EE535C" w:rsidRPr="007F73AB">
        <w:rPr>
          <w:rFonts w:ascii="Book Antiqua" w:hAnsi="Book Antiqua"/>
          <w:sz w:val="20"/>
        </w:rPr>
        <w:t xml:space="preserve">the messages could go and return in about one tenth of a second. Apatosaurus, and those like him, would </w:t>
      </w:r>
      <w:r w:rsidR="0002542B">
        <w:rPr>
          <w:rFonts w:ascii="Book Antiqua" w:hAnsi="Book Antiqua"/>
          <w:sz w:val="20"/>
        </w:rPr>
        <w:t>have been</w:t>
      </w:r>
      <w:r w:rsidR="00EE535C" w:rsidRPr="007F73AB">
        <w:rPr>
          <w:rFonts w:ascii="Book Antiqua" w:hAnsi="Book Antiqua"/>
          <w:sz w:val="20"/>
        </w:rPr>
        <w:t xml:space="preserve"> efficient beasts</w:t>
      </w:r>
      <w:r w:rsidR="0002542B">
        <w:rPr>
          <w:rFonts w:ascii="Book Antiqua" w:hAnsi="Book Antiqua"/>
          <w:sz w:val="20"/>
        </w:rPr>
        <w:t>.</w:t>
      </w:r>
      <w:r w:rsidR="00EE535C" w:rsidRPr="007F73AB">
        <w:rPr>
          <w:rFonts w:ascii="Book Antiqua" w:hAnsi="Book Antiqua"/>
          <w:sz w:val="20"/>
        </w:rPr>
        <w:t xml:space="preserv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numPr>
          <w:ilvl w:val="0"/>
          <w:numId w:val="3"/>
        </w:numPr>
        <w:jc w:val="both"/>
        <w:rPr>
          <w:rFonts w:ascii="Book Antiqua" w:hAnsi="Book Antiqua"/>
          <w:sz w:val="20"/>
        </w:rPr>
      </w:pPr>
      <w:r w:rsidRPr="007F73AB">
        <w:rPr>
          <w:rFonts w:ascii="Book Antiqua" w:hAnsi="Book Antiqua"/>
          <w:b/>
          <w:sz w:val="20"/>
        </w:rPr>
        <w:lastRenderedPageBreak/>
        <w:t>Gigantism in Plants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Gigantism in plants can also be attributed to a lower Zero Point Energy.  Photosynthesis is the conversion of light, water, and some chemicals into living materials and stored energy. This process is affected by the number of photons of light the plant is receiving, their energy, and by the</w:t>
      </w:r>
      <w:r w:rsidR="0002542B">
        <w:rPr>
          <w:rFonts w:ascii="Book Antiqua" w:hAnsi="Book Antiqua"/>
          <w:sz w:val="20"/>
        </w:rPr>
        <w:t xml:space="preserve"> total</w:t>
      </w:r>
      <w:r w:rsidRPr="007F73AB">
        <w:rPr>
          <w:rFonts w:ascii="Book Antiqua" w:hAnsi="Book Antiqua"/>
          <w:sz w:val="20"/>
        </w:rPr>
        <w:t xml:space="preserve"> light intensity or brightness. </w:t>
      </w: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 </w:t>
      </w:r>
    </w:p>
    <w:p w:rsidR="00EE535C" w:rsidRDefault="00EE535C" w:rsidP="00EE535C">
      <w:pPr>
        <w:pStyle w:val="NoSpacing"/>
        <w:ind w:firstLine="720"/>
        <w:jc w:val="both"/>
        <w:rPr>
          <w:rFonts w:ascii="Book Antiqua" w:hAnsi="Book Antiqua"/>
          <w:sz w:val="20"/>
        </w:rPr>
      </w:pPr>
      <w:r w:rsidRPr="007F73AB">
        <w:rPr>
          <w:rFonts w:ascii="Book Antiqua" w:hAnsi="Book Antiqua"/>
          <w:sz w:val="20"/>
        </w:rPr>
        <w:t xml:space="preserve">When the ZPE was lower, the overall light intensity or brightness of the sun, stars and other light sources was unchanged. In other words, the sun and stars would still appear to be as bright to us back then as they are now. </w:t>
      </w:r>
      <w:r w:rsidR="0002542B">
        <w:rPr>
          <w:rFonts w:ascii="Book Antiqua" w:hAnsi="Book Antiqua"/>
          <w:sz w:val="20"/>
        </w:rPr>
        <w:t>This was</w:t>
      </w:r>
      <w:r w:rsidRPr="007F73AB">
        <w:rPr>
          <w:rFonts w:ascii="Book Antiqua" w:hAnsi="Book Antiqua"/>
          <w:sz w:val="20"/>
        </w:rPr>
        <w:t xml:space="preserve"> because they were emitting more photons of light per second</w:t>
      </w:r>
      <w:r w:rsidR="0002542B">
        <w:rPr>
          <w:rFonts w:ascii="Book Antiqua" w:hAnsi="Book Antiqua"/>
          <w:sz w:val="20"/>
        </w:rPr>
        <w:t>,</w:t>
      </w:r>
      <w:r w:rsidRPr="007F73AB">
        <w:rPr>
          <w:rFonts w:ascii="Book Antiqua" w:hAnsi="Book Antiqua"/>
          <w:sz w:val="20"/>
        </w:rPr>
        <w:t xml:space="preserve"> </w:t>
      </w:r>
      <w:r w:rsidR="0002542B">
        <w:rPr>
          <w:rFonts w:ascii="Book Antiqua" w:hAnsi="Book Antiqua"/>
          <w:sz w:val="20"/>
        </w:rPr>
        <w:t>but</w:t>
      </w:r>
      <w:r w:rsidRPr="007F73AB">
        <w:rPr>
          <w:rFonts w:ascii="Book Antiqua" w:hAnsi="Book Antiqua"/>
          <w:sz w:val="20"/>
        </w:rPr>
        <w:t xml:space="preserve"> each photon ha</w:t>
      </w:r>
      <w:r w:rsidR="0002542B">
        <w:rPr>
          <w:rFonts w:ascii="Book Antiqua" w:hAnsi="Book Antiqua"/>
          <w:sz w:val="20"/>
        </w:rPr>
        <w:t>d</w:t>
      </w:r>
      <w:r w:rsidRPr="007F73AB">
        <w:rPr>
          <w:rFonts w:ascii="Book Antiqua" w:hAnsi="Book Antiqua"/>
          <w:sz w:val="20"/>
        </w:rPr>
        <w:t xml:space="preserve"> a lower brightness. </w:t>
      </w:r>
      <w:r w:rsidR="0002542B">
        <w:rPr>
          <w:rFonts w:ascii="Book Antiqua" w:hAnsi="Book Antiqua"/>
          <w:sz w:val="20"/>
        </w:rPr>
        <w:t xml:space="preserve"> The combination of t</w:t>
      </w:r>
      <w:r w:rsidRPr="007F73AB">
        <w:rPr>
          <w:rFonts w:ascii="Book Antiqua" w:hAnsi="Book Antiqua"/>
          <w:sz w:val="20"/>
        </w:rPr>
        <w:t xml:space="preserve">he increased number of photons </w:t>
      </w:r>
      <w:r w:rsidR="0002542B">
        <w:rPr>
          <w:rFonts w:ascii="Book Antiqua" w:hAnsi="Book Antiqua"/>
          <w:sz w:val="20"/>
        </w:rPr>
        <w:t>and</w:t>
      </w:r>
      <w:r w:rsidRPr="007F73AB">
        <w:rPr>
          <w:rFonts w:ascii="Book Antiqua" w:hAnsi="Book Antiqua"/>
          <w:sz w:val="20"/>
        </w:rPr>
        <w:t xml:space="preserve"> the lower intrinsic brightness of each photon</w:t>
      </w:r>
      <w:r w:rsidR="0002542B">
        <w:rPr>
          <w:rFonts w:ascii="Book Antiqua" w:hAnsi="Book Antiqua"/>
          <w:sz w:val="20"/>
        </w:rPr>
        <w:t xml:space="preserve"> resulted in the same total brightness then that we have today</w:t>
      </w:r>
      <w:r w:rsidRPr="007F73AB">
        <w:rPr>
          <w:rFonts w:ascii="Book Antiqua" w:hAnsi="Book Antiqua"/>
          <w:sz w:val="20"/>
        </w:rPr>
        <w:t xml:space="preserve">. </w:t>
      </w:r>
    </w:p>
    <w:p w:rsidR="00FF0259" w:rsidRDefault="00FF0259" w:rsidP="00EE535C">
      <w:pPr>
        <w:pStyle w:val="NoSpacing"/>
        <w:ind w:firstLine="720"/>
        <w:jc w:val="both"/>
        <w:rPr>
          <w:rFonts w:ascii="Book Antiqua" w:hAnsi="Book Antiqua"/>
          <w:sz w:val="20"/>
        </w:rPr>
      </w:pPr>
    </w:p>
    <w:p w:rsidR="00FF0259" w:rsidRPr="007F73AB" w:rsidRDefault="00FF0259" w:rsidP="00FF0259">
      <w:pPr>
        <w:pStyle w:val="NoSpacing"/>
        <w:ind w:firstLine="720"/>
        <w:jc w:val="both"/>
        <w:rPr>
          <w:rFonts w:ascii="Book Antiqua" w:hAnsi="Book Antiqua"/>
          <w:sz w:val="20"/>
        </w:rPr>
      </w:pPr>
      <w:r w:rsidRPr="007F73AB">
        <w:rPr>
          <w:rFonts w:ascii="Book Antiqua" w:hAnsi="Book Antiqua"/>
          <w:sz w:val="20"/>
        </w:rPr>
        <w:t xml:space="preserve">The brightness of a light wave or photon is determined by the amplitude or height of the wave. </w:t>
      </w:r>
      <w:r w:rsidR="0002542B">
        <w:rPr>
          <w:rFonts w:ascii="Book Antiqua" w:hAnsi="Book Antiqua"/>
          <w:sz w:val="20"/>
        </w:rPr>
        <w:t>The</w:t>
      </w:r>
      <w:r w:rsidRPr="007F73AB">
        <w:rPr>
          <w:rFonts w:ascii="Book Antiqua" w:hAnsi="Book Antiqua"/>
          <w:sz w:val="20"/>
        </w:rPr>
        <w:t xml:space="preserve"> basic formula in such cases states that for any given wave, the square of the wave amplitude (or height) multiplied by the wave velocity is a constant [1</w:t>
      </w:r>
      <w:r w:rsidR="00A604C4">
        <w:rPr>
          <w:rFonts w:ascii="Book Antiqua" w:hAnsi="Book Antiqua"/>
          <w:sz w:val="20"/>
        </w:rPr>
        <w:t>9</w:t>
      </w:r>
      <w:r w:rsidRPr="007F73AB">
        <w:rPr>
          <w:rFonts w:ascii="Book Antiqua" w:hAnsi="Book Antiqua"/>
          <w:sz w:val="20"/>
        </w:rPr>
        <w:t xml:space="preserve">]. So initially, when the speed (the velocity) of light was high, the heights or amplitudes of these light waves had to be quite small. Thus the amplitude changes with speed. As the speed of light reduced, the heights or amplitudes of these light waves </w:t>
      </w:r>
      <w:proofErr w:type="gramStart"/>
      <w:r w:rsidRPr="007F73AB">
        <w:rPr>
          <w:rFonts w:ascii="Book Antiqua" w:hAnsi="Book Antiqua"/>
          <w:sz w:val="20"/>
        </w:rPr>
        <w:t>increased  (</w:t>
      </w:r>
      <w:proofErr w:type="gramEnd"/>
      <w:r w:rsidRPr="007F73AB">
        <w:rPr>
          <w:rFonts w:ascii="Book Antiqua" w:hAnsi="Book Antiqua"/>
          <w:sz w:val="20"/>
        </w:rPr>
        <w:t xml:space="preserve">see Figure 13). </w:t>
      </w:r>
      <w:r w:rsidR="0002542B">
        <w:rPr>
          <w:rFonts w:ascii="Book Antiqua" w:hAnsi="Book Antiqua"/>
          <w:sz w:val="20"/>
        </w:rPr>
        <w:t xml:space="preserve"> Note that the wave lengths themselves did not change.</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jc w:val="center"/>
        <w:rPr>
          <w:rFonts w:ascii="Book Antiqua" w:hAnsi="Book Antiqua"/>
          <w:sz w:val="20"/>
        </w:rPr>
      </w:pPr>
      <w:r w:rsidRPr="007F73AB">
        <w:rPr>
          <w:rFonts w:ascii="Book Antiqua" w:hAnsi="Book Antiqua"/>
          <w:noProof/>
          <w:sz w:val="20"/>
        </w:rPr>
        <w:drawing>
          <wp:inline distT="0" distB="0" distL="0" distR="0">
            <wp:extent cx="3749697" cy="3142770"/>
            <wp:effectExtent l="19050" t="0" r="3153" b="0"/>
            <wp:docPr id="442"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758858" cy="3150449"/>
                    </a:xfrm>
                    <a:prstGeom prst="rect">
                      <a:avLst/>
                    </a:prstGeom>
                    <a:noFill/>
                    <a:ln w="9525">
                      <a:noFill/>
                      <a:miter lim="800000"/>
                      <a:headEnd/>
                      <a:tailEnd/>
                    </a:ln>
                  </pic:spPr>
                </pic:pic>
              </a:graphicData>
            </a:graphic>
          </wp:inline>
        </w:drawing>
      </w:r>
    </w:p>
    <w:p w:rsidR="00EE535C" w:rsidRPr="007F73AB" w:rsidRDefault="00EE535C" w:rsidP="00EE535C">
      <w:pPr>
        <w:pStyle w:val="NoSpacing"/>
        <w:ind w:firstLine="720"/>
        <w:rPr>
          <w:rFonts w:ascii="Book Antiqua" w:hAnsi="Book Antiqua"/>
          <w:sz w:val="20"/>
        </w:rPr>
      </w:pPr>
    </w:p>
    <w:p w:rsidR="00EE535C" w:rsidRPr="00262DE1" w:rsidRDefault="00EE535C" w:rsidP="00EE535C">
      <w:pPr>
        <w:pStyle w:val="NoSpacing"/>
        <w:rPr>
          <w:rFonts w:ascii="Book Antiqua" w:hAnsi="Book Antiqua"/>
          <w:i/>
          <w:sz w:val="18"/>
          <w:szCs w:val="18"/>
        </w:rPr>
      </w:pPr>
      <w:r w:rsidRPr="00262DE1">
        <w:rPr>
          <w:rFonts w:ascii="Book Antiqua" w:hAnsi="Book Antiqua"/>
          <w:b/>
          <w:i/>
          <w:sz w:val="18"/>
          <w:szCs w:val="18"/>
        </w:rPr>
        <w:t>Figure 13:</w:t>
      </w:r>
      <w:r w:rsidRPr="00262DE1">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EE535C" w:rsidRPr="007F73AB" w:rsidRDefault="00EE535C" w:rsidP="00EE535C">
      <w:pPr>
        <w:pStyle w:val="NoSpacing"/>
        <w:ind w:firstLine="720"/>
        <w:jc w:val="both"/>
        <w:rPr>
          <w:rFonts w:ascii="Book Antiqua" w:hAnsi="Book Antiqua"/>
          <w:sz w:val="20"/>
        </w:rPr>
      </w:pPr>
    </w:p>
    <w:p w:rsidR="00EE535C" w:rsidRDefault="00045A66" w:rsidP="004D4E88">
      <w:pPr>
        <w:pStyle w:val="Els-body-text"/>
        <w:ind w:firstLine="720"/>
        <w:rPr>
          <w:rFonts w:ascii="Book Antiqua" w:hAnsi="Book Antiqua"/>
        </w:rPr>
      </w:pPr>
      <w:r>
        <w:rPr>
          <w:rFonts w:ascii="Book Antiqua" w:hAnsi="Book Antiqua"/>
        </w:rPr>
        <w:t xml:space="preserve">Because the wavelengths remained the same, the color of the light remained the same.  This also means the energy stayed the same.  But because plants in earlier eras had more photons reaching them in any given amount of time, albeit of less individual intensity, they were able to photosynthesize the incoming energy more completely and thus were able to grow faster and to greater heights. </w:t>
      </w:r>
      <w:r w:rsidR="00EE535C" w:rsidRPr="007F73AB">
        <w:rPr>
          <w:rFonts w:ascii="Book Antiqua" w:hAnsi="Book Antiqua"/>
        </w:rPr>
        <w:t xml:space="preserve"> All these matters are explored in full detail in Chapter 10, with some additional detail about wave amplitudes in Chapter 2 and Appendix B.</w:t>
      </w:r>
    </w:p>
    <w:p w:rsidR="004B6882" w:rsidRDefault="004B6882" w:rsidP="004D4E88">
      <w:pPr>
        <w:pStyle w:val="Els-body-text"/>
        <w:ind w:firstLine="720"/>
        <w:rPr>
          <w:rFonts w:ascii="Book Antiqua" w:hAnsi="Book Antiqua"/>
        </w:rPr>
      </w:pPr>
    </w:p>
    <w:p w:rsidR="004B6882" w:rsidRDefault="004B6882" w:rsidP="004D4E88">
      <w:pPr>
        <w:pStyle w:val="Els-body-text"/>
        <w:ind w:firstLine="720"/>
        <w:rPr>
          <w:rFonts w:ascii="Book Antiqua" w:hAnsi="Book Antiqua"/>
        </w:rPr>
      </w:pPr>
    </w:p>
    <w:p w:rsidR="00AF0E39" w:rsidRPr="007F73AB" w:rsidRDefault="00AF0E39" w:rsidP="004D4E88">
      <w:pPr>
        <w:pStyle w:val="Els-body-text"/>
        <w:ind w:firstLine="720"/>
        <w:rPr>
          <w:rFonts w:ascii="Book Antiqua" w:hAnsi="Book Antiqua"/>
        </w:rPr>
      </w:pPr>
    </w:p>
    <w:p w:rsidR="00EE535C" w:rsidRPr="007F73AB" w:rsidRDefault="00EE535C" w:rsidP="00EE535C">
      <w:pPr>
        <w:pStyle w:val="NoSpacing"/>
        <w:numPr>
          <w:ilvl w:val="0"/>
          <w:numId w:val="3"/>
        </w:numPr>
        <w:jc w:val="both"/>
        <w:rPr>
          <w:rFonts w:ascii="Book Antiqua" w:hAnsi="Book Antiqua"/>
          <w:b/>
          <w:sz w:val="20"/>
        </w:rPr>
      </w:pPr>
      <w:r w:rsidRPr="007F73AB">
        <w:rPr>
          <w:rFonts w:ascii="Book Antiqua" w:hAnsi="Book Antiqua"/>
          <w:b/>
          <w:sz w:val="20"/>
        </w:rPr>
        <w:t>The Zero Point Energy and Relativity</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4D4E88">
      <w:pPr>
        <w:pStyle w:val="NoSpacing"/>
        <w:ind w:firstLine="720"/>
        <w:jc w:val="both"/>
        <w:rPr>
          <w:rFonts w:ascii="Book Antiqua" w:hAnsi="Book Antiqua"/>
          <w:sz w:val="20"/>
        </w:rPr>
      </w:pPr>
      <w:r w:rsidRPr="007F73AB">
        <w:rPr>
          <w:rFonts w:ascii="Book Antiqua" w:hAnsi="Book Antiqua"/>
          <w:sz w:val="20"/>
        </w:rPr>
        <w:t xml:space="preserve">Finally, the SED approach using the Zero Point Energy can be shown to produce the same effects as Einstein’s relativity, but without any of the restrictive postulates that relativity requires. Furthermore it can be done with intuitive concepts and high school mathematics.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The basic postulates of relativity have recently been called into question. One is relativity’s contention that there is no absolute reference frame anywhere in the universe; everything is merely relative. The discovery of the Cosmic Microwave Background Radiation (CMBR) in 1964 changed that. This radiation is coming uniformly from all directions in space and has provided an absolute rest frame against which the actual velocity of the solar system, as well as our galaxy, and our whole Local Group of galaxies can be measured.</w:t>
      </w:r>
      <w:r w:rsidR="00E66BCC">
        <w:rPr>
          <w:rFonts w:ascii="Book Antiqua" w:hAnsi="Book Antiqua"/>
          <w:sz w:val="20"/>
        </w:rPr>
        <w:t xml:space="preserve"> The CMB radiation is slightly “warmer” in the direction of travel and slightly “cooler” in the opposite direction due to a genuine Doppler effect.</w:t>
      </w:r>
    </w:p>
    <w:p w:rsidR="00EE535C" w:rsidRPr="007F73AB" w:rsidRDefault="004D4E88" w:rsidP="00EE535C">
      <w:pPr>
        <w:pStyle w:val="NoSpacing"/>
        <w:ind w:firstLine="720"/>
        <w:jc w:val="both"/>
        <w:rPr>
          <w:rFonts w:ascii="Book Antiqua" w:hAnsi="Book Antiqua"/>
          <w:sz w:val="20"/>
        </w:rPr>
      </w:pPr>
      <w:r w:rsidRPr="007F73AB">
        <w:rPr>
          <w:rFonts w:ascii="Book Antiqua" w:hAnsi="Book Antiqua"/>
          <w:sz w:val="20"/>
        </w:rPr>
        <w:tab/>
      </w:r>
      <w:r w:rsidR="00E66BCC">
        <w:rPr>
          <w:rFonts w:ascii="Book Antiqua" w:hAnsi="Book Antiqua"/>
          <w:sz w:val="20"/>
        </w:rPr>
        <w:t xml:space="preserve"> </w:t>
      </w:r>
    </w:p>
    <w:p w:rsidR="00EE535C" w:rsidRPr="007F73AB" w:rsidRDefault="00EE535C" w:rsidP="004D4E88">
      <w:pPr>
        <w:pStyle w:val="NormPara"/>
        <w:ind w:firstLine="720"/>
        <w:rPr>
          <w:rStyle w:val="Emphasis"/>
          <w:i w:val="0"/>
          <w:color w:val="FF0000"/>
          <w:sz w:val="20"/>
        </w:rPr>
      </w:pPr>
      <w:r w:rsidRPr="007F73AB">
        <w:rPr>
          <w:sz w:val="20"/>
        </w:rPr>
        <w:t xml:space="preserve">In his book </w:t>
      </w:r>
      <w:r w:rsidRPr="007F73AB">
        <w:rPr>
          <w:b/>
          <w:sz w:val="20"/>
        </w:rPr>
        <w:t>Astrophysical Concepts</w:t>
      </w:r>
      <w:r w:rsidRPr="007F73AB">
        <w:rPr>
          <w:sz w:val="20"/>
        </w:rPr>
        <w:t xml:space="preserve">, Martin Harwit writes about the CMBR and states: </w:t>
      </w:r>
      <w:r w:rsidRPr="007F73AB">
        <w:rPr>
          <w:rStyle w:val="Emphasis"/>
          <w:sz w:val="20"/>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A604C4">
        <w:rPr>
          <w:rStyle w:val="Emphasis"/>
          <w:i w:val="0"/>
          <w:sz w:val="20"/>
        </w:rPr>
        <w:t>[</w:t>
      </w:r>
      <w:r w:rsidR="00A604C4" w:rsidRPr="00A604C4">
        <w:rPr>
          <w:rStyle w:val="Emphasis"/>
          <w:i w:val="0"/>
          <w:sz w:val="20"/>
        </w:rPr>
        <w:t>20</w:t>
      </w:r>
      <w:r w:rsidRPr="00A604C4">
        <w:rPr>
          <w:rStyle w:val="Emphasis"/>
          <w:i w:val="0"/>
          <w:sz w:val="20"/>
        </w:rPr>
        <w:t>]</w:t>
      </w:r>
    </w:p>
    <w:p w:rsidR="00EE535C" w:rsidRPr="007F73AB" w:rsidRDefault="00EE535C" w:rsidP="00EE535C">
      <w:pPr>
        <w:pStyle w:val="NormPara"/>
        <w:ind w:firstLine="270"/>
        <w:rPr>
          <w:rStyle w:val="Emphasis"/>
          <w:i w:val="0"/>
          <w:sz w:val="20"/>
        </w:rPr>
      </w:pPr>
    </w:p>
    <w:p w:rsidR="00EE535C" w:rsidRPr="007F73AB" w:rsidRDefault="00EE535C" w:rsidP="004D4E88">
      <w:pPr>
        <w:pStyle w:val="NormPara"/>
        <w:ind w:firstLine="720"/>
        <w:rPr>
          <w:sz w:val="20"/>
        </w:rPr>
      </w:pPr>
      <w:r w:rsidRPr="007F73AB">
        <w:rPr>
          <w:rStyle w:val="Emphasis"/>
          <w:sz w:val="20"/>
        </w:rPr>
        <w:t xml:space="preserve">  </w:t>
      </w:r>
      <w:r w:rsidRPr="007F73AB">
        <w:rPr>
          <w:sz w:val="20"/>
        </w:rPr>
        <w:t xml:space="preserve">Harwit then goes on to salvage what he can for relativity by saying </w:t>
      </w:r>
      <w:r w:rsidRPr="007F73AB">
        <w:rPr>
          <w:rStyle w:val="Emphasis"/>
          <w:sz w:val="20"/>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195904">
        <w:rPr>
          <w:rStyle w:val="Emphasis"/>
          <w:i w:val="0"/>
          <w:sz w:val="20"/>
        </w:rPr>
        <w:t>[</w:t>
      </w:r>
      <w:r w:rsidR="00A604C4" w:rsidRPr="00195904">
        <w:rPr>
          <w:rStyle w:val="Emphasis"/>
          <w:i w:val="0"/>
          <w:sz w:val="20"/>
        </w:rPr>
        <w:t>20</w:t>
      </w:r>
      <w:r w:rsidRPr="00195904">
        <w:rPr>
          <w:rStyle w:val="Emphasis"/>
          <w:i w:val="0"/>
          <w:sz w:val="20"/>
        </w:rPr>
        <w:t>]</w:t>
      </w:r>
      <w:r w:rsidRPr="007F73AB">
        <w:rPr>
          <w:rStyle w:val="Emphasis"/>
          <w:sz w:val="20"/>
        </w:rPr>
        <w:t xml:space="preserve"> </w:t>
      </w:r>
      <w:r w:rsidRPr="00946D6B">
        <w:rPr>
          <w:rStyle w:val="Emphasis"/>
          <w:i w:val="0"/>
          <w:sz w:val="20"/>
        </w:rPr>
        <w:t>Since Martin</w:t>
      </w:r>
      <w:r w:rsidRPr="007F73AB">
        <w:rPr>
          <w:rStyle w:val="Emphasis"/>
          <w:sz w:val="20"/>
        </w:rPr>
        <w:t xml:space="preserve"> </w:t>
      </w:r>
      <w:r w:rsidRPr="007F73AB">
        <w:rPr>
          <w:sz w:val="20"/>
        </w:rPr>
        <w:t>Harwit is correct, this implies that relativity needs a re-assessment. The presence of the ZPE allows another alternative to be considered in addition to those already suggested by other investigators.</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One illustration of what the ZPE approach can offer </w:t>
      </w:r>
      <w:r w:rsidR="00045A66">
        <w:rPr>
          <w:rFonts w:ascii="Book Antiqua" w:hAnsi="Book Antiqua"/>
          <w:sz w:val="20"/>
        </w:rPr>
        <w:t>has to do with</w:t>
      </w:r>
      <w:r w:rsidRPr="007F73AB">
        <w:rPr>
          <w:rFonts w:ascii="Book Antiqua" w:hAnsi="Book Antiqua"/>
          <w:sz w:val="20"/>
        </w:rPr>
        <w:t xml:space="preserve"> the bending of light in a gravitational field. </w:t>
      </w:r>
      <w:r w:rsidR="00045A66">
        <w:rPr>
          <w:rFonts w:ascii="Book Antiqua" w:hAnsi="Book Antiqua"/>
          <w:sz w:val="20"/>
        </w:rPr>
        <w:t>G</w:t>
      </w:r>
      <w:r w:rsidRPr="007F73AB">
        <w:rPr>
          <w:rFonts w:ascii="Book Antiqua" w:hAnsi="Book Antiqua"/>
          <w:sz w:val="20"/>
        </w:rPr>
        <w:t>ravitational field</w:t>
      </w:r>
      <w:r w:rsidR="00045A66">
        <w:rPr>
          <w:rFonts w:ascii="Book Antiqua" w:hAnsi="Book Antiqua"/>
          <w:sz w:val="20"/>
        </w:rPr>
        <w:t>s</w:t>
      </w:r>
      <w:r w:rsidRPr="007F73AB">
        <w:rPr>
          <w:rFonts w:ascii="Book Antiqua" w:hAnsi="Book Antiqua"/>
          <w:sz w:val="20"/>
        </w:rPr>
        <w:t xml:space="preserve"> </w:t>
      </w:r>
      <w:r w:rsidR="00045A66">
        <w:rPr>
          <w:rFonts w:ascii="Book Antiqua" w:hAnsi="Book Antiqua"/>
          <w:sz w:val="20"/>
        </w:rPr>
        <w:t>are</w:t>
      </w:r>
      <w:r w:rsidRPr="007F73AB">
        <w:rPr>
          <w:rFonts w:ascii="Book Antiqua" w:hAnsi="Book Antiqua"/>
          <w:sz w:val="20"/>
        </w:rPr>
        <w:t xml:space="preserve"> associated with massive objects</w:t>
      </w:r>
      <w:r w:rsidR="00045A66">
        <w:rPr>
          <w:rFonts w:ascii="Book Antiqua" w:hAnsi="Book Antiqua"/>
          <w:sz w:val="20"/>
        </w:rPr>
        <w:t>.  But even</w:t>
      </w:r>
      <w:r w:rsidRPr="007F73AB">
        <w:rPr>
          <w:rFonts w:ascii="Book Antiqua" w:hAnsi="Book Antiqua"/>
          <w:sz w:val="20"/>
        </w:rPr>
        <w:t xml:space="preserve"> massive objects are made up of sub-atomic particles. These particles are undergoing the jitter motion caused by the Zero Point Energy. Each particle is charged, since even a neutron can be considered to be made up of a proton and an electron bound together. Alternately, it can be asserted that all matter is made up of charged quarks and these are “jittered” by the ZPE. </w:t>
      </w:r>
    </w:p>
    <w:p w:rsidR="00EE535C" w:rsidRPr="007F73AB" w:rsidRDefault="00EE535C" w:rsidP="00EE535C">
      <w:pPr>
        <w:pStyle w:val="NoSpacing"/>
        <w:ind w:firstLine="720"/>
        <w:jc w:val="both"/>
        <w:rPr>
          <w:rFonts w:ascii="Book Antiqua" w:hAnsi="Book Antiqua"/>
          <w:sz w:val="20"/>
        </w:rPr>
      </w:pPr>
    </w:p>
    <w:p w:rsidR="00EE535C" w:rsidRPr="007F73AB" w:rsidRDefault="00EE535C" w:rsidP="00EE535C">
      <w:pPr>
        <w:pStyle w:val="NoSpacing"/>
        <w:ind w:firstLine="720"/>
        <w:jc w:val="both"/>
        <w:rPr>
          <w:rFonts w:ascii="Book Antiqua" w:hAnsi="Book Antiqua"/>
          <w:sz w:val="20"/>
        </w:rPr>
      </w:pPr>
      <w:r w:rsidRPr="007F73AB">
        <w:rPr>
          <w:rFonts w:ascii="Book Antiqua" w:hAnsi="Book Antiqua"/>
          <w:sz w:val="20"/>
        </w:rPr>
        <w:t xml:space="preserve">It has been known from classical electrodynamics that a charged particle being “jittered” or changing direction gives off a secondary radiation. This secondary radiation then locally boosts the ZPE strength in </w:t>
      </w:r>
      <w:r w:rsidR="00045A66">
        <w:rPr>
          <w:rFonts w:ascii="Book Antiqua" w:hAnsi="Book Antiqua"/>
          <w:sz w:val="20"/>
        </w:rPr>
        <w:t>its</w:t>
      </w:r>
      <w:r w:rsidRPr="007F73AB">
        <w:rPr>
          <w:rFonts w:ascii="Book Antiqua" w:hAnsi="Book Antiqua"/>
          <w:sz w:val="20"/>
        </w:rPr>
        <w:t xml:space="preserve"> vicinity. </w:t>
      </w:r>
      <w:r w:rsidR="00045A66">
        <w:rPr>
          <w:rFonts w:ascii="Book Antiqua" w:hAnsi="Book Antiqua"/>
          <w:sz w:val="20"/>
        </w:rPr>
        <w:t>This results in</w:t>
      </w:r>
      <w:r w:rsidRPr="007F73AB">
        <w:rPr>
          <w:rFonts w:ascii="Book Antiqua" w:hAnsi="Book Antiqua"/>
          <w:sz w:val="20"/>
        </w:rPr>
        <w:t xml:space="preserve"> a stronger ZPE in the immediate locality of massive objects. A stronger ZPE results in a slower speed of light. It is in this instance we can go back to the illustration of a straw in water appearing to be broken at the surface of the water.  In the presence of massive objects, where the ZPE is locally stronger, there are two different mediums present in the path of the light ray. The light ray is bent as it goes through this denser medium. This is the reason light will be bent in the presence of large astronomical objects.  There is no need for the strange geometric property of space-time that Einstein needed</w:t>
      </w:r>
      <w:r w:rsidR="00946D6B">
        <w:rPr>
          <w:rFonts w:ascii="Book Antiqua" w:hAnsi="Book Antiqua"/>
          <w:sz w:val="20"/>
        </w:rPr>
        <w:t>.</w:t>
      </w:r>
      <w:r w:rsidRPr="007F73AB">
        <w:rPr>
          <w:rFonts w:ascii="Book Antiqua" w:hAnsi="Book Antiqua"/>
          <w:sz w:val="20"/>
        </w:rPr>
        <w:t xml:space="preserve"> A fuller discussion of many items of importance to both special and general relativity occurs in Chapter 7. An extended technical summary of all this research is given in Chapter 11.</w:t>
      </w:r>
    </w:p>
    <w:p w:rsidR="00EE535C" w:rsidRDefault="00EE535C" w:rsidP="00EE535C">
      <w:pPr>
        <w:rPr>
          <w:rFonts w:ascii="Book Antiqua" w:hAnsi="Book Antiqua"/>
          <w:b/>
        </w:rPr>
      </w:pPr>
    </w:p>
    <w:p w:rsidR="00A4752B" w:rsidRPr="007F73AB" w:rsidRDefault="00A4752B" w:rsidP="00EE535C">
      <w:pPr>
        <w:rPr>
          <w:rFonts w:ascii="Book Antiqua" w:hAnsi="Book Antiqua"/>
          <w:b/>
        </w:rPr>
      </w:pPr>
    </w:p>
    <w:p w:rsidR="00EE535C" w:rsidRPr="007F73AB" w:rsidRDefault="00EE535C" w:rsidP="00EE535C">
      <w:pPr>
        <w:rPr>
          <w:rFonts w:ascii="Book Antiqua" w:hAnsi="Book Antiqua"/>
          <w:b/>
          <w:i/>
        </w:rPr>
      </w:pPr>
      <w:r w:rsidRPr="007F73AB">
        <w:rPr>
          <w:rFonts w:ascii="Book Antiqua" w:hAnsi="Book Antiqua"/>
          <w:b/>
        </w:rPr>
        <w:t xml:space="preserve">References </w:t>
      </w:r>
      <w:r w:rsidRPr="007F73AB">
        <w:rPr>
          <w:rFonts w:ascii="Book Antiqua" w:hAnsi="Book Antiqua"/>
          <w:b/>
          <w:i/>
        </w:rPr>
        <w:t xml:space="preserve">– </w:t>
      </w:r>
      <w:r w:rsidRPr="007F73AB">
        <w:rPr>
          <w:rFonts w:ascii="Book Antiqua" w:hAnsi="Book Antiqua"/>
          <w:i/>
        </w:rPr>
        <w:t>All URL’s retrieved 9/13/12</w:t>
      </w:r>
    </w:p>
    <w:p w:rsidR="00EE535C" w:rsidRPr="007F73AB" w:rsidRDefault="00EE535C" w:rsidP="00EE535C">
      <w:pPr>
        <w:rPr>
          <w:rFonts w:ascii="Book Antiqua" w:hAnsi="Book Antiqua"/>
          <w:b/>
          <w:sz w:val="16"/>
          <w:szCs w:val="16"/>
        </w:rPr>
      </w:pP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[1] M. Planck, </w:t>
      </w:r>
      <w:r w:rsidRPr="007F73AB">
        <w:rPr>
          <w:rFonts w:ascii="Book Antiqua" w:hAnsi="Book Antiqua"/>
          <w:i/>
          <w:sz w:val="16"/>
          <w:szCs w:val="16"/>
        </w:rPr>
        <w:t>Verhandlungen der Deutschen Physikalischen Gesellschaft</w:t>
      </w:r>
      <w:r w:rsidRPr="007F73AB">
        <w:rPr>
          <w:rFonts w:ascii="Book Antiqua" w:hAnsi="Book Antiqua"/>
          <w:sz w:val="16"/>
          <w:szCs w:val="16"/>
        </w:rPr>
        <w:t xml:space="preserve"> </w:t>
      </w:r>
      <w:r w:rsidRPr="007F73AB">
        <w:rPr>
          <w:rFonts w:ascii="Book Antiqua" w:hAnsi="Book Antiqua"/>
          <w:b/>
          <w:bCs/>
          <w:sz w:val="16"/>
          <w:szCs w:val="16"/>
        </w:rPr>
        <w:t xml:space="preserve">13 </w:t>
      </w:r>
      <w:r w:rsidRPr="007F73AB">
        <w:rPr>
          <w:rFonts w:ascii="Book Antiqua" w:hAnsi="Book Antiqua"/>
          <w:sz w:val="16"/>
          <w:szCs w:val="16"/>
        </w:rPr>
        <w:t>(1911), p.138.</w:t>
      </w:r>
    </w:p>
    <w:p w:rsidR="00EE535C" w:rsidRPr="007F73AB" w:rsidRDefault="00EE535C" w:rsidP="00EE535C">
      <w:pPr>
        <w:rPr>
          <w:rFonts w:ascii="Book Antiqua" w:hAnsi="Book Antiqua"/>
          <w:sz w:val="16"/>
          <w:szCs w:val="16"/>
        </w:rPr>
      </w:pPr>
      <w:r w:rsidRPr="007F73AB">
        <w:rPr>
          <w:rFonts w:ascii="Book Antiqua" w:hAnsi="Book Antiqua"/>
          <w:sz w:val="16"/>
          <w:szCs w:val="16"/>
        </w:rPr>
        <w:t>[2] L. de Broglie</w:t>
      </w:r>
      <w:r w:rsidRPr="007F73AB">
        <w:rPr>
          <w:rFonts w:ascii="Book Antiqua" w:hAnsi="Book Antiqua"/>
          <w:i/>
          <w:sz w:val="16"/>
          <w:szCs w:val="16"/>
        </w:rPr>
        <w:t>, New Perspectives in Physics</w:t>
      </w:r>
      <w:r w:rsidRPr="007F73AB">
        <w:rPr>
          <w:rFonts w:ascii="Book Antiqua" w:hAnsi="Book Antiqua"/>
          <w:sz w:val="16"/>
          <w:szCs w:val="16"/>
        </w:rPr>
        <w:t>, Basic Books Publishing Co., New York, 1962.</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[3] </w:t>
      </w:r>
      <w:r w:rsidR="002F274A" w:rsidRPr="005627CB">
        <w:rPr>
          <w:rFonts w:ascii="Book Antiqua" w:hAnsi="Book Antiqua"/>
          <w:sz w:val="16"/>
          <w:szCs w:val="16"/>
        </w:rPr>
        <w:t>J</w:t>
      </w:r>
      <w:r w:rsidR="002F274A">
        <w:rPr>
          <w:rFonts w:ascii="Book Antiqua" w:hAnsi="Book Antiqua"/>
          <w:sz w:val="16"/>
          <w:szCs w:val="16"/>
        </w:rPr>
        <w:t>.</w:t>
      </w:r>
      <w:r w:rsidR="002F274A" w:rsidRPr="005627CB">
        <w:rPr>
          <w:rFonts w:ascii="Book Antiqua" w:hAnsi="Book Antiqua"/>
          <w:sz w:val="16"/>
          <w:szCs w:val="16"/>
        </w:rPr>
        <w:t xml:space="preserve"> Narlikar &amp; H</w:t>
      </w:r>
      <w:r w:rsidR="002F274A">
        <w:rPr>
          <w:rFonts w:ascii="Book Antiqua" w:hAnsi="Book Antiqua"/>
          <w:sz w:val="16"/>
          <w:szCs w:val="16"/>
        </w:rPr>
        <w:t>.</w:t>
      </w:r>
      <w:r w:rsidR="002F274A" w:rsidRPr="005627CB">
        <w:rPr>
          <w:rFonts w:ascii="Book Antiqua" w:hAnsi="Book Antiqua"/>
          <w:sz w:val="16"/>
          <w:szCs w:val="16"/>
        </w:rPr>
        <w:t xml:space="preserve"> Arp, </w:t>
      </w:r>
      <w:r w:rsidR="002F274A">
        <w:rPr>
          <w:rFonts w:ascii="Book Antiqua" w:hAnsi="Book Antiqua"/>
          <w:sz w:val="16"/>
          <w:szCs w:val="16"/>
        </w:rPr>
        <w:t>“Flat Spacetime Cosmology: A Unified Framework for Extragalactic Redshifts”</w:t>
      </w:r>
      <w:r w:rsidR="002F274A" w:rsidRPr="005627CB">
        <w:rPr>
          <w:rFonts w:ascii="Book Antiqua" w:hAnsi="Book Antiqua"/>
          <w:i/>
          <w:iCs/>
          <w:sz w:val="16"/>
          <w:szCs w:val="16"/>
        </w:rPr>
        <w:t xml:space="preserve">Astrophysical Journal </w:t>
      </w:r>
      <w:r w:rsidR="002F274A" w:rsidRPr="005627CB">
        <w:rPr>
          <w:rFonts w:ascii="Book Antiqua" w:hAnsi="Book Antiqua"/>
          <w:b/>
          <w:bCs/>
          <w:sz w:val="16"/>
          <w:szCs w:val="16"/>
        </w:rPr>
        <w:t>405</w:t>
      </w:r>
      <w:r w:rsidR="002F274A" w:rsidRPr="005627CB">
        <w:rPr>
          <w:rFonts w:ascii="Book Antiqua" w:hAnsi="Book Antiqua"/>
          <w:sz w:val="16"/>
          <w:szCs w:val="16"/>
        </w:rPr>
        <w:t>:</w:t>
      </w:r>
      <w:r w:rsidR="002F274A">
        <w:rPr>
          <w:rFonts w:ascii="Book Antiqua" w:hAnsi="Book Antiqua"/>
          <w:sz w:val="16"/>
          <w:szCs w:val="16"/>
        </w:rPr>
        <w:t>1, pp.</w:t>
      </w:r>
      <w:r w:rsidR="002F274A" w:rsidRPr="005627CB">
        <w:rPr>
          <w:rFonts w:ascii="Book Antiqua" w:hAnsi="Book Antiqua"/>
          <w:sz w:val="16"/>
          <w:szCs w:val="16"/>
        </w:rPr>
        <w:t>51</w:t>
      </w:r>
      <w:r w:rsidR="002F274A">
        <w:rPr>
          <w:rFonts w:ascii="Book Antiqua" w:hAnsi="Book Antiqua"/>
          <w:sz w:val="16"/>
          <w:szCs w:val="16"/>
        </w:rPr>
        <w:t xml:space="preserve">-56, (March 1, </w:t>
      </w:r>
      <w:r w:rsidR="002F274A" w:rsidRPr="005627CB">
        <w:rPr>
          <w:rFonts w:ascii="Book Antiqua" w:hAnsi="Book Antiqua"/>
          <w:sz w:val="16"/>
          <w:szCs w:val="16"/>
        </w:rPr>
        <w:t>1993).</w:t>
      </w:r>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[4] H. E. Puthoff, </w:t>
      </w:r>
      <w:r w:rsidRPr="007F73AB">
        <w:rPr>
          <w:rFonts w:ascii="Book Antiqua" w:hAnsi="Book Antiqua"/>
          <w:i/>
          <w:sz w:val="16"/>
          <w:szCs w:val="16"/>
        </w:rPr>
        <w:t>Phys. Rev. A</w:t>
      </w:r>
      <w:r w:rsidRPr="007F73AB">
        <w:rPr>
          <w:rFonts w:ascii="Book Antiqua" w:hAnsi="Book Antiqua"/>
          <w:sz w:val="16"/>
          <w:szCs w:val="16"/>
        </w:rPr>
        <w:t xml:space="preserve"> </w:t>
      </w:r>
      <w:r w:rsidRPr="007F73AB">
        <w:rPr>
          <w:rFonts w:ascii="Book Antiqua" w:hAnsi="Book Antiqua"/>
          <w:b/>
          <w:sz w:val="16"/>
          <w:szCs w:val="16"/>
        </w:rPr>
        <w:t>40</w:t>
      </w:r>
      <w:r w:rsidRPr="007F73AB">
        <w:rPr>
          <w:rFonts w:ascii="Book Antiqua" w:hAnsi="Book Antiqua"/>
          <w:sz w:val="16"/>
          <w:szCs w:val="16"/>
        </w:rPr>
        <w:t xml:space="preserve"> (9):4857 (1989).</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[5] M. Brooks, 'Operation Alpha', </w:t>
      </w:r>
      <w:r w:rsidRPr="007F73AB">
        <w:rPr>
          <w:rFonts w:ascii="Book Antiqua" w:hAnsi="Book Antiqua"/>
          <w:i/>
          <w:sz w:val="16"/>
          <w:szCs w:val="16"/>
        </w:rPr>
        <w:t>New Scientist</w:t>
      </w:r>
      <w:r w:rsidRPr="007F73AB">
        <w:rPr>
          <w:rFonts w:ascii="Book Antiqua" w:hAnsi="Book Antiqua"/>
          <w:sz w:val="16"/>
          <w:szCs w:val="16"/>
        </w:rPr>
        <w:t>, 23 Oct. 2010, p33-35.</w:t>
      </w:r>
    </w:p>
    <w:p w:rsidR="00EE535C" w:rsidRPr="007F73AB" w:rsidRDefault="00EE535C" w:rsidP="00EE535C">
      <w:pPr>
        <w:pStyle w:val="Default"/>
        <w:rPr>
          <w:rFonts w:ascii="Book Antiqua" w:hAnsi="Book Antiqua"/>
          <w:sz w:val="16"/>
          <w:szCs w:val="16"/>
          <w:u w:val="single"/>
        </w:rPr>
      </w:pPr>
      <w:proofErr w:type="gramStart"/>
      <w:r w:rsidRPr="007F73AB">
        <w:rPr>
          <w:rFonts w:ascii="Book Antiqua" w:hAnsi="Book Antiqua"/>
          <w:sz w:val="16"/>
          <w:szCs w:val="16"/>
        </w:rPr>
        <w:t xml:space="preserve">[6] P. S. Wesson, </w:t>
      </w:r>
      <w:r w:rsidRPr="007F73AB">
        <w:rPr>
          <w:rFonts w:ascii="Book Antiqua" w:hAnsi="Book Antiqua"/>
          <w:i/>
          <w:sz w:val="16"/>
          <w:szCs w:val="16"/>
        </w:rPr>
        <w:t>Cosmology and Geophysics</w:t>
      </w:r>
      <w:r w:rsidRPr="007F73AB">
        <w:rPr>
          <w:rFonts w:ascii="Book Antiqua" w:hAnsi="Book Antiqua"/>
          <w:b/>
          <w:sz w:val="16"/>
          <w:szCs w:val="16"/>
        </w:rPr>
        <w:t xml:space="preserve">, </w:t>
      </w:r>
      <w:r w:rsidRPr="007F73AB">
        <w:rPr>
          <w:rFonts w:ascii="Book Antiqua" w:hAnsi="Book Antiqua"/>
          <w:sz w:val="16"/>
          <w:szCs w:val="16"/>
        </w:rPr>
        <w:t>p. 122, Adam Hilger Ltd, Bristol (1978).</w:t>
      </w:r>
      <w:proofErr w:type="gramEnd"/>
    </w:p>
    <w:p w:rsidR="00EE535C" w:rsidRPr="007F73AB" w:rsidRDefault="00EE535C" w:rsidP="00EE535C">
      <w:pPr>
        <w:pStyle w:val="Default"/>
        <w:rPr>
          <w:rFonts w:ascii="Book Antiqua" w:hAnsi="Book Antiqua"/>
          <w:sz w:val="16"/>
          <w:szCs w:val="16"/>
        </w:rPr>
      </w:pPr>
      <w:proofErr w:type="gramStart"/>
      <w:r w:rsidRPr="007F73AB">
        <w:rPr>
          <w:rFonts w:ascii="Book Antiqua" w:hAnsi="Book Antiqua"/>
          <w:sz w:val="16"/>
          <w:szCs w:val="16"/>
        </w:rPr>
        <w:t xml:space="preserve">[7] M. Chown, </w:t>
      </w:r>
      <w:r w:rsidRPr="007F73AB">
        <w:rPr>
          <w:rFonts w:ascii="Book Antiqua" w:hAnsi="Book Antiqua"/>
          <w:i/>
          <w:sz w:val="16"/>
          <w:szCs w:val="16"/>
        </w:rPr>
        <w:t>New Scientist</w:t>
      </w:r>
      <w:r w:rsidRPr="007F73AB">
        <w:rPr>
          <w:rFonts w:ascii="Book Antiqua" w:hAnsi="Book Antiqua"/>
          <w:sz w:val="16"/>
          <w:szCs w:val="16"/>
        </w:rPr>
        <w:t>, pp.22-25, (3 Feb, 2001).</w:t>
      </w:r>
      <w:proofErr w:type="gramEnd"/>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[8] Science Editor</w:t>
      </w:r>
      <w:proofErr w:type="gramStart"/>
      <w:r w:rsidRPr="007F73AB">
        <w:rPr>
          <w:rFonts w:ascii="Book Antiqua" w:hAnsi="Book Antiqua"/>
          <w:sz w:val="16"/>
          <w:szCs w:val="16"/>
        </w:rPr>
        <w:t>,“</w:t>
      </w:r>
      <w:proofErr w:type="gramEnd"/>
      <w:r w:rsidRPr="007F73AB">
        <w:rPr>
          <w:rFonts w:ascii="Book Antiqua" w:hAnsi="Book Antiqua"/>
          <w:sz w:val="16"/>
          <w:szCs w:val="16"/>
        </w:rPr>
        <w:t xml:space="preserve">Beyond the Higgs,” </w:t>
      </w:r>
      <w:r w:rsidRPr="007F73AB">
        <w:rPr>
          <w:rFonts w:ascii="Book Antiqua" w:hAnsi="Book Antiqua"/>
          <w:i/>
          <w:sz w:val="16"/>
          <w:szCs w:val="16"/>
        </w:rPr>
        <w:t>New Scientist</w:t>
      </w:r>
      <w:r w:rsidRPr="007F73AB">
        <w:rPr>
          <w:rFonts w:ascii="Book Antiqua" w:hAnsi="Book Antiqua"/>
          <w:sz w:val="16"/>
          <w:szCs w:val="16"/>
        </w:rPr>
        <w:t xml:space="preserve"> No.2873, pp. 6-9, (14 July, 2012).</w:t>
      </w:r>
    </w:p>
    <w:p w:rsidR="00EE535C" w:rsidRPr="007F73AB" w:rsidRDefault="00EE535C" w:rsidP="00EE535C">
      <w:pPr>
        <w:pStyle w:val="Default"/>
        <w:rPr>
          <w:rFonts w:ascii="Book Antiqua" w:hAnsi="Book Antiqua"/>
          <w:sz w:val="16"/>
          <w:szCs w:val="16"/>
          <w:u w:val="single"/>
        </w:rPr>
      </w:pPr>
      <w:r w:rsidRPr="007F73AB">
        <w:rPr>
          <w:rFonts w:ascii="Book Antiqua" w:hAnsi="Book Antiqua"/>
          <w:sz w:val="16"/>
          <w:szCs w:val="16"/>
        </w:rPr>
        <w:t xml:space="preserve">[9] B. Haisch, A. Rueda, H. E. Puthoff, </w:t>
      </w:r>
      <w:r w:rsidRPr="007F73AB">
        <w:rPr>
          <w:rFonts w:ascii="Book Antiqua" w:hAnsi="Book Antiqua"/>
          <w:i/>
          <w:iCs/>
          <w:sz w:val="16"/>
          <w:szCs w:val="16"/>
        </w:rPr>
        <w:t xml:space="preserve">Phys. Rev. A </w:t>
      </w:r>
      <w:r w:rsidRPr="007F73AB">
        <w:rPr>
          <w:rFonts w:ascii="Book Antiqua" w:hAnsi="Book Antiqua"/>
          <w:b/>
          <w:bCs/>
          <w:sz w:val="16"/>
          <w:szCs w:val="16"/>
        </w:rPr>
        <w:t xml:space="preserve">49, </w:t>
      </w:r>
      <w:r w:rsidRPr="007F73AB">
        <w:rPr>
          <w:rFonts w:ascii="Book Antiqua" w:hAnsi="Book Antiqua"/>
          <w:bCs/>
          <w:sz w:val="16"/>
          <w:szCs w:val="16"/>
        </w:rPr>
        <w:t xml:space="preserve">p. </w:t>
      </w:r>
      <w:r w:rsidRPr="007F73AB">
        <w:rPr>
          <w:rFonts w:ascii="Book Antiqua" w:hAnsi="Book Antiqua"/>
          <w:sz w:val="16"/>
          <w:szCs w:val="16"/>
        </w:rPr>
        <w:t>678-694 (1994).</w:t>
      </w:r>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[10] See NIST website</w:t>
      </w:r>
      <w:r w:rsidRPr="007F73AB">
        <w:rPr>
          <w:rFonts w:ascii="Book Antiqua" w:hAnsi="Book Antiqua"/>
          <w:i/>
          <w:sz w:val="16"/>
          <w:szCs w:val="16"/>
        </w:rPr>
        <w:t xml:space="preserve"> </w:t>
      </w:r>
      <w:hyperlink r:id="rId28" w:history="1">
        <w:r w:rsidRPr="007F73AB">
          <w:rPr>
            <w:rStyle w:val="Hyperlink"/>
            <w:rFonts w:ascii="Book Antiqua" w:hAnsi="Book Antiqua"/>
            <w:i/>
            <w:szCs w:val="16"/>
          </w:rPr>
          <w:t>http://physics.nist.gov/cuu/Constants/alpha.html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lastRenderedPageBreak/>
        <w:t xml:space="preserve">[11] L. de la Pena, ‘Stochastic Electrodynamics: Its Development, Present Situation, And Perspectives,’ in </w:t>
      </w:r>
      <w:r w:rsidRPr="007F73AB">
        <w:rPr>
          <w:rFonts w:ascii="Book Antiqua" w:hAnsi="Book Antiqua"/>
          <w:i/>
          <w:sz w:val="16"/>
          <w:szCs w:val="16"/>
        </w:rPr>
        <w:t xml:space="preserve"> Stochastic Processes Applied to Physics and other Related Fields</w:t>
      </w:r>
      <w:r w:rsidRPr="007F73AB">
        <w:rPr>
          <w:rFonts w:ascii="Book Antiqua" w:hAnsi="Book Antiqua"/>
          <w:sz w:val="16"/>
          <w:szCs w:val="16"/>
        </w:rPr>
        <w:t xml:space="preserve">, B. Gomez et al. eds., pp. 428-451, (World Scientific Publishing Co. Pty. Ltd, 1983). </w:t>
      </w:r>
    </w:p>
    <w:p w:rsidR="00EE535C" w:rsidRPr="007F73AB" w:rsidRDefault="00EE535C" w:rsidP="00EE535C">
      <w:pPr>
        <w:pStyle w:val="NoSpacing"/>
        <w:rPr>
          <w:rFonts w:ascii="Book Antiqua" w:hAnsi="Book Antiqua"/>
          <w:sz w:val="16"/>
          <w:szCs w:val="16"/>
        </w:rPr>
      </w:pPr>
      <w:proofErr w:type="gramStart"/>
      <w:r w:rsidRPr="007F73AB">
        <w:rPr>
          <w:rFonts w:ascii="Book Antiqua" w:hAnsi="Book Antiqua"/>
          <w:sz w:val="16"/>
          <w:szCs w:val="16"/>
        </w:rPr>
        <w:t xml:space="preserve">[12] H. E. Puthoff, </w:t>
      </w:r>
      <w:r w:rsidRPr="007F73AB">
        <w:rPr>
          <w:rFonts w:ascii="Book Antiqua" w:hAnsi="Book Antiqua"/>
          <w:i/>
          <w:sz w:val="16"/>
          <w:szCs w:val="16"/>
        </w:rPr>
        <w:t>Phys. Rev. D</w:t>
      </w:r>
      <w:r w:rsidRPr="007F73AB">
        <w:rPr>
          <w:rFonts w:ascii="Book Antiqua" w:hAnsi="Book Antiqua"/>
          <w:sz w:val="16"/>
          <w:szCs w:val="16"/>
        </w:rPr>
        <w:t xml:space="preserve">, </w:t>
      </w:r>
      <w:r w:rsidRPr="007F73AB">
        <w:rPr>
          <w:rFonts w:ascii="Book Antiqua" w:hAnsi="Book Antiqua"/>
          <w:b/>
          <w:sz w:val="16"/>
          <w:szCs w:val="16"/>
        </w:rPr>
        <w:t>35</w:t>
      </w:r>
      <w:r w:rsidRPr="007F73AB">
        <w:rPr>
          <w:rFonts w:ascii="Book Antiqua" w:hAnsi="Book Antiqua"/>
          <w:sz w:val="16"/>
          <w:szCs w:val="16"/>
        </w:rPr>
        <w:t>:10 (1987) 3266.</w:t>
      </w:r>
      <w:proofErr w:type="gramEnd"/>
    </w:p>
    <w:p w:rsidR="00EE535C" w:rsidRDefault="00EE535C" w:rsidP="00EE535C">
      <w:pPr>
        <w:pStyle w:val="NoSpacing"/>
        <w:rPr>
          <w:rFonts w:ascii="Book Antiqua" w:hAnsi="Book Antiqua"/>
          <w:sz w:val="16"/>
          <w:szCs w:val="16"/>
        </w:rPr>
      </w:pPr>
      <w:r w:rsidRPr="007F73AB">
        <w:rPr>
          <w:rFonts w:ascii="Book Antiqua" w:hAnsi="Book Antiqua"/>
          <w:sz w:val="16"/>
          <w:szCs w:val="16"/>
        </w:rPr>
        <w:t xml:space="preserve">[13] For example see W. G. Tifft, </w:t>
      </w:r>
      <w:r w:rsidRPr="007F73AB">
        <w:rPr>
          <w:rFonts w:ascii="Book Antiqua" w:hAnsi="Book Antiqua"/>
          <w:i/>
          <w:iCs/>
          <w:sz w:val="16"/>
          <w:szCs w:val="16"/>
        </w:rPr>
        <w:t>Astrophysical Journal</w:t>
      </w:r>
      <w:r w:rsidRPr="007F73AB">
        <w:rPr>
          <w:rFonts w:ascii="Book Antiqua" w:hAnsi="Book Antiqua"/>
          <w:sz w:val="16"/>
          <w:szCs w:val="16"/>
        </w:rPr>
        <w:t xml:space="preserve">, </w:t>
      </w:r>
      <w:r w:rsidRPr="007F73AB">
        <w:rPr>
          <w:rFonts w:ascii="Book Antiqua" w:hAnsi="Book Antiqua"/>
          <w:b/>
          <w:bCs/>
          <w:sz w:val="16"/>
          <w:szCs w:val="16"/>
        </w:rPr>
        <w:t>382</w:t>
      </w:r>
      <w:r w:rsidRPr="007F73AB">
        <w:rPr>
          <w:rFonts w:ascii="Book Antiqua" w:hAnsi="Book Antiqua"/>
          <w:sz w:val="16"/>
          <w:szCs w:val="16"/>
        </w:rPr>
        <w:t>:396 (1991).</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14</w:t>
      </w:r>
      <w:r w:rsidRPr="005627CB">
        <w:rPr>
          <w:rFonts w:ascii="Book Antiqua" w:hAnsi="Book Antiqua"/>
          <w:sz w:val="16"/>
          <w:szCs w:val="16"/>
        </w:rPr>
        <w:t xml:space="preserve">]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1A7F3B" w:rsidRPr="005627CB" w:rsidRDefault="001A7F3B" w:rsidP="001A7F3B">
      <w:pPr>
        <w:pStyle w:val="NoSpacing"/>
        <w:rPr>
          <w:rFonts w:ascii="Book Antiqua" w:hAnsi="Book Antiqua"/>
          <w:sz w:val="16"/>
          <w:szCs w:val="16"/>
        </w:rPr>
      </w:pPr>
      <w:r w:rsidRPr="005627CB">
        <w:rPr>
          <w:rFonts w:ascii="Book Antiqua" w:hAnsi="Book Antiqua"/>
          <w:sz w:val="16"/>
          <w:szCs w:val="16"/>
        </w:rPr>
        <w:t>[</w:t>
      </w:r>
      <w:r>
        <w:rPr>
          <w:rFonts w:ascii="Book Antiqua" w:hAnsi="Book Antiqua"/>
          <w:sz w:val="16"/>
          <w:szCs w:val="16"/>
        </w:rPr>
        <w:t>1</w:t>
      </w:r>
      <w:r w:rsidRPr="005627CB">
        <w:rPr>
          <w:rFonts w:ascii="Book Antiqua" w:hAnsi="Book Antiqua"/>
          <w:sz w:val="16"/>
          <w:szCs w:val="16"/>
        </w:rPr>
        <w:t xml:space="preserve">5]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1A7F3B" w:rsidRPr="007F73AB" w:rsidRDefault="001A7F3B" w:rsidP="00EE535C">
      <w:pPr>
        <w:pStyle w:val="NoSpacing"/>
        <w:rPr>
          <w:rFonts w:ascii="Book Antiqua" w:hAnsi="Book Antiqua"/>
          <w:sz w:val="16"/>
          <w:szCs w:val="16"/>
        </w:rPr>
      </w:pPr>
      <w:r>
        <w:rPr>
          <w:rFonts w:ascii="Book Antiqua" w:hAnsi="Book Antiqua"/>
          <w:sz w:val="16"/>
          <w:szCs w:val="16"/>
        </w:rPr>
        <w:t xml:space="preserve">[16] </w:t>
      </w:r>
      <w:r w:rsidRPr="005627CB">
        <w:rPr>
          <w:rFonts w:ascii="Book Antiqua" w:hAnsi="Book Antiqua"/>
          <w:sz w:val="16"/>
          <w:szCs w:val="16"/>
        </w:rPr>
        <w:t xml:space="preserve">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:377 (1977).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[1</w:t>
      </w:r>
      <w:r w:rsidR="00195904">
        <w:rPr>
          <w:rFonts w:ascii="Book Antiqua" w:hAnsi="Book Antiqua"/>
          <w:sz w:val="16"/>
          <w:szCs w:val="16"/>
        </w:rPr>
        <w:t>7</w:t>
      </w:r>
      <w:r w:rsidRPr="007F73AB">
        <w:rPr>
          <w:rFonts w:ascii="Book Antiqua" w:hAnsi="Book Antiqua"/>
          <w:sz w:val="16"/>
          <w:szCs w:val="16"/>
        </w:rPr>
        <w:t xml:space="preserve">] A. L. Peratt, </w:t>
      </w:r>
      <w:r w:rsidRPr="007F73AB">
        <w:rPr>
          <w:rFonts w:ascii="Book Antiqua" w:hAnsi="Book Antiqua"/>
          <w:i/>
          <w:sz w:val="16"/>
          <w:szCs w:val="16"/>
        </w:rPr>
        <w:t>IEEE Transactions On Plasma Science</w:t>
      </w:r>
      <w:r w:rsidRPr="007F73AB">
        <w:rPr>
          <w:rFonts w:ascii="Book Antiqua" w:hAnsi="Book Antiqua"/>
          <w:sz w:val="16"/>
          <w:szCs w:val="16"/>
        </w:rPr>
        <w:t xml:space="preserve">, </w:t>
      </w:r>
      <w:r w:rsidRPr="007F73AB">
        <w:rPr>
          <w:rFonts w:ascii="Book Antiqua" w:hAnsi="Book Antiqua"/>
          <w:b/>
          <w:sz w:val="16"/>
          <w:szCs w:val="16"/>
        </w:rPr>
        <w:t>PS-14</w:t>
      </w:r>
      <w:r w:rsidRPr="007F73AB">
        <w:rPr>
          <w:rFonts w:ascii="Book Antiqua" w:hAnsi="Book Antiqua"/>
          <w:sz w:val="16"/>
          <w:szCs w:val="16"/>
        </w:rPr>
        <w:t>(6), pp. 763-</w:t>
      </w:r>
      <w:proofErr w:type="gramStart"/>
      <w:r w:rsidRPr="007F73AB">
        <w:rPr>
          <w:rFonts w:ascii="Book Antiqua" w:hAnsi="Book Antiqua"/>
          <w:sz w:val="16"/>
          <w:szCs w:val="16"/>
        </w:rPr>
        <w:t>778  (</w:t>
      </w:r>
      <w:proofErr w:type="gramEnd"/>
      <w:r w:rsidRPr="007F73AB">
        <w:rPr>
          <w:rFonts w:ascii="Book Antiqua" w:hAnsi="Book Antiqua"/>
          <w:sz w:val="16"/>
          <w:szCs w:val="16"/>
        </w:rPr>
        <w:t xml:space="preserve">December 1986). Also A. L. Peratt, </w:t>
      </w:r>
      <w:r w:rsidRPr="007F73AB">
        <w:rPr>
          <w:rFonts w:ascii="Book Antiqua" w:hAnsi="Book Antiqua"/>
          <w:i/>
          <w:sz w:val="16"/>
          <w:szCs w:val="16"/>
        </w:rPr>
        <w:t>Physics of the Plasma Universe</w:t>
      </w:r>
      <w:r w:rsidRPr="007F73AB">
        <w:rPr>
          <w:rFonts w:ascii="Book Antiqua" w:hAnsi="Book Antiqua"/>
          <w:sz w:val="16"/>
          <w:szCs w:val="16"/>
        </w:rPr>
        <w:t>, Chapter 4 Section 4.6.3 (Springer-Verlag, 1992).</w:t>
      </w:r>
    </w:p>
    <w:p w:rsidR="00EE535C" w:rsidRPr="007F73AB" w:rsidRDefault="00EE535C" w:rsidP="00EE535C">
      <w:pPr>
        <w:pStyle w:val="NoSpacing"/>
        <w:rPr>
          <w:rFonts w:ascii="Book Antiqua" w:hAnsi="Book Antiqua"/>
          <w:i/>
          <w:color w:val="FF0000"/>
          <w:sz w:val="16"/>
          <w:szCs w:val="16"/>
          <w:u w:val="single"/>
        </w:rPr>
      </w:pPr>
      <w:r w:rsidRPr="007F73AB">
        <w:rPr>
          <w:rFonts w:ascii="Book Antiqua" w:hAnsi="Book Antiqua"/>
          <w:sz w:val="16"/>
          <w:szCs w:val="16"/>
        </w:rPr>
        <w:t>[1</w:t>
      </w:r>
      <w:r w:rsidR="00195904">
        <w:rPr>
          <w:rFonts w:ascii="Book Antiqua" w:hAnsi="Book Antiqua"/>
          <w:sz w:val="16"/>
          <w:szCs w:val="16"/>
        </w:rPr>
        <w:t>8</w:t>
      </w:r>
      <w:r w:rsidRPr="007F73AB">
        <w:rPr>
          <w:rFonts w:ascii="Book Antiqua" w:hAnsi="Book Antiqua"/>
          <w:sz w:val="16"/>
          <w:szCs w:val="16"/>
        </w:rPr>
        <w:t xml:space="preserve">] D. Colman, “Body Size </w:t>
      </w:r>
      <w:proofErr w:type="gramStart"/>
      <w:r w:rsidRPr="007F73AB">
        <w:rPr>
          <w:rFonts w:ascii="Book Antiqua" w:hAnsi="Book Antiqua"/>
          <w:sz w:val="16"/>
          <w:szCs w:val="16"/>
        </w:rPr>
        <w:t>In</w:t>
      </w:r>
      <w:proofErr w:type="gramEnd"/>
      <w:r w:rsidRPr="007F73AB">
        <w:rPr>
          <w:rFonts w:ascii="Book Antiqua" w:hAnsi="Book Antiqua"/>
          <w:sz w:val="16"/>
          <w:szCs w:val="16"/>
        </w:rPr>
        <w:t xml:space="preserve"> Herbivorous Dinosaurs,” </w:t>
      </w:r>
      <w:hyperlink r:id="rId29" w:history="1">
        <w:r w:rsidRPr="007F73AB">
          <w:rPr>
            <w:rStyle w:val="Hyperlink"/>
            <w:rFonts w:ascii="Book Antiqua" w:hAnsi="Book Antiqua"/>
            <w:i/>
            <w:szCs w:val="16"/>
          </w:rPr>
          <w:t>http://www.mni.mcgill.ca/media/publications/neuroscienceletter/june09/colman/</w:t>
        </w:r>
      </w:hyperlink>
    </w:p>
    <w:p w:rsidR="00EE535C" w:rsidRPr="007F73AB" w:rsidRDefault="00EE535C" w:rsidP="00EE535C">
      <w:pPr>
        <w:pStyle w:val="NoSpacing"/>
        <w:jc w:val="both"/>
        <w:rPr>
          <w:rFonts w:ascii="Book Antiqua" w:hAnsi="Book Antiqua"/>
          <w:i/>
          <w:color w:val="FF0000"/>
          <w:sz w:val="16"/>
          <w:szCs w:val="16"/>
        </w:rPr>
      </w:pPr>
      <w:r w:rsidRPr="007F73AB">
        <w:rPr>
          <w:rFonts w:ascii="Book Antiqua" w:hAnsi="Book Antiqua"/>
          <w:sz w:val="16"/>
          <w:szCs w:val="16"/>
        </w:rPr>
        <w:t>[1</w:t>
      </w:r>
      <w:r w:rsidR="00195904">
        <w:rPr>
          <w:rFonts w:ascii="Book Antiqua" w:hAnsi="Book Antiqua"/>
          <w:sz w:val="16"/>
          <w:szCs w:val="16"/>
        </w:rPr>
        <w:t>9</w:t>
      </w:r>
      <w:r w:rsidRPr="007F73AB">
        <w:rPr>
          <w:rFonts w:ascii="Book Antiqua" w:hAnsi="Book Antiqua"/>
          <w:sz w:val="16"/>
          <w:szCs w:val="16"/>
        </w:rPr>
        <w:t xml:space="preserve">] F. A. Jenkins and H. E. White, </w:t>
      </w:r>
      <w:r w:rsidRPr="007F73AB">
        <w:rPr>
          <w:rFonts w:ascii="Book Antiqua" w:hAnsi="Book Antiqua"/>
          <w:i/>
          <w:sz w:val="16"/>
          <w:szCs w:val="16"/>
        </w:rPr>
        <w:t>Fundamentals of Optics</w:t>
      </w:r>
      <w:r w:rsidRPr="007F73AB">
        <w:rPr>
          <w:rFonts w:ascii="Book Antiqua" w:hAnsi="Book Antiqua"/>
          <w:sz w:val="16"/>
          <w:szCs w:val="16"/>
        </w:rPr>
        <w:t xml:space="preserve">, pp. 414, 481,  </w:t>
      </w:r>
    </w:p>
    <w:p w:rsidR="00EE535C" w:rsidRPr="007F73AB" w:rsidRDefault="00EE535C" w:rsidP="00EE535C">
      <w:pPr>
        <w:pStyle w:val="NoSpacing"/>
        <w:jc w:val="both"/>
        <w:rPr>
          <w:rFonts w:ascii="Book Antiqua" w:hAnsi="Book Antiqua"/>
          <w:sz w:val="16"/>
          <w:szCs w:val="16"/>
        </w:rPr>
      </w:pPr>
      <w:r w:rsidRPr="007F73AB">
        <w:rPr>
          <w:rFonts w:ascii="Book Antiqua" w:hAnsi="Book Antiqua"/>
          <w:sz w:val="16"/>
          <w:szCs w:val="16"/>
        </w:rPr>
        <w:t>McGraw-Hill, New York, 1957</w:t>
      </w:r>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w:t>
      </w:r>
      <w:r w:rsidR="00195904">
        <w:rPr>
          <w:rFonts w:ascii="Book Antiqua" w:hAnsi="Book Antiqua"/>
          <w:sz w:val="16"/>
          <w:szCs w:val="16"/>
        </w:rPr>
        <w:t>20</w:t>
      </w:r>
      <w:r w:rsidRPr="007F73AB">
        <w:rPr>
          <w:rFonts w:ascii="Book Antiqua" w:hAnsi="Book Antiqua"/>
          <w:sz w:val="16"/>
          <w:szCs w:val="16"/>
        </w:rPr>
        <w:t xml:space="preserve">] M. Harwit, </w:t>
      </w:r>
      <w:r w:rsidRPr="007F73AB">
        <w:rPr>
          <w:rFonts w:ascii="Book Antiqua" w:hAnsi="Book Antiqua"/>
          <w:i/>
          <w:sz w:val="16"/>
          <w:szCs w:val="16"/>
        </w:rPr>
        <w:t>Astrophysical Concepts,</w:t>
      </w:r>
      <w:r w:rsidRPr="007F73AB">
        <w:rPr>
          <w:rFonts w:ascii="Book Antiqua" w:hAnsi="Book Antiqua"/>
          <w:sz w:val="16"/>
          <w:szCs w:val="16"/>
        </w:rPr>
        <w:t xml:space="preserve"> p. 178 (Springer-Verlag, 1988).</w:t>
      </w:r>
    </w:p>
    <w:p w:rsidR="00EE535C" w:rsidRPr="007F73AB" w:rsidRDefault="00EE535C" w:rsidP="00EE535C">
      <w:pPr>
        <w:pStyle w:val="Default"/>
        <w:rPr>
          <w:rFonts w:ascii="Book Antiqua" w:hAnsi="Book Antiqua"/>
          <w:sz w:val="16"/>
          <w:szCs w:val="16"/>
        </w:rPr>
      </w:pPr>
    </w:p>
    <w:p w:rsidR="00EE535C" w:rsidRPr="007F73AB" w:rsidRDefault="00EE535C" w:rsidP="00EE535C">
      <w:pPr>
        <w:pStyle w:val="Default"/>
        <w:rPr>
          <w:rFonts w:ascii="Book Antiqua" w:hAnsi="Book Antiqua"/>
          <w:b/>
          <w:sz w:val="20"/>
          <w:szCs w:val="20"/>
        </w:rPr>
      </w:pPr>
      <w:r w:rsidRPr="007F73AB">
        <w:rPr>
          <w:rFonts w:ascii="Book Antiqua" w:hAnsi="Book Antiqua"/>
          <w:b/>
          <w:sz w:val="20"/>
          <w:szCs w:val="20"/>
        </w:rPr>
        <w:t xml:space="preserve">Figure References </w:t>
      </w:r>
      <w:r w:rsidRPr="007F73AB">
        <w:rPr>
          <w:rFonts w:ascii="Book Antiqua" w:hAnsi="Book Antiqua"/>
          <w:i/>
          <w:sz w:val="20"/>
          <w:szCs w:val="20"/>
        </w:rPr>
        <w:t>– All URL’s retrieved 9/13/12.</w:t>
      </w:r>
    </w:p>
    <w:p w:rsidR="00EE535C" w:rsidRPr="007F73AB" w:rsidRDefault="00EE535C" w:rsidP="00EE535C">
      <w:pPr>
        <w:pStyle w:val="Default"/>
        <w:rPr>
          <w:rFonts w:ascii="Book Antiqua" w:hAnsi="Book Antiqua"/>
          <w:b/>
          <w:sz w:val="16"/>
          <w:szCs w:val="16"/>
        </w:rPr>
      </w:pP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 xml:space="preserve">Figure 1: The Fabric of Space. </w:t>
      </w:r>
      <w:hyperlink r:id="rId30" w:history="1">
        <w:r w:rsidRPr="007F73AB">
          <w:rPr>
            <w:rStyle w:val="Hyperlink"/>
            <w:rFonts w:ascii="Book Antiqua" w:hAnsi="Book Antiqua"/>
            <w:i/>
            <w:szCs w:val="16"/>
          </w:rPr>
          <w:t>http://members.wolfram.com/jeffb/visualization/stringtheory.shtml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Straw in Water. </w:t>
      </w:r>
      <w:hyperlink r:id="rId31" w:history="1">
        <w:r w:rsidRPr="007F73AB">
          <w:rPr>
            <w:rStyle w:val="Hyperlink"/>
            <w:rFonts w:ascii="Book Antiqua" w:hAnsi="Book Antiqua"/>
            <w:i/>
            <w:szCs w:val="16"/>
          </w:rPr>
          <w:t>http://www.sciencemadesimple.co.uk/page72g.html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2: Wavefronts crowding together. </w:t>
      </w:r>
      <w:hyperlink r:id="rId32" w:history="1">
        <w:r w:rsidRPr="007F73AB">
          <w:rPr>
            <w:rStyle w:val="Hyperlink"/>
            <w:rFonts w:ascii="Book Antiqua" w:hAnsi="Book Antiqua"/>
            <w:i/>
            <w:szCs w:val="16"/>
          </w:rPr>
          <w:t>http://sci-toys.com/scitoys/scitoys/light/permanent_rainbows/permanent_rainbows.html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3: Long train with cars of fixed size. </w:t>
      </w:r>
      <w:hyperlink r:id="rId33" w:history="1">
        <w:r w:rsidRPr="007F73AB">
          <w:rPr>
            <w:rStyle w:val="Hyperlink"/>
            <w:rFonts w:ascii="Book Antiqua" w:hAnsi="Book Antiqua"/>
            <w:i/>
            <w:szCs w:val="16"/>
          </w:rPr>
          <w:t>http://www.taipeitimes.com/News/biz/archives/2012/09/06/2003542059</w:t>
        </w:r>
      </w:hyperlink>
    </w:p>
    <w:p w:rsidR="00EE535C" w:rsidRPr="007F73AB" w:rsidRDefault="00EE535C" w:rsidP="00EE535C">
      <w:pPr>
        <w:pStyle w:val="reference"/>
        <w:rPr>
          <w:i/>
          <w:szCs w:val="16"/>
        </w:rPr>
      </w:pPr>
      <w:r w:rsidRPr="007F73AB">
        <w:rPr>
          <w:color w:val="000000"/>
          <w:szCs w:val="16"/>
        </w:rPr>
        <w:t xml:space="preserve">Figure 5: Spectral lines of hydrogen, helium, mercury and uranium. </w:t>
      </w:r>
      <w:hyperlink r:id="rId34" w:history="1">
        <w:r w:rsidRPr="007F73AB">
          <w:rPr>
            <w:rStyle w:val="Hyperlink"/>
            <w:i/>
            <w:szCs w:val="16"/>
          </w:rPr>
          <w:t>http://www.19thpsalm.org/Ch01/index.html</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6: Redshift of spectral lines. </w:t>
      </w:r>
      <w:hyperlink r:id="rId35" w:history="1">
        <w:r w:rsidRPr="007F73AB">
          <w:rPr>
            <w:rStyle w:val="Hyperlink"/>
            <w:rFonts w:ascii="Book Antiqua" w:hAnsi="Book Antiqua"/>
            <w:i/>
            <w:szCs w:val="16"/>
          </w:rPr>
          <w:t>http://en.wikipedia.org/wiki/File:Redshift.png</w:t>
        </w:r>
      </w:hyperlink>
    </w:p>
    <w:p w:rsidR="00EE535C" w:rsidRPr="007F73AB" w:rsidRDefault="00EE535C" w:rsidP="00EE535C">
      <w:pPr>
        <w:rPr>
          <w:rFonts w:ascii="Book Antiqua" w:hAnsi="Book Antiqua"/>
          <w:i/>
          <w:sz w:val="16"/>
          <w:szCs w:val="16"/>
        </w:rPr>
      </w:pPr>
      <w:r w:rsidRPr="007F73AB">
        <w:rPr>
          <w:rFonts w:ascii="Book Antiqua" w:hAnsi="Book Antiqua"/>
          <w:sz w:val="16"/>
          <w:szCs w:val="16"/>
        </w:rPr>
        <w:t xml:space="preserve">Figure 7: Stretching of wavelengths as the fabric of space is stretched. </w:t>
      </w:r>
      <w:hyperlink r:id="rId36" w:history="1">
        <w:r w:rsidRPr="007F73AB">
          <w:rPr>
            <w:rStyle w:val="Hyperlink"/>
            <w:rFonts w:ascii="Book Antiqua" w:hAnsi="Book Antiqua"/>
            <w:i/>
            <w:szCs w:val="16"/>
          </w:rPr>
          <w:t>http://www.astrobio.nau.edu/~koerner/ast180/lectures/lec23.html</w:t>
        </w:r>
      </w:hyperlink>
    </w:p>
    <w:p w:rsidR="00EE535C" w:rsidRPr="007F73AB" w:rsidRDefault="00EE535C" w:rsidP="00EE535C">
      <w:pPr>
        <w:pStyle w:val="Default"/>
        <w:rPr>
          <w:rFonts w:ascii="Book Antiqua" w:hAnsi="Book Antiqua"/>
          <w:i/>
          <w:sz w:val="16"/>
          <w:szCs w:val="16"/>
        </w:rPr>
      </w:pPr>
      <w:r w:rsidRPr="007F73AB">
        <w:rPr>
          <w:rFonts w:ascii="Book Antiqua" w:hAnsi="Book Antiqua"/>
          <w:sz w:val="16"/>
          <w:szCs w:val="16"/>
        </w:rPr>
        <w:t xml:space="preserve">Figure 8: Doppler Effect stretches wavelengths. </w:t>
      </w:r>
      <w:hyperlink r:id="rId37" w:history="1">
        <w:r w:rsidRPr="007F73AB">
          <w:rPr>
            <w:rStyle w:val="Hyperlink"/>
            <w:rFonts w:ascii="Book Antiqua" w:hAnsi="Book Antiqua"/>
            <w:i/>
            <w:szCs w:val="16"/>
          </w:rPr>
          <w:t>http://astro.unl.edu/naap/esp/dopplereffect.html</w:t>
        </w:r>
      </w:hyperlink>
    </w:p>
    <w:p w:rsidR="0037376E" w:rsidRPr="007F73AB" w:rsidRDefault="0037376E" w:rsidP="00EE535C">
      <w:pPr>
        <w:pStyle w:val="Default"/>
        <w:rPr>
          <w:rFonts w:ascii="Book Antiqua" w:hAnsi="Book Antiqua"/>
          <w:sz w:val="16"/>
          <w:szCs w:val="16"/>
        </w:rPr>
      </w:pPr>
      <w:r w:rsidRPr="007F73AB">
        <w:rPr>
          <w:rFonts w:ascii="Book Antiqua" w:hAnsi="Book Antiqua"/>
          <w:sz w:val="16"/>
          <w:szCs w:val="16"/>
        </w:rPr>
        <w:t xml:space="preserve">Figure 9: The four states of matter: solid, liquid, gas, plasma. </w:t>
      </w:r>
      <w:r w:rsidRPr="007F73AB">
        <w:rPr>
          <w:rFonts w:ascii="Book Antiqua" w:hAnsi="Book Antiqua"/>
          <w:i/>
          <w:sz w:val="16"/>
          <w:szCs w:val="16"/>
        </w:rPr>
        <w:t>http://www.nasa.gov/mission_pages/themis/auroras/sun_earth_connect.html</w:t>
      </w:r>
    </w:p>
    <w:p w:rsidR="00EE535C" w:rsidRPr="007F73AB" w:rsidRDefault="00EE535C" w:rsidP="00EE535C">
      <w:pPr>
        <w:pStyle w:val="Default"/>
        <w:rPr>
          <w:rFonts w:ascii="Book Antiqua" w:hAnsi="Book Antiqua"/>
          <w:sz w:val="16"/>
          <w:szCs w:val="16"/>
        </w:rPr>
      </w:pPr>
      <w:r w:rsidRPr="007F73AB">
        <w:rPr>
          <w:rFonts w:ascii="Book Antiqua" w:hAnsi="Book Antiqua"/>
          <w:sz w:val="16"/>
          <w:szCs w:val="16"/>
        </w:rPr>
        <w:t>Figure 10: Miniature galaxy formation from plasma filaments.</w:t>
      </w:r>
    </w:p>
    <w:p w:rsidR="00EE535C" w:rsidRPr="007F73AB" w:rsidRDefault="007B3EBC" w:rsidP="00EE535C">
      <w:pPr>
        <w:pStyle w:val="Default"/>
        <w:rPr>
          <w:rFonts w:ascii="Book Antiqua" w:hAnsi="Book Antiqua"/>
          <w:i/>
          <w:sz w:val="16"/>
          <w:szCs w:val="16"/>
        </w:rPr>
      </w:pPr>
      <w:hyperlink r:id="rId38" w:history="1">
        <w:r w:rsidR="00EE535C" w:rsidRPr="007F73AB">
          <w:rPr>
            <w:rStyle w:val="Hyperlink"/>
            <w:rFonts w:ascii="Book Antiqua" w:hAnsi="Book Antiqua"/>
            <w:i/>
            <w:szCs w:val="16"/>
          </w:rPr>
          <w:t>http://www.thunderbolts.info/tpod/2006/arch06/060602plasma-galaxy.htm</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 xml:space="preserve">Figure 11 Top Left: Ant Nebula Mz3 in Norma. </w:t>
      </w:r>
      <w:hyperlink r:id="rId39" w:history="1">
        <w:r w:rsidRPr="007F73AB">
          <w:rPr>
            <w:rStyle w:val="Hyperlink"/>
            <w:rFonts w:ascii="Book Antiqua" w:hAnsi="Book Antiqua"/>
            <w:szCs w:val="16"/>
          </w:rPr>
          <w:t>http://hubblesite.org/gallery/album/pr2001005a/</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Top Right: Bug nebula NGC 6302 in Scorpius.</w:t>
      </w:r>
    </w:p>
    <w:p w:rsidR="00EE535C" w:rsidRPr="007F73AB" w:rsidRDefault="007B3EBC" w:rsidP="00EE535C">
      <w:pPr>
        <w:rPr>
          <w:rFonts w:ascii="Book Antiqua" w:hAnsi="Book Antiqua"/>
          <w:sz w:val="16"/>
          <w:szCs w:val="16"/>
        </w:rPr>
      </w:pPr>
      <w:hyperlink r:id="rId40" w:history="1">
        <w:r w:rsidR="00EE535C" w:rsidRPr="007F73AB">
          <w:rPr>
            <w:rStyle w:val="Hyperlink"/>
            <w:rFonts w:ascii="Book Antiqua" w:hAnsi="Book Antiqua"/>
            <w:szCs w:val="16"/>
          </w:rPr>
          <w:t>http://www.nasa.gov/mission_pages/hubble/multimedia/ero/ero_ngc6302.html</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Left: Double balloon nebula in Sagittarius.</w:t>
      </w:r>
    </w:p>
    <w:p w:rsidR="00EE535C" w:rsidRPr="007F73AB" w:rsidRDefault="007B3EBC" w:rsidP="00EE535C">
      <w:pPr>
        <w:rPr>
          <w:rStyle w:val="Hyperlink"/>
          <w:rFonts w:ascii="Book Antiqua" w:hAnsi="Book Antiqua"/>
          <w:bCs/>
          <w:szCs w:val="16"/>
        </w:rPr>
      </w:pPr>
      <w:hyperlink r:id="rId41" w:history="1">
        <w:r w:rsidR="00EE535C" w:rsidRPr="007F73AB">
          <w:rPr>
            <w:rStyle w:val="Hyperlink"/>
            <w:rFonts w:ascii="Book Antiqua" w:hAnsi="Book Antiqua"/>
            <w:bCs/>
            <w:szCs w:val="16"/>
          </w:rPr>
          <w:t>http://hubblesite.org/newscenter/archive/releases/1997/38/image/f/</w:t>
        </w:r>
      </w:hyperlink>
    </w:p>
    <w:p w:rsidR="00EE535C" w:rsidRPr="007F73AB" w:rsidRDefault="00EE535C" w:rsidP="00EE535C">
      <w:pPr>
        <w:rPr>
          <w:rFonts w:ascii="Book Antiqua" w:hAnsi="Book Antiqua"/>
          <w:sz w:val="16"/>
          <w:szCs w:val="16"/>
        </w:rPr>
      </w:pPr>
      <w:r w:rsidRPr="007F73AB">
        <w:rPr>
          <w:rFonts w:ascii="Book Antiqua" w:hAnsi="Book Antiqua"/>
          <w:sz w:val="16"/>
          <w:szCs w:val="16"/>
        </w:rPr>
        <w:t>Figure 11 Bottom Right: Butterfly wing nebula M2-9 in Ophiuchus.</w:t>
      </w:r>
    </w:p>
    <w:p w:rsidR="00EE535C" w:rsidRPr="007F73AB" w:rsidRDefault="007B3EBC" w:rsidP="00EE535C">
      <w:pPr>
        <w:rPr>
          <w:rFonts w:ascii="Book Antiqua" w:hAnsi="Book Antiqua"/>
          <w:sz w:val="16"/>
          <w:szCs w:val="16"/>
        </w:rPr>
      </w:pPr>
      <w:hyperlink r:id="rId42" w:history="1">
        <w:r w:rsidR="00EE535C" w:rsidRPr="007F73AB">
          <w:rPr>
            <w:rStyle w:val="Hyperlink"/>
            <w:rFonts w:ascii="Book Antiqua" w:hAnsi="Book Antiqua"/>
            <w:szCs w:val="16"/>
          </w:rPr>
          <w:t>http://www.spacetelescope.org/projects/fits_liberator/fitsimages/danny_lacrue_11/</w:t>
        </w:r>
      </w:hyperlink>
    </w:p>
    <w:p w:rsidR="00EE535C" w:rsidRPr="007F73AB" w:rsidRDefault="00EE535C" w:rsidP="00EE535C">
      <w:pPr>
        <w:pStyle w:val="NoSpacing"/>
        <w:rPr>
          <w:rFonts w:ascii="Book Antiqua" w:hAnsi="Book Antiqua"/>
          <w:i/>
          <w:sz w:val="16"/>
          <w:szCs w:val="16"/>
        </w:rPr>
      </w:pPr>
      <w:r w:rsidRPr="007F73AB">
        <w:rPr>
          <w:rFonts w:ascii="Book Antiqua" w:hAnsi="Book Antiqua"/>
          <w:sz w:val="16"/>
          <w:szCs w:val="16"/>
        </w:rPr>
        <w:t xml:space="preserve">Figure 12: Size comparison of Paleozoic Fauna. </w:t>
      </w:r>
      <w:r w:rsidRPr="007F73AB">
        <w:rPr>
          <w:rFonts w:ascii="Book Antiqua" w:hAnsi="Book Antiqua"/>
          <w:i/>
          <w:sz w:val="16"/>
          <w:szCs w:val="16"/>
        </w:rPr>
        <w:t xml:space="preserve"> </w:t>
      </w:r>
      <w:hyperlink r:id="rId43" w:history="1">
        <w:r w:rsidRPr="007F73AB">
          <w:rPr>
            <w:rStyle w:val="Hyperlink"/>
            <w:rFonts w:ascii="Book Antiqua" w:hAnsi="Book Antiqua"/>
            <w:i/>
            <w:szCs w:val="16"/>
          </w:rPr>
          <w:t>http://written-in-stone-seen-through-my-lens.blogspot.com/2012/06/eurypterid-eurypterus-remipes-is_29.html</w:t>
        </w:r>
      </w:hyperlink>
    </w:p>
    <w:p w:rsidR="00EE535C" w:rsidRPr="007F73AB" w:rsidRDefault="00EE535C" w:rsidP="00EE535C">
      <w:pPr>
        <w:pStyle w:val="NoSpacing"/>
        <w:rPr>
          <w:rFonts w:ascii="Book Antiqua" w:hAnsi="Book Antiqua"/>
          <w:sz w:val="16"/>
          <w:szCs w:val="16"/>
        </w:rPr>
      </w:pPr>
      <w:r w:rsidRPr="007F73AB">
        <w:rPr>
          <w:rFonts w:ascii="Book Antiqua" w:hAnsi="Book Antiqua"/>
          <w:sz w:val="16"/>
          <w:szCs w:val="16"/>
        </w:rPr>
        <w:t xml:space="preserve">Figure 13: Wave amplitude differences. </w:t>
      </w:r>
      <w:hyperlink r:id="rId44" w:history="1">
        <w:r w:rsidRPr="007F73AB">
          <w:rPr>
            <w:rStyle w:val="Hyperlink"/>
            <w:rFonts w:ascii="Book Antiqua" w:hAnsi="Book Antiqua"/>
            <w:i/>
            <w:szCs w:val="16"/>
          </w:rPr>
          <w:t>http://www.nasa.gov/missions/science/f_interference.html</w:t>
        </w:r>
      </w:hyperlink>
    </w:p>
    <w:p w:rsidR="00EE535C" w:rsidRPr="007F73AB" w:rsidRDefault="00EE535C" w:rsidP="00EE535C">
      <w:pPr>
        <w:pStyle w:val="NoSpacing"/>
        <w:rPr>
          <w:rFonts w:ascii="Book Antiqua" w:hAnsi="Book Antiqua" w:cs="BookAntiqua"/>
          <w:i/>
          <w:color w:val="FF0000"/>
          <w:sz w:val="16"/>
          <w:szCs w:val="16"/>
        </w:rPr>
      </w:pPr>
    </w:p>
    <w:p w:rsidR="00EE535C" w:rsidRPr="005825EA" w:rsidRDefault="00EE535C" w:rsidP="00EE535C">
      <w:pPr>
        <w:pStyle w:val="Default"/>
        <w:jc w:val="center"/>
        <w:rPr>
          <w:rFonts w:ascii="Book Antiqua" w:hAnsi="Book Antiqua"/>
          <w:b/>
          <w:sz w:val="28"/>
          <w:szCs w:val="28"/>
        </w:rPr>
      </w:pPr>
      <w:r w:rsidRPr="005825EA">
        <w:rPr>
          <w:rFonts w:ascii="Book Antiqua" w:hAnsi="Book Antiqua"/>
          <w:b/>
          <w:sz w:val="28"/>
          <w:szCs w:val="28"/>
        </w:rPr>
        <w:t>*  *  *  *  *  *  *</w:t>
      </w:r>
    </w:p>
    <w:p w:rsidR="00A01808" w:rsidRDefault="00A01808">
      <w:pPr>
        <w:widowControl/>
        <w:spacing w:after="200" w:line="276" w:lineRule="auto"/>
        <w:rPr>
          <w:rFonts w:ascii="Book Antiqua" w:hAnsi="Book Antiqua"/>
          <w:lang w:val="en-US"/>
        </w:rPr>
      </w:pPr>
      <w:r>
        <w:rPr>
          <w:rFonts w:ascii="Book Antiqua" w:hAnsi="Book Antiqua"/>
        </w:rPr>
        <w:br w:type="page"/>
      </w:r>
    </w:p>
    <w:p w:rsidR="00AC4336" w:rsidRPr="00115CF5" w:rsidRDefault="00AC4336" w:rsidP="00FF3454">
      <w:pPr>
        <w:pStyle w:val="Default"/>
        <w:jc w:val="center"/>
        <w:rPr>
          <w:rFonts w:ascii="Book Antiqua" w:hAnsi="Book Antiqua"/>
          <w:b/>
        </w:rPr>
      </w:pPr>
      <w:r w:rsidRPr="00115CF5">
        <w:rPr>
          <w:rFonts w:ascii="Book Antiqua" w:hAnsi="Book Antiqua"/>
          <w:b/>
        </w:rPr>
        <w:lastRenderedPageBreak/>
        <w:t xml:space="preserve">Chapter 1: </w:t>
      </w:r>
      <w:r w:rsidRPr="00FF3454">
        <w:rPr>
          <w:rFonts w:ascii="Book Antiqua" w:hAnsi="Book Antiqua"/>
          <w:b/>
          <w:i/>
        </w:rPr>
        <w:t xml:space="preserve">Exploring </w:t>
      </w:r>
      <w:proofErr w:type="gramStart"/>
      <w:r w:rsidRPr="00FF3454">
        <w:rPr>
          <w:rFonts w:ascii="Book Antiqua" w:hAnsi="Book Antiqua"/>
          <w:b/>
          <w:i/>
        </w:rPr>
        <w:t>The</w:t>
      </w:r>
      <w:proofErr w:type="gramEnd"/>
      <w:r w:rsidRPr="00FF3454">
        <w:rPr>
          <w:rFonts w:ascii="Book Antiqua" w:hAnsi="Book Antiqua"/>
          <w:b/>
          <w:i/>
        </w:rPr>
        <w:t xml:space="preserve"> Vacuum</w:t>
      </w:r>
    </w:p>
    <w:p w:rsidR="00AC4336" w:rsidRPr="00115CF5" w:rsidRDefault="00AC4336" w:rsidP="00FF3454">
      <w:pPr>
        <w:pStyle w:val="Default"/>
        <w:rPr>
          <w:rFonts w:ascii="Book Antiqua" w:hAnsi="Book Antiqua"/>
          <w:b/>
          <w:sz w:val="20"/>
          <w:szCs w:val="20"/>
          <w:u w:val="single"/>
        </w:rPr>
      </w:pPr>
    </w:p>
    <w:p w:rsidR="00AC4336" w:rsidRPr="00115CF5" w:rsidRDefault="00AC4336" w:rsidP="00AC4336">
      <w:pPr>
        <w:pStyle w:val="Heading1"/>
        <w:spacing w:before="0" w:line="240" w:lineRule="atLeast"/>
        <w:rPr>
          <w:rFonts w:ascii="Book Antiqua" w:hAnsi="Book Antiqua" w:cs="Times New Roman"/>
          <w:sz w:val="20"/>
          <w:szCs w:val="20"/>
        </w:rPr>
      </w:pPr>
      <w:r w:rsidRPr="00115CF5">
        <w:rPr>
          <w:rFonts w:ascii="Book Antiqua" w:hAnsi="Book Antiqua" w:cs="Times New Roman"/>
          <w:sz w:val="20"/>
          <w:szCs w:val="20"/>
        </w:rPr>
        <w:t xml:space="preserve">1. Introduction to the Zero Point Energy (ZPE) </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Concepts of a Vacuum</w:t>
      </w:r>
    </w:p>
    <w:p w:rsidR="00AC4336" w:rsidRPr="00115CF5" w:rsidRDefault="00AC4336" w:rsidP="00AC4336">
      <w:pPr>
        <w:pStyle w:val="NoSpacing"/>
        <w:jc w:val="both"/>
        <w:rPr>
          <w:rFonts w:ascii="Book Antiqua" w:hAnsi="Book Antiqua"/>
          <w:sz w:val="20"/>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The early perception of a ‘vacuum’ is that it was a void, or emptiness, or ‘nothingness.’  However, during the 20</w:t>
      </w:r>
      <w:r w:rsidRPr="00115CF5">
        <w:rPr>
          <w:rFonts w:ascii="Book Antiqua" w:hAnsi="Book Antiqua"/>
          <w:sz w:val="20"/>
          <w:vertAlign w:val="superscript"/>
        </w:rPr>
        <w:t>th</w:t>
      </w:r>
      <w:r w:rsidRPr="00115CF5">
        <w:rPr>
          <w:rFonts w:ascii="Book Antiqua" w:hAnsi="Book Antiqua"/>
          <w:sz w:val="20"/>
        </w:rPr>
        <w:t xml:space="preserve"> century, our knowledge of what comprises a vacuum, especially the vacuum of space, took a considerable leap forward.  The old idea of a vacuum is now referred to as a ‘bare vacuum.’  But, as science has learned more about the properties of space, a new description has become necessary, one which physicists call the ‘physical vacuum.’</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To understand the difference between these two definitions, imagine you have a perfectly sealed container. First remove all solids and liquids and gases from it so that no atoms or molecules remain. There is now a bare</w:t>
      </w:r>
      <w:r w:rsidRPr="00115CF5">
        <w:rPr>
          <w:rFonts w:ascii="Book Antiqua" w:hAnsi="Book Antiqua"/>
          <w:color w:val="FF0000"/>
          <w:sz w:val="20"/>
        </w:rPr>
        <w:t xml:space="preserve"> </w:t>
      </w:r>
      <w:r w:rsidRPr="00115CF5">
        <w:rPr>
          <w:rFonts w:ascii="Book Antiqua" w:hAnsi="Book Antiqua"/>
          <w:sz w:val="20"/>
        </w:rPr>
        <w:t xml:space="preserve">vacuum in the container. This 17th century concept gave rise to the definition of a vacuum as a totally empty volume of space. It was later discovered that this vacuum would not transmit sound but would transmit light and all other wavelengths of the electromagnetic spectrum ranging from the very short wavelength gamma rays, down to radio and longer wavelengths.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Late in the 19th century, it was realized that the vacuum could still contain heat or thermal radiation. If our container with the vacuum is then perfectly insulated so no heat can get in or out, and if it is cooled to absolute zero, or about </w:t>
      </w:r>
      <w:proofErr w:type="gramStart"/>
      <w:r w:rsidRPr="00115CF5">
        <w:rPr>
          <w:rFonts w:ascii="Book Antiqua" w:hAnsi="Book Antiqua"/>
          <w:sz w:val="20"/>
        </w:rPr>
        <w:t xml:space="preserve">minus </w:t>
      </w:r>
      <m:oMath>
        <w:proofErr w:type="gramEnd"/>
        <m:r>
          <w:rPr>
            <w:rFonts w:ascii="Cambria Math" w:hAnsi="Book Antiqua"/>
            <w:sz w:val="18"/>
            <w:szCs w:val="18"/>
          </w:rPr>
          <m:t>273</m:t>
        </m:r>
        <m:r>
          <w:rPr>
            <w:rFonts w:ascii="Cambria Math" w:hAnsi="Cambria Math"/>
            <w:position w:val="8"/>
            <w:sz w:val="18"/>
            <w:szCs w:val="18"/>
            <w:vertAlign w:val="superscript"/>
          </w:rPr>
          <m:t>o</m:t>
        </m:r>
        <m:r>
          <w:rPr>
            <w:rFonts w:ascii="Cambria Math" w:hAnsi="Book Antiqua"/>
            <w:position w:val="8"/>
            <w:sz w:val="18"/>
            <w:szCs w:val="18"/>
            <w:vertAlign w:val="superscript"/>
          </w:rPr>
          <m:t xml:space="preserve"> </m:t>
        </m:r>
        <m:r>
          <w:rPr>
            <w:rFonts w:ascii="Cambria Math" w:hAnsi="Cambria Math"/>
            <w:sz w:val="18"/>
            <w:szCs w:val="18"/>
          </w:rPr>
          <m:t>C</m:t>
        </m:r>
      </m:oMath>
      <w:r w:rsidRPr="00115CF5">
        <w:rPr>
          <w:rFonts w:ascii="Book Antiqua" w:hAnsi="Book Antiqua"/>
          <w:sz w:val="20"/>
        </w:rPr>
        <w:t xml:space="preserve">, all thermal radiation has been removed. It might be expected that a complete vacuum now exists within the container. However, both theory and experiment show this vacuum, the physical vacuum, still contains measurable energy. This energy is called the Zero-Point Energy (ZPE) because it exists even at absolute zero. The ZPE was discovered to be a universal phenomenon, uniform, all-pervasive, and penetrating every atomic structure throughout the cosmos. The existence of the ZPE was not suspected until the early 20th century for the same reason that we are unaware of the atmospheric pressure of 14 pounds per square inch (or 1 kilogram per square centimeter) that is imposed upon our bodies. There is a perfect balance within us and without. Similarly, the radiation pressures of the ZPE are everywhere balanced in our bodies and measuring devices.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Historical Prelude</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Default="00AC4336" w:rsidP="004D4E88">
      <w:pPr>
        <w:pStyle w:val="NoSpacing"/>
        <w:ind w:firstLine="720"/>
        <w:jc w:val="both"/>
        <w:rPr>
          <w:rFonts w:ascii="Book Antiqua" w:hAnsi="Book Antiqua"/>
          <w:sz w:val="20"/>
        </w:rPr>
      </w:pPr>
      <w:r w:rsidRPr="00115CF5">
        <w:rPr>
          <w:rFonts w:ascii="Book Antiqua" w:hAnsi="Book Antiqua"/>
          <w:sz w:val="20"/>
        </w:rPr>
        <w:t>The existence of the ZPE began to be perceived in the late 19th century with experiments conducted with something called a black-body. A small hole in an opaque cavity at any given temperature will emit radiation.  A perfectly black body w</w:t>
      </w:r>
      <w:r w:rsidR="00F52A20">
        <w:rPr>
          <w:rFonts w:ascii="Book Antiqua" w:hAnsi="Book Antiqua"/>
          <w:sz w:val="20"/>
        </w:rPr>
        <w:t>ill</w:t>
      </w:r>
      <w:r w:rsidRPr="00115CF5">
        <w:rPr>
          <w:rFonts w:ascii="Book Antiqua" w:hAnsi="Book Antiqua"/>
          <w:sz w:val="20"/>
        </w:rPr>
        <w:t xml:space="preserve"> emit the same radiation at </w:t>
      </w:r>
      <w:r w:rsidR="00F52A20">
        <w:rPr>
          <w:rFonts w:ascii="Book Antiqua" w:hAnsi="Book Antiqua"/>
          <w:sz w:val="20"/>
        </w:rPr>
        <w:t>the same</w:t>
      </w:r>
      <w:r w:rsidRPr="00115CF5">
        <w:rPr>
          <w:rFonts w:ascii="Book Antiqua" w:hAnsi="Book Antiqua"/>
          <w:sz w:val="20"/>
        </w:rPr>
        <w:t xml:space="preserve"> temperature</w:t>
      </w:r>
      <w:r w:rsidR="00F52A20">
        <w:rPr>
          <w:rFonts w:ascii="Book Antiqua" w:hAnsi="Book Antiqua"/>
          <w:sz w:val="20"/>
        </w:rPr>
        <w:t xml:space="preserve"> as the opaque cavity</w:t>
      </w:r>
      <w:r w:rsidRPr="00115CF5">
        <w:rPr>
          <w:rFonts w:ascii="Book Antiqua" w:hAnsi="Book Antiqua"/>
          <w:sz w:val="20"/>
        </w:rPr>
        <w:t xml:space="preserve">.  </w:t>
      </w:r>
      <w:r w:rsidR="00F52A20">
        <w:rPr>
          <w:rFonts w:ascii="Book Antiqua" w:hAnsi="Book Antiqua"/>
          <w:sz w:val="20"/>
        </w:rPr>
        <w:t>R</w:t>
      </w:r>
      <w:r w:rsidRPr="00115CF5">
        <w:rPr>
          <w:rFonts w:ascii="Book Antiqua" w:hAnsi="Book Antiqua"/>
          <w:sz w:val="20"/>
        </w:rPr>
        <w:t xml:space="preserve">adiation from such a source is called black-body radiation. In 1893, Wilhelm Wien derived a formula describing the distribution of black body radiant energy density (the energy per unit volume) with wavelength. This was experimentally confirmed.  However, he found the formula deviated a little from the experimental results at long wavelengths. In 1899, Otto Lummer and Ernst Pringsheim were able to conduct extremely accurate experiments with a cavity radiator over a range of temperatures to determine if the discrepancy was real. </w:t>
      </w:r>
      <w:r w:rsidR="00837356" w:rsidRPr="00115CF5">
        <w:rPr>
          <w:rFonts w:ascii="Book Antiqua" w:hAnsi="Book Antiqua"/>
          <w:sz w:val="20"/>
        </w:rPr>
        <w:t>Figure 1 shows the precise behavior of black body radiation with temperature.</w:t>
      </w:r>
    </w:p>
    <w:p w:rsidR="00871114" w:rsidRDefault="00871114" w:rsidP="004D4E88">
      <w:pPr>
        <w:pStyle w:val="NoSpacing"/>
        <w:ind w:firstLine="720"/>
        <w:jc w:val="both"/>
        <w:rPr>
          <w:rFonts w:ascii="Book Antiqua" w:hAnsi="Book Antiqua"/>
          <w:sz w:val="20"/>
        </w:rPr>
      </w:pPr>
    </w:p>
    <w:p w:rsidR="00871114" w:rsidRPr="00115CF5" w:rsidRDefault="00871114" w:rsidP="00871114">
      <w:pPr>
        <w:pStyle w:val="NoSpacing"/>
        <w:ind w:firstLine="720"/>
        <w:jc w:val="both"/>
        <w:rPr>
          <w:rFonts w:ascii="Book Antiqua" w:hAnsi="Book Antiqua"/>
          <w:sz w:val="20"/>
        </w:rPr>
      </w:pPr>
      <w:r w:rsidRPr="00115CF5">
        <w:rPr>
          <w:rFonts w:ascii="Book Antiqua" w:hAnsi="Book Antiqua"/>
          <w:sz w:val="20"/>
        </w:rPr>
        <w:t>The data did indicate that Wien’s formula deviated slightly at long wavelengths. This small deviation was confirmed by similar experiments done by Ferdinand Kurlbaum and Heinrich Rubens. Seeking to find a reason for this deviation, in 1900 Lord Rayleigh and James Jeans, using classical physics,  tried to theoretically derive a mathematical equation explaining the black body radiation curve.   Instead of being able to describe the experimental results accurately, however, the graph of their equation climbed dramatically at short wavelengths indicating huge amounts of short wavelength radiation. This theoretical result was called the ‘ultraviolet catastrophe’. It presented a crisis: classical theory seemed unable to account for these data. At this point, then, problems were showing up at both the short wavelength and the long wavelength end of the curve. The curves for the analyses of Rayleigh-Jeans, Planck (and observation), and Wien are shown in Figure 2.</w:t>
      </w:r>
    </w:p>
    <w:p w:rsidR="00871114" w:rsidRPr="00115CF5" w:rsidRDefault="00871114" w:rsidP="004D4E88">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lastRenderedPageBreak/>
        <w:drawing>
          <wp:inline distT="0" distB="0" distL="0" distR="0">
            <wp:extent cx="4124325" cy="1990725"/>
            <wp:effectExtent l="19050" t="0" r="9525" b="0"/>
            <wp:docPr id="461" name="il_fi" descr="http://spaceflight.esa.int/impress/text/education/Images/Glossary/GlossaryImage%20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paceflight.esa.int/impress/text/education/Images/Glossary/GlossaryImage%20049.png"/>
                    <pic:cNvPicPr>
                      <a:picLocks noChangeAspect="1" noChangeArrowheads="1"/>
                    </pic:cNvPicPr>
                  </pic:nvPicPr>
                  <pic:blipFill>
                    <a:blip r:embed="rId45" cstate="print"/>
                    <a:srcRect/>
                    <a:stretch>
                      <a:fillRect/>
                    </a:stretch>
                  </pic:blipFill>
                  <pic:spPr bwMode="auto">
                    <a:xfrm>
                      <a:off x="0" y="0"/>
                      <a:ext cx="4124325" cy="1990725"/>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1:</w:t>
      </w:r>
      <w:r w:rsidRPr="003D26E9">
        <w:rPr>
          <w:rFonts w:ascii="Book Antiqua" w:hAnsi="Book Antiqua"/>
          <w:i/>
          <w:sz w:val="18"/>
          <w:szCs w:val="18"/>
        </w:rPr>
        <w:t xml:space="preserve"> Typical Black Body radiation curves for three different temperatures. The wavelength is on the horizontal axis, while the intensity of the radiation is given vertically. With higher temperatures, the peak output moves to shorter wavelengths (left). Shorter wavelengths are more energetic.</w:t>
      </w:r>
    </w:p>
    <w:p w:rsidR="00AC4336" w:rsidRPr="00115CF5" w:rsidRDefault="00AC4336" w:rsidP="00AC4336">
      <w:pPr>
        <w:pStyle w:val="NoSpacing"/>
        <w:rPr>
          <w:rFonts w:ascii="Book Antiqua" w:hAnsi="Book Antiqua"/>
          <w:sz w:val="18"/>
          <w:szCs w:val="18"/>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3810000" cy="2066925"/>
            <wp:effectExtent l="19050" t="0" r="0" b="0"/>
            <wp:docPr id="460" name="il_fi" descr="http://www.kennislink.nl/upload/193600_276_1205417537548-79872_276_1022530650861-herschepp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ennislink.nl/upload/193600_276_1205417537548-79872_276_1022530650861-herschepping2.jpg"/>
                    <pic:cNvPicPr>
                      <a:picLocks noChangeAspect="1" noChangeArrowheads="1"/>
                    </pic:cNvPicPr>
                  </pic:nvPicPr>
                  <pic:blipFill>
                    <a:blip r:embed="rId46" cstate="print">
                      <a:lum/>
                    </a:blip>
                    <a:srcRect l="3085" b="10667"/>
                    <a:stretch>
                      <a:fillRect/>
                    </a:stretch>
                  </pic:blipFill>
                  <pic:spPr bwMode="auto">
                    <a:xfrm>
                      <a:off x="0" y="0"/>
                      <a:ext cx="3810000" cy="2066925"/>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b/>
          <w:i/>
          <w:sz w:val="20"/>
        </w:rPr>
      </w:pPr>
    </w:p>
    <w:p w:rsidR="00AC4336" w:rsidRPr="003D26E9" w:rsidRDefault="00AC4336" w:rsidP="00AC4336">
      <w:pPr>
        <w:pStyle w:val="NoSpacing"/>
        <w:rPr>
          <w:rFonts w:ascii="Book Antiqua" w:hAnsi="Book Antiqua"/>
          <w:i/>
          <w:sz w:val="18"/>
          <w:szCs w:val="18"/>
        </w:rPr>
      </w:pPr>
      <w:r w:rsidRPr="003D26E9">
        <w:rPr>
          <w:rFonts w:ascii="Book Antiqua" w:hAnsi="Book Antiqua"/>
          <w:b/>
          <w:i/>
          <w:sz w:val="18"/>
          <w:szCs w:val="18"/>
        </w:rPr>
        <w:t>Figure 2:</w:t>
      </w:r>
      <w:r w:rsidRPr="003D26E9">
        <w:rPr>
          <w:rFonts w:ascii="Book Antiqua" w:hAnsi="Book Antiqua"/>
          <w:i/>
          <w:sz w:val="18"/>
          <w:szCs w:val="18"/>
        </w:rPr>
        <w:t xml:space="preserve"> Comparison of Black Body radiation curves at 5000 degrees. From right to left: Rayleigh-Jeans (blue), Planck and actual observation (red), and Wien (green). The horizontal axis shows wavelengths with the vertical axis showing light intensity.  </w:t>
      </w:r>
    </w:p>
    <w:p w:rsidR="004D4E88"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r w:rsidRPr="00115CF5">
        <w:rPr>
          <w:rFonts w:ascii="Book Antiqua" w:hAnsi="Book Antiqua"/>
          <w:sz w:val="20"/>
        </w:rPr>
        <w:tab/>
      </w:r>
    </w:p>
    <w:p w:rsidR="00AC4336" w:rsidRPr="00115CF5" w:rsidRDefault="00AC4336" w:rsidP="004D4E88">
      <w:pPr>
        <w:pStyle w:val="NoSpacing"/>
        <w:ind w:left="360" w:firstLine="720"/>
        <w:jc w:val="both"/>
        <w:rPr>
          <w:rFonts w:ascii="Book Antiqua" w:hAnsi="Book Antiqua"/>
          <w:sz w:val="20"/>
        </w:rPr>
      </w:pPr>
      <w:r w:rsidRPr="00115CF5">
        <w:rPr>
          <w:rFonts w:ascii="Book Antiqua" w:hAnsi="Book Antiqua"/>
          <w:sz w:val="20"/>
        </w:rPr>
        <w:t xml:space="preserve">Then, in 1901, Max Planck derived a mathematical expression that fitted the most recent experimental curves for black body radiation. This formulation overcame the so-called ‘ultraviolet catastrophe’ at short wavelengths, as well as overcoming lesser problems with Wien’s formula at long wavelengths. Planck achieved this by hypothesizing that the energy states of point particle oscillators came in discrete units rather than being continuous. Thus radiation is not emitted in continuous amounts but in discrete bundles of energy which was then described by the product of the new constant </w:t>
      </w:r>
      <w:r w:rsidRPr="00115CF5">
        <w:rPr>
          <w:rFonts w:ascii="Book Antiqua" w:hAnsi="Book Antiqua"/>
          <w:i/>
          <w:iCs/>
          <w:sz w:val="20"/>
        </w:rPr>
        <w:t>‘h’</w:t>
      </w:r>
      <w:r w:rsidRPr="00115CF5">
        <w:rPr>
          <w:rFonts w:ascii="Book Antiqua" w:hAnsi="Book Antiqua"/>
          <w:sz w:val="20"/>
        </w:rPr>
        <w:t xml:space="preserve">, and the frequency, </w:t>
      </w:r>
      <w:r w:rsidRPr="00115CF5">
        <w:rPr>
          <w:rFonts w:ascii="Book Antiqua" w:hAnsi="Book Antiqua"/>
          <w:i/>
          <w:iCs/>
          <w:sz w:val="20"/>
        </w:rPr>
        <w:t>‘f’</w:t>
      </w:r>
      <w:r w:rsidRPr="00115CF5">
        <w:rPr>
          <w:rFonts w:ascii="Book Antiqua" w:hAnsi="Book Antiqua"/>
          <w:sz w:val="20"/>
        </w:rPr>
        <w:t xml:space="preserve">. However, as Kuhn noted, Planck was skeptical of the physical significance of his purely mathematical assumption and his constant </w:t>
      </w:r>
      <w:r w:rsidRPr="00115CF5">
        <w:rPr>
          <w:rFonts w:ascii="Book Antiqua" w:hAnsi="Book Antiqua"/>
          <w:i/>
          <w:iCs/>
          <w:sz w:val="20"/>
        </w:rPr>
        <w:t xml:space="preserve">‘h’ </w:t>
      </w:r>
      <w:r w:rsidRPr="00115CF5">
        <w:rPr>
          <w:rFonts w:ascii="Book Antiqua" w:hAnsi="Book Antiqua"/>
          <w:sz w:val="20"/>
        </w:rPr>
        <w:t xml:space="preserve">for over a decade [1]. At best, Planck felt it only applied to particle oscillators and their emitted radiation. This, then, was only a slight modification of Maxwell’s classical theory of radiation. </w:t>
      </w:r>
    </w:p>
    <w:p w:rsidR="00AC4336" w:rsidRPr="00115CF5" w:rsidRDefault="00AC4336" w:rsidP="00AC4336">
      <w:pPr>
        <w:pStyle w:val="NoSpacing"/>
        <w:jc w:val="both"/>
        <w:rPr>
          <w:rFonts w:ascii="Book Antiqua" w:hAnsi="Book Antiqua"/>
          <w:b/>
          <w:bCs/>
          <w:i/>
          <w:iCs/>
          <w:sz w:val="20"/>
        </w:rPr>
      </w:pPr>
    </w:p>
    <w:p w:rsidR="00AC4336" w:rsidRPr="00966F10"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966F10">
        <w:rPr>
          <w:rFonts w:ascii="Book Antiqua" w:hAnsi="Book Antiqua" w:cs="Times New Roman"/>
          <w:b w:val="0"/>
          <w:sz w:val="20"/>
          <w:szCs w:val="20"/>
        </w:rPr>
        <w:t>Planck and Einstein Infer the ZPE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Planck, dissatisfied, persisted with his analysis of the problem. By 1910 he had formulated what has become known as his second theory where he again derived the blackbody spectral formula. But this time he had an excellent reason for the presence of his constant, </w:t>
      </w:r>
      <w:r w:rsidRPr="00115CF5">
        <w:rPr>
          <w:rFonts w:ascii="Book Antiqua" w:hAnsi="Book Antiqua"/>
          <w:i/>
          <w:sz w:val="20"/>
        </w:rPr>
        <w:t>'h'</w:t>
      </w:r>
      <w:r w:rsidRPr="00115CF5">
        <w:rPr>
          <w:rFonts w:ascii="Book Antiqua" w:hAnsi="Book Antiqua"/>
          <w:sz w:val="20"/>
        </w:rPr>
        <w:t xml:space="preserve">. His equations, published in 1911, pointed directly to the existence of a </w:t>
      </w:r>
      <w:r w:rsidR="00966F10">
        <w:rPr>
          <w:rFonts w:ascii="Book Antiqua" w:hAnsi="Book Antiqua"/>
          <w:sz w:val="20"/>
        </w:rPr>
        <w:t xml:space="preserve">real </w:t>
      </w:r>
      <w:r w:rsidRPr="00115CF5">
        <w:rPr>
          <w:rFonts w:ascii="Book Antiqua" w:hAnsi="Book Antiqua"/>
          <w:sz w:val="20"/>
        </w:rPr>
        <w:lastRenderedPageBreak/>
        <w:t>zero-point energy [2]. Planck’s equation for the radiant energy density</w:t>
      </w:r>
      <w:proofErr w:type="gramStart"/>
      <w:r w:rsidRPr="00115CF5">
        <w:rPr>
          <w:rFonts w:ascii="Book Antiqua" w:hAnsi="Book Antiqua"/>
          <w:sz w:val="20"/>
        </w:rPr>
        <w:t xml:space="preserve">, </w:t>
      </w:r>
      <m:oMath>
        <w:proofErr w:type="gramEnd"/>
        <m:r>
          <w:rPr>
            <w:rFonts w:ascii="Cambria Math" w:hAnsi="Cambria Math"/>
            <w:sz w:val="18"/>
            <w:szCs w:val="18"/>
          </w:rPr>
          <m:t>ρ</m:t>
        </m:r>
      </m:oMath>
      <w:r w:rsidRPr="00115CF5">
        <w:rPr>
          <w:rFonts w:ascii="Book Antiqua" w:hAnsi="Book Antiqua"/>
          <w:sz w:val="20"/>
        </w:rPr>
        <w:t xml:space="preserve">, of a black body had the same temperature-dependent term as derived in his first theory. However it had an additional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 xml:space="preserve">) </m:t>
        </m:r>
        <m:r>
          <w:rPr>
            <w:rFonts w:ascii="Cambria Math" w:hAnsi="Cambria Math"/>
            <w:sz w:val="18"/>
            <w:szCs w:val="18"/>
          </w:rPr>
          <m:t>hf</m:t>
        </m:r>
      </m:oMath>
      <w:r w:rsidRPr="00115CF5">
        <w:rPr>
          <w:rFonts w:ascii="Book Antiqua" w:hAnsi="Book Antiqua"/>
          <w:i/>
          <w:iCs/>
          <w:sz w:val="20"/>
        </w:rPr>
        <w:t xml:space="preserve"> </w:t>
      </w:r>
      <w:r w:rsidRPr="00115CF5">
        <w:rPr>
          <w:rFonts w:ascii="Book Antiqua" w:hAnsi="Book Antiqua"/>
          <w:sz w:val="20"/>
        </w:rPr>
        <w:t xml:space="preserve">term that was totally independent of temperature [see equation (1) below]. It indicated a uniform, isotropic background radiation existed.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w:r w:rsidRPr="00115CF5">
        <w:rPr>
          <w:rFonts w:ascii="Book Antiqua" w:hAnsi="Book Antiqua"/>
          <w:iCs/>
          <w:position w:val="-24"/>
          <w:sz w:val="20"/>
        </w:rPr>
        <w:object w:dxaOrig="3000" w:dyaOrig="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05pt;height:30.25pt" o:ole="">
            <v:imagedata r:id="rId47" o:title=""/>
          </v:shape>
          <o:OLEObject Type="Embed" ProgID="Equation.DSMT4" ShapeID="_x0000_i1025" DrawAspect="Content" ObjectID="_1433920177" r:id="rId48"/>
        </w:object>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Cs/>
          <w:sz w:val="20"/>
        </w:rPr>
        <w:tab/>
      </w:r>
      <w:r w:rsidRPr="00115CF5">
        <w:rPr>
          <w:rFonts w:ascii="Book Antiqua" w:hAnsi="Book Antiqua"/>
          <w:i/>
          <w:iCs/>
          <w:sz w:val="20"/>
        </w:rPr>
        <w:tab/>
      </w:r>
      <w:r w:rsidRPr="00115CF5">
        <w:rPr>
          <w:rFonts w:ascii="Book Antiqua" w:hAnsi="Book Antiqua"/>
          <w:i/>
          <w:sz w:val="20"/>
        </w:rPr>
        <w:t>(1)</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Here, </w:t>
      </w:r>
      <w:r w:rsidRPr="00115CF5">
        <w:rPr>
          <w:rFonts w:ascii="Book Antiqua" w:hAnsi="Book Antiqua"/>
          <w:i/>
          <w:sz w:val="20"/>
        </w:rPr>
        <w:t>f</w:t>
      </w:r>
      <w:r w:rsidRPr="00115CF5">
        <w:rPr>
          <w:rFonts w:ascii="Book Antiqua" w:hAnsi="Book Antiqua"/>
          <w:sz w:val="20"/>
        </w:rPr>
        <w:t xml:space="preserve"> is radiation frequency, </w:t>
      </w:r>
      <w:r w:rsidRPr="00115CF5">
        <w:rPr>
          <w:rFonts w:ascii="Book Antiqua" w:hAnsi="Book Antiqua"/>
          <w:i/>
          <w:iCs/>
          <w:sz w:val="20"/>
        </w:rPr>
        <w:t xml:space="preserve">c </w:t>
      </w:r>
      <w:r w:rsidRPr="00115CF5">
        <w:rPr>
          <w:rFonts w:ascii="Book Antiqua" w:hAnsi="Book Antiqua"/>
          <w:sz w:val="20"/>
        </w:rPr>
        <w:t xml:space="preserve">is light-speed, and </w:t>
      </w:r>
      <w:r w:rsidRPr="00115CF5">
        <w:rPr>
          <w:rFonts w:ascii="Book Antiqua" w:hAnsi="Book Antiqua"/>
          <w:i/>
          <w:iCs/>
          <w:sz w:val="20"/>
        </w:rPr>
        <w:t xml:space="preserve">k </w:t>
      </w:r>
      <w:r w:rsidRPr="00115CF5">
        <w:rPr>
          <w:rFonts w:ascii="Book Antiqua" w:hAnsi="Book Antiqua"/>
          <w:sz w:val="20"/>
        </w:rPr>
        <w:t xml:space="preserve">is Boltzmann’s constant. If the temperature, </w:t>
      </w:r>
      <w:r w:rsidRPr="00115CF5">
        <w:rPr>
          <w:rFonts w:ascii="Book Antiqua" w:hAnsi="Book Antiqua"/>
          <w:i/>
          <w:iCs/>
          <w:sz w:val="20"/>
        </w:rPr>
        <w:t>T</w:t>
      </w:r>
      <w:r w:rsidRPr="00115CF5">
        <w:rPr>
          <w:rFonts w:ascii="Book Antiqua" w:hAnsi="Book Antiqua"/>
          <w:sz w:val="20"/>
        </w:rPr>
        <w:t xml:space="preserve">, in (1) drops to zero, we are still left with the Zero Point term,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in the final set of square brackets. Since </w:t>
      </w:r>
      <w:r w:rsidRPr="00115CF5">
        <w:rPr>
          <w:rFonts w:ascii="Book Antiqua" w:hAnsi="Book Antiqua"/>
          <w:i/>
          <w:sz w:val="20"/>
        </w:rPr>
        <w:t>T</w:t>
      </w:r>
      <w:r w:rsidRPr="00115CF5">
        <w:rPr>
          <w:rFonts w:ascii="Book Antiqua" w:hAnsi="Book Antiqua"/>
          <w:sz w:val="20"/>
        </w:rPr>
        <w:t xml:space="preserve"> does not occur in that final term, this shows that it is independent of temperature. Planck’s constant, </w:t>
      </w:r>
      <w:r w:rsidRPr="00115CF5">
        <w:rPr>
          <w:rFonts w:ascii="Book Antiqua" w:hAnsi="Book Antiqua"/>
          <w:i/>
          <w:iCs/>
          <w:sz w:val="20"/>
        </w:rPr>
        <w:t>h</w:t>
      </w:r>
      <w:r w:rsidRPr="00115CF5">
        <w:rPr>
          <w:rFonts w:ascii="Book Antiqua" w:hAnsi="Book Antiqua"/>
          <w:sz w:val="20"/>
        </w:rPr>
        <w:t xml:space="preserve">, in this Zero Point term simply appears as a scale factor to align theory with experiment and no quantum interpretation is needed. Being a scale factor means that if the ZPE strength was greater, then the value of </w:t>
      </w:r>
      <w:r w:rsidRPr="00115CF5">
        <w:rPr>
          <w:rFonts w:ascii="Book Antiqua" w:hAnsi="Book Antiqua"/>
          <w:i/>
          <w:sz w:val="20"/>
        </w:rPr>
        <w:t>h</w:t>
      </w:r>
      <w:r w:rsidRPr="00115CF5">
        <w:rPr>
          <w:rFonts w:ascii="Book Antiqua" w:hAnsi="Book Antiqua"/>
          <w:sz w:val="20"/>
        </w:rPr>
        <w:t xml:space="preserve"> would be correspondingly larger. In this way, </w:t>
      </w:r>
      <w:r w:rsidRPr="00115CF5">
        <w:rPr>
          <w:rFonts w:ascii="Book Antiqua" w:hAnsi="Book Antiqua"/>
          <w:i/>
          <w:iCs/>
          <w:sz w:val="20"/>
        </w:rPr>
        <w:t xml:space="preserve">h </w:t>
      </w:r>
      <w:r w:rsidRPr="00115CF5">
        <w:rPr>
          <w:rFonts w:ascii="Book Antiqua" w:hAnsi="Book Antiqua"/>
          <w:sz w:val="20"/>
        </w:rPr>
        <w:t xml:space="preserve">turns out to be a measure of the strength of the ZPE. From (1), the energy density, </w:t>
      </w:r>
      <w:r w:rsidRPr="00115CF5">
        <w:rPr>
          <w:rFonts w:ascii="Book Antiqua" w:hAnsi="Book Antiqua"/>
          <w:i/>
          <w:sz w:val="20"/>
        </w:rPr>
        <w:t>U</w:t>
      </w:r>
      <w:r w:rsidRPr="00115CF5">
        <w:rPr>
          <w:rFonts w:ascii="Book Antiqua" w:hAnsi="Book Antiqua"/>
          <w:sz w:val="20"/>
        </w:rPr>
        <w:t xml:space="preserve">, of the ZPE is then given by multiplying </w:t>
      </w:r>
      <m:oMath>
        <m:r>
          <w:rPr>
            <w:rFonts w:ascii="Book Antiqua" w:hAnsi="Cambria Math"/>
            <w:sz w:val="18"/>
            <w:szCs w:val="18"/>
          </w:rPr>
          <m:t>h</m:t>
        </m:r>
        <m:r>
          <w:rPr>
            <w:rFonts w:ascii="Cambria Math" w:hAnsi="Cambria Math"/>
            <w:sz w:val="18"/>
            <w:szCs w:val="18"/>
          </w:rPr>
          <m:t>f</m:t>
        </m:r>
        <m:r>
          <w:rPr>
            <w:rFonts w:ascii="Cambria Math" w:hAnsi="Book Antiqua"/>
            <w:sz w:val="18"/>
            <w:szCs w:val="18"/>
          </w:rPr>
          <m:t>/2</m:t>
        </m:r>
      </m:oMath>
      <w:r w:rsidRPr="00115CF5">
        <w:rPr>
          <w:rFonts w:ascii="Book Antiqua" w:hAnsi="Book Antiqua"/>
          <w:sz w:val="20"/>
        </w:rPr>
        <w:t xml:space="preserve"> by the expression in the first set of square brackets, giving us (2)</w:t>
      </w:r>
    </w:p>
    <w:p w:rsidR="00871114" w:rsidRPr="00115CF5" w:rsidRDefault="00871114"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position w:val="-22"/>
          <w:sz w:val="20"/>
        </w:rPr>
        <w:object w:dxaOrig="1579" w:dyaOrig="580">
          <v:shape id="_x0000_i1026" type="#_x0000_t75" style="width:78.65pt;height:29.05pt" o:ole="">
            <v:imagedata r:id="rId49" o:title=""/>
          </v:shape>
          <o:OLEObject Type="Embed" ProgID="Equation.DSMT4" ShapeID="_x0000_i1026" DrawAspect="Content" ObjectID="_1433920178" r:id="rId50"/>
        </w:object>
      </w:r>
      <w:r w:rsidRPr="00115CF5">
        <w:rPr>
          <w:rFonts w:ascii="Book Antiqua" w:hAnsi="Book Antiqua"/>
          <w:sz w:val="20"/>
        </w:rPr>
        <w:t xml:space="preserve"> .</w:t>
      </w:r>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(2)</w:t>
      </w:r>
    </w:p>
    <w:p w:rsidR="00AC4336" w:rsidRPr="00115CF5" w:rsidRDefault="00AC4336" w:rsidP="00AC4336">
      <w:pPr>
        <w:pStyle w:val="NoSpacing"/>
        <w:jc w:val="center"/>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can also be written for wavelengths as well as frequencies.  The wavelength of light, or electromagnetic radiation, λ, is given by light-speed, </w:t>
      </w:r>
      <w:r w:rsidRPr="00115CF5">
        <w:rPr>
          <w:rFonts w:ascii="Book Antiqua" w:hAnsi="Book Antiqua"/>
          <w:i/>
          <w:sz w:val="20"/>
        </w:rPr>
        <w:t>c</w:t>
      </w:r>
      <w:r w:rsidRPr="00115CF5">
        <w:rPr>
          <w:rFonts w:ascii="Book Antiqua" w:hAnsi="Book Antiqua"/>
          <w:sz w:val="20"/>
        </w:rPr>
        <w:t xml:space="preserve">, divided by frequency, </w:t>
      </w:r>
      <w:r w:rsidRPr="00115CF5">
        <w:rPr>
          <w:rFonts w:ascii="Book Antiqua" w:hAnsi="Book Antiqua"/>
          <w:i/>
          <w:sz w:val="20"/>
        </w:rPr>
        <w:t>f</w:t>
      </w:r>
      <w:r w:rsidRPr="00115CF5">
        <w:rPr>
          <w:rFonts w:ascii="Book Antiqua" w:hAnsi="Book Antiqua"/>
          <w:sz w:val="20"/>
        </w:rPr>
        <w:t xml:space="preserve">. Therefore, the </w:t>
      </w:r>
      <m:oMath>
        <m:sSup>
          <m:sSupPr>
            <m:ctrlPr>
              <w:rPr>
                <w:rFonts w:ascii="Cambria Math" w:hAnsi="Book Antiqua"/>
                <w:i/>
                <w:sz w:val="18"/>
                <w:szCs w:val="18"/>
              </w:rPr>
            </m:ctrlPr>
          </m:sSupPr>
          <m:e>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c</m:t>
            </m:r>
            <m:r>
              <w:rPr>
                <w:rFonts w:ascii="Cambria Math" w:hAnsi="Book Antiqua"/>
                <w:sz w:val="18"/>
                <w:szCs w:val="18"/>
              </w:rPr>
              <m:t>)</m:t>
            </m:r>
          </m:e>
          <m:sup>
            <m:r>
              <w:rPr>
                <w:rFonts w:ascii="Cambria Math" w:hAnsi="Book Antiqua"/>
                <w:sz w:val="18"/>
                <w:szCs w:val="18"/>
              </w:rPr>
              <m:t>3</m:t>
            </m:r>
          </m:sup>
        </m:sSup>
      </m:oMath>
      <w:r w:rsidRPr="00115CF5">
        <w:rPr>
          <w:rFonts w:ascii="Book Antiqua" w:hAnsi="Book Antiqua"/>
          <w:sz w:val="20"/>
        </w:rPr>
        <w:t xml:space="preserve"> in (2) can be substituted with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3</m:t>
            </m:r>
          </m:sup>
        </m:sSup>
        <m:r>
          <w:rPr>
            <w:rFonts w:ascii="Cambria Math" w:hAnsi="Book Antiqua"/>
            <w:sz w:val="18"/>
            <w:szCs w:val="18"/>
          </w:rPr>
          <m:t>)</m:t>
        </m:r>
      </m:oMath>
      <w:r w:rsidRPr="00115CF5">
        <w:rPr>
          <w:rFonts w:ascii="Book Antiqua" w:hAnsi="Book Antiqua"/>
          <w:sz w:val="20"/>
        </w:rPr>
        <w:t xml:space="preserve">. Changing the variable from </w:t>
      </w:r>
      <w:r w:rsidRPr="00115CF5">
        <w:rPr>
          <w:rFonts w:ascii="Book Antiqua" w:hAnsi="Book Antiqua"/>
          <w:i/>
          <w:sz w:val="20"/>
        </w:rPr>
        <w:t>f</w:t>
      </w:r>
      <w:r w:rsidRPr="00115CF5">
        <w:rPr>
          <w:rFonts w:ascii="Book Antiqua" w:hAnsi="Book Antiqua"/>
          <w:sz w:val="20"/>
        </w:rPr>
        <w:t xml:space="preserve"> to λ means that we must also change the </w:t>
      </w:r>
      <w:r w:rsidRPr="00115CF5">
        <w:rPr>
          <w:rFonts w:ascii="Book Antiqua" w:hAnsi="Book Antiqua"/>
          <w:i/>
          <w:sz w:val="20"/>
        </w:rPr>
        <w:t>df</w:t>
      </w:r>
      <w:r w:rsidRPr="00115CF5">
        <w:rPr>
          <w:rFonts w:ascii="Book Antiqua" w:hAnsi="Book Antiqua"/>
          <w:sz w:val="20"/>
        </w:rPr>
        <w:t xml:space="preserve"> component. When these changes are made the result is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i/>
          <w:sz w:val="20"/>
        </w:rPr>
      </w:pPr>
      <w:r w:rsidRPr="00115CF5">
        <w:rPr>
          <w:rFonts w:ascii="Book Antiqua" w:hAnsi="Book Antiqua"/>
          <w:sz w:val="18"/>
          <w:szCs w:val="18"/>
        </w:rPr>
        <w:tab/>
      </w:r>
      <m:oMath>
        <m:r>
          <w:rPr>
            <w:rFonts w:ascii="Cambria Math" w:hAnsi="Cambria Math"/>
            <w:sz w:val="18"/>
            <w:szCs w:val="18"/>
          </w:rPr>
          <m:t>U</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m:t>
        </m:r>
        <m:r>
          <w:rPr>
            <w:rFonts w:ascii="Cambria Math" w:hAnsi="Cambria Math"/>
            <w:sz w:val="18"/>
            <w:szCs w:val="18"/>
          </w:rPr>
          <m:t>dλ</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m:t>
        </m:r>
        <m:r>
          <w:rPr>
            <w:rFonts w:ascii="Cambria Math" w:hAnsi="Cambria Math"/>
            <w:sz w:val="18"/>
            <w:szCs w:val="18"/>
          </w:rPr>
          <m:t>dλ</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t>(3)</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Inspired by th</w:t>
      </w:r>
      <w:r w:rsidR="00A53CB0">
        <w:rPr>
          <w:rFonts w:ascii="Book Antiqua" w:hAnsi="Book Antiqua"/>
          <w:sz w:val="20"/>
        </w:rPr>
        <w:t>ese</w:t>
      </w:r>
      <w:r w:rsidRPr="00115CF5">
        <w:rPr>
          <w:rFonts w:ascii="Book Antiqua" w:hAnsi="Book Antiqua"/>
          <w:sz w:val="20"/>
        </w:rPr>
        <w:t xml:space="preserve"> development</w:t>
      </w:r>
      <w:r w:rsidR="00A53CB0">
        <w:rPr>
          <w:rFonts w:ascii="Book Antiqua" w:hAnsi="Book Antiqua"/>
          <w:sz w:val="20"/>
        </w:rPr>
        <w:t>s</w:t>
      </w:r>
      <w:r w:rsidRPr="00115CF5">
        <w:rPr>
          <w:rFonts w:ascii="Book Antiqua" w:hAnsi="Book Antiqua"/>
          <w:sz w:val="20"/>
        </w:rPr>
        <w:t>, Albert Einstein and Otto Stern, in 1913, published an analysis of the interaction between matter and radiation using simple dipole oscillators to represent charged particles. Their approach was based firmly on classical physics [3]. Significantly, they concluded that if, for some reason, dipole oscillators were immersed in a zero-point energy, that is, if there was an irreducible energy of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’at absolute zero of temperature, </w:t>
      </w:r>
      <w:r w:rsidRPr="00115CF5">
        <w:rPr>
          <w:rFonts w:ascii="Book Antiqua" w:hAnsi="Book Antiqua"/>
          <w:i/>
          <w:sz w:val="20"/>
        </w:rPr>
        <w:t>the Planck radiation formula would result</w:t>
      </w:r>
      <w:r w:rsidRPr="00115CF5">
        <w:rPr>
          <w:rFonts w:ascii="Book Antiqua" w:hAnsi="Book Antiqua"/>
          <w:sz w:val="20"/>
        </w:rPr>
        <w:t xml:space="preserve"> </w:t>
      </w:r>
      <w:r w:rsidRPr="00115CF5">
        <w:rPr>
          <w:rFonts w:ascii="Book Antiqua" w:hAnsi="Book Antiqua"/>
          <w:i/>
          <w:sz w:val="20"/>
        </w:rPr>
        <w:t>without the need to invoke quantisation at all</w:t>
      </w:r>
      <w:r w:rsidRPr="00115CF5">
        <w:rPr>
          <w:rFonts w:ascii="Book Antiqua" w:hAnsi="Book Antiqua"/>
          <w:sz w:val="20"/>
        </w:rPr>
        <w:t>.</w:t>
      </w:r>
      <w:r w:rsidRPr="00115CF5">
        <w:rPr>
          <w:rFonts w:ascii="Book Antiqua" w:hAnsi="Book Antiqua"/>
          <w:color w:val="FF0000"/>
          <w:sz w:val="20"/>
        </w:rPr>
        <w:t xml:space="preserve"> </w:t>
      </w:r>
      <w:r w:rsidRPr="00115CF5">
        <w:rPr>
          <w:rFonts w:ascii="Book Antiqua" w:hAnsi="Book Antiqua"/>
          <w:sz w:val="20"/>
        </w:rPr>
        <w:t xml:space="preserve">[3] This conclusion has since been proved correct, as Timothy Boyer and others have made just such derivations [4]. Their calculations show the irreducible energy of each oscillator is </w:t>
      </w:r>
      <m:oMath>
        <m:r>
          <w:rPr>
            <w:rFonts w:ascii="Cambria Math" w:hAnsi="Book Antiqua"/>
            <w:sz w:val="18"/>
            <w:szCs w:val="18"/>
          </w:rPr>
          <m:t>(</m:t>
        </m:r>
        <m:r>
          <w:rPr>
            <w:rFonts w:ascii="Cambria Math" w:hAnsi="Book Antiqua"/>
            <w:sz w:val="18"/>
            <w:szCs w:val="18"/>
          </w:rPr>
          <m:t>½</m:t>
        </m:r>
        <m:r>
          <w:rPr>
            <w:rFonts w:ascii="Cambria Math" w:hAnsi="Book Antiqua"/>
            <w:sz w:val="18"/>
            <w:szCs w:val="18"/>
          </w:rPr>
          <m:t>)</m:t>
        </m:r>
        <m:r>
          <w:rPr>
            <w:rFonts w:ascii="Cambria Math" w:hAnsi="Cambria Math"/>
            <w:sz w:val="18"/>
            <w:szCs w:val="18"/>
          </w:rPr>
          <m:t>hf</m:t>
        </m:r>
      </m:oMath>
      <w:r w:rsidRPr="00115CF5">
        <w:rPr>
          <w:rFonts w:ascii="Book Antiqua" w:hAnsi="Book Antiqua"/>
          <w:sz w:val="20"/>
        </w:rPr>
        <w:t xml:space="preserve">, as Planck and Nernst correctly deduced, rather than Einstein and Stern’s </w:t>
      </w:r>
      <m:oMath>
        <m:r>
          <w:rPr>
            <w:rFonts w:ascii="Book Antiqua" w:hAnsi="Cambria Math"/>
            <w:sz w:val="18"/>
            <w:szCs w:val="18"/>
          </w:rPr>
          <m:t>h</m:t>
        </m:r>
        <m:r>
          <w:rPr>
            <w:rFonts w:ascii="Cambria Math" w:hAnsi="Cambria Math"/>
            <w:sz w:val="18"/>
            <w:szCs w:val="18"/>
          </w:rPr>
          <m:t>f</m:t>
        </m:r>
      </m:oMath>
      <w:r w:rsidRPr="00115CF5">
        <w:rPr>
          <w:rFonts w:ascii="Book Antiqua" w:hAnsi="Book Antiqua"/>
          <w:sz w:val="20"/>
        </w:rPr>
        <w:t xml:space="preserve">. However, Einstein and Stern’s comments are still pertinent. </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Observational Proof for the ZPE</w:t>
      </w:r>
    </w:p>
    <w:p w:rsidR="00AC4336" w:rsidRPr="00115CF5" w:rsidRDefault="00AC4336" w:rsidP="00AC4336">
      <w:pPr>
        <w:rPr>
          <w:rFonts w:ascii="Book Antiqua" w:hAnsi="Book Antiqua"/>
        </w:rPr>
      </w:pPr>
    </w:p>
    <w:p w:rsidR="00AC4336" w:rsidRPr="00115CF5" w:rsidRDefault="00AC4336" w:rsidP="00A53CB0">
      <w:pPr>
        <w:pStyle w:val="NoSpacing"/>
        <w:ind w:firstLine="720"/>
        <w:jc w:val="both"/>
        <w:rPr>
          <w:rFonts w:ascii="Book Antiqua" w:hAnsi="Book Antiqua"/>
          <w:sz w:val="20"/>
        </w:rPr>
      </w:pPr>
      <w:r w:rsidRPr="00115CF5">
        <w:rPr>
          <w:rFonts w:ascii="Book Antiqua" w:hAnsi="Book Antiqua"/>
          <w:sz w:val="20"/>
        </w:rPr>
        <w:t xml:space="preserve">In 1916, Walther Nernst examined both the ZPE’s existence from Planck’s second theory along with Einstein and Stern’s proposal.  He then suggested that the universe may actually be filled with vast amounts of this zero-point radiation (ZPR) [5]. Nernst </w:t>
      </w:r>
      <w:r w:rsidR="00C929B6">
        <w:rPr>
          <w:rFonts w:ascii="Book Antiqua" w:hAnsi="Book Antiqua"/>
          <w:sz w:val="20"/>
        </w:rPr>
        <w:t>concluded that</w:t>
      </w:r>
      <w:r w:rsidRPr="00115CF5">
        <w:rPr>
          <w:rFonts w:ascii="Book Antiqua" w:hAnsi="Book Antiqua"/>
          <w:sz w:val="20"/>
        </w:rPr>
        <w:t xml:space="preserve"> this would require an intrinsic cosmological origin for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Up to this time the ZPE had only appeared in equations and theory, explaining black body radiation, but without any other observational proof.  Then, in 1925, the evidence was obtained, and the existence of the ZPE was confirmed. The chemist Robert Mulliken found this proof in the color spectrum of boron monoxide. As he analyzed the wavelengths of its spectral lines, he discovered a slight shift from the theoretical position that these lines would have had if the ZPE did not exist. Some years later, a similar shift of wavelength in the microwave region of the hydrogen spectrum was experimentally established by Willis Lamb and Robert Retherford using techniques developed for radar. Today, the Lamb shift of spectral lines, as it is now called, is quoted as an observational proof for the existence of the ZPE. The zero-point fields (ZPF) perturb an electron in an atom so that, when it makes a transition from one state to another, it emits light whose wavelength is shifted slightly from its expected value. Lamb stated these experimental results were </w:t>
      </w:r>
      <w:r w:rsidRPr="00115CF5">
        <w:rPr>
          <w:rFonts w:ascii="Book Antiqua" w:hAnsi="Book Antiqua"/>
          <w:i/>
          <w:sz w:val="20"/>
        </w:rPr>
        <w:t>“a proof that the [perfect] vacuum does not exist.”</w:t>
      </w:r>
      <w:r w:rsidRPr="00115CF5">
        <w:rPr>
          <w:rFonts w:ascii="Book Antiqua" w:hAnsi="Book Antiqua"/>
          <w:sz w:val="20"/>
        </w:rPr>
        <w:t xml:space="preserve"> [6]</w:t>
      </w:r>
    </w:p>
    <w:p w:rsidR="00AC4336" w:rsidRPr="00115CF5" w:rsidRDefault="00AC4336" w:rsidP="00AC4336">
      <w:pPr>
        <w:pStyle w:val="Heading2"/>
        <w:widowControl/>
        <w:numPr>
          <w:ilvl w:val="1"/>
          <w:numId w:val="9"/>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Physics Makes a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It is at this point, in the mid-1920’s, that the direction of physics hung in the balance. Classical theory plus an intrinsic cosmological ZPE could account for all the observed phenomena, backed by Mulliken’s observational proof for the existence of the ZPE. The alternative was to follow Planck’s first theory without the ZPE term, and only considering </w:t>
      </w:r>
      <w:r w:rsidRPr="00115CF5">
        <w:rPr>
          <w:rFonts w:ascii="Book Antiqua" w:hAnsi="Book Antiqua"/>
          <w:i/>
          <w:sz w:val="20"/>
        </w:rPr>
        <w:t>h</w:t>
      </w:r>
      <w:r w:rsidRPr="00115CF5">
        <w:rPr>
          <w:rFonts w:ascii="Book Antiqua" w:hAnsi="Book Antiqua"/>
          <w:sz w:val="20"/>
        </w:rPr>
        <w:t xml:space="preserve"> as a purely theoretical entity. As it happened, four key papers were published in four years all of which used mathematical explorations of Planck’s first theory without the intrinsic ZPE. Those four papers swung the balance, and set physics on a course that led to the present-day Quantum Electro-Dynamics or QED. These four papers are as follows: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Louis de Broglie in 1924 proposed that, just as experiments indicate that light waves could sometimes behave as particles, or photons, depending on the measurement you make, so a particle under some circumstances might also behave as a wave. He proposed that the wavelength of a moving particle was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p</m:t>
        </m:r>
      </m:oMath>
      <w:r w:rsidRPr="00115CF5">
        <w:rPr>
          <w:rFonts w:ascii="Book Antiqua" w:hAnsi="Book Antiqua"/>
          <w:sz w:val="20"/>
        </w:rPr>
        <w:t xml:space="preserve"> where </w:t>
      </w:r>
      <w:r w:rsidRPr="00115CF5">
        <w:rPr>
          <w:rFonts w:ascii="Book Antiqua" w:hAnsi="Book Antiqua"/>
          <w:i/>
          <w:sz w:val="20"/>
        </w:rPr>
        <w:t>‘</w:t>
      </w:r>
      <m:oMath>
        <m:r>
          <w:rPr>
            <w:rFonts w:ascii="Cambria Math" w:hAnsi="Cambria Math"/>
            <w:sz w:val="18"/>
            <w:szCs w:val="18"/>
          </w:rPr>
          <m:t>p</m:t>
        </m:r>
      </m:oMath>
      <w:r w:rsidRPr="00115CF5">
        <w:rPr>
          <w:rFonts w:ascii="Book Antiqua" w:hAnsi="Book Antiqua"/>
          <w:i/>
          <w:sz w:val="20"/>
        </w:rPr>
        <w:t>’</w:t>
      </w:r>
      <w:r w:rsidRPr="00115CF5">
        <w:rPr>
          <w:rFonts w:ascii="Book Antiqua" w:hAnsi="Book Antiqua"/>
          <w:sz w:val="20"/>
        </w:rPr>
        <w:t xml:space="preserve"> is the particle momentum and </w:t>
      </w:r>
      <w:r w:rsidRPr="00115CF5">
        <w:rPr>
          <w:rFonts w:ascii="Book Antiqua" w:hAnsi="Book Antiqua"/>
          <w:i/>
          <w:sz w:val="20"/>
        </w:rPr>
        <w:t>‘</w:t>
      </w:r>
      <m:oMath>
        <m:r>
          <w:rPr>
            <w:rFonts w:ascii="Cambria Math" w:hAnsi="Cambria Math"/>
            <w:sz w:val="18"/>
            <w:szCs w:val="18"/>
          </w:rPr>
          <m:t>h</m:t>
        </m:r>
      </m:oMath>
      <w:r w:rsidRPr="00115CF5">
        <w:rPr>
          <w:rFonts w:ascii="Book Antiqua" w:hAnsi="Book Antiqua"/>
          <w:i/>
          <w:sz w:val="20"/>
        </w:rPr>
        <w:t>’</w:t>
      </w:r>
      <w:r w:rsidRPr="00115CF5">
        <w:rPr>
          <w:rFonts w:ascii="Book Antiqua" w:hAnsi="Book Antiqua"/>
          <w:sz w:val="20"/>
        </w:rPr>
        <w:t xml:space="preserve"> is Planck’s constant</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1925, Max Born, Werner Heisenberg and Pascual Jordan developed the initial form of QED quantum mechanics, with Paul Dirac formulating his own version after seeing an advance copy.</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 In 1926, Erwin Schrödinger, after musing over the significance of de Broglie’s proposal for two years, proposed the wave-mechanical theory of the hydrogen atom from which the Schrödinger equation originated.</w:t>
      </w:r>
    </w:p>
    <w:p w:rsidR="00AC4336" w:rsidRPr="00115CF5" w:rsidRDefault="00AC4336" w:rsidP="00AC4336">
      <w:pPr>
        <w:pStyle w:val="NoSpacing"/>
        <w:numPr>
          <w:ilvl w:val="0"/>
          <w:numId w:val="15"/>
        </w:numPr>
        <w:jc w:val="both"/>
        <w:rPr>
          <w:rFonts w:ascii="Book Antiqua" w:hAnsi="Book Antiqua"/>
          <w:sz w:val="20"/>
        </w:rPr>
      </w:pPr>
      <w:r w:rsidRPr="00115CF5">
        <w:rPr>
          <w:rFonts w:ascii="Book Antiqua" w:hAnsi="Book Antiqua"/>
          <w:sz w:val="20"/>
        </w:rPr>
        <w:t xml:space="preserve">Finally, in 1927, Heisenberg published his “Uncertainty Principle”.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Heisenberg Uncertainty Principle (HUP) states that the uncertainty of time multiplied by the uncertainty of the energy of a particle is closely </w:t>
      </w:r>
      <w:r w:rsidRPr="00115CF5">
        <w:rPr>
          <w:rFonts w:ascii="Book Antiqua" w:hAnsi="Book Antiqua"/>
          <w:i/>
          <w:sz w:val="20"/>
        </w:rPr>
        <w:t>approximated</w:t>
      </w:r>
      <w:r w:rsidRPr="00115CF5">
        <w:rPr>
          <w:rFonts w:ascii="Book Antiqua" w:hAnsi="Book Antiqua"/>
          <w:sz w:val="20"/>
        </w:rPr>
        <w:t xml:space="preserve"> to Planck’s constant </w:t>
      </w:r>
      <w:r w:rsidRPr="00115CF5">
        <w:rPr>
          <w:rFonts w:ascii="Book Antiqua" w:hAnsi="Book Antiqua"/>
          <w:i/>
          <w:sz w:val="20"/>
        </w:rPr>
        <w:t>‘h’</w:t>
      </w:r>
      <w:r w:rsidRPr="00115CF5">
        <w:rPr>
          <w:rFonts w:ascii="Book Antiqua" w:hAnsi="Book Antiqua"/>
          <w:sz w:val="20"/>
        </w:rPr>
        <w:t xml:space="preserve"> divided by </w:t>
      </w:r>
      <m:oMath>
        <m:r>
          <w:rPr>
            <w:rFonts w:ascii="Cambria Math" w:hAnsi="Book Antiqua"/>
            <w:sz w:val="18"/>
            <w:szCs w:val="18"/>
          </w:rPr>
          <m:t>2</m:t>
        </m:r>
        <m:r>
          <w:rPr>
            <w:rFonts w:ascii="Cambria Math" w:hAnsi="Cambria Math"/>
            <w:sz w:val="18"/>
            <w:szCs w:val="18"/>
          </w:rPr>
          <m:t>π</m:t>
        </m:r>
      </m:oMath>
      <w:r w:rsidRPr="00115CF5">
        <w:rPr>
          <w:rFonts w:ascii="Book Antiqua" w:hAnsi="Book Antiqua"/>
          <w:sz w:val="20"/>
        </w:rPr>
        <w:t xml:space="preserve">. Similarly, the uncertainty of position of a particle multiplied by the uncertainty in the particle’s momentum is again </w:t>
      </w:r>
      <w:r w:rsidRPr="00115CF5">
        <w:rPr>
          <w:rFonts w:ascii="Book Antiqua" w:hAnsi="Book Antiqua"/>
          <w:i/>
          <w:sz w:val="20"/>
        </w:rPr>
        <w:t>approximately</w:t>
      </w:r>
      <w:r w:rsidRPr="00115CF5">
        <w:rPr>
          <w:rFonts w:ascii="Book Antiqua" w:hAnsi="Book Antiqua"/>
          <w:sz w:val="20"/>
        </w:rPr>
        <w:t xml:space="preserve"> equal to</w:t>
      </w:r>
      <m:oMath>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w:t>
      </w:r>
    </w:p>
    <w:p w:rsidR="00C9264F"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C9264F">
      <w:pPr>
        <w:pStyle w:val="NoSpacing"/>
        <w:ind w:firstLine="720"/>
        <w:jc w:val="both"/>
        <w:rPr>
          <w:rFonts w:ascii="Book Antiqua" w:hAnsi="Book Antiqua"/>
          <w:sz w:val="20"/>
        </w:rPr>
      </w:pPr>
      <w:r w:rsidRPr="00115CF5">
        <w:rPr>
          <w:rFonts w:ascii="Book Antiqua" w:hAnsi="Book Antiqua"/>
          <w:sz w:val="20"/>
        </w:rPr>
        <w:t xml:space="preserve">This quantum uncertainty, or indeterminacy, governed by the value of </w:t>
      </w:r>
      <w:r w:rsidRPr="00115CF5">
        <w:rPr>
          <w:rFonts w:ascii="Book Antiqua" w:hAnsi="Book Antiqua"/>
          <w:i/>
          <w:sz w:val="20"/>
        </w:rPr>
        <w:t>‘h’</w:t>
      </w:r>
      <w:r w:rsidRPr="00115CF5">
        <w:rPr>
          <w:rFonts w:ascii="Book Antiqua" w:hAnsi="Book Antiqua"/>
          <w:sz w:val="20"/>
        </w:rPr>
        <w:t xml:space="preserve">, imposes fundamental limitations on the precision with which a number of physical quantities associated with atomic processes can be measured. When the quantum condition from Planck’s first theory and the HUP are applied to atomic particles at absolute zero, theoretically each particle should have some residual motion, and hence energy. After a detailed treatment of the foregoing sketch, Eisberg and Resnick wrote </w:t>
      </w:r>
      <w:r w:rsidRPr="00115CF5">
        <w:rPr>
          <w:rFonts w:ascii="Book Antiqua" w:hAnsi="Book Antiqua"/>
          <w:i/>
          <w:sz w:val="20"/>
        </w:rPr>
        <w:t>“We conclude that there must be a zero-point energy because there must be a zero-point motion … the particle cannot have zero total energy.”</w:t>
      </w:r>
      <w:r w:rsidRPr="00115CF5">
        <w:rPr>
          <w:rFonts w:ascii="Book Antiqua" w:hAnsi="Book Antiqua"/>
          <w:sz w:val="20"/>
        </w:rPr>
        <w:t xml:space="preserve"> [7] Thus the Zero Point Energy became a part of the Quantum Electro Dynamic approach, but only theoretically and indirectly through the Heisenberg Uncertainty Principle. There is no physical mechanism invoked.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approach, which is now the standard Quantum Electro Dynamic model for the ZPE, is epitomized by the following comment: </w:t>
      </w:r>
      <w:r w:rsidRPr="00115CF5">
        <w:rPr>
          <w:rFonts w:ascii="Book Antiqua" w:hAnsi="Book Antiqua"/>
          <w:i/>
          <w:sz w:val="20"/>
        </w:rPr>
        <w:t>“As [this equation] shows, even the lowest state has some energy, the zero-point energy. Its presence is a purely quantum mechanical effect, and can be interpreted in terms of the uncertainty principle.”</w:t>
      </w:r>
      <w:r w:rsidRPr="00115CF5">
        <w:rPr>
          <w:rFonts w:ascii="Book Antiqua" w:hAnsi="Book Antiqua"/>
          <w:sz w:val="20"/>
        </w:rPr>
        <w:t xml:space="preserve"> [8] Essentially this explanation says the ZPE exists because quantum laws require it as an artifact of atomic particle existence. This was one reason why some physicists used to argue over whether the Zero Point Energy was a genuine entity or merely a mathematical construct since it had only appeared indirectly, via the Heisenberg Uncertainty Principle.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contrast, Planck’s second theory predicted the ZPE to be a real entity, intrinsic to the universe, and something that would potentially govern atomic behavior. This prediction was experimentally verified by Mulliken(1925) and Lamb (1947). But by the time Lamb performed his experiment, the QED approach was well on the way to being the ‘standard physics’ of the 20th century. Because of some other discoveries regarding electrons in the 1920’s, some felt the picture was nearly complete. Thus, in 1929, Paul Dirac said: </w:t>
      </w:r>
      <w:r w:rsidRPr="00115CF5">
        <w:rPr>
          <w:rFonts w:ascii="Book Antiqua" w:hAnsi="Book Antiqua"/>
          <w:i/>
          <w:sz w:val="20"/>
        </w:rPr>
        <w:t>“The underlying physical laws necessary for the mathematical theory of a large part of physics and the whole of chemistry are thus completely known.”</w:t>
      </w:r>
      <w:r w:rsidRPr="00115CF5">
        <w:rPr>
          <w:rFonts w:ascii="Book Antiqua" w:hAnsi="Book Antiqua"/>
          <w:sz w:val="20"/>
        </w:rPr>
        <w:t xml:space="preserve"> [9] This is somewhat reminiscent of a statement made by Charles H. Duell, commissioner of the U.S. Office of Patents in 1899:  </w:t>
      </w:r>
      <w:r w:rsidRPr="00115CF5">
        <w:rPr>
          <w:rFonts w:ascii="Book Antiqua" w:hAnsi="Book Antiqua"/>
          <w:i/>
          <w:sz w:val="20"/>
        </w:rPr>
        <w:t>“Everything that can be invented has been invented.”</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After Planck’s 1911 paper, experimental evidence had accumulated hinting at the existence of the ZPE.  Its fluctuations, however, cannot be observed above the atomic level. However, its effects can be seen in other areas.  For </w:t>
      </w:r>
      <w:r w:rsidRPr="00115CF5">
        <w:rPr>
          <w:rFonts w:ascii="Book Antiqua" w:hAnsi="Book Antiqua"/>
          <w:sz w:val="20"/>
        </w:rPr>
        <w:lastRenderedPageBreak/>
        <w:t>instance, the ZPE explains why cooling alone will never freeze liquid helium. Unless pressure is applied, these ZPE fluctuations prevent helium’s atoms from getting close enough to permit solidification. In electronic circuits, like microwave receivers, another problem arises because ZPE fluctuations cause a random ‘noise’ that places limits on the level to which signals can be amplified. The ‘noise’ can never be removed no matter how perfect the technology. Indeed, the suggestion has been made that this electronic 'noise' might be harnessed as an energy source.</w:t>
      </w:r>
    </w:p>
    <w:p w:rsidR="00AC4336" w:rsidRPr="00115CF5" w:rsidRDefault="00AC4336" w:rsidP="00AC4336">
      <w:pPr>
        <w:pStyle w:val="NoSpacing"/>
        <w:jc w:val="both"/>
        <w:rPr>
          <w:rFonts w:ascii="Book Antiqua" w:hAnsi="Book Antiqua"/>
          <w:i/>
          <w:sz w:val="20"/>
        </w:rPr>
      </w:pPr>
    </w:p>
    <w:p w:rsidR="00AC4336" w:rsidRPr="00115CF5" w:rsidRDefault="0079464D" w:rsidP="00AC4336">
      <w:pPr>
        <w:pStyle w:val="Heading2"/>
        <w:widowControl/>
        <w:numPr>
          <w:ilvl w:val="1"/>
          <w:numId w:val="9"/>
        </w:numPr>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 xml:space="preserve">De Broglie </w:t>
      </w:r>
      <w:r w:rsidR="00AC4336" w:rsidRPr="00115CF5">
        <w:rPr>
          <w:rFonts w:ascii="Book Antiqua" w:hAnsi="Book Antiqua" w:cs="Times New Roman"/>
          <w:b w:val="0"/>
          <w:sz w:val="20"/>
          <w:szCs w:val="20"/>
        </w:rPr>
        <w:t>Re-think</w:t>
      </w:r>
      <w:r>
        <w:rPr>
          <w:rFonts w:ascii="Book Antiqua" w:hAnsi="Book Antiqua" w:cs="Times New Roman"/>
          <w:b w:val="0"/>
          <w:sz w:val="20"/>
          <w:szCs w:val="20"/>
        </w:rPr>
        <w:t>s</w:t>
      </w:r>
      <w:r w:rsidR="00AC4336" w:rsidRPr="00115CF5">
        <w:rPr>
          <w:rFonts w:ascii="Book Antiqua" w:hAnsi="Book Antiqua" w:cs="Times New Roman"/>
          <w:b w:val="0"/>
          <w:sz w:val="20"/>
          <w:szCs w:val="20"/>
        </w:rPr>
        <w:t xml:space="preserve"> the Choice</w:t>
      </w:r>
    </w:p>
    <w:p w:rsidR="00AC4336" w:rsidRPr="00115CF5" w:rsidRDefault="00AC4336" w:rsidP="00AC4336">
      <w:pPr>
        <w:rPr>
          <w:rFonts w:ascii="Book Antiqua" w:hAnsi="Book Antiqua"/>
        </w:rPr>
      </w:pPr>
    </w:p>
    <w:p w:rsidR="00AC4336" w:rsidRPr="00115CF5" w:rsidRDefault="00AC4336" w:rsidP="004D4E88">
      <w:pPr>
        <w:pStyle w:val="NoSpacing"/>
        <w:ind w:firstLine="720"/>
        <w:jc w:val="both"/>
        <w:rPr>
          <w:rFonts w:ascii="Book Antiqua" w:hAnsi="Book Antiqua"/>
          <w:sz w:val="20"/>
        </w:rPr>
      </w:pPr>
      <w:r w:rsidRPr="00115CF5">
        <w:rPr>
          <w:rFonts w:ascii="Book Antiqua" w:hAnsi="Book Antiqua"/>
          <w:sz w:val="20"/>
        </w:rPr>
        <w:t xml:space="preserve">In 1962 Louis de Broglie published a book, </w:t>
      </w:r>
      <w:r w:rsidRPr="00115CF5">
        <w:rPr>
          <w:rFonts w:ascii="Book Antiqua" w:hAnsi="Book Antiqua"/>
          <w:b/>
          <w:i/>
          <w:sz w:val="20"/>
        </w:rPr>
        <w:t>‘New Perspectives in Physics’</w:t>
      </w:r>
      <w:r w:rsidRPr="00115CF5">
        <w:rPr>
          <w:rFonts w:ascii="Book Antiqua" w:hAnsi="Book Antiqua"/>
          <w:sz w:val="20"/>
        </w:rPr>
        <w:t>, in which he pointed out that serious consideration of Planck’s second theory, embracing classical theory with an intrinsic cosmological ZPE, had been widespread until around 1930 [10]. De Broglie’s work initiated a re-examination of Planck’s second theory. This re-examination showed that the quantum processes written about in the four papers which had swung physics in the direction of QED in the 1920’s, actually had viable explanations in terms of classical physics, as long as the real Zero Point Energy was included.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As a result of De Broglie’s book, Edward Nelson published a landmark paper in 1966. The abstract states in part: </w:t>
      </w:r>
      <w:r w:rsidRPr="00115CF5">
        <w:rPr>
          <w:rFonts w:ascii="Book Antiqua" w:hAnsi="Book Antiqua"/>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15CF5">
        <w:rPr>
          <w:rFonts w:ascii="Book Antiqua" w:hAnsi="Book Antiqua"/>
          <w:sz w:val="20"/>
        </w:rPr>
        <w:t xml:space="preserve"> [11] 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With this impetus, Boyer, in 1975, used classical physics plus the ZPE to demonstrate that the fluctuations caused by the Zero-Point Fields (ZPF) on the positions of particles are in exact agreement with quantum theory and Heisenberg’s Uncertainty Principle [12]. In this approach, the HUP is not merely the result of theoretical quantum laws. Instead, it is due to the continual battering of sub-atomic particles, and atoms themselves, by the impacting waves of the ZPE. This continual ‘jiggling’ at speeds close to the speed of light means it is virtually impossible to pinpoint both the position and momentum of a subatomic particle at any given instant in time.  This difficulty in pinpointing both at the same time is the reason leading to the Heisenberg Uncertainty Principle.  By way of contrast, the ZPE provides a reason for this indeterminate position and momentum, which is not just theoretical.  In this way, classical physics using the ZPE, offers explanations in reality which QED can only attempt to deal with in terms of theoretical quantum laws.</w:t>
      </w:r>
    </w:p>
    <w:p w:rsidR="00AC4336" w:rsidRPr="000323D6" w:rsidRDefault="00AC4336" w:rsidP="000323D6">
      <w:pPr>
        <w:pStyle w:val="NoSpacing"/>
        <w:rPr>
          <w:rFonts w:ascii="Book Antiqua" w:hAnsi="Book Antiqua"/>
          <w:sz w:val="20"/>
        </w:rPr>
      </w:pPr>
    </w:p>
    <w:p w:rsidR="00AC4336" w:rsidRPr="000323D6" w:rsidRDefault="00AC4336" w:rsidP="000323D6">
      <w:pPr>
        <w:pStyle w:val="NoSpacing"/>
        <w:jc w:val="both"/>
        <w:rPr>
          <w:rFonts w:ascii="Book Antiqua" w:hAnsi="Book Antiqua"/>
          <w:sz w:val="20"/>
        </w:rPr>
      </w:pPr>
      <w:r w:rsidRPr="000323D6">
        <w:rPr>
          <w:rFonts w:ascii="Book Antiqua" w:hAnsi="Book Antiqua"/>
          <w:sz w:val="20"/>
        </w:rPr>
        <w:tab/>
        <w:t xml:space="preserve">There was also the question of de Broglie’s proposal that matter could behave in a wave-like manner.  These wave-like characteristics were shown to exist in 1927 by Clinton Davisson and Lester Germer [13]. They found electrons were diffracted from single crystals in a way that only waves could be. That same year, George Thomson confirmed their discovery by obtaining similar diffraction patterns when passing electrons through powder and thin foils. The problem then was to explain how particles acquire wave-like characteristics; it was, and is, not sufficient to say that it is just a “law.” </w:t>
      </w:r>
    </w:p>
    <w:p w:rsidR="004D4E88" w:rsidRPr="000323D6" w:rsidRDefault="00AC4336" w:rsidP="000323D6">
      <w:pPr>
        <w:pStyle w:val="NoSpacing"/>
        <w:jc w:val="both"/>
        <w:rPr>
          <w:rFonts w:ascii="Book Antiqua" w:hAnsi="Book Antiqua"/>
          <w:sz w:val="20"/>
        </w:rPr>
      </w:pPr>
      <w:r w:rsidRPr="000323D6">
        <w:rPr>
          <w:rFonts w:ascii="Book Antiqua" w:hAnsi="Book Antiqua"/>
          <w:sz w:val="20"/>
        </w:rPr>
        <w:tab/>
      </w:r>
    </w:p>
    <w:p w:rsidR="00AC4336"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The answer to this problem had come partly from de Broglie himself.  Like Planck, he had made a second, less well-known, proposal.  He suggested that the famous </w:t>
      </w:r>
      <w:r w:rsidRPr="000323D6">
        <w:rPr>
          <w:rFonts w:ascii="Book Antiqua" w:hAnsi="Book Antiqua"/>
          <w:i/>
          <w:sz w:val="20"/>
        </w:rPr>
        <w:t>E = mc</w:t>
      </w:r>
      <w:r w:rsidRPr="000323D6">
        <w:rPr>
          <w:rFonts w:ascii="Book Antiqua" w:hAnsi="Book Antiqua"/>
          <w:i/>
          <w:sz w:val="20"/>
          <w:vertAlign w:val="superscript"/>
        </w:rPr>
        <w:t>2</w:t>
      </w:r>
      <w:r w:rsidRPr="000323D6">
        <w:rPr>
          <w:rFonts w:ascii="Book Antiqua" w:hAnsi="Book Antiqua"/>
          <w:sz w:val="20"/>
        </w:rPr>
        <w:t xml:space="preserve"> and Planck’s </w:t>
      </w:r>
      <w:r w:rsidRPr="000323D6">
        <w:rPr>
          <w:rFonts w:ascii="Book Antiqua" w:hAnsi="Book Antiqua"/>
          <w:i/>
          <w:sz w:val="20"/>
        </w:rPr>
        <w:t>E = hf</w:t>
      </w:r>
      <w:r w:rsidRPr="000323D6">
        <w:rPr>
          <w:rFonts w:ascii="Book Antiqua" w:hAnsi="Book Antiqua"/>
          <w:sz w:val="20"/>
        </w:rPr>
        <w:t xml:space="preserve">, could be equated. In these equations, </w:t>
      </w:r>
      <w:r w:rsidRPr="000323D6">
        <w:rPr>
          <w:rFonts w:ascii="Book Antiqua" w:hAnsi="Book Antiqua"/>
          <w:i/>
          <w:iCs/>
          <w:sz w:val="20"/>
        </w:rPr>
        <w:t xml:space="preserve">‘E’ </w:t>
      </w:r>
      <w:r w:rsidRPr="000323D6">
        <w:rPr>
          <w:rFonts w:ascii="Book Antiqua" w:hAnsi="Book Antiqua"/>
          <w:sz w:val="20"/>
        </w:rPr>
        <w:t xml:space="preserve">is the energy of the particle of mass </w:t>
      </w:r>
      <w:r w:rsidRPr="000323D6">
        <w:rPr>
          <w:rFonts w:ascii="Book Antiqua" w:hAnsi="Book Antiqua"/>
          <w:i/>
          <w:iCs/>
          <w:sz w:val="20"/>
        </w:rPr>
        <w:t>‘m’</w:t>
      </w:r>
      <w:r w:rsidRPr="000323D6">
        <w:rPr>
          <w:rFonts w:ascii="Book Antiqua" w:hAnsi="Book Antiqua"/>
          <w:sz w:val="20"/>
        </w:rPr>
        <w:t xml:space="preserve">, and </w:t>
      </w:r>
      <w:r w:rsidRPr="000323D6">
        <w:rPr>
          <w:rFonts w:ascii="Book Antiqua" w:hAnsi="Book Antiqua"/>
          <w:i/>
          <w:iCs/>
          <w:sz w:val="20"/>
        </w:rPr>
        <w:t xml:space="preserve">‘c’ </w:t>
      </w:r>
      <w:r w:rsidRPr="000323D6">
        <w:rPr>
          <w:rFonts w:ascii="Book Antiqua" w:hAnsi="Book Antiqua"/>
          <w:sz w:val="20"/>
        </w:rPr>
        <w:t xml:space="preserve">is the speed of light. This gives a frequency, </w:t>
      </w:r>
      <w:r w:rsidRPr="000323D6">
        <w:rPr>
          <w:rFonts w:ascii="Book Antiqua" w:hAnsi="Book Antiqua"/>
          <w:i/>
          <w:sz w:val="20"/>
        </w:rPr>
        <w:t>f = mc</w:t>
      </w:r>
      <w:r w:rsidRPr="000323D6">
        <w:rPr>
          <w:rFonts w:ascii="Book Antiqua" w:hAnsi="Book Antiqua"/>
          <w:i/>
          <w:sz w:val="20"/>
          <w:vertAlign w:val="superscript"/>
        </w:rPr>
        <w:t>2</w:t>
      </w:r>
      <w:r w:rsidRPr="000323D6">
        <w:rPr>
          <w:rFonts w:ascii="Book Antiqua" w:hAnsi="Book Antiqua"/>
          <w:i/>
          <w:sz w:val="20"/>
        </w:rPr>
        <w:t>/h</w:t>
      </w:r>
      <w:r w:rsidRPr="000323D6">
        <w:rPr>
          <w:rFonts w:ascii="Book Antiqua" w:hAnsi="Book Antiqua"/>
          <w:sz w:val="20"/>
        </w:rPr>
        <w:t xml:space="preserve">, which is now called the Compton frequency. De Broglie felt that this frequency was an intrinsic oscillation of the charge of an electron or similar particle. If he had then identified the ZPE as the source of the oscillation, he would have been on his way to a solution. </w:t>
      </w:r>
    </w:p>
    <w:p w:rsidR="00A471B1" w:rsidRPr="000323D6" w:rsidRDefault="00A471B1" w:rsidP="000323D6">
      <w:pPr>
        <w:pStyle w:val="NoSpacing"/>
        <w:jc w:val="both"/>
        <w:rPr>
          <w:rFonts w:ascii="Book Antiqua" w:hAnsi="Book Antiqua"/>
          <w:sz w:val="20"/>
        </w:rPr>
      </w:pPr>
    </w:p>
    <w:p w:rsidR="00CB04AC" w:rsidRPr="000323D6" w:rsidRDefault="00AC4336" w:rsidP="000323D6">
      <w:pPr>
        <w:pStyle w:val="NoSpacing"/>
        <w:ind w:firstLine="720"/>
        <w:jc w:val="both"/>
        <w:rPr>
          <w:rFonts w:ascii="Book Antiqua" w:hAnsi="Book Antiqua"/>
          <w:sz w:val="20"/>
        </w:rPr>
      </w:pPr>
      <w:r w:rsidRPr="000323D6">
        <w:rPr>
          <w:rFonts w:ascii="Book Antiqua" w:hAnsi="Book Antiqua"/>
          <w:sz w:val="20"/>
        </w:rPr>
        <w:t xml:space="preserve">Haisch and Rueda note that the electron really does oscillate at the Compton frequency, when in its own rest frame, due to the ZPE. They note </w:t>
      </w:r>
      <w:r w:rsidRPr="000323D6">
        <w:rPr>
          <w:rFonts w:ascii="Book Antiqua" w:hAnsi="Book Antiqua"/>
          <w:i/>
          <w:iCs/>
          <w:sz w:val="20"/>
        </w:rPr>
        <w:t xml:space="preserve">“when you view the electron from a moving frame there is a beat frequency superimposed on this oscillation due to the Doppler shift. It turns out that this beat frequency proves to be exactly the de Broglie wavelength of a moving electron. … the ZPF drives the electron to undergo some kind of oscillation at the Compton frequency… and this is where and how the </w:t>
      </w:r>
      <w:r w:rsidRPr="000323D6">
        <w:rPr>
          <w:rFonts w:ascii="Book Antiqua" w:hAnsi="Book Antiqua"/>
          <w:i/>
          <w:iCs/>
          <w:sz w:val="20"/>
        </w:rPr>
        <w:lastRenderedPageBreak/>
        <w:t xml:space="preserve">de Broglie wavelength originates due to Doppler shifts.” </w:t>
      </w:r>
      <w:r w:rsidRPr="000323D6">
        <w:rPr>
          <w:rFonts w:ascii="Book Antiqua" w:hAnsi="Book Antiqua"/>
          <w:sz w:val="20"/>
        </w:rPr>
        <w:t xml:space="preserve">[14] Thus the Compton frequency is due to the ZPE-imposed oscillation of the particle at rest. </w:t>
      </w:r>
      <w:r w:rsidR="00946CF0" w:rsidRPr="000323D6">
        <w:rPr>
          <w:rFonts w:ascii="Book Antiqua" w:hAnsi="Book Antiqua"/>
          <w:sz w:val="20"/>
        </w:rPr>
        <w:t>The de Broglie wavelength results from both the motion of the</w:t>
      </w:r>
      <w:r w:rsidR="000323D6" w:rsidRPr="000323D6">
        <w:rPr>
          <w:rFonts w:ascii="Book Antiqua" w:hAnsi="Book Antiqua"/>
          <w:sz w:val="20"/>
        </w:rPr>
        <w:t xml:space="preserve"> particle and the oscillation, appearing as a “beat” phenomenon.</w:t>
      </w:r>
    </w:p>
    <w:p w:rsidR="00871114" w:rsidRPr="000323D6" w:rsidRDefault="00871114" w:rsidP="000323D6">
      <w:pPr>
        <w:pStyle w:val="NoSpacing"/>
        <w:rPr>
          <w:rFonts w:ascii="Book Antiqua" w:hAnsi="Book Antiqua"/>
          <w:sz w:val="20"/>
        </w:rPr>
      </w:pPr>
    </w:p>
    <w:p w:rsidR="000323D6" w:rsidRPr="000323D6" w:rsidRDefault="000323D6" w:rsidP="000323D6">
      <w:pPr>
        <w:pStyle w:val="NoSpacing"/>
        <w:rPr>
          <w:rFonts w:ascii="Book Antiqua" w:hAnsi="Book Antiqua"/>
          <w:i/>
          <w:sz w:val="20"/>
        </w:rPr>
      </w:pPr>
      <w:r w:rsidRPr="000323D6">
        <w:rPr>
          <w:rFonts w:ascii="Book Antiqua" w:hAnsi="Book Antiqua"/>
          <w:i/>
          <w:sz w:val="20"/>
        </w:rPr>
        <w:t>1.7 The Two Approaches to Modern Physics</w:t>
      </w:r>
    </w:p>
    <w:p w:rsidR="000323D6" w:rsidRDefault="000323D6" w:rsidP="00AC4336">
      <w:pPr>
        <w:pStyle w:val="NoSpacing"/>
        <w:ind w:firstLine="360"/>
        <w:jc w:val="both"/>
        <w:rPr>
          <w:rFonts w:ascii="Book Antiqua" w:hAnsi="Book Antiqua"/>
          <w:sz w:val="20"/>
        </w:rPr>
      </w:pPr>
    </w:p>
    <w:p w:rsidR="00AC4336" w:rsidRPr="00115CF5" w:rsidRDefault="00AC4336" w:rsidP="00AC4336">
      <w:pPr>
        <w:pStyle w:val="NoSpacing"/>
        <w:ind w:firstLine="360"/>
        <w:jc w:val="both"/>
        <w:rPr>
          <w:rFonts w:ascii="Book Antiqua" w:hAnsi="Book Antiqua"/>
          <w:sz w:val="20"/>
        </w:rPr>
      </w:pPr>
      <w:r w:rsidRPr="00115CF5">
        <w:rPr>
          <w:rFonts w:ascii="Book Antiqua" w:hAnsi="Book Antiqua"/>
          <w:sz w:val="20"/>
        </w:rPr>
        <w:t>Since the mid 1970’s a steady line of papers has been published using the ZPE approach.  This approach is now called Stochastic Electro-Dynamics (SED), in contrast to the more commonly used Quantum Electro-Dynamics (QED). Based on the existence of an all-pervading ZPE and a purely classical interpretation, SED physics has been able to derive and explain the black-body spectrum, Heisenberg’s Principle, the Schrödinger equation, and the wave-nature of sub-atomic matter. These were the exact factors that, interpreted without the ZPE, gave rise to QED concepts</w:t>
      </w:r>
      <w:r w:rsidR="002E073F">
        <w:rPr>
          <w:rFonts w:ascii="Book Antiqua" w:hAnsi="Book Antiqua"/>
          <w:sz w:val="20"/>
        </w:rPr>
        <w:t xml:space="preserve"> in the mid 1920’s</w:t>
      </w:r>
      <w:r w:rsidRPr="00115CF5">
        <w:rPr>
          <w:rFonts w:ascii="Book Antiqua" w:hAnsi="Book Antiqua"/>
          <w:sz w:val="20"/>
        </w:rPr>
        <w:t xml:space="preserve">. After considering some of the successes of SED physics, it was stated: </w:t>
      </w:r>
      <w:r w:rsidRPr="00115CF5">
        <w:rPr>
          <w:rFonts w:ascii="Book Antiqua" w:hAnsi="Book Antiqua"/>
          <w:i/>
          <w:iCs/>
          <w:sz w:val="20"/>
        </w:rPr>
        <w:t>“The most optimistic outcome of the SED approach would be to demonstrate that classical physics plus a classical electromagnetic ZPF [Zero Point Field]</w:t>
      </w:r>
      <w:r w:rsidRPr="00115CF5">
        <w:rPr>
          <w:rFonts w:ascii="Book Antiqua" w:hAnsi="Book Antiqua"/>
          <w:i/>
          <w:iCs/>
          <w:color w:val="FF0000"/>
          <w:sz w:val="20"/>
        </w:rPr>
        <w:t xml:space="preserve"> </w:t>
      </w:r>
      <w:r w:rsidRPr="00115CF5">
        <w:rPr>
          <w:rFonts w:ascii="Book Antiqua" w:hAnsi="Book Antiqua"/>
          <w:i/>
          <w:iCs/>
          <w:sz w:val="20"/>
        </w:rPr>
        <w:t xml:space="preserve">could successfully replicate all quantum phenomena.” </w:t>
      </w:r>
      <w:r w:rsidRPr="00115CF5">
        <w:rPr>
          <w:rFonts w:ascii="Book Antiqua" w:hAnsi="Book Antiqua"/>
          <w:sz w:val="20"/>
        </w:rPr>
        <w:t xml:space="preserve">[15] This requires SED to catch up with the 60-year head-start of QED physics, but </w:t>
      </w:r>
      <w:r w:rsidR="002E073F">
        <w:rPr>
          <w:rFonts w:ascii="Book Antiqua" w:hAnsi="Book Antiqua"/>
          <w:sz w:val="20"/>
        </w:rPr>
        <w:t xml:space="preserve">good </w:t>
      </w:r>
      <w:r w:rsidRPr="00115CF5">
        <w:rPr>
          <w:rFonts w:ascii="Book Antiqua" w:hAnsi="Book Antiqua"/>
          <w:sz w:val="20"/>
        </w:rPr>
        <w:t xml:space="preserve">progress is being made.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The current, and interesting, result is to allow many physical phenomena to have two explanations, one from QED</w:t>
      </w:r>
      <w:r w:rsidR="000323D6">
        <w:rPr>
          <w:rFonts w:ascii="Book Antiqua" w:hAnsi="Book Antiqua"/>
          <w:sz w:val="20"/>
        </w:rPr>
        <w:t xml:space="preserve"> physics</w:t>
      </w:r>
      <w:r w:rsidRPr="00115CF5">
        <w:rPr>
          <w:rFonts w:ascii="Book Antiqua" w:hAnsi="Book Antiqua"/>
          <w:sz w:val="20"/>
        </w:rPr>
        <w:t xml:space="preserve">, the other from SED physics.  Theoretically, the approach taken is simply a matter of choice, since the mathematical results are the same either way.  However, QED mathematics requires the use of infinities and zeroes – and in order to deal with them, QED requires “renormalization” techniques.  It is, as a result, entirely theoretical.  By way of contrast, SED physics is based upon empirical phenomena and much simpler mathematics.  SED is intuitively satisfying, whereas QED constantly challenges the imagination.  Nevertheless, </w:t>
      </w:r>
      <w:r w:rsidR="008A0643">
        <w:rPr>
          <w:rFonts w:ascii="Book Antiqua" w:hAnsi="Book Antiqua"/>
          <w:sz w:val="20"/>
        </w:rPr>
        <w:t xml:space="preserve">despite the fact that, today, </w:t>
      </w:r>
      <w:r w:rsidRPr="00115CF5">
        <w:rPr>
          <w:rFonts w:ascii="Book Antiqua" w:hAnsi="Book Antiqua"/>
          <w:sz w:val="20"/>
        </w:rPr>
        <w:t xml:space="preserve">SED </w:t>
      </w:r>
      <w:r w:rsidR="008A0643">
        <w:rPr>
          <w:rFonts w:ascii="Book Antiqua" w:hAnsi="Book Antiqua"/>
          <w:sz w:val="20"/>
        </w:rPr>
        <w:t>is a perfectly ‘respectable’ branch of physics, it</w:t>
      </w:r>
      <w:r w:rsidRPr="00115CF5">
        <w:rPr>
          <w:rFonts w:ascii="Book Antiqua" w:hAnsi="Book Antiqua"/>
          <w:sz w:val="20"/>
        </w:rPr>
        <w:t xml:space="preserve"> </w:t>
      </w:r>
      <w:r w:rsidR="008A0643">
        <w:rPr>
          <w:rFonts w:ascii="Book Antiqua" w:hAnsi="Book Antiqua"/>
          <w:sz w:val="20"/>
        </w:rPr>
        <w:t>is still the minority position. This is the situation</w:t>
      </w:r>
      <w:r w:rsidRPr="00115CF5">
        <w:rPr>
          <w:rFonts w:ascii="Book Antiqua" w:hAnsi="Book Antiqua"/>
          <w:sz w:val="20"/>
        </w:rPr>
        <w:t xml:space="preserve">, mainly because of the four papers accepted in the 1920’s </w:t>
      </w:r>
      <w:r w:rsidR="008A0643">
        <w:rPr>
          <w:rFonts w:ascii="Book Antiqua" w:hAnsi="Book Antiqua"/>
          <w:sz w:val="20"/>
        </w:rPr>
        <w:t xml:space="preserve">which led to QED physics, </w:t>
      </w:r>
      <w:r w:rsidRPr="00115CF5">
        <w:rPr>
          <w:rFonts w:ascii="Book Antiqua" w:hAnsi="Book Antiqua"/>
          <w:sz w:val="20"/>
        </w:rPr>
        <w:t>and the fact that it is QED physics which is taught in the universities around the world.</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8"/>
        </w:numPr>
        <w:spacing w:before="0" w:after="120" w:line="240" w:lineRule="atLeast"/>
        <w:rPr>
          <w:rFonts w:ascii="Book Antiqua" w:hAnsi="Book Antiqua" w:cs="Times New Roman"/>
          <w:b w:val="0"/>
          <w:sz w:val="20"/>
          <w:szCs w:val="20"/>
        </w:rPr>
      </w:pPr>
      <w:r w:rsidRPr="00115CF5">
        <w:rPr>
          <w:rFonts w:ascii="Book Antiqua" w:hAnsi="Book Antiqua" w:cs="Times New Roman"/>
          <w:sz w:val="20"/>
          <w:szCs w:val="20"/>
        </w:rPr>
        <w:t>Two Approaches to ZPE Effects</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Basic SED Concepts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Zero Point Energy is thus an integral part of both QED and SED physics, although arising for conceptually different reasons.  Whereas standard QED physics considers the ZPE to be a purely theoretical construct, SED considers the vacuum at the atomic or sub-atomic level to inherently contain the turbulent sea of randomly fluctuating electro-magnetic fields or waves of the ZPE. These waves exist at all wavelengths longer than the Planck length cutoff, </w:t>
      </w:r>
      <w:r w:rsidRPr="00115CF5">
        <w:rPr>
          <w:rFonts w:ascii="Book Antiqua" w:hAnsi="Book Antiqua"/>
          <w:i/>
          <w:sz w:val="20"/>
        </w:rPr>
        <w:t>L</w:t>
      </w:r>
      <w:r w:rsidRPr="00115CF5">
        <w:rPr>
          <w:rFonts w:ascii="Book Antiqua" w:hAnsi="Book Antiqua"/>
          <w:i/>
          <w:sz w:val="20"/>
          <w:vertAlign w:val="subscript"/>
        </w:rPr>
        <w:t>p</w:t>
      </w:r>
      <w:r w:rsidRPr="00115CF5">
        <w:rPr>
          <w:rFonts w:ascii="Book Antiqua" w:hAnsi="Book Antiqua"/>
          <w:sz w:val="20"/>
        </w:rPr>
        <w:t>. At that length, about 10</w:t>
      </w:r>
      <w:r w:rsidRPr="00115CF5">
        <w:rPr>
          <w:rFonts w:ascii="Book Antiqua" w:hAnsi="Book Antiqua"/>
          <w:sz w:val="20"/>
          <w:vertAlign w:val="superscript"/>
        </w:rPr>
        <w:t>-33</w:t>
      </w:r>
      <w:r w:rsidRPr="00115CF5">
        <w:rPr>
          <w:rFonts w:ascii="Book Antiqua" w:hAnsi="Book Antiqua"/>
          <w:sz w:val="20"/>
        </w:rPr>
        <w:t xml:space="preserve"> centimeters, the vacuum breaks up and its structure becomes granular. As a result, electromagnetic waves whose wavelengths are shorter than or equal to the Planck length simply become absorbed into the fabric of space</w:t>
      </w:r>
      <w:r w:rsidR="000323D6">
        <w:rPr>
          <w:rFonts w:ascii="Book Antiqua" w:hAnsi="Book Antiqua"/>
          <w:sz w:val="20"/>
        </w:rPr>
        <w:t>;</w:t>
      </w:r>
      <w:r w:rsidRPr="00115CF5">
        <w:rPr>
          <w:rFonts w:ascii="Book Antiqua" w:hAnsi="Book Antiqua"/>
          <w:sz w:val="20"/>
        </w:rPr>
        <w:t xml:space="preserve"> the vacuum itself provides a natural cutoff wavelength for the ZPE.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Observation also shows that this zero-point radiation (ZPR) must be Lorentz invariant. This means that the ZPE must look the same to two observers no matter what their relative velocity is. </w:t>
      </w:r>
      <w:r w:rsidR="0040108B">
        <w:rPr>
          <w:rFonts w:ascii="Book Antiqua" w:hAnsi="Book Antiqua"/>
          <w:sz w:val="20"/>
        </w:rPr>
        <w:t xml:space="preserve">This is not usually the case. </w:t>
      </w:r>
      <w:r w:rsidRPr="00115CF5">
        <w:rPr>
          <w:rFonts w:ascii="Book Antiqua" w:hAnsi="Book Antiqua"/>
          <w:sz w:val="20"/>
        </w:rPr>
        <w:t>Normally, a radiation field will appear slightly 'warmer' in the direction of travel and slightly 'cooler' in the opposite direction. But the ZPE is not like that. There is only one circumstance when this exception will apply</w:t>
      </w:r>
      <w:r w:rsidR="00904FDE">
        <w:rPr>
          <w:rFonts w:ascii="Book Antiqua" w:hAnsi="Book Antiqua"/>
          <w:sz w:val="20"/>
        </w:rPr>
        <w:t xml:space="preserve"> --</w:t>
      </w:r>
      <w:r w:rsidRPr="00115CF5">
        <w:rPr>
          <w:rFonts w:ascii="Book Antiqua" w:hAnsi="Book Antiqua"/>
          <w:sz w:val="20"/>
        </w:rPr>
        <w:t xml:space="preserve"> it occurs when the energy density is proportional to the frequency cubed. This is precisely what Planck’s equation shows in (1) above. </w:t>
      </w:r>
    </w:p>
    <w:p w:rsidR="00AC4336" w:rsidRPr="00115CF5" w:rsidRDefault="00AC4336" w:rsidP="00AC4336">
      <w:pPr>
        <w:pStyle w:val="NoSpacing"/>
        <w:ind w:firstLine="720"/>
        <w:jc w:val="both"/>
        <w:rPr>
          <w:rFonts w:ascii="Book Antiqua" w:hAnsi="Book Antiqua"/>
          <w:sz w:val="20"/>
        </w:rPr>
      </w:pPr>
    </w:p>
    <w:p w:rsidR="00FF7B08" w:rsidRDefault="00AC4336" w:rsidP="00AC4336">
      <w:pPr>
        <w:pStyle w:val="NoSpacing"/>
        <w:ind w:firstLine="720"/>
        <w:jc w:val="both"/>
        <w:rPr>
          <w:rFonts w:ascii="Book Antiqua" w:hAnsi="Book Antiqua"/>
          <w:sz w:val="20"/>
        </w:rPr>
      </w:pPr>
      <w:r w:rsidRPr="00115CF5">
        <w:rPr>
          <w:rFonts w:ascii="Book Antiqua" w:hAnsi="Book Antiqua"/>
          <w:color w:val="000000"/>
          <w:sz w:val="20"/>
        </w:rPr>
        <w:t>The Zero Point Field (ZPF) is made up of many more short-wavelengths than long wavelengths</w:t>
      </w:r>
      <w:r w:rsidR="00904FDE">
        <w:rPr>
          <w:rFonts w:ascii="Book Antiqua" w:hAnsi="Book Antiqua"/>
          <w:color w:val="000000"/>
          <w:sz w:val="20"/>
        </w:rPr>
        <w:t xml:space="preserve"> due to </w:t>
      </w:r>
      <w:r w:rsidRPr="00115CF5">
        <w:rPr>
          <w:rFonts w:ascii="Book Antiqua" w:hAnsi="Book Antiqua"/>
          <w:color w:val="000000"/>
          <w:sz w:val="20"/>
        </w:rPr>
        <w:t>the frequency cubed spectrum</w:t>
      </w:r>
      <w:r w:rsidR="00904FDE">
        <w:rPr>
          <w:rFonts w:ascii="Book Antiqua" w:hAnsi="Book Antiqua"/>
          <w:color w:val="000000"/>
          <w:sz w:val="20"/>
        </w:rPr>
        <w:t>,</w:t>
      </w:r>
      <w:r w:rsidRPr="00115CF5">
        <w:rPr>
          <w:rFonts w:ascii="Book Antiqua" w:hAnsi="Book Antiqua"/>
          <w:color w:val="000000"/>
          <w:sz w:val="20"/>
        </w:rPr>
        <w:t xml:space="preserve"> which can be explained as follows. I</w:t>
      </w:r>
      <w:r w:rsidRPr="00115CF5">
        <w:rPr>
          <w:rFonts w:ascii="Book Antiqua" w:hAnsi="Book Antiqua"/>
          <w:sz w:val="20"/>
        </w:rPr>
        <w:t>f there was only one ZPE wave or photon at a given frequency, then at double the frequency what we see is that there would be 2</w:t>
      </w:r>
      <w:r w:rsidRPr="00115CF5">
        <w:rPr>
          <w:rFonts w:ascii="Book Antiqua" w:hAnsi="Book Antiqua"/>
          <w:sz w:val="20"/>
          <w:vertAlign w:val="superscript"/>
        </w:rPr>
        <w:t>3</w:t>
      </w:r>
      <w:r w:rsidRPr="00115CF5">
        <w:rPr>
          <w:rFonts w:ascii="Book Antiqua" w:hAnsi="Book Antiqua"/>
          <w:sz w:val="20"/>
        </w:rPr>
        <w:t>, that is 8 waves or photons. If that frequency is doubled, there would be 8</w:t>
      </w:r>
      <w:r w:rsidRPr="00115CF5">
        <w:rPr>
          <w:rFonts w:ascii="Book Antiqua" w:hAnsi="Book Antiqua"/>
          <w:sz w:val="20"/>
          <w:vertAlign w:val="superscript"/>
        </w:rPr>
        <w:t>3</w:t>
      </w:r>
      <w:r w:rsidRPr="00115CF5">
        <w:rPr>
          <w:rFonts w:ascii="Book Antiqua" w:hAnsi="Book Antiqua"/>
          <w:sz w:val="20"/>
        </w:rPr>
        <w:t xml:space="preserve"> or 512 waves or photons, and so on.  This distribution is the only distribution which agrees with the observed Lorentz invariance.</w:t>
      </w:r>
      <w:r w:rsidR="006951ED">
        <w:rPr>
          <w:rFonts w:ascii="Book Antiqua" w:hAnsi="Book Antiqua"/>
          <w:sz w:val="20"/>
        </w:rPr>
        <w:t xml:space="preserve"> </w:t>
      </w:r>
    </w:p>
    <w:p w:rsidR="00FF7B08" w:rsidRDefault="00FF7B08" w:rsidP="00AC4336">
      <w:pPr>
        <w:pStyle w:val="NoSpacing"/>
        <w:ind w:firstLine="720"/>
        <w:jc w:val="both"/>
        <w:rPr>
          <w:rFonts w:ascii="Book Antiqua" w:hAnsi="Book Antiqua"/>
          <w:sz w:val="20"/>
        </w:rPr>
      </w:pPr>
    </w:p>
    <w:p w:rsidR="00AC4336" w:rsidRPr="00115CF5" w:rsidRDefault="00904FDE" w:rsidP="00AC4336">
      <w:pPr>
        <w:pStyle w:val="NoSpacing"/>
        <w:ind w:firstLine="720"/>
        <w:jc w:val="both"/>
        <w:rPr>
          <w:rFonts w:ascii="Book Antiqua" w:hAnsi="Book Antiqua"/>
          <w:sz w:val="20"/>
        </w:rPr>
      </w:pPr>
      <w:r>
        <w:rPr>
          <w:rFonts w:ascii="Book Antiqua" w:hAnsi="Book Antiqua"/>
          <w:sz w:val="20"/>
        </w:rPr>
        <w:lastRenderedPageBreak/>
        <w:t>It is b</w:t>
      </w:r>
      <w:r w:rsidR="00AC4336" w:rsidRPr="00115CF5">
        <w:rPr>
          <w:rFonts w:ascii="Book Antiqua" w:hAnsi="Book Antiqua"/>
          <w:sz w:val="20"/>
        </w:rPr>
        <w:t xml:space="preserve">ecause the ZPE contains such a vast number of short wavelengths compared to long wavelengths, </w:t>
      </w:r>
      <w:r>
        <w:rPr>
          <w:rFonts w:ascii="Book Antiqua" w:hAnsi="Book Antiqua"/>
          <w:sz w:val="20"/>
        </w:rPr>
        <w:t xml:space="preserve">that </w:t>
      </w:r>
      <w:r w:rsidR="00AC4336" w:rsidRPr="00115CF5">
        <w:rPr>
          <w:rFonts w:ascii="Book Antiqua" w:hAnsi="Book Antiqua"/>
          <w:sz w:val="20"/>
        </w:rPr>
        <w:t xml:space="preserve">on a larger scale, such as meters, </w:t>
      </w:r>
      <w:r w:rsidR="00AC4336" w:rsidRPr="00115CF5">
        <w:rPr>
          <w:rFonts w:ascii="Book Antiqua" w:hAnsi="Book Antiqua"/>
          <w:color w:val="000000"/>
          <w:sz w:val="20"/>
        </w:rPr>
        <w:t xml:space="preserve">the vacuum is almost featureless. </w:t>
      </w:r>
      <w:r w:rsidR="00AC4336" w:rsidRPr="00115CF5">
        <w:rPr>
          <w:rFonts w:ascii="Book Antiqua" w:hAnsi="Book Antiqua"/>
          <w:sz w:val="20"/>
        </w:rPr>
        <w:t xml:space="preserve">At macroscopic scales there are relatively few ZPE waves to deal with. On the atomic, scale, however, there are huge numbers of waves </w:t>
      </w:r>
      <w:r>
        <w:rPr>
          <w:rFonts w:ascii="Book Antiqua" w:hAnsi="Book Antiqua"/>
          <w:sz w:val="20"/>
        </w:rPr>
        <w:t>at</w:t>
      </w:r>
      <w:r w:rsidR="00AC4336" w:rsidRPr="00115CF5">
        <w:rPr>
          <w:rFonts w:ascii="Book Antiqua" w:hAnsi="Book Antiqua"/>
          <w:sz w:val="20"/>
        </w:rPr>
        <w:t xml:space="preserve"> short wavelengths</w:t>
      </w:r>
      <w:r>
        <w:rPr>
          <w:rFonts w:ascii="Book Antiqua" w:hAnsi="Book Antiqua"/>
          <w:sz w:val="20"/>
        </w:rPr>
        <w:t xml:space="preserve"> going in all directions</w:t>
      </w:r>
      <w:r w:rsidR="00AC4336" w:rsidRPr="00115CF5">
        <w:rPr>
          <w:rFonts w:ascii="Book Antiqua" w:hAnsi="Book Antiqua"/>
          <w:sz w:val="20"/>
        </w:rPr>
        <w:t xml:space="preserve">, each wavelength having its own electromagnetic field. </w:t>
      </w:r>
      <w:r w:rsidR="00AC4336" w:rsidRPr="00115CF5">
        <w:rPr>
          <w:rFonts w:ascii="Book Antiqua" w:hAnsi="Book Antiqua"/>
          <w:color w:val="000000"/>
          <w:sz w:val="20"/>
        </w:rPr>
        <w:t>T</w:t>
      </w:r>
      <w:r w:rsidR="00AC4336" w:rsidRPr="00115CF5">
        <w:rPr>
          <w:rFonts w:ascii="Book Antiqua" w:hAnsi="Book Antiqua"/>
          <w:sz w:val="20"/>
        </w:rPr>
        <w:t xml:space="preserve">hese all-pervasive zero-point fields are homogeneous and isotropic throughout the cosmos. Because the flow of radiation is on average the same in all directions, there is no net flux of energy or momentum perceived by an observer. </w:t>
      </w:r>
    </w:p>
    <w:p w:rsidR="00AC4336" w:rsidRPr="00115CF5" w:rsidRDefault="00AC4336" w:rsidP="00AC4336">
      <w:pPr>
        <w:pStyle w:val="NoSpacing"/>
        <w:jc w:val="both"/>
        <w:rPr>
          <w:rFonts w:ascii="Book Antiqua" w:hAnsi="Book Antiqua"/>
          <w:color w:val="000000"/>
          <w:sz w:val="20"/>
        </w:rPr>
      </w:pPr>
    </w:p>
    <w:p w:rsidR="00AC4336" w:rsidRPr="00115CF5" w:rsidRDefault="00AC4336" w:rsidP="00AC4336">
      <w:pPr>
        <w:pStyle w:val="NoSpacing"/>
        <w:jc w:val="both"/>
        <w:rPr>
          <w:rFonts w:ascii="Book Antiqua" w:hAnsi="Book Antiqua"/>
          <w:color w:val="000000"/>
          <w:sz w:val="20"/>
        </w:rPr>
      </w:pPr>
      <w:r w:rsidRPr="00115CF5">
        <w:rPr>
          <w:rFonts w:ascii="Book Antiqua" w:hAnsi="Book Antiqua"/>
          <w:color w:val="000000"/>
          <w:sz w:val="20"/>
        </w:rPr>
        <w:tab/>
        <w:t xml:space="preserve">Thus, Lorentz invariance for the ZPE waves has three consequences and one note of importance.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First, as just mentioned, it means that velocities through the ZPE cannot be </w:t>
      </w:r>
      <w:r w:rsidRPr="00115CF5">
        <w:rPr>
          <w:rFonts w:ascii="Book Antiqua" w:hAnsi="Book Antiqua"/>
          <w:sz w:val="20"/>
        </w:rPr>
        <w:t>detected [16].</w:t>
      </w:r>
      <w:r w:rsidRPr="00115CF5">
        <w:rPr>
          <w:rFonts w:ascii="Book Antiqua" w:hAnsi="Book Antiqua"/>
          <w:color w:val="FF0000"/>
          <w:sz w:val="20"/>
        </w:rPr>
        <w:t xml:space="preserve">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 xml:space="preserve">Second, it means that the ZPE is made up of many more short-wavelengths than long wavelengths. </w:t>
      </w: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Third, this enormous turbulence on an atomic scale means that sub-atomic particles get "jiggled" by the impacting waves of the ZPE, giving rise to quantum uncertainty in their position and momentum</w:t>
      </w:r>
      <w:r w:rsidRPr="00115CF5">
        <w:rPr>
          <w:rFonts w:ascii="Book Antiqua" w:hAnsi="Book Antiqua"/>
          <w:sz w:val="20"/>
        </w:rPr>
        <w:t xml:space="preserve">.  </w:t>
      </w:r>
      <w:r w:rsidRPr="00115CF5">
        <w:rPr>
          <w:rFonts w:ascii="Book Antiqua" w:hAnsi="Book Antiqua"/>
          <w:color w:val="000000"/>
          <w:sz w:val="20"/>
        </w:rPr>
        <w:t xml:space="preserve">Planck's constant, </w:t>
      </w:r>
      <w:r w:rsidRPr="00115CF5">
        <w:rPr>
          <w:rFonts w:ascii="Book Antiqua" w:hAnsi="Book Antiqua"/>
          <w:i/>
          <w:iCs/>
          <w:color w:val="000000"/>
          <w:sz w:val="20"/>
        </w:rPr>
        <w:t>h</w:t>
      </w:r>
      <w:r w:rsidRPr="00115CF5">
        <w:rPr>
          <w:rFonts w:ascii="Book Antiqua" w:hAnsi="Book Antiqua"/>
          <w:color w:val="000000"/>
          <w:sz w:val="20"/>
        </w:rPr>
        <w:t xml:space="preserve">, is a measure of this quantum uncertainty, and this uncertainty is dependent on the strength of the ZPE. This is another reason why </w:t>
      </w:r>
      <w:r w:rsidRPr="00115CF5">
        <w:rPr>
          <w:rFonts w:ascii="Book Antiqua" w:hAnsi="Book Antiqua"/>
          <w:i/>
          <w:iCs/>
          <w:color w:val="000000"/>
          <w:sz w:val="20"/>
        </w:rPr>
        <w:t xml:space="preserve">h </w:t>
      </w:r>
      <w:r w:rsidRPr="00115CF5">
        <w:rPr>
          <w:rFonts w:ascii="Book Antiqua" w:hAnsi="Book Antiqua"/>
          <w:color w:val="000000"/>
          <w:sz w:val="20"/>
        </w:rPr>
        <w:t xml:space="preserve">is a measure of the strength of the ZPE </w:t>
      </w:r>
      <w:r w:rsidR="0040108B">
        <w:rPr>
          <w:rFonts w:ascii="Book Antiqua" w:hAnsi="Book Antiqua"/>
          <w:color w:val="000000"/>
          <w:sz w:val="20"/>
        </w:rPr>
        <w:t>according to</w:t>
      </w:r>
      <w:r w:rsidRPr="00115CF5">
        <w:rPr>
          <w:rFonts w:ascii="Book Antiqua" w:hAnsi="Book Antiqua"/>
          <w:color w:val="000000"/>
          <w:sz w:val="20"/>
        </w:rPr>
        <w:t xml:space="preserve"> SED physics.</w:t>
      </w:r>
    </w:p>
    <w:p w:rsidR="00AC4336" w:rsidRPr="00115CF5" w:rsidRDefault="00AC4336" w:rsidP="00AC4336">
      <w:pPr>
        <w:pStyle w:val="NoSpacing"/>
        <w:ind w:left="720"/>
        <w:jc w:val="both"/>
        <w:rPr>
          <w:rFonts w:ascii="Book Antiqua" w:hAnsi="Book Antiqua"/>
          <w:sz w:val="20"/>
        </w:rPr>
      </w:pPr>
    </w:p>
    <w:p w:rsidR="00AC4336" w:rsidRPr="00115CF5" w:rsidRDefault="00AC4336" w:rsidP="00AC4336">
      <w:pPr>
        <w:pStyle w:val="NoSpacing"/>
        <w:numPr>
          <w:ilvl w:val="0"/>
          <w:numId w:val="16"/>
        </w:numPr>
        <w:jc w:val="both"/>
        <w:rPr>
          <w:rFonts w:ascii="Book Antiqua" w:hAnsi="Book Antiqua"/>
          <w:sz w:val="20"/>
        </w:rPr>
      </w:pPr>
      <w:r w:rsidRPr="00115CF5">
        <w:rPr>
          <w:rFonts w:ascii="Book Antiqua" w:hAnsi="Book Antiqua"/>
          <w:color w:val="000000"/>
          <w:sz w:val="20"/>
        </w:rPr>
        <w:t>Note: The existence of the Planck length cut-off is often cited as breaking the Lorentz invariance of the ZPE. However, as pointed out by H. E. Puthoff [</w:t>
      </w:r>
      <w:r w:rsidRPr="00115CF5">
        <w:rPr>
          <w:rFonts w:ascii="Book Antiqua" w:hAnsi="Book Antiqua"/>
          <w:i/>
          <w:color w:val="000000"/>
          <w:sz w:val="20"/>
        </w:rPr>
        <w:t>Physical Review A</w:t>
      </w:r>
      <w:r w:rsidRPr="00115CF5">
        <w:rPr>
          <w:rFonts w:ascii="Book Antiqua" w:hAnsi="Book Antiqua"/>
          <w:color w:val="000000"/>
          <w:sz w:val="20"/>
        </w:rPr>
        <w:t xml:space="preserve"> </w:t>
      </w:r>
      <w:r w:rsidRPr="00115CF5">
        <w:rPr>
          <w:rFonts w:ascii="Book Antiqua" w:hAnsi="Book Antiqua"/>
          <w:b/>
          <w:color w:val="000000"/>
          <w:sz w:val="20"/>
        </w:rPr>
        <w:t>39</w:t>
      </w:r>
      <w:r w:rsidRPr="00115CF5">
        <w:rPr>
          <w:rFonts w:ascii="Book Antiqua" w:hAnsi="Book Antiqua"/>
          <w:color w:val="000000"/>
          <w:sz w:val="20"/>
        </w:rPr>
        <w:t xml:space="preserve">:5, pp.2333-2342, (1 March, 1989)] </w:t>
      </w:r>
      <w:r w:rsidRPr="00115CF5">
        <w:rPr>
          <w:rFonts w:ascii="Book Antiqua" w:hAnsi="Book Antiqua"/>
          <w:i/>
          <w:color w:val="000000"/>
          <w:sz w:val="20"/>
        </w:rPr>
        <w:t xml:space="preserve">“as long as the cutoff frequency is beyond detectability (as is the Planck frequency in this case) there is no measurable consequence expected of such a breakdown of Lorentz invariance at this limit of physical theory, either now or in the foreseeable future.” </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the late 1800’s and early 1900’s, the reigning concept of outer space was that it was an ‘ether.’  While they were not sure what the ether really might be, it was considered that something was needed to ‘carry’ light through space.  The ether concept implied that an absolute velocity through the ether could be determined. The Michelson-Morley experiment, which will be discussed in more detail in Chapter 7, disproved this concept of the ether.  This left a void which relativity later attempted to fill.</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By way of contrast, Lorentz invariance, which is based on observation, indicates the Zero Point Radiation (ZPR) will look the same to all observers regardless of their relative velocities. However, even though relative velocities through the ZPE cannot be detected, accelerated motion through the ZPE actually can be.  This is because acceleration results in an increase in thermal radiation in the direction of travel. In other words, an observer accelerating through the vacuum would see themselves surrounded by radiation similar to that from a hot object; the greater the acceleration, the hotter the radiation. However, an extremely high acceleration of 10</w:t>
      </w:r>
      <w:r w:rsidRPr="00115CF5">
        <w:rPr>
          <w:rFonts w:ascii="Book Antiqua" w:hAnsi="Book Antiqua"/>
          <w:sz w:val="20"/>
          <w:vertAlign w:val="superscript"/>
        </w:rPr>
        <w:t>21</w:t>
      </w:r>
      <w:r w:rsidRPr="00115CF5">
        <w:rPr>
          <w:rFonts w:ascii="Book Antiqua" w:hAnsi="Book Antiqua"/>
          <w:sz w:val="20"/>
        </w:rPr>
        <w:t xml:space="preserve"> g’s is required to give a radiation bath temperature rise of only 1 degree Kelvin.  This relation connecting acceleration through the ZPE and temperature was discovered independently by Paul Davies and William Unruh and is now named the Davies-Unruh effect [17].  It is, in effect, a type of Doppler shift.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old notion of an ether in space indicated that motion could be determined through it.  The evidence of the ZPE, however, is that motion cannot be detected through it by an observer.  This is explained by the Lorentz invariance, which shows the Zero Point Fields are quite different from the 19</w:t>
      </w:r>
      <w:r w:rsidRPr="00115CF5">
        <w:rPr>
          <w:rFonts w:ascii="Book Antiqua" w:hAnsi="Book Antiqua"/>
          <w:sz w:val="20"/>
          <w:vertAlign w:val="superscript"/>
        </w:rPr>
        <w:t>th</w:t>
      </w:r>
      <w:r w:rsidRPr="00115CF5">
        <w:rPr>
          <w:rFonts w:ascii="Book Antiqua" w:hAnsi="Book Antiqua"/>
          <w:sz w:val="20"/>
        </w:rPr>
        <w:t xml:space="preserve"> century concepts of an ether.</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The Energy in the Vacuum</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The magnitude of the ZPE is so large it is usually quoted as an energy density.  Physicist Richard Feynman and others have pointed out that the amount of ZPE in one cubic centimeter of the vacuum </w:t>
      </w:r>
      <w:r w:rsidRPr="00115CF5">
        <w:rPr>
          <w:rFonts w:ascii="Book Antiqua" w:hAnsi="Book Antiqua"/>
          <w:i/>
          <w:sz w:val="20"/>
        </w:rPr>
        <w:t>“is greater than the energy density in an atomic nucleus.”</w:t>
      </w:r>
      <w:r w:rsidRPr="00115CF5">
        <w:rPr>
          <w:rFonts w:ascii="Book Antiqua" w:hAnsi="Book Antiqua"/>
          <w:sz w:val="20"/>
        </w:rPr>
        <w:t xml:space="preserve"> [18] In an atomic nucleus alone, the energy density is of the order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44</m:t>
            </m:r>
          </m:sup>
        </m:sSup>
      </m:oMath>
      <w:r w:rsidRPr="00115CF5">
        <w:rPr>
          <w:rFonts w:ascii="Book Antiqua" w:hAnsi="Book Antiqua"/>
          <w:position w:val="8"/>
          <w:sz w:val="20"/>
          <w:vertAlign w:val="superscript"/>
        </w:rPr>
        <w:t xml:space="preserve"> </w:t>
      </w:r>
      <w:r w:rsidRPr="00115CF5">
        <w:rPr>
          <w:rFonts w:ascii="Book Antiqua" w:hAnsi="Book Antiqua"/>
          <w:sz w:val="20"/>
        </w:rPr>
        <w:t xml:space="preserve">ergs (or </w:t>
      </w:r>
      <m:oMath>
        <m:sSup>
          <m:sSupPr>
            <m:ctrlPr>
              <w:rPr>
                <w:rFonts w:ascii="Cambria Math" w:hAnsi="Book Antiqua"/>
                <w:i/>
                <w:sz w:val="20"/>
              </w:rPr>
            </m:ctrlPr>
          </m:sSupPr>
          <m:e>
            <m:r>
              <w:rPr>
                <w:rFonts w:ascii="Cambria Math" w:hAnsi="Book Antiqua"/>
                <w:sz w:val="20"/>
              </w:rPr>
              <m:t xml:space="preserve">10 </m:t>
            </m:r>
          </m:e>
          <m:sup>
            <m:r>
              <w:rPr>
                <w:rFonts w:ascii="Cambria Math" w:hAnsi="Book Antiqua"/>
                <w:sz w:val="20"/>
              </w:rPr>
              <m:t>37</m:t>
            </m:r>
          </m:sup>
        </m:sSup>
      </m:oMath>
      <w:r w:rsidRPr="00115CF5">
        <w:rPr>
          <w:rFonts w:ascii="Book Antiqua" w:hAnsi="Book Antiqua"/>
          <w:sz w:val="20"/>
        </w:rPr>
        <w:t xml:space="preserve"> joules) per cubic centimeter. However, because of its theoretical mode of origin on the Quantum Electrodynamic approach, it has been stated that: </w:t>
      </w:r>
      <w:r w:rsidRPr="00115CF5">
        <w:rPr>
          <w:rFonts w:ascii="Book Antiqua" w:hAnsi="Book Antiqua"/>
          <w:i/>
          <w:sz w:val="20"/>
        </w:rPr>
        <w:t>“Formally, physicists attribute an infinite amount of energy to this [the ZPE] background.”</w:t>
      </w:r>
      <w:r w:rsidRPr="00115CF5">
        <w:rPr>
          <w:rFonts w:ascii="Book Antiqua" w:hAnsi="Book Antiqua"/>
          <w:sz w:val="20"/>
        </w:rPr>
        <w:t xml:space="preserve"> [17] This meant the QED approach cannot mathematically integrate the ZPE in their equations. In contrast, work by SED physicists indicates there is an upper limit for the ZPE strength at 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114</m:t>
            </m:r>
          </m:sup>
        </m:sSup>
      </m:oMath>
      <w:r w:rsidRPr="00115CF5">
        <w:rPr>
          <w:rFonts w:ascii="Book Antiqua" w:hAnsi="Book Antiqua"/>
          <w:position w:val="8"/>
          <w:sz w:val="20"/>
          <w:vertAlign w:val="superscript"/>
        </w:rPr>
        <w:t xml:space="preserve"> </w:t>
      </w:r>
      <w:r w:rsidRPr="00115CF5">
        <w:rPr>
          <w:rFonts w:ascii="Book Antiqua" w:hAnsi="Book Antiqua"/>
          <w:sz w:val="20"/>
        </w:rPr>
        <w:t>ergs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107</m:t>
            </m:r>
          </m:sup>
        </m:sSup>
      </m:oMath>
      <w:r w:rsidRPr="00115CF5">
        <w:rPr>
          <w:rFonts w:ascii="Book Antiqua" w:hAnsi="Book Antiqua"/>
          <w:sz w:val="20"/>
        </w:rPr>
        <w:t xml:space="preserve"> Joules) per cubic centimeter.  This is imposed by the Planck length cutoff as well as other factors. Paul Davies put the estimate slightly higher at </w:t>
      </w:r>
      <w:r w:rsidRPr="00115CF5">
        <w:rPr>
          <w:rFonts w:ascii="Book Antiqua" w:hAnsi="Book Antiqua"/>
          <w:i/>
          <w:sz w:val="20"/>
        </w:rPr>
        <w:t xml:space="preserve">“about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110</m:t>
            </m:r>
          </m:sup>
        </m:sSup>
      </m:oMath>
      <w:r w:rsidRPr="00115CF5">
        <w:rPr>
          <w:rFonts w:ascii="Book Antiqua" w:hAnsi="Book Antiqua"/>
          <w:i/>
          <w:position w:val="8"/>
          <w:sz w:val="20"/>
          <w:vertAlign w:val="superscript"/>
        </w:rPr>
        <w:t xml:space="preserve"> </w:t>
      </w:r>
      <w:r w:rsidRPr="00115CF5">
        <w:rPr>
          <w:rFonts w:ascii="Book Antiqua" w:hAnsi="Book Antiqua"/>
          <w:i/>
          <w:sz w:val="20"/>
        </w:rPr>
        <w:t xml:space="preserve">joules per cubic </w:t>
      </w:r>
      <w:r w:rsidRPr="00115CF5">
        <w:rPr>
          <w:rFonts w:ascii="Book Antiqua" w:hAnsi="Book Antiqua"/>
          <w:i/>
          <w:sz w:val="20"/>
        </w:rPr>
        <w:lastRenderedPageBreak/>
        <w:t>centimeter.”</w:t>
      </w:r>
      <w:r w:rsidRPr="00115CF5">
        <w:rPr>
          <w:rFonts w:ascii="Book Antiqua" w:hAnsi="Book Antiqua"/>
          <w:sz w:val="20"/>
        </w:rPr>
        <w:t xml:space="preserve"> [19] The existence of the Planck length cutoff gave QED physicists a reason to accept the ZPE as a reality rather than just a virtual entity.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r w:rsidR="005B1000">
        <w:rPr>
          <w:rFonts w:ascii="Book Antiqua" w:hAnsi="Book Antiqua"/>
          <w:sz w:val="20"/>
        </w:rPr>
        <w:t xml:space="preserve">Some grasp of the magnitude of the </w:t>
      </w:r>
      <w:r w:rsidRPr="00115CF5">
        <w:rPr>
          <w:rFonts w:ascii="Book Antiqua" w:hAnsi="Book Antiqua"/>
          <w:sz w:val="20"/>
        </w:rPr>
        <w:t xml:space="preserve">ZPE can be illustrated as follows:  A bright light bulb in our homes radiates at 150 watts. By contrast, our sun radiates at about </w:t>
      </w:r>
      <m:oMath>
        <m:sSup>
          <m:sSupPr>
            <m:ctrlPr>
              <w:rPr>
                <w:rFonts w:ascii="Cambria Math" w:hAnsi="Book Antiqua"/>
                <w:i/>
                <w:sz w:val="18"/>
                <w:szCs w:val="18"/>
              </w:rPr>
            </m:ctrlPr>
          </m:sSupPr>
          <m:e>
            <m:r>
              <w:rPr>
                <w:rFonts w:ascii="Cambria Math" w:hAnsi="Book Antiqua"/>
                <w:sz w:val="18"/>
                <w:szCs w:val="18"/>
              </w:rPr>
              <m:t xml:space="preserve">3.8 </m:t>
            </m:r>
            <m:r>
              <w:rPr>
                <w:rFonts w:ascii="Cambria Math" w:hAnsi="Cambria Math"/>
                <w:sz w:val="18"/>
                <w:szCs w:val="18"/>
              </w:rPr>
              <m:t>x</m:t>
            </m:r>
            <m:r>
              <w:rPr>
                <w:rFonts w:ascii="Cambria Math" w:hAnsi="Book Antiqua"/>
                <w:sz w:val="18"/>
                <w:szCs w:val="18"/>
              </w:rPr>
              <m:t xml:space="preserve"> 10</m:t>
            </m:r>
          </m:e>
          <m:sup>
            <m:r>
              <w:rPr>
                <w:rFonts w:ascii="Cambria Math" w:hAnsi="Book Antiqua"/>
                <w:sz w:val="18"/>
                <w:szCs w:val="18"/>
              </w:rPr>
              <m:t>26</m:t>
            </m:r>
          </m:sup>
        </m:sSup>
      </m:oMath>
      <w:r w:rsidRPr="00115CF5">
        <w:rPr>
          <w:rFonts w:ascii="Book Antiqua" w:hAnsi="Book Antiqua"/>
          <w:sz w:val="20"/>
        </w:rPr>
        <w:t xml:space="preserve"> watts, (that is to say about 3,800,000,000,000,000,000,000,000,000 watts). In our galaxy there </w:t>
      </w:r>
      <w:r w:rsidR="005B1000">
        <w:rPr>
          <w:rFonts w:ascii="Book Antiqua" w:hAnsi="Book Antiqua"/>
          <w:sz w:val="20"/>
        </w:rPr>
        <w:t>may be as many as</w:t>
      </w:r>
      <w:r w:rsidRPr="00115CF5">
        <w:rPr>
          <w:rFonts w:ascii="Book Antiqua" w:hAnsi="Book Antiqua"/>
          <w:sz w:val="20"/>
        </w:rPr>
        <w:t xml:space="preserve"> </w:t>
      </w:r>
      <w:r w:rsidR="005B1000">
        <w:rPr>
          <w:rFonts w:ascii="Book Antiqua" w:hAnsi="Book Antiqua"/>
          <w:sz w:val="20"/>
        </w:rPr>
        <w:t xml:space="preserve">200 </w:t>
      </w:r>
      <w:r w:rsidRPr="00115CF5">
        <w:rPr>
          <w:rFonts w:ascii="Book Antiqua" w:hAnsi="Book Antiqua"/>
          <w:sz w:val="20"/>
        </w:rPr>
        <w:t>billion stars. If their average radiation is about the same intensity as our sun, then the amount of energy expended by our entire galaxy of stars shining for 10 billion years is less than the energy locked up in one cubic centimeter of space.  There aren’t enough zeroes for that here, but it shows that the 'physical vacuum' is not just an “empty nothingness.”</w:t>
      </w:r>
    </w:p>
    <w:p w:rsidR="00AC4336" w:rsidRPr="00115CF5" w:rsidRDefault="00AC4336" w:rsidP="00AC4336">
      <w:pPr>
        <w:pStyle w:val="NoSpacing"/>
        <w:jc w:val="both"/>
        <w:rPr>
          <w:rFonts w:ascii="Book Antiqua" w:hAnsi="Book Antiqua"/>
          <w:i/>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Why the ZPE is Hard to Detect</w:t>
      </w:r>
    </w:p>
    <w:p w:rsidR="00AC4336" w:rsidRPr="00115CF5" w:rsidRDefault="00AC4336" w:rsidP="00AC4336">
      <w:pPr>
        <w:pStyle w:val="NoSpacing"/>
        <w:jc w:val="both"/>
        <w:rPr>
          <w:rFonts w:ascii="Book Antiqua" w:eastAsia="SimSun" w:hAnsi="Book Antiqua"/>
          <w:sz w:val="20"/>
          <w:lang w:val="en-GB"/>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It might be objected that such a radiation field should be easily perceived, whether it be by our eyes or by our instruments. The argument goes that an eye or instrument is capable of registering the presence of a featureless surface brightness. However, the perception of this brightness depends upon there being a difference between the inside and outside of the detecting instrument or eye. In other words, the perception of this brightness would require that the inside of the detector is darker than the external radiation field. If the radiation field is uniform everywhere, including inside the detector, then no radiation can be detected as there is no difference between the detector and the outside field.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An illustration might help. During a clear day, the sky and our surroundings are uniformly bright. Our eyes are adjusted to this brightness. As a result, we cannot see the stars which are still shining out there, but undetectable by us. The reason is that there is no discernible difference from the all-pervasive background illumination from the sun. However, at night, when the background threshold illumination is much lower, the stars are visible as the detectors of our eyes can register a difference in illumination level. Stars which are fainter than this background illumination level of the night sky still cannot be seen. Again the reason is that there is no net difference between the threshold field in our eyes and the radiation from those faint stars.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 similar fashion, when our bodies are immersed in a bath of water whose temperature is the same as our bodies, then the only sensation we have of the water is its movement, not its temperature.  The only temperature differences we feel are those which are discernibly above or below the temperature of our bodies and the water. In a similar way, it is only if there is a discernible difference between the ZPE background radiation field and anything we were trying to measure it with</w:t>
      </w:r>
      <w:r w:rsidR="004478AA">
        <w:rPr>
          <w:rFonts w:ascii="Book Antiqua" w:hAnsi="Book Antiqua"/>
          <w:sz w:val="20"/>
        </w:rPr>
        <w:t>,</w:t>
      </w:r>
      <w:r w:rsidRPr="00115CF5">
        <w:rPr>
          <w:rFonts w:ascii="Book Antiqua" w:hAnsi="Book Antiqua"/>
          <w:sz w:val="20"/>
        </w:rPr>
        <w:t xml:space="preserve"> that there would be any ability to detect it. Because some such non-uniformities in the ZPE field can be made to occur locally using the right experimental conditions, it provides evidence for the existence of a physical ZPE instead of it being a mere theoretical concept.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Additional Evidence for the ZPE</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One such piece of evidence is something called the surface Casimir effect, predicted Hendrik Casimir, the Dutch scientist, in 1948.  It was confirmed nine years later by M. J. Sparnaay of the Philips Laboratory in Eindhoven, Holland. An elegant analysis by Milonni, Cook and Goggin in 1988 explained the Casimir effect simply, using SED physics [20].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effect can be demonstrated by bringing two large metal plates very close together in a vacuum. When they are close, but not touching, there is a small but measurable force that pushes them together. This is because the ZPE consists of many different lengths of electromagnetic waves. So what is happening is that when the metal plates are brought closer, they end up excluding all wavelengths of the zero point field between the plates except those for which a whole number of half-waves is equal to the plates’ distance apart.  In other words, all the long wavelengths of the ZPF have been excluded and are now acting on the plates from the outside, with no long waves acting from within to balance the pressure. The combined radiation pressure of these external waves is what forces the plates together. A similar effect </w:t>
      </w:r>
      <w:r w:rsidRPr="00115CF5">
        <w:rPr>
          <w:rFonts w:ascii="Book Antiqua" w:hAnsi="Book Antiqua"/>
          <w:sz w:val="20"/>
        </w:rPr>
        <w:lastRenderedPageBreak/>
        <w:t xml:space="preserve">can be demonstrated on the ocean. Sailors note that if the distance between two boats is less than that between two ocean wave crests (or one wavelength), the boats are forced towards each other.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Casimir </w:t>
      </w:r>
      <w:r w:rsidRPr="00115CF5">
        <w:rPr>
          <w:rFonts w:ascii="Book Antiqua" w:hAnsi="Book Antiqua"/>
          <w:sz w:val="20"/>
          <w:u w:val="single"/>
        </w:rPr>
        <w:t>effect</w:t>
      </w:r>
      <w:r w:rsidRPr="00115CF5">
        <w:rPr>
          <w:rFonts w:ascii="Book Antiqua" w:hAnsi="Book Antiqua"/>
          <w:sz w:val="20"/>
        </w:rPr>
        <w:t xml:space="preserve"> is directly proportional to the area of the plates. However, unlike other possible forces with which it may be confused, the Casimir </w:t>
      </w:r>
      <w:r w:rsidRPr="00115CF5">
        <w:rPr>
          <w:rFonts w:ascii="Book Antiqua" w:hAnsi="Book Antiqua"/>
          <w:sz w:val="20"/>
          <w:u w:val="single"/>
        </w:rPr>
        <w:t>force</w:t>
      </w:r>
      <w:r w:rsidRPr="00115CF5">
        <w:rPr>
          <w:rFonts w:ascii="Book Antiqua" w:hAnsi="Book Antiqua"/>
          <w:sz w:val="20"/>
        </w:rPr>
        <w:t xml:space="preserve"> is inversely proportional to the fourth power of the plates’ distance apart. For plates with an area of one square centimeter separated by 0.5 thousandths of a millimeter, this force is equivalent to a weight of 0.2 milligrams. In January of 1997, Steven Lamoreaux reported experimental verification of theory to within 5% of the theory’s predictions. Then in November 1998, Umar Mohideen and Anushree Roy reported verification to within 1% in an experiment that utilized the capabilities of an atomic force microscope [21].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surface Casimir effect demonstrates that the ZPE exists in the form of electromagnetic waves. Interestingly, it has been pointed out that there is a microscopic version of the same phenomenon. In the case of closely spaced atoms or molecules, the all-pervasive Zero Point Fields result in short-range attractive forces that are known as van der Waals forces. It is these attractive forces that permit gases to be turned into liquids.  The jittering motion of the subatomic particles which is the result of the ZPE would prevent gases from becoming liquid, regardless of the temperature, if the pressure resulting from the van der Waals forces was not present.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order to understand vacuum effects more fully and present more easily understandable explanations, the QED explanation of the surface Casimir effect needs to be examined. The explanation involves the action of what are referred to as virtual particles.  Their existence is supported by both QED and SED physics.  Let’s look at this from both angles.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QED Physics</w:t>
      </w:r>
    </w:p>
    <w:p w:rsidR="00AC4336" w:rsidRPr="00115CF5" w:rsidRDefault="00AC4336" w:rsidP="00AC4336">
      <w:pPr>
        <w:rPr>
          <w:rFonts w:ascii="Book Antiqua" w:hAnsi="Book Antiqua"/>
        </w:rPr>
      </w:pPr>
    </w:p>
    <w:p w:rsidR="006F5225" w:rsidRDefault="00AC4336" w:rsidP="00946CF0">
      <w:pPr>
        <w:pStyle w:val="NoSpacing"/>
        <w:ind w:firstLine="720"/>
        <w:jc w:val="both"/>
        <w:rPr>
          <w:rFonts w:ascii="Book Antiqua" w:hAnsi="Book Antiqua"/>
          <w:sz w:val="20"/>
        </w:rPr>
      </w:pPr>
      <w:r w:rsidRPr="00115CF5">
        <w:rPr>
          <w:rFonts w:ascii="Book Antiqua" w:hAnsi="Book Antiqua"/>
          <w:b/>
          <w:sz w:val="20"/>
        </w:rPr>
        <w:t xml:space="preserve"> </w:t>
      </w:r>
      <w:r w:rsidRPr="00115CF5">
        <w:rPr>
          <w:rFonts w:ascii="Book Antiqua" w:hAnsi="Book Antiqua"/>
          <w:sz w:val="20"/>
        </w:rPr>
        <w:t xml:space="preserve">In 1930, as a result of some unusual mathematical explorations by Dirac, the concept of electron-positron pairs was born. Although Dirac’s initial idea that all of space was a sea of electrons was later proven incorrect, his idea that there existed particles as tiny as electrons but having a positive charge did turn out to be correct. Two years later, Anderson discovered the first positron during cosmic ray research [22]. </w:t>
      </w:r>
    </w:p>
    <w:p w:rsidR="006F5225" w:rsidRDefault="006F5225" w:rsidP="00946CF0">
      <w:pPr>
        <w:pStyle w:val="NoSpacing"/>
        <w:ind w:firstLine="720"/>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 xml:space="preserve">In 1933, Blackett and Occhialini obtained the first cloud chamber photos of the production of electron-positron pairs. Late in 1933 Thibaud and Joliot observed radiation from the annihilation of electron-positron pairs, and proved the mass of the positron was equal to that of the electron [22]. In 1955, a team led by Chamberlain and Segre generated the first proton-antiproton pairs, thereby proving that the concept of particle-antiparticle pairs was in fact correct [23].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Experimental evidence had now established the existence of particle-antiparticle pairs that slam together and then annihilate, producing energy. Concepts regarding particle-antiparticle pairs proved useful to understanding the vacuum and </w:t>
      </w:r>
      <w:r w:rsidRPr="00115CF5">
        <w:rPr>
          <w:rFonts w:ascii="Book Antiqua" w:hAnsi="Book Antiqua"/>
          <w:i/>
          <w:sz w:val="20"/>
        </w:rPr>
        <w:t>“they help us as we put together our image of the actual vacuum. We glean from [Dirac] that every particle has its antiparticle of opposite charge and that particle plus antiparticle are nothing but an excitation of the vacuum … Conversely, we saw that every real particle-antiparticle pair can annihilate into a pure energy excitation of the vacuum.”</w:t>
      </w:r>
      <w:r w:rsidRPr="00115CF5">
        <w:rPr>
          <w:rFonts w:ascii="Book Antiqua" w:hAnsi="Book Antiqua"/>
          <w:sz w:val="20"/>
        </w:rPr>
        <w:t xml:space="preserve"> [24]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To help understand the QED approach, let us suppose for a moment that there is nothing in the vacuum of space at all - no matter, no radiation … nothing. Now according to the Heisenberg Uncertainty Principle, This “totally empty vacuum” </w:t>
      </w:r>
      <w:r w:rsidRPr="00115CF5">
        <w:rPr>
          <w:rFonts w:ascii="Book Antiqua" w:hAnsi="Book Antiqua"/>
          <w:i/>
          <w:sz w:val="20"/>
        </w:rPr>
        <w:t>could</w:t>
      </w:r>
      <w:r w:rsidRPr="00115CF5">
        <w:rPr>
          <w:rFonts w:ascii="Book Antiqua" w:hAnsi="Book Antiqua"/>
          <w:sz w:val="20"/>
        </w:rPr>
        <w:t xml:space="preserve"> contain a certain amount of radiation since everything is uncertain.  In QED physics, there is positive energy (more energy than exists in a normal vacuum), zero energy (energy found in a normal vacuum), and negative energy (less energy than in a normal vacuum).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For this reason, QED states that the energy in a bare vacuum will average zero. The HUP allows a ‘</w:t>
      </w:r>
      <w:r w:rsidRPr="00115CF5">
        <w:rPr>
          <w:rFonts w:ascii="Book Antiqua" w:hAnsi="Book Antiqua"/>
          <w:i/>
          <w:sz w:val="20"/>
        </w:rPr>
        <w:t>non zero’</w:t>
      </w:r>
      <w:r w:rsidRPr="00115CF5">
        <w:rPr>
          <w:rFonts w:ascii="Book Antiqua" w:hAnsi="Book Antiqua"/>
          <w:sz w:val="20"/>
        </w:rPr>
        <w:t xml:space="preserve"> energy to exist for short intervals of time, both as above (positive) and below (negative) the zero-datum position. The period of time for this ‘non-zero’ energy to exist is defined as</w:t>
      </w:r>
      <w:r w:rsidRPr="00115CF5">
        <w:rPr>
          <w:rFonts w:ascii="Book Antiqua" w:hAnsi="Book Antiqua"/>
          <w:i/>
          <w:sz w:val="20"/>
        </w:rPr>
        <w:t xml:space="preserv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π</m:t>
        </m:r>
        <m:r>
          <w:rPr>
            <w:rFonts w:ascii="Cambria Math" w:hAnsi="Book Antiqua"/>
            <w:sz w:val="18"/>
            <w:szCs w:val="18"/>
          </w:rPr>
          <m:t>)</m:t>
        </m:r>
      </m:oMath>
      <w:r w:rsidRPr="00115CF5">
        <w:rPr>
          <w:rFonts w:ascii="Book Antiqua" w:hAnsi="Book Antiqua"/>
          <w:sz w:val="20"/>
        </w:rPr>
        <w:t xml:space="preserve"> divided by the uncertainty in the energy.  This is a somewhat confusing situation. (In this approach, the vacuum between two Casimir plates is considered to be in a negative energy state.)</w:t>
      </w:r>
      <w:r w:rsidRPr="00115CF5">
        <w:rPr>
          <w:rFonts w:ascii="Book Antiqua" w:hAnsi="Book Antiqua"/>
          <w:sz w:val="20"/>
        </w:rPr>
        <w:tab/>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Theoretically, in QED physics, the small energy fluctuations due to the Heisenberg Uncertainty Principle will produce particle-antiparticle pairs that exist for a short time and then disappear.  The foundation for this approach is in the inter-conversion of matter and energy which Einstein later made famous.  The momentary existence and then annihilation of the particle-antiparticle pairs allows the average properties of the universe to be maintained. Because of their ephemeral existence, these sub-atomic particle pairs are called virtual particles. In other words, the HUP alone requires the vacuum, as seen by QED physics, to be filled with virtual particle pairs flipping in and out of existence like a sort of quantum foam.</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QED model also claims virtual photons can pop in and out of existence as they are emitted and then absorbed by various particle processes. Because of this incessant activity on the atomic scale, the vacuum has been described as </w:t>
      </w:r>
      <w:r w:rsidRPr="00115CF5">
        <w:rPr>
          <w:rFonts w:ascii="Book Antiqua" w:hAnsi="Book Antiqua"/>
          <w:i/>
          <w:sz w:val="20"/>
        </w:rPr>
        <w:t>‘a seething sea of activity’</w:t>
      </w:r>
      <w:r w:rsidRPr="00115CF5">
        <w:rPr>
          <w:rFonts w:ascii="Book Antiqua" w:hAnsi="Book Antiqua"/>
          <w:sz w:val="20"/>
        </w:rPr>
        <w:t xml:space="preserve">, or </w:t>
      </w:r>
      <w:r w:rsidRPr="00115CF5">
        <w:rPr>
          <w:rFonts w:ascii="Book Antiqua" w:hAnsi="Book Antiqua"/>
          <w:i/>
          <w:sz w:val="20"/>
        </w:rPr>
        <w:t>‘the seething vacuum’</w:t>
      </w:r>
      <w:r w:rsidRPr="00115CF5">
        <w:rPr>
          <w:rFonts w:ascii="Book Antiqua" w:hAnsi="Book Antiqua"/>
          <w:sz w:val="20"/>
        </w:rPr>
        <w:t>. The QED approach then assigns much of the vacuum energy density or ZPE to these virtual particles. On this QED approach, however, without the HUP vacuum fluctuations, neither virtual particles nor the ZPE would exist. In other words, QED physics attributes these effects to a principle rather than to a physical cause.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Virtual Particles and SED Physics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QED physics, the average energy of the vacuum is zero.  This leads to the concept of positive and negative energy states in the vacuum.  But the real Zero Point Energy has an average so far above zero that its energy density can easily fluctuate above or below its average value.  Therefore a negative energy state is never attained.  The actual energy density of the ZPE is enormous, and its electromagnetic waves are moving in all directions simultaneously.</w:t>
      </w: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SED approach also explains the existence of virtual particles. The interaction of the electromagnetic ZPE waves may be considered to be similar to the waves of the sea. When ocean waves meet, due to a passing boat or strong cross-currents, the waves peak and crest and form whitecaps which then die down quickly and disappear.  In the same way, when ZPE waves meet, they create a concentration of energy that results in the formation of a positive and negative pair of particles.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This occurs because, as mentioned before, energy and mass are inter-convertible. However, in order to maintain conservation of electronic charge, any such particulate matter that condenses out of these interactions in the vacuum fields must be in the form of particle-antiparticle pairs. The manifestation of virtual particle pairs in the vacuum can be considered to be a result of local peaking and cresting of these electromagnetic waves. These virtual particle pairs flash into existence momentarily, then re-combine and annihilate.  The excess energy, making up the peaks and ‘used’ to form the virtual particle pairs, is then released as they recombine.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A second process is also recognized in the SED approach. As an energetic photon of light comes to a wave peak, its presence may also raise the local energy threshold high enough to allow a virtual electron and positron pair to form and then</w:t>
      </w:r>
      <w:r w:rsidR="008768AE">
        <w:rPr>
          <w:rFonts w:ascii="Book Antiqua" w:hAnsi="Book Antiqua"/>
          <w:sz w:val="20"/>
        </w:rPr>
        <w:t xml:space="preserve"> almost immediately</w:t>
      </w:r>
      <w:r w:rsidRPr="00115CF5">
        <w:rPr>
          <w:rFonts w:ascii="Book Antiqua" w:hAnsi="Book Antiqua"/>
          <w:sz w:val="20"/>
        </w:rPr>
        <w:t xml:space="preserve"> annihilate, thus absorbing and then re-emitting the photon itself. In this sense, the SED approach which includes the Zero Point Energy has replaced the old, erroneous concept of the vacuum as a ‘Dirac sea’ of electrons. Furthermore, Stochastic Electrodynamic physics recognizes a veritable zoo of all types of particle pairs that inhabit the vacuum, instead of just the electrons and positrons proposed by Dirac.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Therefore, on both the QED and SED models, the vacuum is filled with virtual particle pairs flipping in and out of existence. Since an electron is hit </w:t>
      </w:r>
      <m:oMath>
        <m:r>
          <w:rPr>
            <w:rFonts w:ascii="Cambria Math" w:hAnsi="Book Antiqua"/>
            <w:sz w:val="18"/>
            <w:szCs w:val="18"/>
          </w:rPr>
          <m:t xml:space="preserve">1.62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20</m:t>
            </m:r>
          </m:sup>
        </m:sSup>
      </m:oMath>
      <w:r w:rsidRPr="00115CF5">
        <w:rPr>
          <w:rFonts w:ascii="Book Antiqua" w:hAnsi="Book Antiqua"/>
          <w:sz w:val="20"/>
        </w:rPr>
        <w:t xml:space="preserve"> times/sec (the Compton frequency) and its volume is </w:t>
      </w:r>
      <m:oMath>
        <m:r>
          <w:rPr>
            <w:rFonts w:ascii="Cambria Math" w:hAnsi="Book Antiqua"/>
            <w:sz w:val="18"/>
            <w:szCs w:val="18"/>
          </w:rPr>
          <m:t xml:space="preserve">9.36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44</m:t>
            </m:r>
          </m:sup>
        </m:sSup>
      </m:oMath>
      <w:r w:rsidRPr="00115CF5">
        <w:rPr>
          <w:rFonts w:ascii="Book Antiqua" w:hAnsi="Book Antiqua"/>
          <w:sz w:val="20"/>
        </w:rPr>
        <w:t xml:space="preserve"> cubic meters (from the classical electron radius), then it follows that, in any given second, in a volume of one cubic meter there will have manifested about </w:t>
      </w:r>
      <m:oMath>
        <m:r>
          <w:rPr>
            <w:rFonts w:ascii="Cambria Math" w:hAnsi="Book Antiqua"/>
            <w:sz w:val="18"/>
            <w:szCs w:val="18"/>
          </w:rPr>
          <m:t xml:space="preserve">1.7 </m:t>
        </m:r>
        <m:r>
          <w:rPr>
            <w:rFonts w:ascii="Cambria Math" w:hAnsi="Cambria Math"/>
            <w:sz w:val="18"/>
            <w:szCs w:val="18"/>
          </w:rPr>
          <m:t>x</m:t>
        </m:r>
        <m:r>
          <w:rPr>
            <w:rFonts w:ascii="Cambria Math" w:hAnsi="Book Antiqua"/>
            <w:sz w:val="18"/>
            <w:szCs w:val="18"/>
          </w:rPr>
          <m:t xml:space="preserve"> </m:t>
        </m:r>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63</m:t>
            </m:r>
          </m:sup>
        </m:sSup>
      </m:oMath>
      <w:r w:rsidRPr="00115CF5">
        <w:rPr>
          <w:rFonts w:ascii="Book Antiqua" w:hAnsi="Book Antiqua"/>
          <w:sz w:val="20"/>
        </w:rPr>
        <w:t xml:space="preserve"> virtual particle pairs.</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lastRenderedPageBreak/>
        <w:t>Virtual Particles and Vacuum Properties</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voltage difference built up between the plates, the electric field between them affected the molecules in the ceramic disk.  Each molecule in the disk has a both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a rubber band. When the voltage between the plates stopped increasing, the stretching ceased, and therefore the current stopped flowing.  Once the voltage difference is stable between the plates, the molecules have stretched to their maximum </w:t>
      </w:r>
      <w:r w:rsidR="008768AE">
        <w:rPr>
          <w:rFonts w:ascii="Book Antiqua" w:hAnsi="Book Antiqua"/>
          <w:sz w:val="20"/>
        </w:rPr>
        <w:t>at</w:t>
      </w:r>
      <w:r w:rsidRPr="00115CF5">
        <w:rPr>
          <w:rFonts w:ascii="Book Antiqua" w:hAnsi="Book Antiqua"/>
          <w:sz w:val="20"/>
        </w:rPr>
        <w:t xml:space="preserve"> that voltage and that is why the current is no longer flowing through the disk. The ceramic disk is then said to be polarized, because all the positive charges are aligned one way and the negative charges are aligned another.</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current in the ceramic disk caused by the motion of these molecular charges over a short distance is called a </w:t>
      </w:r>
      <w:r w:rsidRPr="00115CF5">
        <w:rPr>
          <w:rFonts w:ascii="Book Antiqua" w:hAnsi="Book Antiqua"/>
          <w:i/>
          <w:sz w:val="20"/>
        </w:rPr>
        <w:t>“displacement current.”</w:t>
      </w:r>
      <w:r w:rsidRPr="00115CF5">
        <w:rPr>
          <w:rFonts w:ascii="Book Antiqua" w:hAnsi="Book Antiqua"/>
          <w:sz w:val="20"/>
        </w:rPr>
        <w:t xml:space="preserve"> The charges are simply displaced a short distance from their original positions.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If the experiment is then repeated without the ceramic disk, but in a vacuum in which all possible air is removed, it has been found that, again, a displacement current flows between the two plates</w:t>
      </w:r>
      <w:r w:rsidR="008768AE">
        <w:rPr>
          <w:rFonts w:ascii="Book Antiqua" w:hAnsi="Book Antiqua"/>
          <w:sz w:val="20"/>
        </w:rPr>
        <w:t xml:space="preserve"> during voltage increases, and stops when the voltage stabilizes</w:t>
      </w:r>
      <w:r w:rsidRPr="00115CF5">
        <w:rPr>
          <w:rFonts w:ascii="Book Antiqua" w:hAnsi="Book Antiqua"/>
          <w:sz w:val="20"/>
        </w:rPr>
        <w:t xml:space="preserve">. However, the displacement current is not as strong as it was using the ceramic disk. Nevertheless, since a displacement current does flow, the vacuum must have electric charges which can be polarized just as the molecules in the ceramic disk were.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Polarization can only occur if there are charged particles capable of being moved or re-oriented in an electric field. But we are working with what appears to be a vacuum.  The conclusion is that the vacuum must contain charged particles, capable of moving, which are not associated with the air.  This certainly seems to indicate the presence of virtual particle pairs which flash into and out of existence so rapidly.  Their instantaneous presence, however, means we have a </w:t>
      </w:r>
      <w:r w:rsidRPr="00115CF5">
        <w:rPr>
          <w:rFonts w:ascii="Book Antiqua" w:hAnsi="Book Antiqua"/>
          <w:b/>
          <w:i/>
          <w:sz w:val="20"/>
        </w:rPr>
        <w:t xml:space="preserve">“polarizable vacuum.” </w:t>
      </w:r>
      <w:r w:rsidRPr="00115CF5">
        <w:rPr>
          <w:rFonts w:ascii="Book Antiqua" w:hAnsi="Book Antiqua"/>
          <w:sz w:val="20"/>
        </w:rPr>
        <w:t xml:space="preserve">The extent to which the vacuum “permits” itself to be polarized in an electric field is called the electric permittivity of free space. This permittivity is designated by the Greek letter </w:t>
      </w:r>
      <w:r w:rsidRPr="00115CF5">
        <w:rPr>
          <w:rFonts w:ascii="Book Antiqua" w:hAnsi="Book Antiqua"/>
          <w:i/>
          <w:sz w:val="20"/>
        </w:rPr>
        <w:t>epsilon</w:t>
      </w:r>
      <w:r w:rsidRPr="00115CF5">
        <w:rPr>
          <w:rFonts w:ascii="Book Antiqua" w:hAnsi="Book Antiqua"/>
          <w:sz w:val="20"/>
        </w:rPr>
        <w:t xml:space="preserve"> written as </w:t>
      </w:r>
      <m:oMath>
        <m:r>
          <w:rPr>
            <w:rFonts w:ascii="Cambria Math" w:hAnsi="Cambria Math"/>
            <w:sz w:val="18"/>
            <w:szCs w:val="18"/>
          </w:rPr>
          <m:t>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It is important to understand that any charge in motion</w:t>
      </w:r>
      <w:r w:rsidR="008768AE">
        <w:rPr>
          <w:rFonts w:ascii="Book Antiqua" w:hAnsi="Book Antiqua"/>
          <w:sz w:val="20"/>
        </w:rPr>
        <w:t xml:space="preserve"> – an electric current -- </w:t>
      </w:r>
      <w:r w:rsidRPr="00115CF5">
        <w:rPr>
          <w:rFonts w:ascii="Book Antiqua" w:hAnsi="Book Antiqua"/>
          <w:sz w:val="20"/>
        </w:rPr>
        <w:t xml:space="preserve"> will produce a circling magnetic field</w:t>
      </w:r>
      <w:r w:rsidR="008768AE">
        <w:rPr>
          <w:rFonts w:ascii="Book Antiqua" w:hAnsi="Book Antiqua"/>
          <w:sz w:val="20"/>
        </w:rPr>
        <w:t>.</w:t>
      </w:r>
      <w:r w:rsidRPr="00115CF5">
        <w:rPr>
          <w:rFonts w:ascii="Book Antiqua" w:hAnsi="Book Antiqua"/>
          <w:sz w:val="20"/>
        </w:rPr>
        <w:t xml:space="preserve">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w:t>
      </w:r>
      <w:r w:rsidR="008768AE">
        <w:rPr>
          <w:rFonts w:ascii="Book Antiqua" w:hAnsi="Book Antiqua"/>
          <w:sz w:val="20"/>
        </w:rPr>
        <w:t xml:space="preserve"> and its resulting</w:t>
      </w:r>
      <w:r w:rsidRPr="00115CF5">
        <w:rPr>
          <w:rFonts w:ascii="Book Antiqua" w:hAnsi="Book Antiqua"/>
          <w:sz w:val="20"/>
        </w:rPr>
        <w:t xml:space="preserve"> magnetic field. The degree to which a magnetic field can permeate a substance is called its magnetic permeability. The presence of virtual particles causes the vacuum of space itself to have a permeability as well as a permittivity. The magnetic permeability of space is designated by the Greek letter </w:t>
      </w:r>
      <w:r w:rsidRPr="00115CF5">
        <w:rPr>
          <w:rFonts w:ascii="Book Antiqua" w:hAnsi="Book Antiqua"/>
          <w:i/>
          <w:sz w:val="20"/>
        </w:rPr>
        <w:t>mu</w:t>
      </w:r>
      <w:r w:rsidRPr="00115CF5">
        <w:rPr>
          <w:rFonts w:ascii="Book Antiqua" w:hAnsi="Book Antiqua"/>
          <w:sz w:val="20"/>
        </w:rPr>
        <w:t xml:space="preserve"> written</w:t>
      </w:r>
      <w:r w:rsidR="00871114">
        <w:rPr>
          <w:rFonts w:ascii="Book Antiqua" w:hAnsi="Book Antiqua"/>
          <w:sz w:val="20"/>
        </w:rPr>
        <w:t xml:space="preserve"> </w:t>
      </w:r>
      <w:r w:rsidRPr="00115CF5">
        <w:rPr>
          <w:rFonts w:ascii="Book Antiqua" w:hAnsi="Book Antiqua"/>
          <w:sz w:val="20"/>
        </w:rPr>
        <w:t xml:space="preserve"> </w:t>
      </w:r>
      <m:oMath>
        <m:r>
          <w:rPr>
            <w:rFonts w:ascii="Cambria Math" w:hAnsi="Book Antiqua"/>
            <w:sz w:val="18"/>
            <w:szCs w:val="18"/>
          </w:rPr>
          <m:t>µ</m:t>
        </m:r>
      </m:oMath>
      <w:r w:rsidRPr="00115CF5">
        <w:rPr>
          <w:rFonts w:ascii="Book Antiqua" w:hAnsi="Book Antiqua"/>
          <w:sz w:val="20"/>
        </w:rPr>
        <w:t>.</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w:t>
      </w:r>
      <w:r w:rsidRPr="00115CF5">
        <w:rPr>
          <w:rFonts w:ascii="Book Antiqua" w:hAnsi="Book Antiqua"/>
          <w:sz w:val="20"/>
        </w:rPr>
        <w:lastRenderedPageBreak/>
        <w:t>the strength of the ZPE. This tends to support the SED approach rather than the QED option, which has the number of virtual particles solely dependent on the Heisenberg uncertainty principle.</w:t>
      </w:r>
    </w:p>
    <w:p w:rsidR="008768AE" w:rsidRDefault="008768AE" w:rsidP="00AC4336">
      <w:pPr>
        <w:pStyle w:val="NoSpacing"/>
        <w:ind w:firstLine="720"/>
        <w:jc w:val="both"/>
        <w:rPr>
          <w:rFonts w:ascii="Book Antiqua" w:hAnsi="Book Antiqua"/>
          <w:sz w:val="20"/>
        </w:rPr>
      </w:pPr>
    </w:p>
    <w:p w:rsidR="00AC4336" w:rsidRPr="00017543" w:rsidRDefault="00AC4336" w:rsidP="00AC4336">
      <w:pPr>
        <w:pStyle w:val="Heading2"/>
        <w:widowControl/>
        <w:numPr>
          <w:ilvl w:val="1"/>
          <w:numId w:val="17"/>
        </w:numPr>
        <w:spacing w:before="80" w:after="80" w:line="240" w:lineRule="atLeast"/>
        <w:rPr>
          <w:rFonts w:ascii="Book Antiqua" w:hAnsi="Book Antiqua" w:cs="Times New Roman"/>
          <w:b w:val="0"/>
          <w:sz w:val="20"/>
          <w:szCs w:val="20"/>
        </w:rPr>
      </w:pPr>
      <w:r w:rsidRPr="00017543">
        <w:rPr>
          <w:rFonts w:ascii="Book Antiqua" w:hAnsi="Book Antiqua" w:cs="Times New Roman"/>
          <w:b w:val="0"/>
          <w:sz w:val="20"/>
          <w:szCs w:val="20"/>
        </w:rPr>
        <w:t>Virtual Particles Cause a Vacuum Drag</w:t>
      </w:r>
    </w:p>
    <w:p w:rsidR="00AC4336" w:rsidRPr="00115CF5" w:rsidRDefault="00AC4336" w:rsidP="00AC4336">
      <w:pPr>
        <w:pStyle w:val="NoSpacing"/>
        <w:jc w:val="both"/>
        <w:rPr>
          <w:rFonts w:ascii="Book Antiqua" w:hAnsi="Book Antiqua"/>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It is interesting that the presence of these virtual particles can be shown to create a drag on spinning particulate matter (even as large as grains of dust) in the vacuum</w:t>
      </w:r>
      <w:r w:rsidRPr="00017543">
        <w:rPr>
          <w:rFonts w:ascii="Book Antiqua" w:hAnsi="Book Antiqua"/>
          <w:sz w:val="20"/>
        </w:rPr>
        <w:t xml:space="preserve">. </w:t>
      </w:r>
      <w:r w:rsidR="00017543">
        <w:rPr>
          <w:rFonts w:ascii="Book Antiqua" w:hAnsi="Book Antiqua"/>
          <w:sz w:val="20"/>
        </w:rPr>
        <w:t xml:space="preserve"> Both the QED and SED approaches show </w:t>
      </w:r>
      <w:r w:rsidRPr="00017543">
        <w:rPr>
          <w:rFonts w:ascii="Book Antiqua" w:hAnsi="Book Antiqua"/>
          <w:sz w:val="20"/>
        </w:rPr>
        <w:t>that these particles and/or waves/photons create a friction as they collide with spinning matter.</w:t>
      </w:r>
      <w:r w:rsidRPr="00115CF5">
        <w:rPr>
          <w:rFonts w:ascii="Book Antiqua" w:hAnsi="Book Antiqua"/>
          <w:sz w:val="20"/>
        </w:rPr>
        <w:t xml:space="preserve"> The effect is greater for smaller, lighter particles of low density matter, which have less rotational momentum, than for more massive objects. This effect occurs, even though the bombardment comes equally from all sides, because a virtual particle hitting an object in the direction opposite to its spin collides with greater force than if it hits in the same direction as the rotation.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a result of this, it has been calculated that grains of graphite, about 100 nanometers across, which are plentiful in the extreme cold of interstellar space, would, in 2.7 million years, slow their rotation to one third of their original speed. With higher temperatures, the additional high temperature photons speed up this process. </w:t>
      </w:r>
      <w:r w:rsidRPr="00017543">
        <w:rPr>
          <w:rFonts w:ascii="Book Antiqua" w:hAnsi="Book Antiqua"/>
          <w:sz w:val="20"/>
        </w:rPr>
        <w:t xml:space="preserve">Thus at 700 degrees C </w:t>
      </w:r>
      <w:r w:rsidR="00017543">
        <w:rPr>
          <w:rFonts w:ascii="Book Antiqua" w:hAnsi="Book Antiqua"/>
          <w:sz w:val="20"/>
        </w:rPr>
        <w:t>(</w:t>
      </w:r>
      <w:r w:rsidRPr="00017543">
        <w:rPr>
          <w:rFonts w:ascii="Book Antiqua" w:hAnsi="Book Antiqua"/>
          <w:sz w:val="20"/>
        </w:rPr>
        <w:t>the average temperature for the hot areas of the universe</w:t>
      </w:r>
      <w:r w:rsidR="00017543">
        <w:rPr>
          <w:rFonts w:ascii="Book Antiqua" w:hAnsi="Book Antiqua"/>
          <w:sz w:val="20"/>
        </w:rPr>
        <w:t>)</w:t>
      </w:r>
      <w:r w:rsidRPr="00017543">
        <w:rPr>
          <w:rFonts w:ascii="Book Antiqua" w:hAnsi="Book Antiqua"/>
          <w:sz w:val="20"/>
        </w:rPr>
        <w:t xml:space="preserve"> the same decrease </w:t>
      </w:r>
      <w:r w:rsidR="00017543">
        <w:rPr>
          <w:rFonts w:ascii="Book Antiqua" w:hAnsi="Book Antiqua"/>
          <w:sz w:val="20"/>
        </w:rPr>
        <w:t xml:space="preserve">in spin rate </w:t>
      </w:r>
      <w:r w:rsidRPr="00017543">
        <w:rPr>
          <w:rFonts w:ascii="Book Antiqua" w:hAnsi="Book Antiqua"/>
          <w:sz w:val="20"/>
        </w:rPr>
        <w:t>would only take 90 days.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Experiments in ultra high vacuum conditions (a very nearly ‘perfect’ vacuum) using high precision lasers to trap and track nanoparticles are currently being planned to demonstrate this effect. These experiments will give additional proof of the existence of these virtual particle pairs [25].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widowControl/>
        <w:numPr>
          <w:ilvl w:val="1"/>
          <w:numId w:val="17"/>
        </w:numPr>
        <w:spacing w:before="80" w:after="80" w:line="240" w:lineRule="atLeast"/>
        <w:jc w:val="both"/>
        <w:rPr>
          <w:rFonts w:ascii="Book Antiqua" w:hAnsi="Book Antiqua" w:cs="Times New Roman"/>
          <w:b w:val="0"/>
          <w:sz w:val="20"/>
          <w:szCs w:val="20"/>
        </w:rPr>
      </w:pPr>
      <w:r w:rsidRPr="00115CF5">
        <w:rPr>
          <w:rFonts w:ascii="Book Antiqua" w:hAnsi="Book Antiqua" w:cs="Times New Roman"/>
          <w:b w:val="0"/>
          <w:sz w:val="20"/>
          <w:szCs w:val="20"/>
        </w:rPr>
        <w:t>The Two Approaches to the Casimir Effect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048125" cy="2552700"/>
            <wp:effectExtent l="19050" t="0" r="9525" b="0"/>
            <wp:docPr id="98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51" cstate="print"/>
                    <a:srcRect/>
                    <a:stretch>
                      <a:fillRect/>
                    </a:stretch>
                  </pic:blipFill>
                  <pic:spPr bwMode="auto">
                    <a:xfrm>
                      <a:off x="0" y="0"/>
                      <a:ext cx="4048125" cy="2552700"/>
                    </a:xfrm>
                    <a:prstGeom prst="rect">
                      <a:avLst/>
                    </a:prstGeom>
                    <a:noFill/>
                    <a:ln w="9525">
                      <a:noFill/>
                      <a:miter lim="800000"/>
                      <a:headEnd/>
                      <a:tailEnd/>
                    </a:ln>
                  </pic:spPr>
                </pic:pic>
              </a:graphicData>
            </a:graphic>
          </wp:inline>
        </w:drawing>
      </w:r>
    </w:p>
    <w:p w:rsidR="00AC4336" w:rsidRPr="00115CF5" w:rsidRDefault="00AC4336" w:rsidP="00AC4336">
      <w:pPr>
        <w:pStyle w:val="NoSpacing"/>
        <w:rPr>
          <w:rFonts w:ascii="Book Antiqua" w:hAnsi="Book Antiqua"/>
          <w:sz w:val="20"/>
        </w:rPr>
      </w:pPr>
    </w:p>
    <w:p w:rsidR="00AC4336" w:rsidRPr="003D26E9" w:rsidRDefault="00AC4336" w:rsidP="00A3114D">
      <w:pPr>
        <w:pStyle w:val="NoSpacing"/>
        <w:rPr>
          <w:rFonts w:ascii="Book Antiqua" w:hAnsi="Book Antiqua"/>
          <w:i/>
          <w:sz w:val="18"/>
          <w:szCs w:val="18"/>
        </w:rPr>
      </w:pPr>
      <w:r w:rsidRPr="00A3114D">
        <w:rPr>
          <w:rFonts w:ascii="Book Antiqua" w:hAnsi="Book Antiqua"/>
          <w:b/>
          <w:i/>
          <w:sz w:val="18"/>
          <w:szCs w:val="18"/>
        </w:rPr>
        <w:t>Figure 3:</w:t>
      </w:r>
      <w:r w:rsidRPr="003D26E9">
        <w:rPr>
          <w:rFonts w:ascii="Book Antiqua" w:hAnsi="Book Antiqua"/>
          <w:i/>
          <w:sz w:val="18"/>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w:t>
      </w:r>
      <w:r w:rsidR="003D26E9">
        <w:rPr>
          <w:rFonts w:ascii="Book Antiqua" w:hAnsi="Book Antiqua"/>
          <w:i/>
          <w:sz w:val="18"/>
          <w:szCs w:val="18"/>
        </w:rPr>
        <w:t xml:space="preserve"> exert </w:t>
      </w:r>
      <w:r w:rsidRPr="003D26E9">
        <w:rPr>
          <w:rFonts w:ascii="Book Antiqua" w:hAnsi="Book Antiqua"/>
          <w:i/>
          <w:sz w:val="18"/>
          <w:szCs w:val="18"/>
        </w:rPr>
        <w:t>pressure on the plates which pushes them together. The wave series third from bottom has the largest wavelength that will fit exactly between the plates. All longer waves are excluded and exert a pressure from the outside.</w:t>
      </w:r>
    </w:p>
    <w:p w:rsidR="00966CF0" w:rsidRDefault="00966CF0" w:rsidP="00A65591">
      <w:pPr>
        <w:pStyle w:val="NoSpacing"/>
        <w:ind w:firstLine="720"/>
        <w:jc w:val="both"/>
        <w:rPr>
          <w:rFonts w:ascii="Book Antiqua" w:hAnsi="Book Antiqua"/>
          <w:sz w:val="20"/>
        </w:rPr>
      </w:pPr>
    </w:p>
    <w:p w:rsidR="009A04FE" w:rsidRPr="00115CF5" w:rsidRDefault="009A04FE" w:rsidP="009A04FE">
      <w:pPr>
        <w:pStyle w:val="NoSpacing"/>
        <w:ind w:firstLine="720"/>
        <w:jc w:val="both"/>
        <w:rPr>
          <w:rFonts w:ascii="Book Antiqua" w:hAnsi="Book Antiqua"/>
          <w:sz w:val="20"/>
        </w:rPr>
      </w:pPr>
      <w:r w:rsidRPr="00115CF5">
        <w:rPr>
          <w:rFonts w:ascii="Book Antiqua" w:hAnsi="Book Antiqua"/>
          <w:sz w:val="20"/>
        </w:rPr>
        <w:t xml:space="preserve">Because QED physics ‘allows’ a virtual ZPE (useful mathematically) but not a real ZPE, they must explain what happens with the Casimir plates in terms of virtual particles alone, which only exist because of the Heisenberg Uncertainty Principle.  It will be recalled that all particles have a de Broglie wavelength, the wavelength of any individual </w:t>
      </w:r>
      <w:r w:rsidRPr="00115CF5">
        <w:rPr>
          <w:rFonts w:ascii="Book Antiqua" w:hAnsi="Book Antiqua"/>
          <w:sz w:val="20"/>
        </w:rPr>
        <w:lastRenderedPageBreak/>
        <w:t>subatomic particle. As a result, QED physics demands that only those virtual particles whose de Broglie wavelengths can fit a whole number of times into the gap between the Casimir plates will appear there. The rest are excluded. Consequently, the vacuum energy density (essentially the number of virtual particles) between the plates will be less than the energy density outside, so the plates are forced together.  The dependence in this model is on the virtual particles themselves.</w:t>
      </w:r>
    </w:p>
    <w:p w:rsidR="009A04FE" w:rsidRDefault="009A04FE" w:rsidP="00A65591">
      <w:pPr>
        <w:pStyle w:val="NoSpacing"/>
        <w:ind w:firstLine="720"/>
        <w:jc w:val="both"/>
        <w:rPr>
          <w:rFonts w:ascii="Book Antiqua" w:hAnsi="Book Antiqua"/>
          <w:sz w:val="20"/>
        </w:rPr>
      </w:pPr>
    </w:p>
    <w:p w:rsidR="00343C89" w:rsidRPr="00343C89" w:rsidRDefault="00343C89" w:rsidP="00A65591">
      <w:pPr>
        <w:pStyle w:val="NoSpacing"/>
        <w:ind w:firstLine="720"/>
        <w:jc w:val="both"/>
        <w:rPr>
          <w:rFonts w:ascii="Book Antiqua" w:hAnsi="Book Antiqua"/>
          <w:sz w:val="20"/>
        </w:rPr>
      </w:pPr>
      <w:r w:rsidRPr="00343C89">
        <w:rPr>
          <w:rFonts w:ascii="Book Antiqua" w:hAnsi="Book Antiqua"/>
          <w:sz w:val="20"/>
        </w:rPr>
        <w:t xml:space="preserve">The SED model explains the Casimir effect somewhat differently. The ZPE is considered real and exists as waves of all wavelengths.  Casimir plates coming together will progressively restrict the lengths of waves that can exist between them.  Only those ZPE waves which will fit a whole number of times between them will be found between them (see Figure 3).  This does not require the presence of virtual particles, which may or may not be present.  As the plates are brought closer together, more and more wavelengths are excluded and thus bring pressure to bear on the outside of the plates, forcing them together. </w:t>
      </w:r>
    </w:p>
    <w:p w:rsidR="00343C89" w:rsidRDefault="00343C89" w:rsidP="00B34819">
      <w:pPr>
        <w:pStyle w:val="NoSpacing"/>
        <w:ind w:firstLine="720"/>
        <w:jc w:val="both"/>
        <w:rPr>
          <w:rFonts w:ascii="Book Antiqua" w:hAnsi="Book Antiqua"/>
          <w:sz w:val="20"/>
        </w:rPr>
      </w:pPr>
    </w:p>
    <w:p w:rsidR="00B34819" w:rsidRPr="00115CF5" w:rsidRDefault="00B34819" w:rsidP="00B34819">
      <w:pPr>
        <w:pStyle w:val="NoSpacing"/>
        <w:ind w:firstLine="720"/>
        <w:jc w:val="both"/>
        <w:rPr>
          <w:rFonts w:ascii="Book Antiqua" w:hAnsi="Book Antiqua"/>
          <w:sz w:val="20"/>
        </w:rPr>
      </w:pPr>
      <w:r w:rsidRPr="00115CF5">
        <w:rPr>
          <w:rFonts w:ascii="Book Antiqua" w:hAnsi="Book Antiqua"/>
          <w:sz w:val="20"/>
        </w:rPr>
        <w:t>Both models show that the excluded wavelengths bring pressure to bear on the outside of the plates.  The QED approach says the waves are the result of the virtual particles, whereas the SED approach says the waves exist independently as the Zero Point Energy.</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numPr>
          <w:ilvl w:val="1"/>
          <w:numId w:val="17"/>
        </w:numPr>
        <w:jc w:val="both"/>
        <w:rPr>
          <w:rFonts w:ascii="Book Antiqua" w:hAnsi="Book Antiqua"/>
          <w:i/>
          <w:sz w:val="20"/>
        </w:rPr>
      </w:pPr>
      <w:r w:rsidRPr="00115CF5">
        <w:rPr>
          <w:rFonts w:ascii="Book Antiqua" w:hAnsi="Book Antiqua"/>
          <w:i/>
          <w:sz w:val="20"/>
        </w:rPr>
        <w:t xml:space="preserve"> Choosing Between QED and SED Explanations </w:t>
      </w:r>
    </w:p>
    <w:p w:rsidR="00AC4336" w:rsidRPr="00115CF5" w:rsidRDefault="00AC4336" w:rsidP="00AC4336">
      <w:pPr>
        <w:pStyle w:val="NoSpacing"/>
        <w:ind w:left="360"/>
        <w:jc w:val="both"/>
        <w:rPr>
          <w:rFonts w:ascii="Book Antiqua" w:hAnsi="Book Antiqua"/>
          <w:i/>
          <w:sz w:val="20"/>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some ways, both the QED and SED explanations for the ZPE and its effects are viable alternatives. However, SED uses the intrinsic electromagnetic waves (or photons) of the ZPE directly as well as the virtual particles which originate with the energy of the interacting ZPE waves. QED</w:t>
      </w:r>
      <w:r w:rsidR="00017543">
        <w:rPr>
          <w:rFonts w:ascii="Book Antiqua" w:hAnsi="Book Antiqua"/>
          <w:sz w:val="20"/>
        </w:rPr>
        <w:t>, however,</w:t>
      </w:r>
      <w:r w:rsidRPr="00115CF5">
        <w:rPr>
          <w:rFonts w:ascii="Book Antiqua" w:hAnsi="Book Antiqua"/>
          <w:sz w:val="20"/>
        </w:rPr>
        <w:t xml:space="preserve"> uses virtual particles (and/or photons) from vacuum fluctuations that are attributed solely to the Heisenberg Uncertainty Principle. So the QED approach relies on the application of a theoretical principle which cannot explain any changes in ZPE strength</w:t>
      </w:r>
      <w:r w:rsidRPr="00017543">
        <w:rPr>
          <w:rFonts w:ascii="Book Antiqua" w:hAnsi="Book Antiqua"/>
          <w:sz w:val="20"/>
        </w:rPr>
        <w:t>. In contrast</w:t>
      </w:r>
      <w:r w:rsidRPr="00115CF5">
        <w:rPr>
          <w:rFonts w:ascii="Book Antiqua" w:hAnsi="Book Antiqua"/>
          <w:sz w:val="20"/>
        </w:rPr>
        <w:t xml:space="preserve">, the SED approach acknowledges the independent existence of the ZPE as an intrinsic property of the universe, along with the virtual particle pairs it produces.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 further development has recently occurred. In 1970, the USA physicist Gerald Moore suggested a reversal of the Casimir effect argument. What he proposed was that by moving two Casimir plates together very fast, there would be a very sudden restriction of the wavelengths which were permitted to exist between the plates. This would then force the vacuum between the plates to give up the excess wavelengths, and hence energy, in the form of pairs of light photons. This process has been called the Dynamical Casimir effect. On 17</w:t>
      </w:r>
      <w:r w:rsidRPr="00115CF5">
        <w:rPr>
          <w:rFonts w:ascii="Book Antiqua" w:hAnsi="Book Antiqua"/>
          <w:sz w:val="20"/>
          <w:vertAlign w:val="superscript"/>
        </w:rPr>
        <w:t>th</w:t>
      </w:r>
      <w:r w:rsidRPr="00115CF5">
        <w:rPr>
          <w:rFonts w:ascii="Book Antiqua" w:hAnsi="Book Antiqua"/>
          <w:sz w:val="20"/>
        </w:rPr>
        <w:t xml:space="preserve"> November 2011 C.M. Wilson and his team published the success of just such an experiment [26]. Infra-red photons were emitted which gave further proof for the existence of an actual, physical ZPE, even though their Letter to Nature used QED terminology.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Considering all the foregoing factors, it can be seen that the SED approach allows for an examination and analysis of the ZPE and its origin. This is effectively denied to QED physics since the uncertainty principle is absolute and stifles further investigation. For this reason the SED approach will be the one which is adopted and used extensively throughout the rest of this monograph.</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1"/>
        <w:keepLines/>
        <w:widowControl/>
        <w:numPr>
          <w:ilvl w:val="0"/>
          <w:numId w:val="17"/>
        </w:numPr>
        <w:spacing w:before="0" w:after="120" w:line="240" w:lineRule="atLeast"/>
        <w:rPr>
          <w:rFonts w:ascii="Book Antiqua" w:hAnsi="Book Antiqua" w:cs="Times New Roman"/>
          <w:sz w:val="20"/>
          <w:szCs w:val="20"/>
        </w:rPr>
      </w:pPr>
      <w:r w:rsidRPr="00115CF5">
        <w:rPr>
          <w:rFonts w:ascii="Book Antiqua" w:hAnsi="Book Antiqua" w:cs="Times New Roman"/>
          <w:sz w:val="20"/>
          <w:szCs w:val="20"/>
        </w:rPr>
        <w:t>A Cosmological Constant and the ZPE</w:t>
      </w:r>
      <w:r w:rsidR="0079464D">
        <w:rPr>
          <w:rFonts w:ascii="Book Antiqua" w:hAnsi="Book Antiqua" w:cs="Times New Roman"/>
          <w:sz w:val="20"/>
          <w:szCs w:val="20"/>
        </w:rPr>
        <w:t>?</w:t>
      </w:r>
    </w:p>
    <w:p w:rsidR="00AC4336" w:rsidRPr="00115CF5" w:rsidRDefault="00AC4336" w:rsidP="00AC4336">
      <w:pPr>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In an effort to meld General Relativity</w:t>
      </w:r>
      <w:r w:rsidR="000F195A">
        <w:rPr>
          <w:rFonts w:ascii="Book Antiqua" w:hAnsi="Book Antiqua"/>
          <w:sz w:val="20"/>
        </w:rPr>
        <w:t xml:space="preserve"> (GR)</w:t>
      </w:r>
      <w:r w:rsidRPr="00115CF5">
        <w:rPr>
          <w:rFonts w:ascii="Book Antiqua" w:hAnsi="Book Antiqua"/>
          <w:sz w:val="20"/>
        </w:rPr>
        <w:t xml:space="preserve"> with quantum physics, QED physicists consider the cosmological constant, </w:t>
      </w:r>
      <m:oMath>
        <m:r>
          <w:rPr>
            <w:rFonts w:ascii="Cambria Math" w:hAnsi="Cambria Math"/>
            <w:sz w:val="18"/>
            <w:szCs w:val="18"/>
          </w:rPr>
          <m:t>Λ</m:t>
        </m:r>
      </m:oMath>
      <w:r w:rsidRPr="00115CF5">
        <w:rPr>
          <w:rFonts w:ascii="Book Antiqua" w:hAnsi="Book Antiqua"/>
          <w:sz w:val="20"/>
        </w:rPr>
        <w:t xml:space="preserve">, to be an expression of the energy in the vacuum of space.  As a consequence, there is a common misconception that the cosmological constant and the Zero Point Energy are the same thing.  Einstein considered the universe to be static, and the GR equations needed the cosmological constant to maintain a static universe which was stable against gravitational collapse.  It is currently proposed that the cosmological constant is greater than the sum of all gravitational forces and exerts a pressure on the vacuum which causes it to expand. For this reason some call it the reverse of gravity.  However, since the pressure exerted on the vacuum is expected to result from the action of some sort of energy, the action of the cosmological constant is sometimes given the alternative name of "dark energy".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Although QED physics tries to integrate their model of the ZPE into Relativity via the cosmological constant, thereby causing confusion, SED physics sees the ZPE and the cosmological constant as profoundly different.  The Zero Point Energy is an entity unto itself.  The cosmological constant does not figure in SED physics at all.  It doesn’t have to.</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This line of thinking seems to be confirmed by Haisch and Rueda who concluded that </w:t>
      </w:r>
      <w:r w:rsidRPr="00115CF5">
        <w:rPr>
          <w:rFonts w:ascii="Book Antiqua" w:hAnsi="Book Antiqua"/>
          <w:i/>
          <w:sz w:val="20"/>
        </w:rPr>
        <w:t>“the ZPF [Zero Point Fields]</w:t>
      </w:r>
      <w:r w:rsidRPr="00115CF5">
        <w:rPr>
          <w:rFonts w:ascii="Book Antiqua" w:hAnsi="Book Antiqua"/>
          <w:sz w:val="20"/>
        </w:rPr>
        <w:t xml:space="preserve"> </w:t>
      </w:r>
      <w:r w:rsidRPr="00115CF5">
        <w:rPr>
          <w:rFonts w:ascii="Book Antiqua" w:hAnsi="Book Antiqua"/>
          <w:i/>
          <w:sz w:val="20"/>
        </w:rPr>
        <w:t xml:space="preserve">cannot be the manifestation of a cosmological constant, </w:t>
      </w:r>
      <m:oMath>
        <m:r>
          <w:rPr>
            <w:rFonts w:ascii="Cambria Math" w:hAnsi="Cambria Math"/>
            <w:sz w:val="18"/>
            <w:szCs w:val="18"/>
          </w:rPr>
          <m:t>Λ</m:t>
        </m:r>
      </m:oMath>
      <w:r w:rsidRPr="00115CF5">
        <w:rPr>
          <w:rFonts w:ascii="Book Antiqua" w:hAnsi="Book Antiqua"/>
          <w:i/>
          <w:sz w:val="20"/>
        </w:rPr>
        <w:t xml:space="preserve">, or vice versa…The ZPF is NOT a candidate source for a cosmological constant. The ZPF…can have nothing to do with </w:t>
      </w:r>
      <m:oMath>
        <m:r>
          <w:rPr>
            <w:rFonts w:ascii="Cambria Math" w:hAnsi="Cambria Math"/>
            <w:sz w:val="18"/>
            <w:szCs w:val="18"/>
          </w:rPr>
          <m:t>Λ</m:t>
        </m:r>
      </m:oMath>
      <w:r w:rsidRPr="00115CF5">
        <w:rPr>
          <w:rFonts w:ascii="Book Antiqua" w:hAnsi="Book Antiqua"/>
          <w:i/>
          <w:sz w:val="20"/>
        </w:rPr>
        <w:t xml:space="preserve"> and is not, of itself, a source of gravitation… Gravitation is not caused by the mere presence of the ZPF, [but] rather by secondary motions of charged particles driven by the ZPF. In this view it is impossible for the ZPF to give rise to a cosmological constant.” </w:t>
      </w:r>
      <w:r w:rsidRPr="00115CF5">
        <w:rPr>
          <w:rFonts w:ascii="Book Antiqua" w:hAnsi="Book Antiqua"/>
          <w:sz w:val="20"/>
        </w:rPr>
        <w:t xml:space="preserve">[27] Thus, the result of General Relativity is that the very presence of </w:t>
      </w:r>
      <m:oMath>
        <m:r>
          <w:rPr>
            <w:rFonts w:ascii="Cambria Math" w:hAnsi="Cambria Math"/>
            <w:sz w:val="18"/>
            <w:szCs w:val="18"/>
          </w:rPr>
          <m:t>Λ</m:t>
        </m:r>
      </m:oMath>
      <w:r w:rsidRPr="00115CF5">
        <w:rPr>
          <w:rFonts w:ascii="Book Antiqua" w:hAnsi="Book Antiqua"/>
          <w:sz w:val="20"/>
        </w:rPr>
        <w:t xml:space="preserve"> causes the vacuum to expand. The ZPE cannot do this, and so it is a different entity. This means the Zero Point Energy is not a manifestation of the cosmological constant.</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Many years after the cosmological constant was first proposed to maintain a static cosmos, it was shown by Narlikar and Arp that a static, matter-filled universe can remain stable and not collapse without any need for the cosmological constant to do the work [28]. Under these conditions, the necessity for a cosmological constant disappears, even in static Einsteinian universes.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discussed in Chapter 5, there is a problem which the cosmological constant is currently used to address. The red shifting of light signatures at great distances does not conform to the equation used by Big Bang physicists.    Because of this problem, </w:t>
      </w:r>
      <m:oMath>
        <m:r>
          <w:rPr>
            <w:rFonts w:ascii="Cambria Math" w:hAnsi="Cambria Math"/>
            <w:sz w:val="18"/>
            <w:szCs w:val="18"/>
          </w:rPr>
          <m:t>Λ</m:t>
        </m:r>
      </m:oMath>
      <w:r w:rsidRPr="00115CF5">
        <w:rPr>
          <w:rFonts w:ascii="Book Antiqua" w:hAnsi="Book Antiqua"/>
          <w:sz w:val="20"/>
        </w:rPr>
        <w:t xml:space="preserve"> is currently in vogue again.  Its action in exerting pressure on the vacuum is meant to speed up the rate of universal expansion, so that this proposed expansion is more rapid now than in past astronomical times. In this way, the redshift problem is considered to be resolved.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color w:val="FF0000"/>
          <w:sz w:val="20"/>
        </w:rPr>
      </w:pPr>
      <w:r w:rsidRPr="00115CF5">
        <w:rPr>
          <w:rFonts w:ascii="Book Antiqua" w:hAnsi="Book Antiqua"/>
          <w:sz w:val="20"/>
        </w:rPr>
        <w:tab/>
        <w:t xml:space="preserve">Nevertheless, the problem of trying to incorporate the cosmological constant, </w:t>
      </w:r>
      <m:oMath>
        <m:r>
          <w:rPr>
            <w:rFonts w:ascii="Cambria Math" w:hAnsi="Cambria Math"/>
            <w:sz w:val="18"/>
            <w:szCs w:val="18"/>
          </w:rPr>
          <m:t>Λ</m:t>
        </m:r>
      </m:oMath>
      <w:r w:rsidRPr="00115CF5">
        <w:rPr>
          <w:rFonts w:ascii="Book Antiqua" w:hAnsi="Book Antiqua"/>
          <w:i/>
          <w:sz w:val="20"/>
        </w:rPr>
        <w:t>,</w:t>
      </w:r>
      <w:r w:rsidRPr="00115CF5">
        <w:rPr>
          <w:rFonts w:ascii="Book Antiqua" w:hAnsi="Book Antiqua"/>
          <w:sz w:val="20"/>
        </w:rPr>
        <w:t xml:space="preserve"> from General Relativity, into the QED form of ZPE theory has proved very difficult. Zeldovich pointed out that the numerical value obtained for the cosmological constant from any proposed QED vacuum and particle theory can disagree with observation by a factor of up to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46</m:t>
            </m:r>
          </m:sup>
        </m:sSup>
      </m:oMath>
      <w:r w:rsidRPr="00115CF5">
        <w:rPr>
          <w:rFonts w:ascii="Book Antiqua" w:hAnsi="Book Antiqua"/>
          <w:sz w:val="20"/>
          <w:vertAlign w:val="superscript"/>
        </w:rPr>
        <w:t xml:space="preserve"> </w:t>
      </w:r>
      <w:r w:rsidRPr="00115CF5">
        <w:rPr>
          <w:rFonts w:ascii="Book Antiqua" w:hAnsi="Book Antiqua"/>
          <w:sz w:val="20"/>
        </w:rPr>
        <w:t xml:space="preserve">[29]. The same conclusion was reached via a different line of reasoning by Abbott [30]. Barrow and Magueijo have also pointed out </w:t>
      </w:r>
      <w:r w:rsidRPr="00115CF5">
        <w:rPr>
          <w:rFonts w:ascii="Book Antiqua" w:hAnsi="Book Antiqua"/>
          <w:i/>
          <w:sz w:val="20"/>
        </w:rPr>
        <w:t xml:space="preserve">“If </w:t>
      </w:r>
      <m:oMath>
        <m:r>
          <w:rPr>
            <w:rFonts w:ascii="Cambria Math" w:hAnsi="Cambria Math"/>
            <w:sz w:val="18"/>
            <w:szCs w:val="18"/>
          </w:rPr>
          <m:t>Λ</m:t>
        </m:r>
        <m:r>
          <w:rPr>
            <w:rFonts w:ascii="Cambria Math" w:hAnsi="Book Antiqua"/>
            <w:sz w:val="18"/>
            <w:szCs w:val="18"/>
          </w:rPr>
          <m:t xml:space="preserve"> &gt; 0</m:t>
        </m:r>
      </m:oMath>
      <w:r w:rsidRPr="00115CF5">
        <w:rPr>
          <w:rFonts w:ascii="Book Antiqua" w:hAnsi="Book Antiqua"/>
          <w:i/>
          <w:sz w:val="20"/>
        </w:rPr>
        <w:t xml:space="preserve">, then cosmology faces a very serious fine-tuning problem…There is no theoretical motivation for a value of </w:t>
      </w:r>
      <m:oMath>
        <m:r>
          <w:rPr>
            <w:rFonts w:ascii="Cambria Math" w:hAnsi="Cambria Math"/>
            <w:sz w:val="18"/>
            <w:szCs w:val="18"/>
          </w:rPr>
          <m:t>Λ</m:t>
        </m:r>
      </m:oMath>
      <w:r w:rsidRPr="00115CF5">
        <w:rPr>
          <w:rFonts w:ascii="Book Antiqua" w:hAnsi="Book Antiqua"/>
          <w:i/>
          <w:sz w:val="20"/>
        </w:rPr>
        <w:t xml:space="preserve"> of currently observable magnitude …”</w:t>
      </w:r>
      <w:r w:rsidRPr="00115CF5">
        <w:rPr>
          <w:rFonts w:ascii="Book Antiqua" w:hAnsi="Book Antiqua"/>
          <w:sz w:val="20"/>
        </w:rPr>
        <w:t xml:space="preserve"> [31]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More recently, Greene noted that </w:t>
      </w:r>
      <w:r w:rsidRPr="00115CF5">
        <w:rPr>
          <w:rFonts w:ascii="Book Antiqua" w:hAnsi="Book Antiqua"/>
          <w:i/>
          <w:sz w:val="20"/>
        </w:rPr>
        <w:t>“…the cosmological constant can be interpreted as a kind of overall energy stored in the vacuum of space, and hence its value should be theoretically calculable and experimentally measurable. But, to date, such calculations and measurements lead to a colossal mismatch: Observations show that the cosmological constant is either zero (as Einstein ultimately suggested) or quite small; calculations [based on QED theory] indicate that quantum-mechanical fluctuations in the vacuum of empty space tend to generate a nonzero cosmological constant whose value is some 120 orders of magnitude larger than experiment allows!”</w:t>
      </w:r>
      <w:r w:rsidRPr="00115CF5">
        <w:rPr>
          <w:rFonts w:ascii="Book Antiqua" w:hAnsi="Book Antiqua"/>
          <w:sz w:val="20"/>
        </w:rPr>
        <w:t xml:space="preserve"> [32]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The situation has not changed since Greene made his comments, since similar statements occur in a discussion of the subject in New Scientist, 18</w:t>
      </w:r>
      <w:r w:rsidRPr="00115CF5">
        <w:rPr>
          <w:rFonts w:ascii="Book Antiqua" w:hAnsi="Book Antiqua"/>
          <w:sz w:val="20"/>
          <w:vertAlign w:val="superscript"/>
        </w:rPr>
        <w:t>th</w:t>
      </w:r>
      <w:r w:rsidRPr="00115CF5">
        <w:rPr>
          <w:rFonts w:ascii="Book Antiqua" w:hAnsi="Book Antiqua"/>
          <w:sz w:val="20"/>
        </w:rPr>
        <w:t xml:space="preserve"> February, 2012, pp. 34-37 in an article titled “Vacuum Packed”. This seems to indicate that the cause of the problem may be found either in the QED approach, General Relativity or both.  Their approaches to this are entirely theoretical. In contrast, the SED approach to the ZPE does not require it to exert a pressure on the vacuum. This seems to be in keeping with the observational evidence which shows that the cosmological constant equals zero. </w:t>
      </w:r>
    </w:p>
    <w:p w:rsidR="00AC4336" w:rsidRPr="00115CF5" w:rsidRDefault="00AC4336" w:rsidP="00AC4336">
      <w:pPr>
        <w:pStyle w:val="NoSpacing"/>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In summary, </w:t>
      </w:r>
      <m:oMath>
        <m:r>
          <w:rPr>
            <w:rFonts w:ascii="Cambria Math" w:hAnsi="Cambria Math"/>
            <w:sz w:val="18"/>
            <w:szCs w:val="18"/>
          </w:rPr>
          <m:t>Λ</m:t>
        </m:r>
      </m:oMath>
      <w:r w:rsidRPr="00115CF5">
        <w:rPr>
          <w:rFonts w:ascii="Book Antiqua" w:hAnsi="Book Antiqua"/>
          <w:sz w:val="20"/>
        </w:rPr>
        <w:t xml:space="preserve"> represents a kind of vacuum energy and, as such, it has become the General Relativity’s rival concept to SED's Zero Point Energy.  What needs to be remembered is that the observational evidence indicates the </w:t>
      </w:r>
      <w:r w:rsidR="00AD7B89">
        <w:rPr>
          <w:rFonts w:ascii="Book Antiqua" w:hAnsi="Book Antiqua"/>
          <w:sz w:val="20"/>
        </w:rPr>
        <w:t xml:space="preserve">Zero Point Energy is a reality, whereas the </w:t>
      </w:r>
      <w:r w:rsidRPr="00115CF5">
        <w:rPr>
          <w:rFonts w:ascii="Book Antiqua" w:hAnsi="Book Antiqua"/>
          <w:sz w:val="20"/>
        </w:rPr>
        <w:t xml:space="preserve">cosmological constant </w:t>
      </w:r>
      <w:r w:rsidR="00AD7B89">
        <w:rPr>
          <w:rFonts w:ascii="Book Antiqua" w:hAnsi="Book Antiqua"/>
          <w:sz w:val="20"/>
        </w:rPr>
        <w:t xml:space="preserve">may </w:t>
      </w:r>
      <w:r w:rsidRPr="00AD7B89">
        <w:rPr>
          <w:rFonts w:ascii="Book Antiqua" w:hAnsi="Book Antiqua"/>
          <w:sz w:val="20"/>
        </w:rPr>
        <w:t>not even exist</w:t>
      </w:r>
      <w:r w:rsidR="00AD7B89">
        <w:rPr>
          <w:rFonts w:ascii="Book Antiqua" w:hAnsi="Book Antiqua"/>
          <w:sz w:val="20"/>
        </w:rPr>
        <w:t>.</w:t>
      </w:r>
      <w:r w:rsidRPr="00115CF5">
        <w:rPr>
          <w:rFonts w:ascii="Book Antiqua" w:hAnsi="Book Antiqua"/>
          <w:sz w:val="20"/>
        </w:rPr>
        <w:t xml:space="preserve"> </w:t>
      </w:r>
    </w:p>
    <w:p w:rsidR="00AD7B89" w:rsidRPr="00115CF5" w:rsidRDefault="00AD7B89" w:rsidP="00AC4336">
      <w:pPr>
        <w:pStyle w:val="NoSpacing"/>
        <w:ind w:firstLine="720"/>
        <w:jc w:val="both"/>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Default="00AC4336" w:rsidP="00AC4336">
      <w:pPr>
        <w:pStyle w:val="Heading1"/>
        <w:keepLines/>
        <w:widowControl/>
        <w:numPr>
          <w:ilvl w:val="0"/>
          <w:numId w:val="17"/>
        </w:numPr>
        <w:spacing w:before="0" w:after="120" w:line="240" w:lineRule="atLeast"/>
        <w:ind w:left="274" w:hanging="274"/>
        <w:rPr>
          <w:rFonts w:ascii="Book Antiqua" w:hAnsi="Book Antiqua" w:cs="Times New Roman"/>
          <w:sz w:val="20"/>
          <w:szCs w:val="20"/>
        </w:rPr>
      </w:pPr>
      <w:r w:rsidRPr="00115CF5">
        <w:rPr>
          <w:rFonts w:ascii="Book Antiqua" w:hAnsi="Book Antiqua" w:cs="Times New Roman"/>
          <w:sz w:val="20"/>
          <w:szCs w:val="20"/>
        </w:rPr>
        <w:lastRenderedPageBreak/>
        <w:t>The Cosmos and Origin of the ZPE</w:t>
      </w:r>
    </w:p>
    <w:p w:rsidR="00AD7B89" w:rsidRPr="00AD7B89" w:rsidRDefault="00AD7B89" w:rsidP="00AD7B89"/>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Discerning the Origin of the Zero Point Energy</w:t>
      </w:r>
    </w:p>
    <w:p w:rsidR="00AC4336" w:rsidRPr="00115CF5" w:rsidRDefault="00AC4336" w:rsidP="00AC4336">
      <w:pPr>
        <w:ind w:left="360"/>
        <w:rPr>
          <w:rFonts w:ascii="Book Antiqua" w:hAnsi="Book Antiqua"/>
        </w:rPr>
      </w:pPr>
    </w:p>
    <w:p w:rsidR="00AC4336" w:rsidRPr="00115CF5" w:rsidRDefault="00AC4336" w:rsidP="00946CF0">
      <w:pPr>
        <w:pStyle w:val="NoSpacing"/>
        <w:ind w:firstLine="720"/>
        <w:jc w:val="both"/>
        <w:rPr>
          <w:rFonts w:ascii="Book Antiqua" w:hAnsi="Book Antiqua"/>
          <w:sz w:val="20"/>
        </w:rPr>
      </w:pPr>
      <w:r w:rsidRPr="00115CF5">
        <w:rPr>
          <w:rFonts w:ascii="Book Antiqua" w:hAnsi="Book Antiqua"/>
          <w:sz w:val="20"/>
        </w:rPr>
        <w:t>Stochastic Electrodynamics presents an origin for the ZPE independent of the cosmological constant. Puthoff noted that SED physics has two current explanations for the origin of the ZPE. [33] They were assessed as follows</w:t>
      </w:r>
      <w:r w:rsidRPr="00115CF5">
        <w:rPr>
          <w:rFonts w:ascii="Book Antiqua" w:hAnsi="Book Antiqua"/>
          <w:i/>
          <w:sz w:val="20"/>
        </w:rPr>
        <w:t xml:space="preserve">: “The first explanation … is that the zero-point energy was fixed arbitrarily at the birth of the Universe, as part of its so-called boundary conditions.” </w:t>
      </w:r>
      <w:r w:rsidRPr="00115CF5">
        <w:rPr>
          <w:rFonts w:ascii="Book Antiqua" w:hAnsi="Book Antiqua"/>
          <w:sz w:val="20"/>
        </w:rPr>
        <w:t xml:space="preserve">[34] A second school of thought proposes that </w:t>
      </w:r>
      <w:r w:rsidRPr="00115CF5">
        <w:rPr>
          <w:rFonts w:ascii="Book Antiqua" w:hAnsi="Book Antiqua"/>
          <w:i/>
          <w:sz w:val="20"/>
        </w:rPr>
        <w:t>“the sum of all particle motions throughout the Universe generates the zero-point fields”</w:t>
      </w:r>
      <w:r w:rsidRPr="00115CF5">
        <w:rPr>
          <w:rFonts w:ascii="Book Antiqua" w:hAnsi="Book Antiqua"/>
          <w:sz w:val="20"/>
        </w:rPr>
        <w:t xml:space="preserve"> and that, in turn, </w:t>
      </w:r>
      <w:r w:rsidRPr="00115CF5">
        <w:rPr>
          <w:rFonts w:ascii="Book Antiqua" w:hAnsi="Book Antiqua"/>
          <w:i/>
          <w:sz w:val="20"/>
        </w:rPr>
        <w:t>“the zero-point fields drive the motion of all particles of matter in the Universe … as a self-regenerating cosmological feedback cycle.”</w:t>
      </w:r>
      <w:r w:rsidRPr="00115CF5">
        <w:rPr>
          <w:rFonts w:ascii="Book Antiqua" w:hAnsi="Book Antiqua"/>
          <w:sz w:val="20"/>
        </w:rPr>
        <w:t xml:space="preserve"> [34]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The second explanation above presents the concept that, somewhat similar to the QED explanation, the ZPE and particles (both atomic and virtual) require a mutual existence as they are involved in a feedback cycle. Several papers have capably demonstrated that this feedback mechanism can maintain the presence of the ZPE, but only once it has formed.  This, however, avoids the question of its origin. Since Puthoff has shown that the ZPE is required to maintain atomic structures across the cosmos, [35], it becomes difficult to envisage how atomic structures emerged in the first place via a feedback mechanism. </w:t>
      </w:r>
    </w:p>
    <w:p w:rsidR="00AC4336" w:rsidRPr="00115CF5" w:rsidRDefault="00AC4336" w:rsidP="00AC4336">
      <w:pPr>
        <w:pStyle w:val="NoSpacing"/>
        <w:jc w:val="both"/>
        <w:rPr>
          <w:rFonts w:ascii="Book Antiqua" w:hAnsi="Book Antiqua"/>
          <w:sz w:val="20"/>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first SED explanation, that both the existence and strength of  the ZPE was arbitrarily fixed initially, is viable, avoiding the problems presented by the other two explanations, but does nothing to explain the cause of its presence.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Cosmic Expansion and the Zero Point Energy</w:t>
      </w:r>
    </w:p>
    <w:p w:rsidR="00AC4336" w:rsidRPr="00115CF5" w:rsidRDefault="00AC4336" w:rsidP="00AC4336">
      <w:pPr>
        <w:pStyle w:val="Heading2"/>
        <w:spacing w:before="80" w:after="80" w:line="240" w:lineRule="atLeast"/>
        <w:ind w:left="360"/>
        <w:rPr>
          <w:rFonts w:ascii="Book Antiqua" w:hAnsi="Book Antiqua" w:cs="Times New Roman"/>
          <w:b w:val="0"/>
          <w:sz w:val="20"/>
          <w:szCs w:val="20"/>
        </w:rPr>
      </w:pPr>
      <w:r w:rsidRPr="00115CF5">
        <w:rPr>
          <w:rFonts w:ascii="Book Antiqua" w:hAnsi="Book Antiqua" w:cs="Times New Roman"/>
          <w:b w:val="0"/>
          <w:sz w:val="20"/>
          <w:szCs w:val="20"/>
        </w:rPr>
        <w:t xml:space="preserve"> </w:t>
      </w: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 xml:space="preserve">There are very few cosmological models which do not admit to an early rapid expansion of the cosmos.  The initial rapid expansion of the universe is accepted here as being indicated by the Cosmic Microwave Background Radiation (CMBR). This is viable since, no matter what cosmological model one chooses, the ratio of the time from the origin of the universe to the presence of the CMBR is very, very small compared to the total age. This evidence is also accepted by most major models.  As will be presented later, there is also strong evidence that the universe is no longer expanding, but rather oscillating slightly, somewhat like what we see with a water balloon on a plate which is jarred a little.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small oscillations of the now static universe were shown to be a necessary feature by Narlikar and Arp in 1993. They demonstrated that a static universe containing matter would be stable against collapse, but there would be a slight oscillation in size [28]. This is </w:t>
      </w:r>
      <w:r w:rsidR="007005C4">
        <w:rPr>
          <w:rFonts w:ascii="Book Antiqua" w:hAnsi="Book Antiqua"/>
          <w:sz w:val="20"/>
        </w:rPr>
        <w:t>also</w:t>
      </w:r>
      <w:r w:rsidRPr="00115CF5">
        <w:rPr>
          <w:rFonts w:ascii="Book Antiqua" w:hAnsi="Book Antiqua"/>
          <w:sz w:val="20"/>
        </w:rPr>
        <w:t xml:space="preserve"> accepted here</w:t>
      </w:r>
      <w:r w:rsidR="007005C4">
        <w:rPr>
          <w:rFonts w:ascii="Book Antiqua" w:hAnsi="Book Antiqua"/>
          <w:sz w:val="20"/>
        </w:rPr>
        <w:t>. Consequently, the model which seems to best accord with observation is that</w:t>
      </w:r>
      <w:r w:rsidRPr="00115CF5">
        <w:rPr>
          <w:rFonts w:ascii="Book Antiqua" w:hAnsi="Book Antiqua"/>
          <w:sz w:val="20"/>
        </w:rPr>
        <w:t xml:space="preserve"> there was an initial rapid expansion of the universe out to a maximum size about which it has</w:t>
      </w:r>
      <w:r w:rsidRPr="00115CF5">
        <w:rPr>
          <w:rFonts w:ascii="Book Antiqua" w:hAnsi="Book Antiqua"/>
          <w:color w:val="FF0000"/>
          <w:sz w:val="20"/>
        </w:rPr>
        <w:t xml:space="preserve"> </w:t>
      </w:r>
      <w:r w:rsidRPr="00115CF5">
        <w:rPr>
          <w:rFonts w:ascii="Book Antiqua" w:hAnsi="Book Antiqua"/>
          <w:sz w:val="20"/>
        </w:rPr>
        <w:t xml:space="preserve">then oscillated. </w:t>
      </w:r>
      <w:r w:rsidR="007005C4">
        <w:rPr>
          <w:rFonts w:ascii="Book Antiqua" w:hAnsi="Book Antiqua"/>
          <w:sz w:val="20"/>
        </w:rPr>
        <w:t>These features, and the evidence for them, are discussed in detail as</w:t>
      </w:r>
      <w:r w:rsidR="004E2FCA">
        <w:rPr>
          <w:rFonts w:ascii="Book Antiqua" w:hAnsi="Book Antiqua"/>
          <w:sz w:val="20"/>
        </w:rPr>
        <w:t xml:space="preserve"> this chapter proceeds.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increase in ZPE strength can be shown to be the result of the initial expansion, stretching, or inflation of the cosmos [36, 38, 39].  The data indicate that ZPE strength, like Planck’s constant, </w:t>
      </w:r>
      <w:r w:rsidRPr="00115CF5">
        <w:rPr>
          <w:rFonts w:ascii="Book Antiqua" w:hAnsi="Book Antiqua"/>
          <w:i/>
          <w:iCs/>
          <w:sz w:val="20"/>
        </w:rPr>
        <w:t>h</w:t>
      </w:r>
      <w:r w:rsidRPr="00115CF5">
        <w:rPr>
          <w:rFonts w:ascii="Book Antiqua" w:hAnsi="Book Antiqua"/>
          <w:sz w:val="20"/>
        </w:rPr>
        <w:t xml:space="preserve">, has increased with time [36, 37]. </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numPr>
          <w:ilvl w:val="1"/>
          <w:numId w:val="17"/>
        </w:numPr>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Expansion, Planck Scale Effects and the ZPE</w:t>
      </w:r>
    </w:p>
    <w:p w:rsidR="00AC4336" w:rsidRPr="00115CF5" w:rsidRDefault="00AC4336" w:rsidP="00AC4336">
      <w:pPr>
        <w:ind w:left="360"/>
        <w:rPr>
          <w:rFonts w:ascii="Book Antiqua" w:hAnsi="Book Antiqua"/>
        </w:rPr>
      </w:pPr>
    </w:p>
    <w:p w:rsidR="00AC4336" w:rsidRPr="00115CF5" w:rsidRDefault="00AC4336" w:rsidP="00D3790F">
      <w:pPr>
        <w:pStyle w:val="NoSpacing"/>
        <w:ind w:firstLine="720"/>
        <w:jc w:val="both"/>
        <w:rPr>
          <w:rFonts w:ascii="Book Antiqua" w:hAnsi="Book Antiqua"/>
          <w:sz w:val="20"/>
        </w:rPr>
      </w:pPr>
      <w:r w:rsidRPr="00115CF5">
        <w:rPr>
          <w:rFonts w:ascii="Book Antiqua" w:hAnsi="Book Antiqua"/>
          <w:sz w:val="20"/>
        </w:rPr>
        <w:t>The expansion or stretching of the fabric of space resulted in a tension, or force, being manifest in what is referred to as the “fabric of space” on the Planck Scale.</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1983, F. M. Pipkin and R. C. Ritter pointed out that </w:t>
      </w:r>
      <w:r w:rsidRPr="00115CF5">
        <w:rPr>
          <w:rFonts w:ascii="Book Antiqua" w:hAnsi="Book Antiqua"/>
          <w:i/>
          <w:sz w:val="20"/>
        </w:rPr>
        <w:t>“the Planck length is a length at which the smoothness of space breaks down, and space assumes a granular structure.”</w:t>
      </w:r>
      <w:r w:rsidRPr="00115CF5">
        <w:rPr>
          <w:rFonts w:ascii="Book Antiqua" w:hAnsi="Book Antiqua"/>
          <w:sz w:val="20"/>
        </w:rPr>
        <w:t xml:space="preserve"> [40] The structure of the vacuum at the Planck length,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sz w:val="20"/>
        </w:rPr>
        <w:t xml:space="preserve">, of </w:t>
      </w:r>
      <m:oMath>
        <m:sSup>
          <m:sSupPr>
            <m:ctrlPr>
              <w:rPr>
                <w:rFonts w:ascii="Cambria Math" w:hAnsi="Book Antiqua"/>
                <w:i/>
                <w:sz w:val="18"/>
                <w:szCs w:val="18"/>
              </w:rPr>
            </m:ctrlPr>
          </m:sSupPr>
          <m:e>
            <m:r>
              <w:rPr>
                <w:rFonts w:ascii="Cambria Math" w:hAnsi="Book Antiqua"/>
                <w:sz w:val="18"/>
                <w:szCs w:val="18"/>
              </w:rPr>
              <m:t>10</m:t>
            </m:r>
          </m:e>
          <m:sup>
            <m:r>
              <w:rPr>
                <w:rFonts w:ascii="Cambria Math" w:hAnsi="Book Antiqua"/>
                <w:sz w:val="18"/>
                <w:szCs w:val="18"/>
              </w:rPr>
              <m:t>-</m:t>
            </m:r>
            <m:r>
              <w:rPr>
                <w:rFonts w:ascii="Cambria Math" w:hAnsi="Book Antiqua"/>
                <w:sz w:val="18"/>
                <w:szCs w:val="18"/>
              </w:rPr>
              <m:t>35</m:t>
            </m:r>
          </m:sup>
        </m:sSup>
      </m:oMath>
      <w:r w:rsidRPr="00115CF5">
        <w:rPr>
          <w:rFonts w:ascii="Book Antiqua" w:hAnsi="Book Antiqua"/>
          <w:sz w:val="20"/>
        </w:rPr>
        <w:t xml:space="preserve"> meters</w:t>
      </w:r>
      <w:r w:rsidRPr="00115CF5">
        <w:rPr>
          <w:rFonts w:ascii="Book Antiqua" w:hAnsi="Book Antiqua"/>
          <w:sz w:val="20"/>
          <w:vertAlign w:val="subscript"/>
        </w:rPr>
        <w:t xml:space="preserve"> </w:t>
      </w:r>
      <w:r w:rsidRPr="00115CF5">
        <w:rPr>
          <w:rFonts w:ascii="Book Antiqua" w:hAnsi="Book Antiqua"/>
          <w:sz w:val="20"/>
        </w:rPr>
        <w:t xml:space="preserve">has been called the </w:t>
      </w:r>
      <w:r w:rsidRPr="00115CF5">
        <w:rPr>
          <w:rFonts w:ascii="Book Antiqua" w:hAnsi="Book Antiqua"/>
          <w:i/>
          <w:sz w:val="20"/>
        </w:rPr>
        <w:t>"fabric of space"</w:t>
      </w:r>
      <w:r w:rsidRPr="00115CF5">
        <w:rPr>
          <w:rFonts w:ascii="Book Antiqua" w:hAnsi="Book Antiqua"/>
          <w:sz w:val="20"/>
        </w:rPr>
        <w:t xml:space="preserve"> by Brian Greene [41].</w:t>
      </w:r>
      <w:r w:rsidRPr="00115CF5">
        <w:rPr>
          <w:rFonts w:ascii="Book Antiqua" w:hAnsi="Book Antiqua"/>
          <w:color w:val="FF0000"/>
          <w:sz w:val="20"/>
        </w:rPr>
        <w:t xml:space="preserve"> </w:t>
      </w:r>
      <w:r w:rsidRPr="00115CF5">
        <w:rPr>
          <w:rFonts w:ascii="Book Antiqua" w:hAnsi="Book Antiqua"/>
          <w:sz w:val="20"/>
        </w:rPr>
        <w:t xml:space="preserve"> </w:t>
      </w:r>
    </w:p>
    <w:p w:rsidR="00AC4336" w:rsidRDefault="00AC4336" w:rsidP="00AC4336">
      <w:pPr>
        <w:pStyle w:val="NoSpacing"/>
        <w:jc w:val="both"/>
        <w:rPr>
          <w:rFonts w:ascii="Book Antiqua" w:hAnsi="Book Antiqua"/>
          <w:sz w:val="20"/>
        </w:rPr>
      </w:pPr>
    </w:p>
    <w:p w:rsidR="00F875A1" w:rsidRDefault="00F875A1" w:rsidP="00F875A1">
      <w:pPr>
        <w:pStyle w:val="NoSpacing"/>
        <w:ind w:firstLine="720"/>
        <w:jc w:val="both"/>
        <w:rPr>
          <w:rFonts w:ascii="Book Antiqua" w:hAnsi="Book Antiqua"/>
          <w:sz w:val="20"/>
        </w:rPr>
      </w:pPr>
      <w:r w:rsidRPr="00115CF5">
        <w:rPr>
          <w:rFonts w:ascii="Book Antiqua" w:hAnsi="Book Antiqua"/>
          <w:sz w:val="20"/>
        </w:rPr>
        <w:lastRenderedPageBreak/>
        <w:t xml:space="preserve">Under a sidebar that reads </w:t>
      </w:r>
      <w:r w:rsidRPr="00115CF5">
        <w:rPr>
          <w:rFonts w:ascii="Book Antiqua" w:hAnsi="Book Antiqua"/>
          <w:b/>
          <w:i/>
          <w:sz w:val="20"/>
        </w:rPr>
        <w:t>“Breakdown of smoothness of spacetime at Planck length”</w:t>
      </w:r>
      <w:r w:rsidRPr="00115CF5">
        <w:rPr>
          <w:rFonts w:ascii="Book Antiqua" w:hAnsi="Book Antiqua"/>
          <w:sz w:val="20"/>
        </w:rPr>
        <w:t xml:space="preserve"> Misner, Thorne and Wheeler comment that this lack of smoothness </w:t>
      </w:r>
      <w:r w:rsidRPr="00115CF5">
        <w:rPr>
          <w:rFonts w:ascii="Book Antiqua" w:hAnsi="Book Antiqua"/>
          <w:i/>
          <w:sz w:val="20"/>
        </w:rPr>
        <w:t>“give[s] space at [</w:t>
      </w:r>
      <m:oMath>
        <m:sSub>
          <m:sSubPr>
            <m:ctrlPr>
              <w:rPr>
                <w:rFonts w:ascii="Cambria Math" w:hAnsi="Book Antiqua"/>
                <w:i/>
                <w:sz w:val="18"/>
                <w:szCs w:val="18"/>
              </w:rPr>
            </m:ctrlPr>
          </m:sSubPr>
          <m:e>
            <m:r>
              <w:rPr>
                <w:rFonts w:ascii="Cambria Math" w:hAnsi="Cambria Math"/>
                <w:sz w:val="18"/>
                <w:szCs w:val="18"/>
              </w:rPr>
              <m:t>L</m:t>
            </m:r>
          </m:e>
          <m:sub>
            <m:r>
              <w:rPr>
                <w:rFonts w:ascii="Cambria Math" w:hAnsi="Cambria Math"/>
                <w:sz w:val="18"/>
                <w:szCs w:val="18"/>
              </w:rPr>
              <m:t>p</m:t>
            </m:r>
          </m:sub>
        </m:sSub>
      </m:oMath>
      <w:r w:rsidRPr="00115CF5">
        <w:rPr>
          <w:rFonts w:ascii="Book Antiqua" w:hAnsi="Book Antiqua"/>
          <w:i/>
          <w:sz w:val="20"/>
        </w:rPr>
        <w:t>] distances a ‘multiply connected’ or ‘foamlike’ character.”</w:t>
      </w:r>
      <w:r w:rsidRPr="00115CF5">
        <w:rPr>
          <w:rFonts w:ascii="Book Antiqua" w:hAnsi="Book Antiqua"/>
          <w:sz w:val="20"/>
        </w:rPr>
        <w:t xml:space="preserve"> [42] For quantum physicists this granular structure does consist of a sort of 'quantum foam' [43]. This is illustrated in Figure 4.</w:t>
      </w:r>
      <w:r>
        <w:rPr>
          <w:rFonts w:ascii="Book Antiqua" w:hAnsi="Book Antiqua"/>
          <w:sz w:val="20"/>
        </w:rPr>
        <w:t xml:space="preserve"> On the other hand, some, like Brian Greene, consider it to be similar to crinkly foil as shown in Figure 5.</w:t>
      </w:r>
    </w:p>
    <w:p w:rsidR="00663629" w:rsidRPr="00115CF5" w:rsidRDefault="00663629" w:rsidP="00F875A1">
      <w:pPr>
        <w:pStyle w:val="NoSpacing"/>
        <w:ind w:firstLine="720"/>
        <w:jc w:val="both"/>
        <w:rPr>
          <w:rFonts w:ascii="Book Antiqua" w:hAnsi="Book Antiqua"/>
          <w:sz w:val="20"/>
        </w:rPr>
      </w:pPr>
    </w:p>
    <w:p w:rsidR="00F875A1" w:rsidRPr="00115CF5" w:rsidRDefault="00F875A1" w:rsidP="00AC4336">
      <w:pPr>
        <w:pStyle w:val="NoSpacing"/>
        <w:jc w:val="both"/>
        <w:rPr>
          <w:rFonts w:ascii="Book Antiqua" w:hAnsi="Book Antiqua"/>
          <w:sz w:val="20"/>
        </w:rPr>
      </w:pPr>
    </w:p>
    <w:p w:rsidR="00AC4336"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6328437" cy="2819400"/>
            <wp:effectExtent l="19050" t="0" r="0" b="0"/>
            <wp:docPr id="598" name="il_fi" descr="http://www.zamandayolculuk.com/cetinbal/AE/E_Vacuum-bubling-scale-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zamandayolculuk.com/cetinbal/AE/E_Vacuum-bubling-scale-02.gif"/>
                    <pic:cNvPicPr>
                      <a:picLocks noChangeAspect="1" noChangeArrowheads="1"/>
                    </pic:cNvPicPr>
                  </pic:nvPicPr>
                  <pic:blipFill>
                    <a:blip r:embed="rId52" cstate="print"/>
                    <a:srcRect t="57084" r="-23"/>
                    <a:stretch>
                      <a:fillRect/>
                    </a:stretch>
                  </pic:blipFill>
                  <pic:spPr bwMode="auto">
                    <a:xfrm>
                      <a:off x="0" y="0"/>
                      <a:ext cx="6328437" cy="2819400"/>
                    </a:xfrm>
                    <a:prstGeom prst="rect">
                      <a:avLst/>
                    </a:prstGeom>
                    <a:noFill/>
                    <a:ln w="9525">
                      <a:noFill/>
                      <a:miter lim="800000"/>
                      <a:headEnd/>
                      <a:tailEnd/>
                    </a:ln>
                  </pic:spPr>
                </pic:pic>
              </a:graphicData>
            </a:graphic>
          </wp:inline>
        </w:drawing>
      </w:r>
    </w:p>
    <w:p w:rsidR="00B34819" w:rsidRPr="00115CF5" w:rsidRDefault="00B34819" w:rsidP="00AC4336">
      <w:pPr>
        <w:pStyle w:val="NoSpacing"/>
        <w:jc w:val="center"/>
        <w:rPr>
          <w:rFonts w:ascii="Book Antiqua" w:hAnsi="Book Antiqua"/>
          <w:sz w:val="20"/>
        </w:rPr>
      </w:pPr>
    </w:p>
    <w:p w:rsidR="00AC4336" w:rsidRDefault="00AC4336" w:rsidP="00947595">
      <w:pPr>
        <w:pStyle w:val="NoSpacing"/>
        <w:rPr>
          <w:rFonts w:ascii="Book Antiqua" w:hAnsi="Book Antiqua"/>
          <w:sz w:val="20"/>
        </w:rPr>
      </w:pPr>
      <w:r w:rsidRPr="00A3114D">
        <w:rPr>
          <w:rFonts w:ascii="Book Antiqua" w:hAnsi="Book Antiqua"/>
          <w:b/>
          <w:i/>
          <w:sz w:val="18"/>
          <w:szCs w:val="18"/>
        </w:rPr>
        <w:t>Figure 4:</w:t>
      </w:r>
      <w:r w:rsidRPr="00A3114D">
        <w:rPr>
          <w:rFonts w:ascii="Book Antiqua" w:hAnsi="Book Antiqua"/>
          <w:i/>
          <w:sz w:val="18"/>
          <w:szCs w:val="18"/>
        </w:rPr>
        <w:t xml:space="preserve"> As increasingly smaller lengths of space are considered, the vacuum becomes rougher. At the Planck length</w:t>
      </w:r>
      <w:r w:rsidR="00AC608D" w:rsidRPr="00A3114D">
        <w:rPr>
          <w:rFonts w:ascii="Book Antiqua" w:hAnsi="Book Antiqua"/>
          <w:i/>
          <w:sz w:val="18"/>
          <w:szCs w:val="18"/>
        </w:rPr>
        <w:t>,</w:t>
      </w:r>
      <w:r w:rsidRPr="00A3114D">
        <w:rPr>
          <w:rFonts w:ascii="Book Antiqua" w:hAnsi="Book Antiqua"/>
          <w:i/>
          <w:sz w:val="18"/>
          <w:szCs w:val="18"/>
        </w:rPr>
        <w:t xml:space="preserve"> shown by the bottom diagram</w:t>
      </w:r>
      <w:r w:rsidR="00AC608D" w:rsidRPr="00A3114D">
        <w:rPr>
          <w:rFonts w:ascii="Book Antiqua" w:hAnsi="Book Antiqua"/>
          <w:i/>
          <w:sz w:val="18"/>
          <w:szCs w:val="18"/>
        </w:rPr>
        <w:t>,</w:t>
      </w:r>
      <w:r w:rsidRPr="00A3114D">
        <w:rPr>
          <w:rFonts w:ascii="Book Antiqua" w:hAnsi="Book Antiqua"/>
          <w:i/>
          <w:sz w:val="18"/>
          <w:szCs w:val="18"/>
        </w:rPr>
        <w:t xml:space="preserve"> the fabric of space is thought by some to break down into a foam-like structure.</w:t>
      </w:r>
      <w:r w:rsidR="00947595" w:rsidRPr="00A3114D">
        <w:rPr>
          <w:rFonts w:ascii="Book Antiqua" w:hAnsi="Book Antiqua"/>
          <w:i/>
          <w:sz w:val="18"/>
          <w:szCs w:val="18"/>
        </w:rPr>
        <w:t xml:space="preserve"> O</w:t>
      </w:r>
      <w:r w:rsidRPr="00A3114D">
        <w:rPr>
          <w:rFonts w:ascii="Book Antiqua" w:hAnsi="Book Antiqua"/>
          <w:i/>
          <w:sz w:val="20"/>
        </w:rPr>
        <w:t>hers, like Brian Greene, suggest that the fabric of space is “crinkly,” rather like crumpled foil, and may look something like Figure 5</w:t>
      </w:r>
      <w:r w:rsidRPr="00115CF5">
        <w:rPr>
          <w:rFonts w:ascii="Book Antiqua" w:hAnsi="Book Antiqua"/>
          <w:sz w:val="20"/>
        </w:rPr>
        <w:t>.</w:t>
      </w:r>
    </w:p>
    <w:p w:rsidR="00B34819" w:rsidRDefault="00B34819" w:rsidP="00947595">
      <w:pPr>
        <w:pStyle w:val="NoSpacing"/>
        <w:rPr>
          <w:rFonts w:ascii="Book Antiqua" w:hAnsi="Book Antiqua"/>
          <w:sz w:val="20"/>
        </w:rPr>
      </w:pP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center"/>
        <w:rPr>
          <w:rFonts w:ascii="Book Antiqua" w:hAnsi="Book Antiqua"/>
          <w:sz w:val="20"/>
        </w:rPr>
      </w:pPr>
      <w:r w:rsidRPr="00115CF5">
        <w:rPr>
          <w:rFonts w:ascii="Book Antiqua" w:hAnsi="Book Antiqua"/>
          <w:noProof/>
          <w:sz w:val="20"/>
        </w:rPr>
        <w:drawing>
          <wp:inline distT="0" distB="0" distL="0" distR="0">
            <wp:extent cx="4486275" cy="2678372"/>
            <wp:effectExtent l="19050" t="0" r="9525" b="0"/>
            <wp:docPr id="597" name="Picture 1" descr="http://sdsu-physics.org/physics180/physics180A/units/unit2/images_unit2/quantum_f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u-physics.org/physics180/physics180A/units/unit2/images_unit2/quantum_foam.jpg"/>
                    <pic:cNvPicPr>
                      <a:picLocks noChangeAspect="1" noChangeArrowheads="1"/>
                    </pic:cNvPicPr>
                  </pic:nvPicPr>
                  <pic:blipFill>
                    <a:blip r:embed="rId53" cstate="print"/>
                    <a:srcRect l="4819" t="5226" r="6285" b="18100"/>
                    <a:stretch>
                      <a:fillRect/>
                    </a:stretch>
                  </pic:blipFill>
                  <pic:spPr bwMode="auto">
                    <a:xfrm>
                      <a:off x="0" y="0"/>
                      <a:ext cx="4504333" cy="2689153"/>
                    </a:xfrm>
                    <a:prstGeom prst="rect">
                      <a:avLst/>
                    </a:prstGeom>
                    <a:noFill/>
                    <a:ln w="9525">
                      <a:noFill/>
                      <a:miter lim="800000"/>
                      <a:headEnd/>
                      <a:tailEnd/>
                    </a:ln>
                  </pic:spPr>
                </pic:pic>
              </a:graphicData>
            </a:graphic>
          </wp:inline>
        </w:drawing>
      </w:r>
    </w:p>
    <w:p w:rsidR="00AC4336" w:rsidRPr="00115CF5" w:rsidRDefault="00AC4336" w:rsidP="00AC4336">
      <w:pPr>
        <w:pStyle w:val="NoSpacing"/>
        <w:jc w:val="both"/>
        <w:rPr>
          <w:rFonts w:ascii="Book Antiqua" w:hAnsi="Book Antiqua"/>
          <w:sz w:val="20"/>
        </w:rPr>
      </w:pPr>
    </w:p>
    <w:p w:rsidR="00AC4336" w:rsidRPr="00A3114D" w:rsidRDefault="00AC4336" w:rsidP="0002002F">
      <w:pPr>
        <w:pStyle w:val="NoSpacing"/>
        <w:jc w:val="center"/>
        <w:rPr>
          <w:rFonts w:ascii="Book Antiqua" w:hAnsi="Book Antiqua"/>
          <w:i/>
          <w:sz w:val="18"/>
          <w:szCs w:val="18"/>
        </w:rPr>
      </w:pPr>
      <w:r w:rsidRPr="00A3114D">
        <w:rPr>
          <w:rFonts w:ascii="Book Antiqua" w:hAnsi="Book Antiqua"/>
          <w:b/>
          <w:i/>
          <w:sz w:val="18"/>
          <w:szCs w:val="18"/>
        </w:rPr>
        <w:t>Figure 5:</w:t>
      </w:r>
      <w:r w:rsidRPr="00A3114D">
        <w:rPr>
          <w:rFonts w:ascii="Book Antiqua" w:hAnsi="Book Antiqua"/>
          <w:i/>
          <w:sz w:val="18"/>
          <w:szCs w:val="18"/>
        </w:rPr>
        <w:t xml:space="preserve"> As the Planck length is approached in the vacuum, a structure emerges which </w:t>
      </w:r>
      <w:r w:rsidR="00B34819" w:rsidRPr="00A3114D">
        <w:rPr>
          <w:rFonts w:ascii="Book Antiqua" w:hAnsi="Book Antiqua"/>
          <w:i/>
          <w:sz w:val="18"/>
          <w:szCs w:val="18"/>
        </w:rPr>
        <w:t>may be s</w:t>
      </w:r>
      <w:r w:rsidRPr="00A3114D">
        <w:rPr>
          <w:rFonts w:ascii="Book Antiqua" w:hAnsi="Book Antiqua"/>
          <w:i/>
          <w:sz w:val="18"/>
          <w:szCs w:val="18"/>
        </w:rPr>
        <w:t>imilar to crinkly foil.</w:t>
      </w:r>
    </w:p>
    <w:p w:rsidR="00AC4336" w:rsidRPr="00115CF5" w:rsidRDefault="00AC4336" w:rsidP="00AC4336">
      <w:pPr>
        <w:pStyle w:val="NoSpacing"/>
        <w:jc w:val="both"/>
        <w:rPr>
          <w:rFonts w:ascii="Book Antiqua" w:hAnsi="Book Antiqua"/>
          <w:sz w:val="20"/>
        </w:rPr>
      </w:pPr>
    </w:p>
    <w:p w:rsidR="00AD7B89" w:rsidRPr="00AD7B89" w:rsidRDefault="00AC4336" w:rsidP="00AC4336">
      <w:pPr>
        <w:pStyle w:val="NoSpacing"/>
        <w:ind w:firstLine="720"/>
        <w:jc w:val="both"/>
        <w:rPr>
          <w:rFonts w:ascii="Book Antiqua" w:hAnsi="Book Antiqua"/>
          <w:color w:val="FF0000"/>
          <w:sz w:val="20"/>
        </w:rPr>
      </w:pPr>
      <w:r w:rsidRPr="00115CF5">
        <w:rPr>
          <w:rFonts w:ascii="Book Antiqua" w:hAnsi="Book Antiqua"/>
          <w:sz w:val="20"/>
        </w:rPr>
        <w:lastRenderedPageBreak/>
        <w:t>On the other hand, string theorists consider it to consist of rolled up balls of compactified dimensions called Calabi-Yau shapes [41].</w:t>
      </w:r>
      <w:r w:rsidRPr="00115CF5">
        <w:rPr>
          <w:rFonts w:ascii="Book Antiqua" w:hAnsi="Book Antiqua"/>
          <w:color w:val="FF0000"/>
          <w:sz w:val="20"/>
        </w:rPr>
        <w:t xml:space="preserve"> </w:t>
      </w:r>
      <w:r w:rsidRPr="00115CF5">
        <w:rPr>
          <w:rFonts w:ascii="Book Antiqua" w:hAnsi="Book Antiqua"/>
          <w:sz w:val="20"/>
        </w:rPr>
        <w:t xml:space="preserve">This is illustrated in Figure 5. </w:t>
      </w:r>
    </w:p>
    <w:p w:rsidR="00AD7B89" w:rsidRDefault="00AD7B89" w:rsidP="00AC4336">
      <w:pPr>
        <w:pStyle w:val="NoSpacing"/>
        <w:ind w:firstLine="720"/>
        <w:jc w:val="both"/>
        <w:rPr>
          <w:rFonts w:ascii="Book Antiqua" w:hAnsi="Book Antiqua"/>
          <w:sz w:val="20"/>
        </w:rPr>
      </w:pPr>
    </w:p>
    <w:p w:rsidR="00AC4336" w:rsidRDefault="00AC4336" w:rsidP="00AD7B89">
      <w:pPr>
        <w:pStyle w:val="NoSpacing"/>
        <w:ind w:firstLine="720"/>
        <w:jc w:val="both"/>
        <w:rPr>
          <w:rFonts w:ascii="Book Antiqua" w:hAnsi="Book Antiqua"/>
          <w:sz w:val="20"/>
        </w:rPr>
      </w:pPr>
      <w:r w:rsidRPr="00115CF5">
        <w:rPr>
          <w:rFonts w:ascii="Book Antiqua" w:hAnsi="Book Antiqua"/>
          <w:sz w:val="20"/>
        </w:rPr>
        <w:t xml:space="preserve">However it is structured, it is universally agreed that phenomena at the Planck scale are fundamental to our current cosmos. It is therefore at this scale that we need to consider interactions during the initial expansion of the universe. In other words, during expansion, energy was being invested into the fabric of space at its most basic level. In addition, </w:t>
      </w:r>
      <w:r w:rsidR="00AD7B89">
        <w:rPr>
          <w:rFonts w:ascii="Book Antiqua" w:hAnsi="Book Antiqua"/>
          <w:sz w:val="20"/>
        </w:rPr>
        <w:t xml:space="preserve">widely accepted </w:t>
      </w:r>
      <w:r w:rsidRPr="00AD7B89">
        <w:rPr>
          <w:rFonts w:ascii="Book Antiqua" w:hAnsi="Book Antiqua"/>
          <w:sz w:val="20"/>
        </w:rPr>
        <w:t>evidence</w:t>
      </w:r>
      <w:r w:rsidRPr="00115CF5">
        <w:rPr>
          <w:rFonts w:ascii="Book Antiqua" w:hAnsi="Book Antiqua"/>
          <w:sz w:val="20"/>
        </w:rPr>
        <w:t xml:space="preserve"> indicates that extremely high initial temperatures were involved as expansion began.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2A77F9">
      <w:pPr>
        <w:pStyle w:val="NoSpacing"/>
        <w:jc w:val="center"/>
        <w:rPr>
          <w:rFonts w:ascii="Book Antiqua" w:hAnsi="Book Antiqua"/>
          <w:sz w:val="20"/>
        </w:rPr>
      </w:pPr>
      <w:r w:rsidRPr="00115CF5">
        <w:rPr>
          <w:rFonts w:ascii="Book Antiqua" w:hAnsi="Book Antiqua"/>
          <w:noProof/>
          <w:sz w:val="20"/>
        </w:rPr>
        <w:drawing>
          <wp:inline distT="0" distB="0" distL="0" distR="0">
            <wp:extent cx="3901906" cy="3257550"/>
            <wp:effectExtent l="19050" t="0" r="3344" b="0"/>
            <wp:docPr id="596" name="Picture 16" descr="Mathematica Visualization - Calabi-Yau surface from string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hematica Visualization - Calabi-Yau surface from string theory"/>
                    <pic:cNvPicPr>
                      <a:picLocks noChangeAspect="1" noChangeArrowheads="1"/>
                    </pic:cNvPicPr>
                  </pic:nvPicPr>
                  <pic:blipFill>
                    <a:blip r:embed="rId8" cstate="print"/>
                    <a:srcRect/>
                    <a:stretch>
                      <a:fillRect/>
                    </a:stretch>
                  </pic:blipFill>
                  <pic:spPr bwMode="auto">
                    <a:xfrm>
                      <a:off x="0" y="0"/>
                      <a:ext cx="3910292" cy="3264551"/>
                    </a:xfrm>
                    <a:prstGeom prst="rect">
                      <a:avLst/>
                    </a:prstGeom>
                    <a:noFill/>
                    <a:ln w="9525">
                      <a:noFill/>
                      <a:miter lim="800000"/>
                      <a:headEnd/>
                      <a:tailEnd/>
                    </a:ln>
                  </pic:spPr>
                </pic:pic>
              </a:graphicData>
            </a:graphic>
          </wp:inline>
        </w:drawing>
      </w:r>
    </w:p>
    <w:p w:rsidR="00AC4336" w:rsidRPr="00115CF5" w:rsidRDefault="00AC4336" w:rsidP="00AC4336">
      <w:pPr>
        <w:pStyle w:val="NoSpacing"/>
        <w:ind w:firstLine="720"/>
        <w:jc w:val="both"/>
        <w:rPr>
          <w:rFonts w:ascii="Book Antiqua" w:hAnsi="Book Antiqua"/>
          <w:sz w:val="20"/>
        </w:rPr>
      </w:pPr>
    </w:p>
    <w:p w:rsidR="00AC4336" w:rsidRPr="00A3114D" w:rsidRDefault="00AC4336" w:rsidP="00AC4336">
      <w:pPr>
        <w:pStyle w:val="NoSpacing"/>
        <w:rPr>
          <w:rFonts w:ascii="Book Antiqua" w:hAnsi="Book Antiqua"/>
          <w:i/>
          <w:sz w:val="18"/>
          <w:szCs w:val="18"/>
        </w:rPr>
      </w:pPr>
      <w:r w:rsidRPr="00A3114D">
        <w:rPr>
          <w:rFonts w:ascii="Book Antiqua" w:hAnsi="Book Antiqua"/>
          <w:b/>
          <w:i/>
          <w:sz w:val="18"/>
          <w:szCs w:val="18"/>
        </w:rPr>
        <w:t>Figure 6:</w:t>
      </w:r>
      <w:r w:rsidRPr="00A3114D">
        <w:rPr>
          <w:rFonts w:ascii="Book Antiqua" w:hAnsi="Book Antiqua"/>
          <w:i/>
          <w:sz w:val="18"/>
          <w:szCs w:val="18"/>
        </w:rPr>
        <w:t xml:space="preserve"> At the Planck length, the fabric of space according to String Theory is made up of compactified extra dimensions called Calabi-Yau shapes.</w:t>
      </w:r>
      <w:r w:rsidR="00AC608D" w:rsidRPr="00A3114D">
        <w:rPr>
          <w:rFonts w:ascii="Book Antiqua" w:hAnsi="Book Antiqua"/>
          <w:i/>
          <w:sz w:val="18"/>
          <w:szCs w:val="18"/>
        </w:rPr>
        <w:t xml:space="preserve"> These shape</w:t>
      </w:r>
      <w:r w:rsidR="00A3114D">
        <w:rPr>
          <w:rFonts w:ascii="Book Antiqua" w:hAnsi="Book Antiqua"/>
          <w:i/>
          <w:sz w:val="18"/>
          <w:szCs w:val="18"/>
        </w:rPr>
        <w:t>s</w:t>
      </w:r>
      <w:r w:rsidR="00AC608D" w:rsidRPr="00A3114D">
        <w:rPr>
          <w:rFonts w:ascii="Book Antiqua" w:hAnsi="Book Antiqua"/>
          <w:i/>
          <w:sz w:val="18"/>
          <w:szCs w:val="18"/>
        </w:rPr>
        <w:t xml:space="preserve"> would form a lattice in 3 dimensions instead of just </w:t>
      </w:r>
      <w:r w:rsidR="00A3114D">
        <w:rPr>
          <w:rFonts w:ascii="Book Antiqua" w:hAnsi="Book Antiqua"/>
          <w:i/>
          <w:sz w:val="18"/>
          <w:szCs w:val="18"/>
        </w:rPr>
        <w:t>the</w:t>
      </w:r>
      <w:r w:rsidR="00AC608D" w:rsidRPr="00A3114D">
        <w:rPr>
          <w:rFonts w:ascii="Book Antiqua" w:hAnsi="Book Antiqua"/>
          <w:i/>
          <w:sz w:val="18"/>
          <w:szCs w:val="18"/>
        </w:rPr>
        <w:t xml:space="preserve"> two-dimensional </w:t>
      </w:r>
      <w:r w:rsidR="00A3114D">
        <w:rPr>
          <w:rFonts w:ascii="Book Antiqua" w:hAnsi="Book Antiqua"/>
          <w:i/>
          <w:sz w:val="18"/>
          <w:szCs w:val="18"/>
        </w:rPr>
        <w:t xml:space="preserve">structure </w:t>
      </w:r>
      <w:r w:rsidR="006F2EA7" w:rsidRPr="00A3114D">
        <w:rPr>
          <w:rFonts w:ascii="Book Antiqua" w:hAnsi="Book Antiqua"/>
          <w:i/>
          <w:sz w:val="18"/>
          <w:szCs w:val="18"/>
        </w:rPr>
        <w:t>shown here</w:t>
      </w:r>
      <w:r w:rsidR="00AC608D" w:rsidRPr="00A3114D">
        <w:rPr>
          <w:rFonts w:ascii="Book Antiqua" w:hAnsi="Book Antiqua"/>
          <w:i/>
          <w:sz w:val="18"/>
          <w:szCs w:val="18"/>
        </w:rPr>
        <w:t>.</w:t>
      </w:r>
    </w:p>
    <w:p w:rsidR="00D3790F" w:rsidRPr="00115CF5" w:rsidRDefault="00D3790F" w:rsidP="00AC4336">
      <w:pPr>
        <w:pStyle w:val="NoSpacing"/>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In the same way, the enormous tensional energy in the fabric of space that was generated by the expansion, coupled with the extremely high temperatures, would result in the formation of particle-antiparticle pairs. These particle pairs, manifesting at the Planck scale, would be positively and negatively charged so that electrical neutrality of the vacuum would be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Using different approaches, C.H. Gibson, [44]</w:t>
      </w:r>
      <w:r w:rsidRPr="00115CF5">
        <w:rPr>
          <w:rFonts w:ascii="Book Antiqua" w:hAnsi="Book Antiqua"/>
          <w:color w:val="FF0000"/>
          <w:sz w:val="20"/>
        </w:rPr>
        <w:t xml:space="preserve"> </w:t>
      </w:r>
      <w:r w:rsidRPr="00115CF5">
        <w:rPr>
          <w:rFonts w:ascii="Book Antiqua" w:hAnsi="Book Antiqua"/>
          <w:sz w:val="20"/>
        </w:rPr>
        <w:t>as well as Hoyle, Burbidge and Narlikar, [45]</w:t>
      </w:r>
      <w:r w:rsidRPr="00115CF5">
        <w:rPr>
          <w:rFonts w:ascii="Book Antiqua" w:hAnsi="Book Antiqua"/>
          <w:color w:val="FF0000"/>
          <w:sz w:val="20"/>
        </w:rPr>
        <w:t xml:space="preserve"> </w:t>
      </w:r>
      <w:r w:rsidRPr="00115CF5">
        <w:rPr>
          <w:rFonts w:ascii="Book Antiqua" w:hAnsi="Book Antiqua"/>
          <w:sz w:val="20"/>
        </w:rPr>
        <w:t>have shown that processes initially operating at Planck scales would result in the formation of cascades of pairs of these tiny Planck particles. They had the unique property that their diameter was the same as both the Planck length and their own Compton wavelength. Called Planck Particle Pairs (PPP), and existing specifically at a Planck scale, they resulted from the enormous tensional energy and extreme heat which were present at the beginning.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r w:rsidRPr="00AD7B89">
        <w:rPr>
          <w:rFonts w:ascii="Book Antiqua" w:hAnsi="Book Antiqua"/>
          <w:sz w:val="20"/>
        </w:rPr>
        <w:t>Gibson’s approach</w:t>
      </w:r>
      <w:r w:rsidRPr="00115CF5">
        <w:rPr>
          <w:rFonts w:ascii="Book Antiqua" w:hAnsi="Book Antiqua"/>
          <w:sz w:val="20"/>
        </w:rPr>
        <w:t xml:space="preserve">, centered in QED physics, considers </w:t>
      </w:r>
      <w:r w:rsidRPr="00115CF5">
        <w:rPr>
          <w:rFonts w:ascii="Book Antiqua" w:hAnsi="Book Antiqua"/>
          <w:i/>
          <w:iCs/>
          <w:sz w:val="20"/>
        </w:rPr>
        <w:t xml:space="preserve">"Vacuum oscillations to form Planck particles and Planck antiparticles reversibly..." </w:t>
      </w:r>
      <w:r w:rsidRPr="00115CF5">
        <w:rPr>
          <w:rFonts w:ascii="Book Antiqua" w:hAnsi="Book Antiqua"/>
          <w:sz w:val="20"/>
        </w:rPr>
        <w:t xml:space="preserve">However, if a pair becomes misaligned as they collapse, they form a Planck-Kerr particle (P-KP). Gibson states that </w:t>
      </w:r>
      <w:r w:rsidRPr="00115CF5">
        <w:rPr>
          <w:rFonts w:ascii="Book Antiqua" w:hAnsi="Book Antiqua"/>
          <w:i/>
          <w:iCs/>
          <w:sz w:val="20"/>
        </w:rPr>
        <w:t xml:space="preserve">"a truly explosive result can occur [when] a Planck-Kerr particle forms, since one of these can trigger a big bang turbulence cascade [of Planck particle pairs]" </w:t>
      </w:r>
      <w:r w:rsidRPr="00115CF5">
        <w:rPr>
          <w:rFonts w:ascii="Book Antiqua" w:hAnsi="Book Antiqua"/>
          <w:sz w:val="20"/>
        </w:rPr>
        <w:t>in a process which is irreversible [44]. In this way, Gibson uses the vacuum fluctuations or oscillations to initiate Planck pair production</w:t>
      </w:r>
      <w:r w:rsidR="00AD7B89">
        <w:rPr>
          <w:rFonts w:ascii="Book Antiqua" w:hAnsi="Book Antiqua"/>
          <w:sz w:val="20"/>
        </w:rPr>
        <w:t>.</w:t>
      </w:r>
      <w:r w:rsidRPr="00115CF5">
        <w:rPr>
          <w:rFonts w:ascii="Book Antiqua" w:hAnsi="Book Antiqua"/>
          <w:sz w:val="20"/>
        </w:rPr>
        <w:t xml:space="preserve"> </w:t>
      </w:r>
      <w:r w:rsidR="00AD7B89">
        <w:rPr>
          <w:rFonts w:ascii="Book Antiqua" w:hAnsi="Book Antiqua"/>
          <w:sz w:val="20"/>
        </w:rPr>
        <w:t>T</w:t>
      </w:r>
      <w:r w:rsidRPr="00115CF5">
        <w:rPr>
          <w:rFonts w:ascii="Book Antiqua" w:hAnsi="Book Antiqua"/>
          <w:sz w:val="20"/>
        </w:rPr>
        <w:t>his is a valid approach.  However, in the QED approach Planck Particle Pairs must annihilate in a fraction of a second.  Gibson</w:t>
      </w:r>
      <w:r w:rsidR="00D23F3F">
        <w:rPr>
          <w:rFonts w:ascii="Book Antiqua" w:hAnsi="Book Antiqua"/>
          <w:sz w:val="20"/>
        </w:rPr>
        <w:t>’s approach required the formation of</w:t>
      </w:r>
      <w:r w:rsidRPr="00115CF5">
        <w:rPr>
          <w:rFonts w:ascii="Book Antiqua" w:hAnsi="Book Antiqua"/>
          <w:sz w:val="20"/>
        </w:rPr>
        <w:t xml:space="preserve"> Planck-Kerr particles </w:t>
      </w:r>
      <w:r w:rsidR="00D23F3F">
        <w:rPr>
          <w:rFonts w:ascii="Book Antiqua" w:hAnsi="Book Antiqua"/>
          <w:sz w:val="20"/>
        </w:rPr>
        <w:t xml:space="preserve">(P-KP) </w:t>
      </w:r>
      <w:r w:rsidRPr="00115CF5">
        <w:rPr>
          <w:rFonts w:ascii="Book Antiqua" w:hAnsi="Book Antiqua"/>
          <w:sz w:val="20"/>
        </w:rPr>
        <w:t>in order to get around that.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 xml:space="preserve">In the model proposed by Hoyle, Burbidge and Narlikar, a somewhat different process is proposed. They summarize their model by saying that if a particle exceeds the Planck mass, it </w:t>
      </w:r>
      <w:r w:rsidRPr="00115CF5">
        <w:rPr>
          <w:rFonts w:ascii="Book Antiqua" w:hAnsi="Book Antiqua"/>
          <w:i/>
          <w:iCs/>
          <w:sz w:val="20"/>
        </w:rPr>
        <w:t xml:space="preserve">"has the ability to 'tear open,' as it were, the structure of space-time, and then it is from such a 'tearing open' that creation events emerge, leading to the generation of showers of particles with masses of the order of the Planck mass." </w:t>
      </w:r>
      <w:r w:rsidRPr="00115CF5">
        <w:rPr>
          <w:rFonts w:ascii="Book Antiqua" w:hAnsi="Book Antiqua"/>
          <w:sz w:val="20"/>
        </w:rPr>
        <w:t>[45]</w:t>
      </w:r>
      <w:r w:rsidRPr="00115CF5">
        <w:rPr>
          <w:rFonts w:ascii="Book Antiqua" w:hAnsi="Book Antiqua"/>
          <w:color w:val="FF0000"/>
          <w:sz w:val="20"/>
        </w:rPr>
        <w:t xml:space="preserve"> </w:t>
      </w:r>
      <w:r w:rsidRPr="00115CF5">
        <w:rPr>
          <w:rFonts w:ascii="Book Antiqua" w:hAnsi="Book Antiqua"/>
          <w:sz w:val="20"/>
        </w:rPr>
        <w:t xml:space="preserve">Their mathematical modeling supports this proposal. In addition, their calculations suggest that the decay (not annihilation) of a single Planck particle can produce about </w:t>
      </w:r>
      <m:oMath>
        <m:r>
          <w:rPr>
            <w:rFonts w:ascii="Cambria Math" w:hAnsi="Book Antiqua" w:cs="BookAntiqua"/>
            <w:sz w:val="18"/>
            <w:szCs w:val="18"/>
          </w:rPr>
          <m:t xml:space="preserve">5 </m:t>
        </m:r>
        <m:r>
          <w:rPr>
            <w:rFonts w:ascii="Cambria Math" w:hAnsi="Cambria Math" w:cs="BookAntiqua"/>
            <w:sz w:val="18"/>
            <w:szCs w:val="18"/>
          </w:rPr>
          <m:t>x</m:t>
        </m:r>
        <m:r>
          <w:rPr>
            <w:rFonts w:ascii="Cambria Math" w:hAnsi="Book Antiqua" w:cs="BookAntiqua"/>
            <w:sz w:val="18"/>
            <w:szCs w:val="18"/>
          </w:rPr>
          <m:t xml:space="preserve"> </m:t>
        </m:r>
        <m:sSup>
          <m:sSupPr>
            <m:ctrlPr>
              <w:rPr>
                <w:rFonts w:ascii="Cambria Math" w:hAnsi="Book Antiqua" w:cs="BookAntiqua"/>
                <w:i/>
                <w:sz w:val="18"/>
                <w:szCs w:val="18"/>
              </w:rPr>
            </m:ctrlPr>
          </m:sSupPr>
          <m:e>
            <m:r>
              <w:rPr>
                <w:rFonts w:ascii="Cambria Math" w:hAnsi="Book Antiqua" w:cs="BookAntiqua"/>
                <w:sz w:val="18"/>
                <w:szCs w:val="18"/>
              </w:rPr>
              <m:t>10</m:t>
            </m:r>
          </m:e>
          <m:sup>
            <m:r>
              <w:rPr>
                <w:rFonts w:ascii="Cambria Math" w:hAnsi="Book Antiqua" w:cs="BookAntiqua"/>
                <w:sz w:val="18"/>
                <w:szCs w:val="18"/>
              </w:rPr>
              <m:t>18</m:t>
            </m:r>
          </m:sup>
        </m:sSup>
      </m:oMath>
      <w:r w:rsidRPr="00115CF5">
        <w:rPr>
          <w:rFonts w:ascii="Book Antiqua" w:hAnsi="Book Antiqua"/>
          <w:sz w:val="20"/>
        </w:rPr>
        <w:t xml:space="preserve"> baryons, which would include protons and neutrons. This proposal is different from both the usual QED and SED approaches.</w:t>
      </w:r>
    </w:p>
    <w:p w:rsidR="00AC4336" w:rsidRPr="00115CF5" w:rsidRDefault="00AC4336" w:rsidP="00AC4336">
      <w:pPr>
        <w:pStyle w:val="NoSpacing"/>
        <w:jc w:val="both"/>
        <w:rPr>
          <w:rFonts w:ascii="Book Antiqua" w:hAnsi="Book Antiqua"/>
          <w:sz w:val="20"/>
        </w:rPr>
      </w:pPr>
    </w:p>
    <w:p w:rsidR="00AC4336" w:rsidRDefault="00AC4336" w:rsidP="00AC4336">
      <w:pPr>
        <w:pStyle w:val="NoSpacing"/>
        <w:jc w:val="both"/>
        <w:rPr>
          <w:rFonts w:ascii="Book Antiqua" w:hAnsi="Book Antiqua"/>
          <w:sz w:val="20"/>
        </w:rPr>
      </w:pPr>
      <w:r w:rsidRPr="00115CF5">
        <w:rPr>
          <w:rFonts w:ascii="Book Antiqua" w:hAnsi="Book Antiqua"/>
          <w:sz w:val="20"/>
        </w:rPr>
        <w:tab/>
        <w:t xml:space="preserve">In contrast to both Gibson’s and the Hoyle group models, it is proposed here that the extreme temperatures and the enormous expansion energy provided an environment at the Planck scale in which energy was converted to matter in a turbulent cascade of PPP and/or P-KP.  High temperature conditions in high energy physics laboratories, as well as what has been seen in supernovas, result in electron-positron pair production as well as the production of other particle-antiparticle pairs. The process is one of conversion of inherent energy into mass on the basis of </w:t>
      </w:r>
      <m:oMath>
        <m:r>
          <w:rPr>
            <w:rFonts w:ascii="Cambria Math" w:hAnsi="Cambria Math" w:cs="BookAntiqua"/>
            <w:sz w:val="18"/>
            <w:szCs w:val="18"/>
          </w:rPr>
          <m:t>E</m:t>
        </m:r>
        <m:r>
          <w:rPr>
            <w:rFonts w:ascii="Cambria Math" w:hAnsi="Book Antiqua" w:cs="BookAntiqua"/>
            <w:sz w:val="18"/>
            <w:szCs w:val="18"/>
          </w:rPr>
          <m:t xml:space="preserve"> = </m:t>
        </m:r>
        <m:r>
          <w:rPr>
            <w:rFonts w:ascii="Cambria Math" w:hAnsi="Cambria Math" w:cs="BookAntiqua"/>
            <w:sz w:val="18"/>
            <w:szCs w:val="18"/>
          </w:rPr>
          <m:t>m</m:t>
        </m:r>
        <m:sSup>
          <m:sSupPr>
            <m:ctrlPr>
              <w:rPr>
                <w:rFonts w:ascii="Cambria Math" w:hAnsi="Book Antiqua" w:cs="BookAntiqua"/>
                <w:i/>
                <w:sz w:val="18"/>
                <w:szCs w:val="18"/>
              </w:rPr>
            </m:ctrlPr>
          </m:sSupPr>
          <m:e>
            <m:r>
              <w:rPr>
                <w:rFonts w:ascii="Cambria Math" w:hAnsi="Cambria Math" w:cs="BookAntiqua"/>
                <w:sz w:val="18"/>
                <w:szCs w:val="18"/>
              </w:rPr>
              <m:t>c</m:t>
            </m:r>
          </m:e>
          <m:sup>
            <m:r>
              <w:rPr>
                <w:rFonts w:ascii="Cambria Math" w:hAnsi="Book Antiqua" w:cs="BookAntiqua"/>
                <w:sz w:val="18"/>
                <w:szCs w:val="18"/>
              </w:rPr>
              <m:t>2</m:t>
            </m:r>
          </m:sup>
        </m:sSup>
      </m:oMath>
      <w:r w:rsidRPr="00115CF5">
        <w:rPr>
          <w:rFonts w:ascii="Book Antiqua" w:hAnsi="Book Antiqua"/>
          <w:sz w:val="20"/>
        </w:rPr>
        <w:t xml:space="preserve">.  Because we are dealing with known physical effects in this scenario, there is no need for the more exotic nature of the </w:t>
      </w:r>
      <w:r w:rsidRPr="00D23F3F">
        <w:rPr>
          <w:rFonts w:ascii="Book Antiqua" w:hAnsi="Book Antiqua"/>
          <w:sz w:val="20"/>
        </w:rPr>
        <w:t>previous two proposals</w:t>
      </w:r>
      <w:r w:rsidR="00D23F3F">
        <w:rPr>
          <w:rFonts w:ascii="Book Antiqua" w:hAnsi="Book Antiqua"/>
          <w:sz w:val="20"/>
        </w:rPr>
        <w:t xml:space="preserve"> (Gibson’s and the Hoyle et al approach).</w:t>
      </w:r>
    </w:p>
    <w:p w:rsidR="00D23F3F" w:rsidRPr="00115CF5" w:rsidRDefault="00D23F3F"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QED physics says uncertainty is an intrinsic property of the vacuum of space.  Therefore everything in space, including Planck Particle Pairs is subject to that uncertainty.  On this basis, the initial PPP flashed into and out of existence in an instant.  This is why Gibson needed the formation of the Planck-Kerr particles to happen by chance simply as a result of the random fluctuations of the vacuum.  It would only be after P-KP had formed that the longer-lasting real (not virtual) Planck Particle Pairs could form. </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contrast, the SED model presents the Zero Point Energy as the result of cosmic expansion as well as the cause of the jiggling of subatomic particles, which is referred to in QED physics as ‘quantum uncertainty.’ This jiggling cannot happen, let alone build up, until the Zero Point Energy exists.  The ZPE itself is the result of the formation of the PPP and P-KP which, themselves, result from the initial expansion and extremely high temperatures present initially.  Since the Planck Particle Pairs existed before the Zero Point Energy, they were not subject to the ‘jiggling’ effect (QED’s ‘quantum uncertainty’).</w:t>
      </w:r>
    </w:p>
    <w:p w:rsidR="00AC4336" w:rsidRPr="00115CF5" w:rsidRDefault="00AC4336" w:rsidP="00AC4336">
      <w:pPr>
        <w:pStyle w:val="NoSpacing"/>
        <w:ind w:firstLine="720"/>
        <w:jc w:val="both"/>
        <w:rPr>
          <w:rFonts w:ascii="Book Antiqua" w:hAnsi="Book Antiqua"/>
          <w:sz w:val="20"/>
        </w:rPr>
      </w:pPr>
    </w:p>
    <w:p w:rsidR="00AC4336" w:rsidRDefault="00AC4336" w:rsidP="00AC4336">
      <w:pPr>
        <w:pStyle w:val="NoSpacing"/>
        <w:ind w:firstLine="720"/>
        <w:jc w:val="both"/>
        <w:rPr>
          <w:rFonts w:ascii="Book Antiqua" w:hAnsi="Book Antiqua"/>
          <w:sz w:val="20"/>
        </w:rPr>
      </w:pPr>
      <w:r w:rsidRPr="00115CF5">
        <w:rPr>
          <w:rFonts w:ascii="Book Antiqua" w:hAnsi="Book Antiqua"/>
          <w:sz w:val="20"/>
        </w:rPr>
        <w:t xml:space="preserve">The early massive turbulence is also explained differently in the different models.  Gibson attributed it to Planck-Kerr particle formation, and Hoyle attributed to particles exceeding the Planck mass.  While turbulence can be produced in both these ways, this model </w:t>
      </w:r>
      <w:r w:rsidR="00D23F3F">
        <w:rPr>
          <w:rFonts w:ascii="Book Antiqua" w:hAnsi="Book Antiqua"/>
          <w:sz w:val="20"/>
        </w:rPr>
        <w:t>considers</w:t>
      </w:r>
      <w:r w:rsidRPr="00115CF5">
        <w:rPr>
          <w:rFonts w:ascii="Book Antiqua" w:hAnsi="Book Antiqua"/>
          <w:sz w:val="20"/>
        </w:rPr>
        <w:t xml:space="preserve"> turbulence </w:t>
      </w:r>
      <w:r w:rsidR="00D23F3F">
        <w:rPr>
          <w:rFonts w:ascii="Book Antiqua" w:hAnsi="Book Antiqua"/>
          <w:sz w:val="20"/>
        </w:rPr>
        <w:t>to be a</w:t>
      </w:r>
      <w:r w:rsidRPr="00115CF5">
        <w:rPr>
          <w:rFonts w:ascii="Book Antiqua" w:hAnsi="Book Antiqua"/>
          <w:sz w:val="20"/>
        </w:rPr>
        <w:t xml:space="preserve"> necessary result of PPP formation </w:t>
      </w:r>
      <w:r w:rsidR="00D23F3F">
        <w:rPr>
          <w:rFonts w:ascii="Book Antiqua" w:hAnsi="Book Antiqua"/>
          <w:sz w:val="20"/>
        </w:rPr>
        <w:t xml:space="preserve">when </w:t>
      </w:r>
      <w:r w:rsidRPr="00115CF5">
        <w:rPr>
          <w:rFonts w:ascii="Book Antiqua" w:hAnsi="Book Antiqua"/>
          <w:sz w:val="20"/>
        </w:rPr>
        <w:t>coupled with universal expansion.</w:t>
      </w:r>
    </w:p>
    <w:p w:rsidR="00663629" w:rsidRPr="00115CF5" w:rsidRDefault="00663629"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Most currently accepted models of the universe say it is still expanding, and ever more rapidly.  If that is true, then the Zero Point Energy should still be increasing, and massive turbulence should still be building in the fabric of space.</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 xml:space="preserve">4.4 The </w:t>
      </w:r>
      <w:r w:rsidRPr="00D23F3F">
        <w:rPr>
          <w:rFonts w:ascii="Book Antiqua" w:hAnsi="Book Antiqua" w:cs="Times New Roman"/>
          <w:b w:val="0"/>
          <w:sz w:val="20"/>
          <w:szCs w:val="20"/>
        </w:rPr>
        <w:t>Dynamics of the Universe</w:t>
      </w:r>
    </w:p>
    <w:p w:rsidR="00AC4336" w:rsidRPr="00115CF5" w:rsidRDefault="00AC4336" w:rsidP="00AC4336">
      <w:pPr>
        <w:pStyle w:val="NoSpacing"/>
        <w:ind w:firstLine="720"/>
        <w:jc w:val="both"/>
        <w:rPr>
          <w:rFonts w:ascii="Book Antiqua" w:hAnsi="Book Antiqua"/>
          <w:sz w:val="20"/>
        </w:rPr>
      </w:pPr>
    </w:p>
    <w:p w:rsidR="00AC4336" w:rsidRPr="00115CF5" w:rsidRDefault="00426E59" w:rsidP="00AC4336">
      <w:pPr>
        <w:pStyle w:val="NoSpacing"/>
        <w:ind w:firstLine="720"/>
        <w:jc w:val="both"/>
        <w:rPr>
          <w:rFonts w:ascii="Book Antiqua" w:hAnsi="Book Antiqua"/>
          <w:sz w:val="20"/>
        </w:rPr>
      </w:pPr>
      <w:r>
        <w:rPr>
          <w:rFonts w:ascii="Book Antiqua" w:hAnsi="Book Antiqua"/>
          <w:sz w:val="20"/>
        </w:rPr>
        <w:t>Unfortunately, t</w:t>
      </w:r>
      <w:r w:rsidR="00AC4336" w:rsidRPr="00115CF5">
        <w:rPr>
          <w:rFonts w:ascii="Book Antiqua" w:hAnsi="Book Antiqua"/>
          <w:sz w:val="20"/>
        </w:rPr>
        <w:t xml:space="preserve">here are a number of problems presented by the concept of ongoing universal expansion.    </w:t>
      </w:r>
      <w:r w:rsidR="00EB501D" w:rsidRPr="00115CF5">
        <w:rPr>
          <w:rFonts w:ascii="Book Antiqua" w:hAnsi="Book Antiqua"/>
          <w:sz w:val="20"/>
        </w:rPr>
        <w:t>For example, r</w:t>
      </w:r>
      <w:r w:rsidR="00AC4336" w:rsidRPr="00115CF5">
        <w:rPr>
          <w:rFonts w:ascii="Book Antiqua" w:hAnsi="Book Antiqua"/>
          <w:sz w:val="20"/>
        </w:rPr>
        <w:t>andomly scattered throughout the universe are giant ‘clouds’ of hydrogen.  An examination of the average separation and temperature of these hydrogen clouds is one of the primary evidences that the universe expanded initially but is now static. As light passes through hydrogen clouds, selective wavelengths are absorbed and produce a dark line</w:t>
      </w:r>
      <w:r w:rsidR="00D23F3F">
        <w:rPr>
          <w:rFonts w:ascii="Book Antiqua" w:hAnsi="Book Antiqua"/>
          <w:sz w:val="20"/>
        </w:rPr>
        <w:t>s</w:t>
      </w:r>
      <w:r w:rsidR="00AC4336" w:rsidRPr="00115CF5">
        <w:rPr>
          <w:rFonts w:ascii="Book Antiqua" w:hAnsi="Book Antiqua"/>
          <w:sz w:val="20"/>
        </w:rPr>
        <w:t xml:space="preserve"> on the light spectrum as measured by a spectrometer. The important dark line in this regard is called the Lyman Alpha line. As the light goes through an increasing number of hydrogen clouds on its journey, an increasing number of Lyman Alpha lines are built up in the spectrum. As a result of traveling great astronomical distances, light passing through these clouds will arrive at earth with a whole suite of lines. This is known as the 'Lyman Alpha forest.'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lastRenderedPageBreak/>
        <w:t xml:space="preserve">Looking far out into space, scientists have found that the light coming from great distances is red shifted.  Redshift numbers are indications of distance from Earth, or, more precisely, from our Local Group of galaxies. Since the </w:t>
      </w:r>
      <w:r w:rsidR="00E76495">
        <w:rPr>
          <w:rFonts w:ascii="Book Antiqua" w:hAnsi="Book Antiqua"/>
          <w:sz w:val="20"/>
        </w:rPr>
        <w:t xml:space="preserve">hydrogen </w:t>
      </w:r>
      <w:r w:rsidRPr="00115CF5">
        <w:rPr>
          <w:rFonts w:ascii="Book Antiqua" w:hAnsi="Book Antiqua"/>
          <w:sz w:val="20"/>
        </w:rPr>
        <w:t xml:space="preserve">clouds further away from our galaxy have greater redshifts, the position of the Lyman Alpha line on the spectrum from an individual cloud will be dependent on distance and hence registered by its redshift.  Near our Local Group of galaxies, the redshift, </w:t>
      </w:r>
      <w:r w:rsidRPr="00115CF5">
        <w:rPr>
          <w:rFonts w:ascii="Book Antiqua" w:hAnsi="Book Antiqua"/>
          <w:i/>
          <w:sz w:val="20"/>
        </w:rPr>
        <w:t>z</w:t>
      </w:r>
      <w:r w:rsidRPr="00115CF5">
        <w:rPr>
          <w:rFonts w:ascii="Book Antiqua" w:hAnsi="Book Antiqua"/>
          <w:sz w:val="20"/>
        </w:rPr>
        <w:t>, can be as small as 8.8 x 10</w:t>
      </w:r>
      <w:r w:rsidRPr="00115CF5">
        <w:rPr>
          <w:rFonts w:ascii="Book Antiqua" w:hAnsi="Book Antiqua"/>
          <w:sz w:val="20"/>
          <w:vertAlign w:val="superscript"/>
        </w:rPr>
        <w:t>-6</w:t>
      </w:r>
      <w:r w:rsidRPr="00115CF5">
        <w:rPr>
          <w:rFonts w:ascii="Book Antiqua" w:hAnsi="Book Antiqua"/>
          <w:sz w:val="20"/>
        </w:rPr>
        <w:t xml:space="preserve">.  However, at the frontiers of the cosmos, the redshift from the microwave background (CMBR) is usually quoted as being around  </w:t>
      </w:r>
      <m:oMath>
        <m:r>
          <w:rPr>
            <w:rFonts w:ascii="Cambria Math" w:hAnsi="Cambria Math"/>
            <w:sz w:val="18"/>
            <w:szCs w:val="18"/>
          </w:rPr>
          <m:t>z</m:t>
        </m:r>
        <m:r>
          <w:rPr>
            <w:rFonts w:ascii="Cambria Math" w:hAnsi="Book Antiqua"/>
            <w:sz w:val="18"/>
            <w:szCs w:val="18"/>
          </w:rPr>
          <m:t xml:space="preserve"> = 1100</m:t>
        </m:r>
      </m:oMath>
      <w:r w:rsidRPr="00115CF5">
        <w:rPr>
          <w:rFonts w:ascii="Book Antiqua" w:hAnsi="Book Antiqua"/>
          <w:sz w:val="20"/>
        </w:rPr>
        <w:t xml:space="preserve">.  </w:t>
      </w:r>
    </w:p>
    <w:p w:rsidR="00AC4336" w:rsidRPr="00115CF5" w:rsidRDefault="00AC4336" w:rsidP="00AC4336">
      <w:pPr>
        <w:pStyle w:val="NoSpacing"/>
        <w:ind w:firstLine="720"/>
        <w:jc w:val="both"/>
        <w:rPr>
          <w:rFonts w:ascii="Book Antiqua" w:hAnsi="Book Antiqua"/>
          <w:sz w:val="20"/>
        </w:rPr>
      </w:pPr>
    </w:p>
    <w:p w:rsidR="00AC4336" w:rsidRPr="00115CF5" w:rsidRDefault="00E76495" w:rsidP="00AC4336">
      <w:pPr>
        <w:pStyle w:val="NoSpacing"/>
        <w:ind w:firstLine="720"/>
        <w:jc w:val="both"/>
        <w:rPr>
          <w:rFonts w:ascii="Book Antiqua" w:hAnsi="Book Antiqua"/>
          <w:sz w:val="20"/>
        </w:rPr>
      </w:pPr>
      <w:r>
        <w:rPr>
          <w:rFonts w:ascii="Book Antiqua" w:hAnsi="Book Antiqua"/>
          <w:sz w:val="20"/>
        </w:rPr>
        <w:t>Because redshifts are indicators of distance, we</w:t>
      </w:r>
      <w:r w:rsidRPr="00115CF5">
        <w:rPr>
          <w:rFonts w:ascii="Book Antiqua" w:hAnsi="Book Antiqua"/>
          <w:sz w:val="20"/>
        </w:rPr>
        <w:t xml:space="preserve"> can tell how far apart </w:t>
      </w:r>
      <w:r>
        <w:rPr>
          <w:rFonts w:ascii="Book Antiqua" w:hAnsi="Book Antiqua"/>
          <w:sz w:val="20"/>
        </w:rPr>
        <w:t>the hydrogen clouds</w:t>
      </w:r>
      <w:r w:rsidRPr="00115CF5">
        <w:rPr>
          <w:rFonts w:ascii="Book Antiqua" w:hAnsi="Book Antiqua"/>
          <w:sz w:val="20"/>
        </w:rPr>
        <w:t xml:space="preserve"> are by their red shifts.  </w:t>
      </w:r>
      <w:r w:rsidR="00AC4336" w:rsidRPr="00115CF5">
        <w:rPr>
          <w:rFonts w:ascii="Book Antiqua" w:hAnsi="Book Antiqua"/>
          <w:sz w:val="20"/>
        </w:rPr>
        <w:t>Universal expansion means these hydrogen clouds move apart.  If the universe is still expanding, then the average distance between these clouds should still be increasing</w:t>
      </w:r>
      <w:r>
        <w:rPr>
          <w:rFonts w:ascii="Book Antiqua" w:hAnsi="Book Antiqua"/>
          <w:sz w:val="20"/>
        </w:rPr>
        <w:t>, and therefore</w:t>
      </w:r>
      <w:r w:rsidR="00AC4336" w:rsidRPr="00115CF5">
        <w:rPr>
          <w:rFonts w:ascii="Book Antiqua" w:hAnsi="Book Antiqua"/>
          <w:sz w:val="20"/>
        </w:rPr>
        <w:t xml:space="preserve"> the differences between their red shifts should be increasing</w:t>
      </w:r>
      <w:r>
        <w:rPr>
          <w:rFonts w:ascii="Book Antiqua" w:hAnsi="Book Antiqua"/>
          <w:sz w:val="20"/>
        </w:rPr>
        <w:t>.  T</w:t>
      </w:r>
      <w:r w:rsidR="00AC4336" w:rsidRPr="00115CF5">
        <w:rPr>
          <w:rFonts w:ascii="Book Antiqua" w:hAnsi="Book Antiqua"/>
          <w:sz w:val="20"/>
        </w:rPr>
        <w:t>hat is something we can measure. If the universe is static, the average distance between the clouds should remain fixed. The situation is illustrated in Figures 7 and  8.</w:t>
      </w:r>
    </w:p>
    <w:p w:rsidR="00AC4336" w:rsidRPr="00115CF5" w:rsidRDefault="00AC4336" w:rsidP="00AC4336">
      <w:pPr>
        <w:pStyle w:val="NoSpacing"/>
        <w:rPr>
          <w:rFonts w:ascii="Book Antiqua" w:hAnsi="Book Antiqua"/>
          <w:sz w:val="20"/>
        </w:rPr>
      </w:pPr>
    </w:p>
    <w:p w:rsidR="00AC4336" w:rsidRPr="00115CF5" w:rsidRDefault="00AC4336" w:rsidP="00AC4336">
      <w:pPr>
        <w:pStyle w:val="NoSpacing"/>
        <w:jc w:val="center"/>
        <w:rPr>
          <w:rFonts w:ascii="Book Antiqua" w:hAnsi="Book Antiqua"/>
          <w:noProof/>
          <w:sz w:val="20"/>
        </w:rPr>
      </w:pPr>
      <w:r w:rsidRPr="00115CF5">
        <w:rPr>
          <w:rFonts w:ascii="Book Antiqua" w:hAnsi="Book Antiqua"/>
          <w:noProof/>
          <w:sz w:val="20"/>
        </w:rPr>
        <w:drawing>
          <wp:inline distT="0" distB="0" distL="0" distR="0">
            <wp:extent cx="4801765" cy="1971675"/>
            <wp:effectExtent l="19050" t="0" r="0" b="0"/>
            <wp:docPr id="595" name="il_fi" descr="http://www.astro.ucla.edu/~wright/lyaf-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ucla.edu/~wright/lyaf-75.gif"/>
                    <pic:cNvPicPr>
                      <a:picLocks noChangeAspect="1" noChangeArrowheads="1"/>
                    </pic:cNvPicPr>
                  </pic:nvPicPr>
                  <pic:blipFill>
                    <a:blip r:embed="rId54" cstate="print"/>
                    <a:srcRect/>
                    <a:stretch>
                      <a:fillRect/>
                    </a:stretch>
                  </pic:blipFill>
                  <pic:spPr bwMode="auto">
                    <a:xfrm>
                      <a:off x="0" y="0"/>
                      <a:ext cx="4804747" cy="1972899"/>
                    </a:xfrm>
                    <a:prstGeom prst="rect">
                      <a:avLst/>
                    </a:prstGeom>
                    <a:noFill/>
                    <a:ln w="9525">
                      <a:noFill/>
                      <a:miter lim="800000"/>
                      <a:headEnd/>
                      <a:tailEnd/>
                    </a:ln>
                  </pic:spPr>
                </pic:pic>
              </a:graphicData>
            </a:graphic>
          </wp:inline>
        </w:drawing>
      </w:r>
    </w:p>
    <w:p w:rsidR="00AC4336" w:rsidRPr="00115CF5" w:rsidRDefault="00AC4336" w:rsidP="00AC4336">
      <w:pPr>
        <w:pStyle w:val="NoSpacing"/>
        <w:jc w:val="center"/>
        <w:rPr>
          <w:rFonts w:ascii="Book Antiqua" w:hAnsi="Book Antiqua"/>
          <w:sz w:val="20"/>
        </w:rPr>
      </w:pPr>
    </w:p>
    <w:p w:rsidR="00AC4336" w:rsidRPr="00CB2FE9" w:rsidRDefault="00AC4336" w:rsidP="00AC4336">
      <w:pPr>
        <w:pStyle w:val="NoSpacing"/>
        <w:rPr>
          <w:rFonts w:ascii="Book Antiqua" w:hAnsi="Book Antiqua"/>
          <w:i/>
          <w:sz w:val="18"/>
          <w:szCs w:val="18"/>
        </w:rPr>
      </w:pPr>
      <w:r w:rsidRPr="00CB2FE9">
        <w:rPr>
          <w:rFonts w:ascii="Book Antiqua" w:hAnsi="Book Antiqua"/>
          <w:b/>
          <w:i/>
          <w:sz w:val="18"/>
          <w:szCs w:val="18"/>
        </w:rPr>
        <w:t>Figure 7:</w:t>
      </w:r>
      <w:r w:rsidRPr="00CB2FE9">
        <w:rPr>
          <w:rFonts w:ascii="Book Antiqua" w:hAnsi="Book Antiqua"/>
          <w:i/>
          <w:sz w:val="18"/>
          <w:szCs w:val="18"/>
        </w:rPr>
        <w:t xml:space="preserve"> A quasar is shown with its Lyman alpha emission line redshifted from the ultraviolet into the red, and the Lyman alpha absorption lines from four progressively closer clouds appearing as orange, yellow and green-blue.</w:t>
      </w:r>
    </w:p>
    <w:p w:rsidR="002A77F9" w:rsidRPr="00115CF5" w:rsidRDefault="002A77F9" w:rsidP="00AC4336">
      <w:pPr>
        <w:pStyle w:val="NoSpacing"/>
        <w:rPr>
          <w:rFonts w:ascii="Book Antiqua" w:hAnsi="Book Antiqua"/>
          <w:sz w:val="18"/>
          <w:szCs w:val="18"/>
        </w:rPr>
      </w:pPr>
    </w:p>
    <w:p w:rsidR="00AC4336" w:rsidRPr="00115CF5" w:rsidRDefault="00AC4336" w:rsidP="00AC4336">
      <w:pPr>
        <w:pStyle w:val="NoSpacing"/>
        <w:rPr>
          <w:rFonts w:ascii="Book Antiqua" w:hAnsi="Book Antiqua"/>
          <w:sz w:val="20"/>
        </w:rPr>
      </w:pPr>
    </w:p>
    <w:p w:rsidR="00AC4336" w:rsidRPr="00115CF5" w:rsidRDefault="00AC4336" w:rsidP="00AC4336">
      <w:pPr>
        <w:jc w:val="center"/>
        <w:rPr>
          <w:rFonts w:ascii="Book Antiqua" w:hAnsi="Book Antiqua"/>
        </w:rPr>
      </w:pPr>
      <w:r w:rsidRPr="00115CF5">
        <w:rPr>
          <w:rFonts w:ascii="Book Antiqua" w:hAnsi="Book Antiqua"/>
          <w:noProof/>
          <w:lang w:val="en-US"/>
        </w:rPr>
        <w:drawing>
          <wp:inline distT="0" distB="0" distL="0" distR="0">
            <wp:extent cx="4848225" cy="2657475"/>
            <wp:effectExtent l="19050" t="0" r="9525" b="0"/>
            <wp:docPr id="594" name="il_fi" descr="http://astronomy.ua.edu/keel/agn/for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ua.edu/keel/agn/forest.gif"/>
                    <pic:cNvPicPr>
                      <a:picLocks noChangeAspect="1" noChangeArrowheads="1"/>
                    </pic:cNvPicPr>
                  </pic:nvPicPr>
                  <pic:blipFill>
                    <a:blip r:embed="rId55" cstate="print"/>
                    <a:srcRect/>
                    <a:stretch>
                      <a:fillRect/>
                    </a:stretch>
                  </pic:blipFill>
                  <pic:spPr bwMode="auto">
                    <a:xfrm>
                      <a:off x="0" y="0"/>
                      <a:ext cx="4848225" cy="2657475"/>
                    </a:xfrm>
                    <a:prstGeom prst="rect">
                      <a:avLst/>
                    </a:prstGeom>
                    <a:noFill/>
                    <a:ln w="9525">
                      <a:noFill/>
                      <a:miter lim="800000"/>
                      <a:headEnd/>
                      <a:tailEnd/>
                    </a:ln>
                  </pic:spPr>
                </pic:pic>
              </a:graphicData>
            </a:graphic>
          </wp:inline>
        </w:drawing>
      </w:r>
    </w:p>
    <w:p w:rsidR="00AC4336" w:rsidRPr="00115CF5" w:rsidRDefault="00AC4336" w:rsidP="00AC4336">
      <w:pPr>
        <w:rPr>
          <w:rFonts w:ascii="Book Antiqua" w:hAnsi="Book Antiqua"/>
          <w:noProof/>
        </w:rPr>
      </w:pPr>
    </w:p>
    <w:p w:rsidR="00AC4336" w:rsidRPr="00CB2FE9" w:rsidRDefault="00AC4336" w:rsidP="00AC4336">
      <w:pPr>
        <w:rPr>
          <w:rFonts w:ascii="Book Antiqua" w:hAnsi="Book Antiqua"/>
          <w:i/>
          <w:noProof/>
          <w:sz w:val="18"/>
          <w:szCs w:val="18"/>
        </w:rPr>
      </w:pPr>
      <w:r w:rsidRPr="00CB2FE9">
        <w:rPr>
          <w:rFonts w:ascii="Book Antiqua" w:hAnsi="Book Antiqua"/>
          <w:b/>
          <w:i/>
          <w:noProof/>
          <w:sz w:val="18"/>
          <w:szCs w:val="18"/>
        </w:rPr>
        <w:t>Figure 8:</w:t>
      </w:r>
      <w:r w:rsidRPr="00CB2FE9">
        <w:rPr>
          <w:rFonts w:ascii="Book Antiqua" w:hAnsi="Book Antiqua"/>
          <w:i/>
          <w:noProof/>
          <w:sz w:val="18"/>
          <w:szCs w:val="18"/>
        </w:rPr>
        <w:t xml:space="preserve"> Lyman alpha forest lines from two quasars: Top z = 0.158 (close to us)  with a handful of lines. Bottom z = 3.62 (distant) with many lines.  </w:t>
      </w:r>
    </w:p>
    <w:p w:rsidR="00AC4336" w:rsidRPr="00115CF5" w:rsidRDefault="00AC4336" w:rsidP="00AC4336">
      <w:pPr>
        <w:rPr>
          <w:rFonts w:ascii="Book Antiqua" w:hAnsi="Book Antiqua"/>
          <w:sz w:val="18"/>
          <w:szCs w:val="18"/>
        </w:rPr>
      </w:pPr>
      <w:r w:rsidRPr="00115CF5">
        <w:rPr>
          <w:rFonts w:ascii="Book Antiqua" w:hAnsi="Book Antiqua"/>
          <w:noProof/>
          <w:sz w:val="18"/>
          <w:szCs w:val="18"/>
        </w:rPr>
        <w:t xml:space="preserve">  </w:t>
      </w:r>
    </w:p>
    <w:p w:rsidR="00893308" w:rsidRPr="00115CF5" w:rsidRDefault="00893308" w:rsidP="00893308">
      <w:pPr>
        <w:pStyle w:val="NoSpacing"/>
        <w:ind w:firstLine="720"/>
        <w:jc w:val="both"/>
        <w:rPr>
          <w:rFonts w:ascii="Book Antiqua" w:hAnsi="Book Antiqua"/>
          <w:sz w:val="20"/>
        </w:rPr>
      </w:pPr>
      <w:r w:rsidRPr="0037176B">
        <w:rPr>
          <w:rFonts w:ascii="Book Antiqua" w:hAnsi="Book Antiqua"/>
          <w:sz w:val="20"/>
        </w:rPr>
        <w:lastRenderedPageBreak/>
        <w:t>A detailed study of this matter has been performed by Lyndon Ashmore. In one of his papers the Abstract contains these conclusions:</w:t>
      </w:r>
    </w:p>
    <w:p w:rsidR="00893308" w:rsidRDefault="00893308" w:rsidP="00AC4336">
      <w:pPr>
        <w:pStyle w:val="NoSpacing"/>
        <w:ind w:firstLine="720"/>
        <w:jc w:val="both"/>
        <w:rPr>
          <w:rFonts w:ascii="Book Antiqua" w:hAnsi="Book Antiqua"/>
          <w:i/>
          <w:iCs/>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i/>
          <w:iCs/>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15CF5">
        <w:rPr>
          <w:rFonts w:ascii="Book Antiqua" w:hAnsi="Book Antiqua"/>
          <w:sz w:val="20"/>
        </w:rPr>
        <w:t>[46] A further discussion of this can be seen in reference [47].</w:t>
      </w:r>
    </w:p>
    <w:p w:rsidR="00CC7172" w:rsidRDefault="00CC7172"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Data from the hydrogen clouds suggest expansion is indicated from the point where redshifts are higher than about </w:t>
      </w:r>
      <m:oMath>
        <m:r>
          <w:rPr>
            <w:rFonts w:ascii="Cambria Math" w:hAnsi="Cambria Math"/>
            <w:sz w:val="18"/>
            <w:szCs w:val="18"/>
          </w:rPr>
          <m:t>z</m:t>
        </m:r>
        <m:r>
          <w:rPr>
            <w:rFonts w:ascii="Cambria Math" w:hAnsi="Book Antiqua"/>
            <w:sz w:val="18"/>
            <w:szCs w:val="18"/>
          </w:rPr>
          <m:t xml:space="preserve"> = 2.6</m:t>
        </m:r>
      </m:oMath>
      <w:r w:rsidRPr="00115CF5">
        <w:rPr>
          <w:rFonts w:ascii="Book Antiqua" w:hAnsi="Book Antiqua"/>
          <w:sz w:val="20"/>
        </w:rPr>
        <w:t>. [47]</w:t>
      </w:r>
      <w:r w:rsidRPr="00115CF5">
        <w:rPr>
          <w:rFonts w:ascii="Book Antiqua" w:hAnsi="Book Antiqua"/>
          <w:color w:val="FF0000"/>
          <w:sz w:val="20"/>
        </w:rPr>
        <w:t xml:space="preserve"> </w:t>
      </w:r>
      <w:r w:rsidRPr="00115CF5">
        <w:rPr>
          <w:rFonts w:ascii="Book Antiqua" w:hAnsi="Book Antiqua"/>
          <w:sz w:val="20"/>
        </w:rPr>
        <w:t xml:space="preserve">Between this and a redshift of about </w:t>
      </w:r>
      <m:oMath>
        <m:r>
          <w:rPr>
            <w:rFonts w:ascii="Cambria Math" w:hAnsi="Cambria Math"/>
            <w:sz w:val="20"/>
          </w:rPr>
          <m:t>z</m:t>
        </m:r>
        <m:r>
          <w:rPr>
            <w:rFonts w:ascii="Cambria Math" w:hAnsi="Book Antiqua"/>
            <w:sz w:val="18"/>
            <w:szCs w:val="18"/>
          </w:rPr>
          <m:t xml:space="preserve"> =1.6</m:t>
        </m:r>
      </m:oMath>
      <w:r w:rsidRPr="00115CF5">
        <w:rPr>
          <w:rFonts w:ascii="Book Antiqua" w:hAnsi="Book Antiqua"/>
          <w:sz w:val="20"/>
        </w:rPr>
        <w:t xml:space="preserve"> , the hydrogen cloud data indicate the universe became static.</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addition, it has been pointed out by a number of authors that the Lyman Alpha Forest is present in all high redshift quasars.  Some have argued that the brilliant quasars have been ejected from relatively nearby galaxies, and so are not at the distances their high red shifts would indicate.  However, full Lyman Forests can be seen between quasars with high red shift and earth, whereas relatively few hydrogen clouds are seen between the nearby galaxies and earth.   For this reason, it is accepted here that the vast majority of quasars are at the distances indicated by their redshifts. For further discussion see:</w:t>
      </w: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 </w:t>
      </w:r>
    </w:p>
    <w:p w:rsidR="00AC4336" w:rsidRPr="00115CF5" w:rsidRDefault="008B5E8F" w:rsidP="00AC4336">
      <w:pPr>
        <w:pStyle w:val="NoSpacing"/>
        <w:jc w:val="both"/>
        <w:rPr>
          <w:rFonts w:ascii="Book Antiqua" w:hAnsi="Book Antiqua"/>
          <w:i/>
          <w:sz w:val="20"/>
        </w:rPr>
      </w:pPr>
      <w:r>
        <w:rPr>
          <w:rFonts w:ascii="Book Antiqua" w:hAnsi="Book Antiqua"/>
          <w:i/>
          <w:sz w:val="20"/>
        </w:rPr>
        <w:t>“</w:t>
      </w:r>
      <w:r w:rsidR="00AC4336" w:rsidRPr="00115CF5">
        <w:rPr>
          <w:rFonts w:ascii="Book Antiqua" w:hAnsi="Book Antiqua"/>
          <w:i/>
          <w:sz w:val="20"/>
        </w:rPr>
        <w:t>Lyman Alpha Forest</w:t>
      </w:r>
      <w:r w:rsidR="00AC4336" w:rsidRPr="00115CF5">
        <w:rPr>
          <w:rFonts w:ascii="Book Antiqua" w:hAnsi="Book Antiqua"/>
          <w:sz w:val="20"/>
        </w:rPr>
        <w:t>,</w:t>
      </w:r>
      <w:r>
        <w:rPr>
          <w:rFonts w:ascii="Book Antiqua" w:hAnsi="Book Antiqua"/>
          <w:sz w:val="20"/>
        </w:rPr>
        <w:t>”</w:t>
      </w:r>
      <w:r w:rsidR="00AC4336" w:rsidRPr="00115CF5">
        <w:rPr>
          <w:rFonts w:ascii="Book Antiqua" w:hAnsi="Book Antiqua"/>
          <w:sz w:val="20"/>
        </w:rPr>
        <w:t xml:space="preserve"> at </w:t>
      </w:r>
      <w:hyperlink r:id="rId56" w:history="1">
        <w:r w:rsidR="00AC4336" w:rsidRPr="00115CF5">
          <w:rPr>
            <w:rStyle w:val="Hyperlink"/>
            <w:rFonts w:ascii="Book Antiqua" w:hAnsi="Book Antiqua"/>
            <w:i/>
            <w:sz w:val="20"/>
          </w:rPr>
          <w:t>http://astro.ucla.edu/~wright/Lyman-alpha-forest.html</w:t>
        </w:r>
      </w:hyperlink>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w:t>
      </w:r>
      <w:r w:rsidR="008B5E8F">
        <w:rPr>
          <w:rFonts w:ascii="Book Antiqua" w:hAnsi="Book Antiqua"/>
          <w:sz w:val="20"/>
        </w:rPr>
        <w:t>“</w:t>
      </w:r>
      <w:r w:rsidRPr="00115CF5">
        <w:rPr>
          <w:rFonts w:ascii="Book Antiqua" w:hAnsi="Book Antiqua"/>
          <w:i/>
          <w:sz w:val="20"/>
        </w:rPr>
        <w:t>Quasar Astronomy Forty Years On</w:t>
      </w:r>
      <w:r w:rsidRPr="00115CF5">
        <w:rPr>
          <w:rFonts w:ascii="Book Antiqua" w:hAnsi="Book Antiqua"/>
          <w:sz w:val="20"/>
        </w:rPr>
        <w:t>,</w:t>
      </w:r>
      <w:r w:rsidR="008B5E8F">
        <w:rPr>
          <w:rFonts w:ascii="Book Antiqua" w:hAnsi="Book Antiqua"/>
          <w:sz w:val="20"/>
        </w:rPr>
        <w:t>”</w:t>
      </w:r>
      <w:r w:rsidRPr="00115CF5">
        <w:rPr>
          <w:rFonts w:ascii="Book Antiqua" w:hAnsi="Book Antiqua"/>
          <w:sz w:val="20"/>
        </w:rPr>
        <w:t xml:space="preserve"> at</w:t>
      </w:r>
      <w:r w:rsidR="00D3790F" w:rsidRPr="00115CF5">
        <w:rPr>
          <w:rFonts w:ascii="Book Antiqua" w:hAnsi="Book Antiqua"/>
          <w:sz w:val="20"/>
        </w:rPr>
        <w:t xml:space="preserve"> </w:t>
      </w:r>
      <w:r w:rsidRPr="00115CF5">
        <w:rPr>
          <w:rFonts w:ascii="Book Antiqua" w:hAnsi="Book Antiqua"/>
          <w:i/>
          <w:sz w:val="20"/>
        </w:rPr>
        <w:t xml:space="preserve"> </w:t>
      </w:r>
      <w:hyperlink r:id="rId57" w:history="1">
        <w:r w:rsidRPr="00115CF5">
          <w:rPr>
            <w:rStyle w:val="Hyperlink"/>
            <w:rFonts w:ascii="Book Antiqua" w:hAnsi="Book Antiqua"/>
            <w:i/>
            <w:sz w:val="20"/>
          </w:rPr>
          <w:t>http://www.astr.ua.edu/keel/agn/quasar40.html</w:t>
        </w:r>
      </w:hyperlink>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The combination of data from the CMBR, the hydrogen clouds, the redshift, and the studies by Narliker and Arp, [28], come together to indicate that there was a rapid initial expansion of the universe, followed by stasis with relatively small oscillations.  None of these studies or data, however, deals with the origin of the Zero Point Energy, and that needs to be discussed</w:t>
      </w:r>
      <w:r w:rsidR="00950B9C">
        <w:rPr>
          <w:rFonts w:ascii="Book Antiqua" w:hAnsi="Book Antiqua"/>
          <w:sz w:val="20"/>
        </w:rPr>
        <w:t xml:space="preserve"> </w:t>
      </w:r>
      <w:r w:rsidR="00950B9C" w:rsidRPr="0037176B">
        <w:rPr>
          <w:rFonts w:ascii="Book Antiqua" w:hAnsi="Book Antiqua"/>
          <w:sz w:val="20"/>
        </w:rPr>
        <w:t>more fully</w:t>
      </w:r>
      <w:r w:rsidRPr="00115CF5">
        <w:rPr>
          <w:rFonts w:ascii="Book Antiqua" w:hAnsi="Book Antiqua"/>
          <w:sz w:val="20"/>
        </w:rPr>
        <w:t>.</w:t>
      </w:r>
    </w:p>
    <w:p w:rsidR="00D3790F" w:rsidRPr="00115CF5" w:rsidRDefault="00D3790F"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4.5 The Origin of the Zero Point Energy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ind w:firstLine="720"/>
        <w:jc w:val="both"/>
        <w:rPr>
          <w:rFonts w:ascii="Book Antiqua" w:hAnsi="Book Antiqua"/>
          <w:color w:val="FF0000"/>
          <w:sz w:val="20"/>
        </w:rPr>
      </w:pPr>
      <w:r w:rsidRPr="00115CF5">
        <w:rPr>
          <w:rFonts w:ascii="Book Antiqua" w:hAnsi="Book Antiqua"/>
          <w:sz w:val="20"/>
        </w:rPr>
        <w:t>All the models presented above, as well as others, have sho</w:t>
      </w:r>
      <w:r w:rsidR="0037176B">
        <w:rPr>
          <w:rFonts w:ascii="Book Antiqua" w:hAnsi="Book Antiqua"/>
          <w:sz w:val="20"/>
        </w:rPr>
        <w:t xml:space="preserve">wn that </w:t>
      </w:r>
      <w:r w:rsidRPr="00115CF5">
        <w:rPr>
          <w:rFonts w:ascii="Book Antiqua" w:hAnsi="Book Antiqua"/>
          <w:sz w:val="20"/>
        </w:rPr>
        <w:t xml:space="preserve">processes in operation in the early universe, </w:t>
      </w:r>
      <w:r w:rsidR="0037176B">
        <w:rPr>
          <w:rFonts w:ascii="Book Antiqua" w:hAnsi="Book Antiqua"/>
          <w:sz w:val="20"/>
        </w:rPr>
        <w:t>resulted in</w:t>
      </w:r>
      <w:r w:rsidRPr="00115CF5">
        <w:rPr>
          <w:rFonts w:ascii="Book Antiqua" w:hAnsi="Book Antiqua"/>
          <w:sz w:val="20"/>
        </w:rPr>
        <w:t xml:space="preserve"> extreme turbulent vortices and separations among the Planck Particle Pairs. The model presented here </w:t>
      </w:r>
      <w:r w:rsidR="0037176B">
        <w:rPr>
          <w:rFonts w:ascii="Book Antiqua" w:hAnsi="Book Antiqua"/>
          <w:sz w:val="20"/>
        </w:rPr>
        <w:t>attributes</w:t>
      </w:r>
      <w:r w:rsidRPr="00115CF5">
        <w:rPr>
          <w:rFonts w:ascii="Book Antiqua" w:hAnsi="Book Antiqua"/>
          <w:sz w:val="20"/>
        </w:rPr>
        <w:t xml:space="preserve"> similar effects to the ongoing expansion as well as the ongoing formation of PPP</w:t>
      </w:r>
      <w:r w:rsidR="0037176B">
        <w:rPr>
          <w:rFonts w:ascii="Book Antiqua" w:hAnsi="Book Antiqua"/>
          <w:sz w:val="20"/>
        </w:rPr>
        <w:t xml:space="preserve">. </w:t>
      </w:r>
      <w:r w:rsidRPr="00115CF5">
        <w:rPr>
          <w:rFonts w:ascii="Book Antiqua" w:hAnsi="Book Antiqua"/>
          <w:sz w:val="20"/>
        </w:rPr>
        <w:t xml:space="preserve"> </w:t>
      </w:r>
      <w:r w:rsidR="0037176B">
        <w:rPr>
          <w:rFonts w:ascii="Book Antiqua" w:hAnsi="Book Antiqua"/>
          <w:sz w:val="20"/>
        </w:rPr>
        <w:t>The formation of</w:t>
      </w:r>
      <w:r w:rsidRPr="00115CF5">
        <w:rPr>
          <w:rFonts w:ascii="Book Antiqua" w:hAnsi="Book Antiqua"/>
          <w:sz w:val="20"/>
        </w:rPr>
        <w:t xml:space="preserve"> Planck-Kerr </w:t>
      </w:r>
      <w:r w:rsidR="0037176B">
        <w:rPr>
          <w:rFonts w:ascii="Book Antiqua" w:hAnsi="Book Antiqua"/>
          <w:sz w:val="20"/>
        </w:rPr>
        <w:t xml:space="preserve">Particles </w:t>
      </w:r>
      <w:r w:rsidRPr="00115CF5">
        <w:rPr>
          <w:rFonts w:ascii="Book Antiqua" w:hAnsi="Book Antiqua"/>
          <w:sz w:val="20"/>
        </w:rPr>
        <w:t>would trigger additional turbulence. Gibson has accurately shown that turbulence associated with P-KP start</w:t>
      </w:r>
      <w:r w:rsidR="0037176B">
        <w:rPr>
          <w:rFonts w:ascii="Book Antiqua" w:hAnsi="Book Antiqua"/>
          <w:sz w:val="20"/>
        </w:rPr>
        <w:t>ed</w:t>
      </w:r>
      <w:r w:rsidRPr="00115CF5">
        <w:rPr>
          <w:rFonts w:ascii="Book Antiqua" w:hAnsi="Book Antiqua"/>
          <w:sz w:val="20"/>
        </w:rPr>
        <w:t xml:space="preserve"> at the Planck scale. It then cascade</w:t>
      </w:r>
      <w:r w:rsidR="0037176B">
        <w:rPr>
          <w:rFonts w:ascii="Book Antiqua" w:hAnsi="Book Antiqua"/>
          <w:sz w:val="20"/>
        </w:rPr>
        <w:t>d</w:t>
      </w:r>
      <w:r w:rsidRPr="00115CF5">
        <w:rPr>
          <w:rFonts w:ascii="Book Antiqua" w:hAnsi="Book Antiqua"/>
          <w:sz w:val="20"/>
        </w:rPr>
        <w:t xml:space="preserve"> into progressively larger scales until the entire PPP 'gas' throughout the cosmos was in a state of extreme turbulence [44].</w:t>
      </w:r>
      <w:r w:rsidRPr="00115CF5">
        <w:rPr>
          <w:rFonts w:ascii="Book Antiqua" w:hAnsi="Book Antiqua"/>
          <w:color w:val="FF0000"/>
          <w:sz w:val="20"/>
        </w:rPr>
        <w:t xml:space="preserve"> </w:t>
      </w:r>
      <w:r w:rsidRPr="00115CF5">
        <w:rPr>
          <w:rFonts w:ascii="Book Antiqua" w:hAnsi="Book Antiqua"/>
          <w:sz w:val="20"/>
        </w:rPr>
        <w:t>He points out that this turbulence fed energy into the system which then resulted in the production of more PPP. Gibson's analysis reveals that PPP numbers would continue to increase until all the turbulence died away. He has shown that such systems are characteristically inelastic, while Bizon correctly established that inelastic systems have stronger vortices and longer persistence times [48].</w:t>
      </w:r>
      <w:r w:rsidRPr="00115CF5">
        <w:rPr>
          <w:rFonts w:ascii="Book Antiqua" w:hAnsi="Book Antiqua"/>
          <w:color w:val="FF0000"/>
          <w:sz w:val="20"/>
        </w:rPr>
        <w:t xml:space="preserve">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t xml:space="preserve">In this PPP/P-KP system, the separation of electric charges among the PPP would produce electric fields, while their turbulent movement </w:t>
      </w:r>
      <w:r w:rsidR="0037176B">
        <w:rPr>
          <w:rFonts w:ascii="Book Antiqua" w:hAnsi="Book Antiqua"/>
          <w:sz w:val="20"/>
        </w:rPr>
        <w:t xml:space="preserve">produced currents which </w:t>
      </w:r>
      <w:r w:rsidRPr="00115CF5">
        <w:rPr>
          <w:rFonts w:ascii="Book Antiqua" w:hAnsi="Book Antiqua"/>
          <w:sz w:val="20"/>
        </w:rPr>
        <w:t>would then produce magnetic fields. In addition, P-KP themselves radiate</w:t>
      </w:r>
      <w:r w:rsidR="0037176B">
        <w:rPr>
          <w:rFonts w:ascii="Book Antiqua" w:hAnsi="Book Antiqua"/>
          <w:sz w:val="20"/>
        </w:rPr>
        <w:t>d</w:t>
      </w:r>
      <w:r w:rsidRPr="00115CF5">
        <w:rPr>
          <w:rFonts w:ascii="Book Antiqua" w:hAnsi="Book Antiqua"/>
          <w:sz w:val="20"/>
        </w:rPr>
        <w:t xml:space="preserve"> electromagnetic energy into their turbulent environment.  This was the origin of the initial electro-magnetic fields of the ZPE. After universal expansion ceased, vortices and turbulence would have persisted until all the turbulent energy had been converted to Planck Particle Pairs, as explained in detail by Gibson [44].</w:t>
      </w:r>
      <w:r w:rsidRPr="00115CF5">
        <w:rPr>
          <w:rFonts w:ascii="Book Antiqua" w:hAnsi="Book Antiqua"/>
          <w:color w:val="FF0000"/>
          <w:sz w:val="20"/>
        </w:rPr>
        <w:t xml:space="preserve"> </w:t>
      </w:r>
      <w:r w:rsidRPr="00115CF5">
        <w:rPr>
          <w:rFonts w:ascii="Book Antiqua" w:hAnsi="Book Antiqua"/>
          <w:sz w:val="20"/>
        </w:rPr>
        <w:t>Because of the inelasticity and size of the system, the persistence and decay phases of turbulence probably took a comparatively long time. During this time the ZPE strength would have continued building, since PPP numbers were also building.</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lastRenderedPageBreak/>
        <w:tab/>
        <w:t>Once both expansion and turbulence ceased, the Planck Particle Pairs would have continued to recombine. When PPP recombine, they annihilate, and their total energy is converted to electromagnetic radiation</w:t>
      </w:r>
      <w:r w:rsidR="0037176B">
        <w:rPr>
          <w:rFonts w:ascii="Book Antiqua" w:hAnsi="Book Antiqua"/>
          <w:sz w:val="20"/>
        </w:rPr>
        <w:t>.  This would have</w:t>
      </w:r>
      <w:r w:rsidRPr="00115CF5">
        <w:rPr>
          <w:rFonts w:ascii="Book Antiqua" w:hAnsi="Book Antiqua"/>
          <w:sz w:val="20"/>
        </w:rPr>
        <w:t xml:space="preserve"> further built up the Zero Point Energy. </w:t>
      </w:r>
      <w:r w:rsidR="0037176B">
        <w:rPr>
          <w:rFonts w:ascii="Book Antiqua" w:hAnsi="Book Antiqua"/>
          <w:sz w:val="20"/>
        </w:rPr>
        <w:t>T</w:t>
      </w:r>
      <w:r w:rsidRPr="00115CF5">
        <w:rPr>
          <w:rFonts w:ascii="Book Antiqua" w:hAnsi="Book Antiqua"/>
          <w:sz w:val="20"/>
        </w:rPr>
        <w:t xml:space="preserve">his recombining of the PPP may have </w:t>
      </w:r>
      <w:r w:rsidR="001D68B2">
        <w:rPr>
          <w:rFonts w:ascii="Book Antiqua" w:hAnsi="Book Antiqua"/>
          <w:sz w:val="20"/>
        </w:rPr>
        <w:t>added an amount of</w:t>
      </w:r>
      <w:r w:rsidRPr="00115CF5">
        <w:rPr>
          <w:rFonts w:ascii="Book Antiqua" w:hAnsi="Book Antiqua"/>
          <w:sz w:val="20"/>
        </w:rPr>
        <w:t xml:space="preserve"> </w:t>
      </w:r>
      <w:r w:rsidR="002227A9">
        <w:rPr>
          <w:rFonts w:ascii="Book Antiqua" w:hAnsi="Book Antiqua"/>
          <w:sz w:val="20"/>
        </w:rPr>
        <w:t xml:space="preserve">some significance to the existing </w:t>
      </w:r>
      <w:r w:rsidRPr="00115CF5">
        <w:rPr>
          <w:rFonts w:ascii="Book Antiqua" w:hAnsi="Book Antiqua"/>
          <w:sz w:val="20"/>
        </w:rPr>
        <w:t xml:space="preserve">energy </w:t>
      </w:r>
      <w:r w:rsidR="002227A9">
        <w:rPr>
          <w:rFonts w:ascii="Book Antiqua" w:hAnsi="Book Antiqua"/>
          <w:sz w:val="20"/>
        </w:rPr>
        <w:t xml:space="preserve">of the </w:t>
      </w:r>
      <w:r w:rsidRPr="00115CF5">
        <w:rPr>
          <w:rFonts w:ascii="Book Antiqua" w:hAnsi="Book Antiqua"/>
          <w:sz w:val="20"/>
        </w:rPr>
        <w:t xml:space="preserve">ZPE. </w:t>
      </w:r>
      <w:r w:rsidR="002227A9">
        <w:rPr>
          <w:rFonts w:ascii="Book Antiqua" w:hAnsi="Book Antiqua"/>
          <w:sz w:val="20"/>
        </w:rPr>
        <w:t>As a result, t</w:t>
      </w:r>
      <w:r w:rsidRPr="00115CF5">
        <w:rPr>
          <w:rFonts w:ascii="Book Antiqua" w:hAnsi="Book Antiqua"/>
          <w:sz w:val="20"/>
        </w:rPr>
        <w:t>he electro-magnetic fields and waves of the ZPE continued to build up, despite the decay in turbulence, until all PPP had recombined [36].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As previously mentioned, Puthoff and other authors have shown that the ZPE strength is then maintained ”</w:t>
      </w:r>
      <w:r w:rsidRPr="00115CF5">
        <w:rPr>
          <w:rFonts w:ascii="Book Antiqua" w:hAnsi="Book Antiqua"/>
          <w:i/>
          <w:sz w:val="20"/>
        </w:rPr>
        <w:t>as a self-regenerating cosmological feedback cycle.”</w:t>
      </w:r>
      <w:r w:rsidRPr="00115CF5">
        <w:rPr>
          <w:rFonts w:ascii="Book Antiqua" w:hAnsi="Book Antiqua"/>
          <w:sz w:val="20"/>
        </w:rPr>
        <w:t xml:space="preserve"> [49] When ZPE waves collide, a virtual particle pair is produced from some of that energy.  When the virtual particles recombine, that energy is released back into the system. Some energy is also used to maintain atomic structures throughout the cosmos, as explained in Chapters 4 and 5. However, the number of atoms in the universe is so small in comparison to the number of virtual particle pairs existing at any instant and the magnitude of the ZPE strength, that their drain on the ZPE strength is negligible. Therefore, once it had built up to its maximum, the ZPE strength </w:t>
      </w:r>
      <w:r w:rsidR="0037176B">
        <w:rPr>
          <w:rFonts w:ascii="Book Antiqua" w:hAnsi="Book Antiqua"/>
          <w:sz w:val="20"/>
        </w:rPr>
        <w:t>has been</w:t>
      </w:r>
      <w:r w:rsidRPr="00115CF5">
        <w:rPr>
          <w:rFonts w:ascii="Book Antiqua" w:hAnsi="Book Antiqua"/>
          <w:sz w:val="20"/>
        </w:rPr>
        <w:t xml:space="preserve"> effectively maintained.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A</w:t>
      </w:r>
      <w:r w:rsidR="008B5E8F">
        <w:rPr>
          <w:rFonts w:ascii="Book Antiqua" w:hAnsi="Book Antiqua"/>
          <w:sz w:val="20"/>
        </w:rPr>
        <w:t>lso mentioned earlier was the fact that</w:t>
      </w:r>
      <w:r w:rsidRPr="00115CF5">
        <w:rPr>
          <w:rFonts w:ascii="Book Antiqua" w:hAnsi="Book Antiqua"/>
          <w:sz w:val="20"/>
        </w:rPr>
        <w:t xml:space="preserve"> Narlikar and Arp </w:t>
      </w:r>
      <w:r w:rsidR="008B5E8F">
        <w:rPr>
          <w:rFonts w:ascii="Book Antiqua" w:hAnsi="Book Antiqua"/>
          <w:sz w:val="20"/>
        </w:rPr>
        <w:t>established</w:t>
      </w:r>
      <w:r w:rsidRPr="00115CF5">
        <w:rPr>
          <w:rFonts w:ascii="Book Antiqua" w:hAnsi="Book Antiqua"/>
          <w:sz w:val="20"/>
        </w:rPr>
        <w:t xml:space="preserve"> that a static universe would incorporate oscillation</w:t>
      </w:r>
      <w:r w:rsidR="005043B1">
        <w:rPr>
          <w:rFonts w:ascii="Book Antiqua" w:hAnsi="Book Antiqua"/>
          <w:sz w:val="20"/>
        </w:rPr>
        <w:t>s</w:t>
      </w:r>
      <w:r w:rsidRPr="00115CF5">
        <w:rPr>
          <w:rFonts w:ascii="Book Antiqua" w:hAnsi="Book Antiqua"/>
          <w:sz w:val="20"/>
        </w:rPr>
        <w:t xml:space="preserve"> [28].   This would produce a resulting oscillation in ZPE strength.  These oscillations would tend to increase the Zero Point Energy per unit volume when the cosmos was at its minimum position, and decrease the strength at its maximum expansion. If the universe has several modes of oscillation, a graph of its behavior, and hence that of the strength of the ZPE, might be expected to contain flat points in a manner similar to that described in an article by Karlow [50]. </w:t>
      </w:r>
      <w:r w:rsidR="00FB4B1F">
        <w:rPr>
          <w:rFonts w:ascii="Book Antiqua" w:hAnsi="Book Antiqua"/>
          <w:sz w:val="20"/>
        </w:rPr>
        <w:t xml:space="preserve"> </w:t>
      </w:r>
      <w:r w:rsidRPr="00115CF5">
        <w:rPr>
          <w:rFonts w:ascii="Book Antiqua" w:hAnsi="Book Antiqua"/>
          <w:sz w:val="20"/>
        </w:rPr>
        <w:t xml:space="preserve">The data, which are discussed in the next four Chapters, support this. </w:t>
      </w:r>
    </w:p>
    <w:p w:rsidR="00AC4336" w:rsidRPr="00115CF5" w:rsidRDefault="00AC4336" w:rsidP="00AC4336">
      <w:pPr>
        <w:pStyle w:val="Heading2"/>
        <w:spacing w:before="80" w:after="80" w:line="240" w:lineRule="atLeast"/>
        <w:rPr>
          <w:rFonts w:ascii="Book Antiqua" w:hAnsi="Book Antiqua" w:cs="Times New Roman"/>
          <w:b w:val="0"/>
          <w:sz w:val="20"/>
          <w:szCs w:val="20"/>
        </w:rPr>
      </w:pPr>
    </w:p>
    <w:p w:rsidR="00AC4336" w:rsidRPr="00115CF5" w:rsidRDefault="00AC4336" w:rsidP="00AC4336">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4.6 An Increasing ZPE Explained Another Way</w:t>
      </w:r>
    </w:p>
    <w:p w:rsidR="005B7A02" w:rsidRDefault="005B7A02" w:rsidP="00AC4336">
      <w:pPr>
        <w:pStyle w:val="NoSpacing"/>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sidRPr="00115CF5">
        <w:rPr>
          <w:rFonts w:ascii="Book Antiqua" w:hAnsi="Book Antiqua"/>
          <w:sz w:val="20"/>
        </w:rPr>
        <w:t xml:space="preserve">As shown, the initial build-up of the Zero Point Energy is </w:t>
      </w:r>
      <w:r>
        <w:rPr>
          <w:rFonts w:ascii="Book Antiqua" w:hAnsi="Book Antiqua"/>
          <w:sz w:val="20"/>
        </w:rPr>
        <w:t>indicated</w:t>
      </w:r>
      <w:r w:rsidRPr="00115CF5">
        <w:rPr>
          <w:rFonts w:ascii="Book Antiqua" w:hAnsi="Book Antiqua"/>
          <w:sz w:val="20"/>
        </w:rPr>
        <w:t xml:space="preserve"> by physical data. </w:t>
      </w:r>
      <w:r>
        <w:rPr>
          <w:rFonts w:ascii="Book Antiqua" w:hAnsi="Book Antiqua"/>
          <w:sz w:val="20"/>
        </w:rPr>
        <w:t>To explain how this worked</w:t>
      </w:r>
      <w:r w:rsidR="00FB4B1F">
        <w:rPr>
          <w:rFonts w:ascii="Book Antiqua" w:hAnsi="Book Antiqua"/>
          <w:sz w:val="20"/>
        </w:rPr>
        <w:t>, consider a rubber band.  W</w:t>
      </w:r>
      <w:r w:rsidRPr="00551881">
        <w:rPr>
          <w:rFonts w:ascii="Book Antiqua" w:hAnsi="Book Antiqua"/>
          <w:sz w:val="20"/>
        </w:rPr>
        <w:t>hen a rubber band is stretched, it</w:t>
      </w:r>
      <w:r>
        <w:rPr>
          <w:rFonts w:ascii="Book Antiqua" w:hAnsi="Book Antiqua"/>
          <w:color w:val="FF0000"/>
          <w:sz w:val="20"/>
        </w:rPr>
        <w:t xml:space="preserve"> </w:t>
      </w:r>
      <w:r w:rsidRPr="00115CF5">
        <w:rPr>
          <w:rFonts w:ascii="Book Antiqua" w:hAnsi="Book Antiqua"/>
          <w:sz w:val="20"/>
        </w:rPr>
        <w:t xml:space="preserve">has potential energy invested into its fabric. </w:t>
      </w:r>
      <w:r w:rsidRPr="00551881">
        <w:rPr>
          <w:rFonts w:ascii="Book Antiqua" w:hAnsi="Book Antiqua"/>
          <w:sz w:val="20"/>
        </w:rPr>
        <w:t xml:space="preserve">When it is released, there is a very fast conversion of potential to kinetic energy.  The rubber band flies away quickly at first but then slows down as the conversion itself slows down. </w:t>
      </w:r>
      <w:r w:rsidRPr="00115CF5">
        <w:rPr>
          <w:rFonts w:ascii="Book Antiqua" w:hAnsi="Book Antiqua"/>
          <w:sz w:val="20"/>
        </w:rPr>
        <w:t xml:space="preserve">Similarly, the fabric of space converted the potential energy of the expansion into the kinetic energy which manifested as the ZPE. This conversion happened quickly at first, and then slowed. </w:t>
      </w:r>
      <w:r>
        <w:rPr>
          <w:rFonts w:ascii="Book Antiqua" w:hAnsi="Book Antiqua"/>
          <w:sz w:val="20"/>
        </w:rPr>
        <w:t xml:space="preserve">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The process whereby the energy of expansion was converted into potential energy was</w:t>
      </w:r>
      <w:r>
        <w:rPr>
          <w:rFonts w:ascii="Book Antiqua" w:hAnsi="Book Antiqua"/>
          <w:color w:val="FF0000"/>
          <w:sz w:val="20"/>
        </w:rPr>
        <w:t xml:space="preserve"> </w:t>
      </w:r>
      <w:r w:rsidRPr="00551881">
        <w:rPr>
          <w:rFonts w:ascii="Book Antiqua" w:hAnsi="Book Antiqua"/>
          <w:sz w:val="20"/>
        </w:rPr>
        <w:t>through</w:t>
      </w:r>
      <w:r>
        <w:rPr>
          <w:rFonts w:ascii="Book Antiqua" w:hAnsi="Book Antiqua"/>
          <w:sz w:val="20"/>
        </w:rPr>
        <w:t xml:space="preserve"> the formation of</w:t>
      </w:r>
      <w:r>
        <w:rPr>
          <w:rFonts w:ascii="Book Antiqua" w:hAnsi="Book Antiqua"/>
          <w:color w:val="FF0000"/>
          <w:sz w:val="20"/>
        </w:rPr>
        <w:t xml:space="preserve"> </w:t>
      </w:r>
      <w:r w:rsidRPr="00551881">
        <w:rPr>
          <w:rFonts w:ascii="Book Antiqua" w:hAnsi="Book Antiqua"/>
          <w:sz w:val="20"/>
        </w:rPr>
        <w:t>positive and negative</w:t>
      </w:r>
      <w:r>
        <w:rPr>
          <w:rFonts w:ascii="Book Antiqua" w:hAnsi="Book Antiqua"/>
          <w:color w:val="FF0000"/>
          <w:sz w:val="20"/>
        </w:rPr>
        <w:t xml:space="preserve"> </w:t>
      </w:r>
      <w:r>
        <w:rPr>
          <w:rFonts w:ascii="Book Antiqua" w:hAnsi="Book Antiqua"/>
          <w:sz w:val="20"/>
        </w:rPr>
        <w:t xml:space="preserve">Planck Particle </w:t>
      </w:r>
      <w:r w:rsidRPr="00551881">
        <w:rPr>
          <w:rFonts w:ascii="Book Antiqua" w:hAnsi="Book Antiqua"/>
          <w:sz w:val="20"/>
        </w:rPr>
        <w:t>Pairs (PPP).</w:t>
      </w:r>
      <w:r>
        <w:rPr>
          <w:rFonts w:ascii="Book Antiqua" w:hAnsi="Book Antiqua"/>
          <w:sz w:val="20"/>
        </w:rPr>
        <w:t xml:space="preserve"> This formation occurred because of the inter-convertibility of matter and energy. </w:t>
      </w:r>
      <w:r w:rsidR="0069244A">
        <w:rPr>
          <w:rFonts w:ascii="Book Antiqua" w:hAnsi="Book Antiqua"/>
          <w:sz w:val="20"/>
        </w:rPr>
        <w:t>The</w:t>
      </w:r>
      <w:r w:rsidR="0069244A" w:rsidRPr="00551881">
        <w:rPr>
          <w:rFonts w:ascii="Book Antiqua" w:hAnsi="Book Antiqua"/>
          <w:sz w:val="20"/>
        </w:rPr>
        <w:t xml:space="preserve"> </w:t>
      </w:r>
      <w:r w:rsidR="0069244A">
        <w:rPr>
          <w:rFonts w:ascii="Book Antiqua" w:hAnsi="Book Antiqua"/>
          <w:sz w:val="20"/>
        </w:rPr>
        <w:t>energy inherent in the turbulence was also</w:t>
      </w:r>
      <w:r w:rsidR="0069244A" w:rsidRPr="00551881">
        <w:rPr>
          <w:rFonts w:ascii="Book Antiqua" w:hAnsi="Book Antiqua"/>
          <w:sz w:val="20"/>
        </w:rPr>
        <w:t xml:space="preserve"> </w:t>
      </w:r>
      <w:r w:rsidR="0069244A">
        <w:rPr>
          <w:rFonts w:ascii="Book Antiqua" w:hAnsi="Book Antiqua"/>
          <w:sz w:val="20"/>
        </w:rPr>
        <w:t xml:space="preserve">converted into </w:t>
      </w:r>
      <w:r w:rsidR="0069244A" w:rsidRPr="00551881">
        <w:rPr>
          <w:rFonts w:ascii="Book Antiqua" w:hAnsi="Book Antiqua"/>
          <w:sz w:val="20"/>
        </w:rPr>
        <w:t xml:space="preserve">matter in the form of the Planck </w:t>
      </w:r>
      <w:r w:rsidR="0069244A">
        <w:rPr>
          <w:rFonts w:ascii="Book Antiqua" w:hAnsi="Book Antiqua"/>
          <w:sz w:val="20"/>
        </w:rPr>
        <w:t>P</w:t>
      </w:r>
      <w:r w:rsidR="0069244A" w:rsidRPr="00551881">
        <w:rPr>
          <w:rFonts w:ascii="Book Antiqua" w:hAnsi="Book Antiqua"/>
          <w:sz w:val="20"/>
        </w:rPr>
        <w:t xml:space="preserve">article </w:t>
      </w:r>
      <w:r w:rsidR="0069244A">
        <w:rPr>
          <w:rFonts w:ascii="Book Antiqua" w:hAnsi="Book Antiqua"/>
          <w:sz w:val="20"/>
        </w:rPr>
        <w:t>P</w:t>
      </w:r>
      <w:r w:rsidR="0069244A" w:rsidRPr="00551881">
        <w:rPr>
          <w:rFonts w:ascii="Book Antiqua" w:hAnsi="Book Antiqua"/>
          <w:sz w:val="20"/>
        </w:rPr>
        <w:t>airs.</w:t>
      </w:r>
      <w:r w:rsidR="0069244A">
        <w:rPr>
          <w:rFonts w:ascii="Book Antiqua" w:hAnsi="Book Antiqua"/>
          <w:sz w:val="20"/>
        </w:rPr>
        <w:t xml:space="preserve"> </w:t>
      </w:r>
      <w:r w:rsidRPr="00551881">
        <w:rPr>
          <w:rFonts w:ascii="Book Antiqua" w:hAnsi="Book Antiqua"/>
          <w:sz w:val="20"/>
        </w:rPr>
        <w:t>The turbulent</w:t>
      </w:r>
      <w:r>
        <w:rPr>
          <w:rFonts w:ascii="Book Antiqua" w:hAnsi="Book Antiqua"/>
          <w:color w:val="FF0000"/>
          <w:sz w:val="20"/>
        </w:rPr>
        <w:t xml:space="preserve"> </w:t>
      </w:r>
      <w:r>
        <w:rPr>
          <w:rFonts w:ascii="Book Antiqua" w:hAnsi="Book Antiqua"/>
          <w:sz w:val="20"/>
        </w:rPr>
        <w:t xml:space="preserve">motion of the PPP produced the electromagnetic waves and fields of the Zero Point Energy. In this sense, the ZPE is the manifestation of the kinetic </w:t>
      </w:r>
      <w:r w:rsidRPr="00551881">
        <w:rPr>
          <w:rFonts w:ascii="Book Antiqua" w:hAnsi="Book Antiqua"/>
          <w:sz w:val="20"/>
        </w:rPr>
        <w:t>energy which was converted</w:t>
      </w:r>
      <w:r>
        <w:rPr>
          <w:rFonts w:ascii="Book Antiqua" w:hAnsi="Book Antiqua"/>
          <w:color w:val="FF0000"/>
          <w:sz w:val="20"/>
        </w:rPr>
        <w:t xml:space="preserve"> </w:t>
      </w:r>
      <w:r>
        <w:rPr>
          <w:rFonts w:ascii="Book Antiqua" w:hAnsi="Book Antiqua"/>
          <w:sz w:val="20"/>
        </w:rPr>
        <w:t xml:space="preserve">from the potential energy of expansion. </w:t>
      </w:r>
    </w:p>
    <w:p w:rsidR="005B7A02" w:rsidRDefault="005B7A02" w:rsidP="005B7A02">
      <w:pPr>
        <w:pStyle w:val="NoSpacing"/>
        <w:ind w:firstLine="720"/>
        <w:jc w:val="both"/>
        <w:rPr>
          <w:rFonts w:ascii="Book Antiqua" w:hAnsi="Book Antiqua"/>
          <w:sz w:val="20"/>
        </w:rPr>
      </w:pPr>
    </w:p>
    <w:p w:rsidR="005B7A02" w:rsidRDefault="005B7A02" w:rsidP="005B7A02">
      <w:pPr>
        <w:pStyle w:val="NoSpacing"/>
        <w:ind w:firstLine="720"/>
        <w:jc w:val="both"/>
        <w:rPr>
          <w:rFonts w:ascii="Book Antiqua" w:hAnsi="Book Antiqua"/>
          <w:sz w:val="20"/>
        </w:rPr>
      </w:pPr>
      <w:r>
        <w:rPr>
          <w:rFonts w:ascii="Book Antiqua" w:hAnsi="Book Antiqua"/>
          <w:sz w:val="20"/>
        </w:rPr>
        <w:t xml:space="preserve">In order to get </w:t>
      </w:r>
      <w:r w:rsidRPr="00551881">
        <w:rPr>
          <w:rFonts w:ascii="Book Antiqua" w:hAnsi="Book Antiqua"/>
          <w:sz w:val="20"/>
        </w:rPr>
        <w:t>a better picture of t</w:t>
      </w:r>
      <w:r>
        <w:rPr>
          <w:rFonts w:ascii="Book Antiqua" w:hAnsi="Book Antiqua"/>
          <w:sz w:val="20"/>
        </w:rPr>
        <w:t xml:space="preserve">his, consider the three phases of turbulence. First there is the formation of </w:t>
      </w:r>
      <w:r w:rsidRPr="00551881">
        <w:rPr>
          <w:rFonts w:ascii="Book Antiqua" w:hAnsi="Book Antiqua"/>
          <w:sz w:val="20"/>
        </w:rPr>
        <w:t>the</w:t>
      </w:r>
      <w:r>
        <w:rPr>
          <w:rFonts w:ascii="Book Antiqua" w:hAnsi="Book Antiqua"/>
          <w:color w:val="FF0000"/>
          <w:sz w:val="20"/>
        </w:rPr>
        <w:t xml:space="preserve"> </w:t>
      </w:r>
      <w:r>
        <w:rPr>
          <w:rFonts w:ascii="Book Antiqua" w:hAnsi="Book Antiqua"/>
          <w:sz w:val="20"/>
        </w:rPr>
        <w:t>turbulence by the initiating event. Once that initiating event has ceased, there is the persistence phase of the turbulence. Finally, there is a third phase, where the turbulence decays and ultimately dies out</w:t>
      </w:r>
      <w:r w:rsidRPr="00A00BBB">
        <w:rPr>
          <w:rFonts w:ascii="Book Antiqua" w:hAnsi="Book Antiqua"/>
          <w:sz w:val="20"/>
        </w:rPr>
        <w:t>. Figure 9 shows the analogous situation</w:t>
      </w:r>
      <w:r>
        <w:rPr>
          <w:rFonts w:ascii="Book Antiqua" w:hAnsi="Book Antiqua"/>
          <w:sz w:val="20"/>
        </w:rPr>
        <w:t xml:space="preserve"> where turbulence is initiated by the passage of an aircraft. This is called “wake turbulence.” </w:t>
      </w:r>
    </w:p>
    <w:p w:rsidR="00AC4336" w:rsidRDefault="00AC4336" w:rsidP="00AC4336">
      <w:pPr>
        <w:pStyle w:val="NoSpacing"/>
        <w:jc w:val="both"/>
        <w:rPr>
          <w:rFonts w:ascii="Book Antiqua" w:hAnsi="Book Antiqua"/>
          <w:sz w:val="20"/>
        </w:rPr>
      </w:pPr>
      <w:r w:rsidRPr="00115CF5">
        <w:rPr>
          <w:rFonts w:ascii="Book Antiqua" w:hAnsi="Book Antiqua"/>
          <w:sz w:val="20"/>
        </w:rPr>
        <w:tab/>
      </w:r>
    </w:p>
    <w:p w:rsidR="004E1CE7" w:rsidRDefault="004E1CE7" w:rsidP="004E1CE7">
      <w:pPr>
        <w:pStyle w:val="NoSpacing"/>
        <w:ind w:firstLine="720"/>
        <w:jc w:val="both"/>
        <w:rPr>
          <w:rFonts w:ascii="Book Antiqua" w:hAnsi="Book Antiqua"/>
          <w:sz w:val="20"/>
        </w:rPr>
      </w:pPr>
      <w:r w:rsidRPr="00A00BBB">
        <w:rPr>
          <w:rFonts w:ascii="Book Antiqua" w:hAnsi="Book Antiqua"/>
          <w:sz w:val="20"/>
        </w:rPr>
        <w:t>What we see in Figure 9 is a</w:t>
      </w:r>
      <w:r>
        <w:rPr>
          <w:rFonts w:ascii="Book Antiqua" w:hAnsi="Book Antiqua"/>
          <w:sz w:val="20"/>
        </w:rPr>
        <w:t xml:space="preserve"> light aircraft is going down a runway. The red-colored smoke has been caught up in the turbulent motion of the air. The behavior of the red smoke shows that there is a relatively long persistence time before the system decays and turbulence ceases. In the case of large aircraft like a Boeing 777 or Airbus A380, it is considered unsafe to land light aircraft behind these giants for a period of up to 4 minutes because of the persistence of the turbulence and the danger it presents [51]. </w:t>
      </w:r>
      <w:r w:rsidRPr="00A00BBB">
        <w:rPr>
          <w:rFonts w:ascii="Book Antiqua" w:hAnsi="Book Antiqua"/>
          <w:sz w:val="20"/>
        </w:rPr>
        <w:t>In fact, because of the long persistence time of the turbulence, the</w:t>
      </w:r>
      <w:r>
        <w:rPr>
          <w:rFonts w:ascii="Book Antiqua" w:hAnsi="Book Antiqua"/>
          <w:sz w:val="20"/>
        </w:rPr>
        <w:t xml:space="preserve"> closest light aircraft are allowed to approach these monsters is 8 nautical miles [51]. In a similar way, it could be expected that in a very large system, such as the cosmos, there would be a correspondingly long persistence time for the turbulence among PPP in the early universe. </w:t>
      </w:r>
    </w:p>
    <w:p w:rsidR="004E1CE7" w:rsidRDefault="004E1CE7" w:rsidP="00AC4336">
      <w:pPr>
        <w:pStyle w:val="NoSpacing"/>
        <w:jc w:val="both"/>
        <w:rPr>
          <w:rFonts w:ascii="Book Antiqua" w:hAnsi="Book Antiqua"/>
          <w:sz w:val="20"/>
        </w:rPr>
      </w:pPr>
    </w:p>
    <w:p w:rsidR="00F55A50" w:rsidRDefault="00F55A50" w:rsidP="00F44D37">
      <w:pPr>
        <w:pStyle w:val="NoSpacing"/>
        <w:jc w:val="center"/>
        <w:rPr>
          <w:rFonts w:ascii="Book Antiqua" w:hAnsi="Book Antiqua"/>
          <w:sz w:val="20"/>
        </w:rPr>
      </w:pPr>
      <w:r w:rsidRPr="00F55A50">
        <w:rPr>
          <w:rFonts w:ascii="Book Antiqua" w:hAnsi="Book Antiqua"/>
          <w:noProof/>
          <w:sz w:val="20"/>
        </w:rPr>
        <w:lastRenderedPageBreak/>
        <w:drawing>
          <wp:inline distT="0" distB="0" distL="0" distR="0">
            <wp:extent cx="5838825" cy="3857625"/>
            <wp:effectExtent l="19050" t="0" r="9525" b="0"/>
            <wp:docPr id="15" name="Picture 2" descr="http://upload.wikimedia.org/wikipedia/commons/f/fe/Airplane_vortex_edit.jpg"/>
            <wp:cNvGraphicFramePr/>
            <a:graphic xmlns:a="http://schemas.openxmlformats.org/drawingml/2006/main">
              <a:graphicData uri="http://schemas.openxmlformats.org/drawingml/2006/picture">
                <pic:pic xmlns:pic="http://schemas.openxmlformats.org/drawingml/2006/picture">
                  <pic:nvPicPr>
                    <pic:cNvPr id="87044" name="Picture 3" descr="http://upload.wikimedia.org/wikipedia/commons/f/fe/Airplane_vortex_edit.jpg"/>
                    <pic:cNvPicPr>
                      <a:picLocks noChangeAspect="1" noChangeArrowheads="1"/>
                    </pic:cNvPicPr>
                  </pic:nvPicPr>
                  <pic:blipFill>
                    <a:blip r:embed="rId58" cstate="print"/>
                    <a:srcRect t="6903" r="-55"/>
                    <a:stretch>
                      <a:fillRect/>
                    </a:stretch>
                  </pic:blipFill>
                  <pic:spPr bwMode="auto">
                    <a:xfrm>
                      <a:off x="0" y="0"/>
                      <a:ext cx="5843482" cy="3860702"/>
                    </a:xfrm>
                    <a:prstGeom prst="rect">
                      <a:avLst/>
                    </a:prstGeom>
                    <a:noFill/>
                    <a:ln w="9525">
                      <a:noFill/>
                      <a:miter lim="800000"/>
                      <a:headEnd/>
                      <a:tailEnd/>
                    </a:ln>
                  </pic:spPr>
                </pic:pic>
              </a:graphicData>
            </a:graphic>
          </wp:inline>
        </w:drawing>
      </w:r>
    </w:p>
    <w:p w:rsidR="000C6863" w:rsidRDefault="000C6863" w:rsidP="000C6863">
      <w:pPr>
        <w:pStyle w:val="NoSpacing"/>
        <w:jc w:val="both"/>
        <w:rPr>
          <w:rFonts w:ascii="Book Antiqua" w:hAnsi="Book Antiqua"/>
          <w:sz w:val="20"/>
        </w:rPr>
      </w:pPr>
    </w:p>
    <w:p w:rsidR="000C6863" w:rsidRPr="005B7A02" w:rsidRDefault="000C6863" w:rsidP="000C6863">
      <w:pPr>
        <w:pStyle w:val="NoSpacing"/>
        <w:rPr>
          <w:rFonts w:ascii="Book Antiqua" w:hAnsi="Book Antiqua"/>
          <w:i/>
          <w:sz w:val="18"/>
          <w:szCs w:val="18"/>
        </w:rPr>
      </w:pPr>
      <w:r w:rsidRPr="005B7A02">
        <w:rPr>
          <w:rFonts w:ascii="Book Antiqua" w:hAnsi="Book Antiqua"/>
          <w:b/>
          <w:i/>
          <w:sz w:val="18"/>
          <w:szCs w:val="18"/>
        </w:rPr>
        <w:t>Figure 9:</w:t>
      </w:r>
      <w:r w:rsidRPr="005B7A02">
        <w:rPr>
          <w:rFonts w:ascii="Book Antiqua" w:hAnsi="Book Antiqua"/>
          <w:i/>
          <w:sz w:val="18"/>
          <w:szCs w:val="18"/>
        </w:rPr>
        <w:t xml:space="preserve"> Wake turbulence</w:t>
      </w:r>
      <w:r w:rsidR="00677932" w:rsidRPr="005B7A02">
        <w:rPr>
          <w:rFonts w:ascii="Book Antiqua" w:hAnsi="Book Antiqua"/>
          <w:i/>
          <w:sz w:val="18"/>
          <w:szCs w:val="18"/>
        </w:rPr>
        <w:t>.</w:t>
      </w:r>
      <w:r w:rsidRPr="005B7A02">
        <w:rPr>
          <w:rFonts w:ascii="Book Antiqua" w:hAnsi="Book Antiqua"/>
          <w:i/>
          <w:sz w:val="18"/>
          <w:szCs w:val="18"/>
        </w:rPr>
        <w:t xml:space="preserve"> </w:t>
      </w:r>
      <w:r w:rsidR="006D7604" w:rsidRPr="005B7A02">
        <w:rPr>
          <w:rFonts w:ascii="Book Antiqua" w:hAnsi="Book Antiqua"/>
          <w:b/>
          <w:i/>
          <w:sz w:val="18"/>
          <w:szCs w:val="18"/>
        </w:rPr>
        <w:t>Top</w:t>
      </w:r>
      <w:r w:rsidR="00677932" w:rsidRPr="005B7A02">
        <w:rPr>
          <w:rFonts w:ascii="Book Antiqua" w:hAnsi="Book Antiqua"/>
          <w:b/>
          <w:i/>
          <w:sz w:val="18"/>
          <w:szCs w:val="18"/>
        </w:rPr>
        <w:t>:</w:t>
      </w:r>
      <w:r w:rsidR="006D7604" w:rsidRPr="005B7A02">
        <w:rPr>
          <w:rFonts w:ascii="Book Antiqua" w:hAnsi="Book Antiqua"/>
          <w:i/>
          <w:sz w:val="18"/>
          <w:szCs w:val="18"/>
        </w:rPr>
        <w:t xml:space="preserve"> </w:t>
      </w:r>
      <w:r w:rsidR="00A605C6" w:rsidRPr="005B7A02">
        <w:rPr>
          <w:rFonts w:ascii="Book Antiqua" w:hAnsi="Book Antiqua"/>
          <w:i/>
          <w:sz w:val="18"/>
          <w:szCs w:val="18"/>
        </w:rPr>
        <w:t>F</w:t>
      </w:r>
      <w:r w:rsidRPr="005B7A02">
        <w:rPr>
          <w:rFonts w:ascii="Book Antiqua" w:hAnsi="Book Antiqua"/>
          <w:i/>
          <w:sz w:val="18"/>
          <w:szCs w:val="18"/>
        </w:rPr>
        <w:t xml:space="preserve">rom </w:t>
      </w:r>
      <w:r w:rsidR="00E656EB" w:rsidRPr="005B7A02">
        <w:rPr>
          <w:rFonts w:ascii="Book Antiqua" w:hAnsi="Book Antiqua"/>
          <w:i/>
          <w:sz w:val="18"/>
          <w:szCs w:val="18"/>
        </w:rPr>
        <w:t xml:space="preserve">the take-off of </w:t>
      </w:r>
      <w:r w:rsidRPr="005B7A02">
        <w:rPr>
          <w:rFonts w:ascii="Book Antiqua" w:hAnsi="Book Antiqua"/>
          <w:i/>
          <w:sz w:val="18"/>
          <w:szCs w:val="18"/>
        </w:rPr>
        <w:t xml:space="preserve">a light aircraft </w:t>
      </w:r>
      <w:r w:rsidR="00E656EB" w:rsidRPr="005B7A02">
        <w:rPr>
          <w:rFonts w:ascii="Book Antiqua" w:hAnsi="Book Antiqua"/>
          <w:i/>
          <w:sz w:val="18"/>
          <w:szCs w:val="18"/>
        </w:rPr>
        <w:t>. The turbulence is</w:t>
      </w:r>
      <w:r w:rsidRPr="005B7A02">
        <w:rPr>
          <w:rFonts w:ascii="Book Antiqua" w:hAnsi="Book Antiqua"/>
          <w:i/>
          <w:sz w:val="18"/>
          <w:szCs w:val="18"/>
        </w:rPr>
        <w:t xml:space="preserve"> made visible by red smoke. The persistence times of such turbulence from large aircraft can last up to 4 minutes after the plane has landed or taken off.</w:t>
      </w:r>
      <w:r w:rsidR="00677932" w:rsidRPr="005B7A02">
        <w:rPr>
          <w:rFonts w:ascii="Book Antiqua" w:hAnsi="Book Antiqua"/>
          <w:i/>
          <w:sz w:val="18"/>
          <w:szCs w:val="18"/>
        </w:rPr>
        <w:t xml:space="preserve"> </w:t>
      </w:r>
      <w:r w:rsidR="00677932" w:rsidRPr="005B7A02">
        <w:rPr>
          <w:rFonts w:ascii="Book Antiqua" w:hAnsi="Book Antiqua"/>
          <w:b/>
          <w:i/>
          <w:sz w:val="18"/>
          <w:szCs w:val="18"/>
        </w:rPr>
        <w:t>Bottom:</w:t>
      </w:r>
      <w:r w:rsidR="006D7604" w:rsidRPr="005B7A02">
        <w:rPr>
          <w:rFonts w:ascii="Book Antiqua" w:hAnsi="Book Antiqua"/>
          <w:i/>
          <w:sz w:val="18"/>
          <w:szCs w:val="18"/>
        </w:rPr>
        <w:t xml:space="preserve"> Wake turbulence from a large aircraft </w:t>
      </w:r>
      <w:r w:rsidR="00E656EB" w:rsidRPr="005B7A02">
        <w:rPr>
          <w:rFonts w:ascii="Book Antiqua" w:hAnsi="Book Antiqua"/>
          <w:i/>
          <w:sz w:val="18"/>
          <w:szCs w:val="18"/>
        </w:rPr>
        <w:t xml:space="preserve">preparing to land </w:t>
      </w:r>
      <w:r w:rsidR="006D7604" w:rsidRPr="005B7A02">
        <w:rPr>
          <w:rFonts w:ascii="Book Antiqua" w:hAnsi="Book Antiqua"/>
          <w:i/>
          <w:sz w:val="18"/>
          <w:szCs w:val="18"/>
        </w:rPr>
        <w:t>persists as a</w:t>
      </w:r>
      <w:r w:rsidR="00015EF1" w:rsidRPr="005B7A02">
        <w:rPr>
          <w:rFonts w:ascii="Book Antiqua" w:hAnsi="Book Antiqua"/>
          <w:i/>
          <w:sz w:val="18"/>
          <w:szCs w:val="18"/>
        </w:rPr>
        <w:t>n ongoing</w:t>
      </w:r>
      <w:r w:rsidR="006D7604" w:rsidRPr="005B7A02">
        <w:rPr>
          <w:rFonts w:ascii="Book Antiqua" w:hAnsi="Book Antiqua"/>
          <w:i/>
          <w:sz w:val="18"/>
          <w:szCs w:val="18"/>
        </w:rPr>
        <w:t xml:space="preserve"> pattern in the clouds.</w:t>
      </w:r>
    </w:p>
    <w:p w:rsidR="008B67C3" w:rsidRDefault="008B67C3" w:rsidP="000C6863">
      <w:pPr>
        <w:pStyle w:val="NoSpacing"/>
        <w:rPr>
          <w:rFonts w:ascii="Book Antiqua" w:hAnsi="Book Antiqua"/>
          <w:sz w:val="18"/>
          <w:szCs w:val="18"/>
        </w:rPr>
      </w:pPr>
    </w:p>
    <w:p w:rsidR="008B67C3" w:rsidRPr="000C6863" w:rsidRDefault="006D7604" w:rsidP="006D7604">
      <w:pPr>
        <w:jc w:val="center"/>
      </w:pPr>
      <w:r w:rsidRPr="006D7604">
        <w:rPr>
          <w:noProof/>
          <w:lang w:val="en-US"/>
        </w:rPr>
        <w:drawing>
          <wp:inline distT="0" distB="0" distL="0" distR="0">
            <wp:extent cx="6005233" cy="3035193"/>
            <wp:effectExtent l="19050" t="0" r="0" b="0"/>
            <wp:docPr id="777" name="Picture 3" descr="http://www.sesawi.net/wp-content/uploads/2013/02/turbulensi2.jpg"/>
            <wp:cNvGraphicFramePr/>
            <a:graphic xmlns:a="http://schemas.openxmlformats.org/drawingml/2006/main">
              <a:graphicData uri="http://schemas.openxmlformats.org/drawingml/2006/picture">
                <pic:pic xmlns:pic="http://schemas.openxmlformats.org/drawingml/2006/picture">
                  <pic:nvPicPr>
                    <pic:cNvPr id="4" name="irc_mi" descr="http://www.sesawi.net/wp-content/uploads/2013/02/turbulensi2.jpg"/>
                    <pic:cNvPicPr/>
                  </pic:nvPicPr>
                  <pic:blipFill>
                    <a:blip r:embed="rId59" cstate="print">
                      <a:lum contrast="20000"/>
                    </a:blip>
                    <a:srcRect l="20364" t="4421" b="22390"/>
                    <a:stretch>
                      <a:fillRect/>
                    </a:stretch>
                  </pic:blipFill>
                  <pic:spPr bwMode="auto">
                    <a:xfrm>
                      <a:off x="0" y="0"/>
                      <a:ext cx="6011676" cy="3038449"/>
                    </a:xfrm>
                    <a:prstGeom prst="rect">
                      <a:avLst/>
                    </a:prstGeom>
                    <a:noFill/>
                    <a:ln w="9525">
                      <a:noFill/>
                      <a:miter lim="800000"/>
                      <a:headEnd/>
                      <a:tailEnd/>
                    </a:ln>
                  </pic:spPr>
                </pic:pic>
              </a:graphicData>
            </a:graphic>
          </wp:inline>
        </w:drawing>
      </w:r>
    </w:p>
    <w:p w:rsidR="00A23A26" w:rsidRDefault="00A23A26" w:rsidP="00AC4336">
      <w:pPr>
        <w:pStyle w:val="NoSpacing"/>
        <w:ind w:firstLine="720"/>
        <w:jc w:val="both"/>
        <w:rPr>
          <w:rFonts w:ascii="Book Antiqua" w:hAnsi="Book Antiqua"/>
          <w:sz w:val="20"/>
        </w:rPr>
      </w:pPr>
    </w:p>
    <w:p w:rsidR="005B7A02" w:rsidRDefault="005B7A02" w:rsidP="0037076D">
      <w:pPr>
        <w:pStyle w:val="NoSpacing"/>
        <w:jc w:val="both"/>
        <w:rPr>
          <w:rFonts w:ascii="Book Antiqua" w:hAnsi="Book Antiqua"/>
          <w:sz w:val="20"/>
        </w:rPr>
      </w:pPr>
    </w:p>
    <w:p w:rsidR="005B7A02" w:rsidRPr="00115CF5" w:rsidRDefault="0069244A" w:rsidP="005B7A02">
      <w:pPr>
        <w:pStyle w:val="NoSpacing"/>
        <w:ind w:firstLine="720"/>
        <w:jc w:val="both"/>
        <w:rPr>
          <w:rFonts w:ascii="Book Antiqua" w:hAnsi="Book Antiqua"/>
          <w:sz w:val="20"/>
        </w:rPr>
      </w:pPr>
      <w:r>
        <w:rPr>
          <w:rFonts w:ascii="Book Antiqua" w:hAnsi="Book Antiqua"/>
          <w:sz w:val="20"/>
        </w:rPr>
        <w:t>T</w:t>
      </w:r>
      <w:r w:rsidR="005B7A02" w:rsidRPr="00115CF5">
        <w:rPr>
          <w:rFonts w:ascii="Book Antiqua" w:hAnsi="Book Antiqua"/>
          <w:sz w:val="20"/>
        </w:rPr>
        <w:t>he</w:t>
      </w:r>
      <w:r w:rsidR="005B7A02">
        <w:rPr>
          <w:rFonts w:ascii="Book Antiqua" w:hAnsi="Book Antiqua"/>
          <w:sz w:val="20"/>
        </w:rPr>
        <w:t xml:space="preserve"> number of </w:t>
      </w:r>
      <w:r w:rsidR="005B7A02" w:rsidRPr="00115CF5">
        <w:rPr>
          <w:rFonts w:ascii="Book Antiqua" w:hAnsi="Book Antiqua"/>
          <w:sz w:val="20"/>
        </w:rPr>
        <w:t>electro-magnetic</w:t>
      </w:r>
      <w:r w:rsidR="005B7A02">
        <w:rPr>
          <w:rFonts w:ascii="Book Antiqua" w:hAnsi="Book Antiqua"/>
          <w:sz w:val="20"/>
        </w:rPr>
        <w:t xml:space="preserve"> waves and fields of the</w:t>
      </w:r>
      <w:r w:rsidR="005B7A02" w:rsidRPr="00115CF5">
        <w:rPr>
          <w:rFonts w:ascii="Book Antiqua" w:hAnsi="Book Antiqua"/>
          <w:sz w:val="20"/>
        </w:rPr>
        <w:t xml:space="preserve"> ZPE </w:t>
      </w:r>
      <w:r w:rsidR="005B7A02" w:rsidRPr="00A00BBB">
        <w:rPr>
          <w:rFonts w:ascii="Book Antiqua" w:hAnsi="Book Antiqua"/>
          <w:sz w:val="20"/>
        </w:rPr>
        <w:t>continue</w:t>
      </w:r>
      <w:r w:rsidR="005B7A02">
        <w:rPr>
          <w:rFonts w:ascii="Book Antiqua" w:hAnsi="Book Antiqua"/>
          <w:sz w:val="20"/>
        </w:rPr>
        <w:t>d</w:t>
      </w:r>
      <w:r w:rsidR="005B7A02" w:rsidRPr="00A00BBB">
        <w:rPr>
          <w:rFonts w:ascii="Book Antiqua" w:hAnsi="Book Antiqua"/>
          <w:sz w:val="20"/>
        </w:rPr>
        <w:t xml:space="preserve"> increasing</w:t>
      </w:r>
      <w:r w:rsidR="005B7A02">
        <w:rPr>
          <w:rFonts w:ascii="Book Antiqua" w:hAnsi="Book Antiqua"/>
          <w:sz w:val="20"/>
        </w:rPr>
        <w:t xml:space="preserve"> throughout this time</w:t>
      </w:r>
      <w:r w:rsidR="005B7A02" w:rsidRPr="00A00BBB">
        <w:rPr>
          <w:rFonts w:ascii="Book Antiqua" w:hAnsi="Book Antiqua"/>
          <w:sz w:val="20"/>
        </w:rPr>
        <w:t>. This would result in the strength of the Zero Point Energy building, which we have evidence of in</w:t>
      </w:r>
      <w:r w:rsidR="005B7A02">
        <w:rPr>
          <w:rFonts w:ascii="Book Antiqua" w:hAnsi="Book Antiqua"/>
          <w:color w:val="FF0000"/>
          <w:sz w:val="20"/>
        </w:rPr>
        <w:t xml:space="preserve"> </w:t>
      </w:r>
      <w:r w:rsidR="005B7A02" w:rsidRPr="00115CF5">
        <w:rPr>
          <w:rFonts w:ascii="Book Antiqua" w:hAnsi="Book Antiqua"/>
          <w:sz w:val="20"/>
        </w:rPr>
        <w:t xml:space="preserve">astronomical data. </w:t>
      </w:r>
      <w:r w:rsidR="005B7A02" w:rsidRPr="0069244A">
        <w:rPr>
          <w:rFonts w:ascii="Book Antiqua" w:hAnsi="Book Antiqua"/>
          <w:sz w:val="20"/>
        </w:rPr>
        <w:t>The data presented in Chapter 5 and in Appendix A suggest that the persistence time for this cosmological turbulence of PPP</w:t>
      </w:r>
      <w:r w:rsidR="005B7A02">
        <w:rPr>
          <w:rFonts w:ascii="Book Antiqua" w:hAnsi="Book Antiqua"/>
          <w:sz w:val="20"/>
        </w:rPr>
        <w:t xml:space="preserve"> was about four times as long as the initiating expansion time. Data in Appendix A for other systems suggest that this is well within the bounds of probability. </w:t>
      </w:r>
    </w:p>
    <w:p w:rsidR="005B7A02" w:rsidRDefault="005B7A02" w:rsidP="005B7A02">
      <w:pPr>
        <w:pStyle w:val="NoSpacing"/>
        <w:jc w:val="both"/>
        <w:rPr>
          <w:rFonts w:ascii="Book Antiqua" w:hAnsi="Book Antiqua"/>
          <w:sz w:val="20"/>
        </w:rPr>
      </w:pPr>
    </w:p>
    <w:p w:rsidR="005B7A02" w:rsidRDefault="0069244A" w:rsidP="005B7A02">
      <w:pPr>
        <w:pStyle w:val="NoSpacing"/>
        <w:ind w:firstLine="720"/>
        <w:jc w:val="both"/>
        <w:rPr>
          <w:rFonts w:ascii="Book Antiqua" w:hAnsi="Book Antiqua"/>
          <w:sz w:val="20"/>
        </w:rPr>
      </w:pPr>
      <w:r>
        <w:rPr>
          <w:rFonts w:ascii="Book Antiqua" w:hAnsi="Book Antiqua"/>
          <w:sz w:val="20"/>
        </w:rPr>
        <w:t>The</w:t>
      </w:r>
      <w:r w:rsidR="005B7A02">
        <w:rPr>
          <w:rFonts w:ascii="Book Antiqua" w:hAnsi="Book Antiqua"/>
          <w:sz w:val="20"/>
        </w:rPr>
        <w:t xml:space="preserve"> expansion of the universe was the initiating phase in the formation of the ZPE</w:t>
      </w:r>
      <w:r w:rsidR="0011384A">
        <w:rPr>
          <w:rFonts w:ascii="Book Antiqua" w:hAnsi="Book Antiqua"/>
          <w:sz w:val="20"/>
        </w:rPr>
        <w:t>.</w:t>
      </w:r>
      <w:r w:rsidR="005B7A02">
        <w:rPr>
          <w:rFonts w:ascii="Book Antiqua" w:hAnsi="Book Antiqua"/>
          <w:sz w:val="20"/>
        </w:rPr>
        <w:t xml:space="preserve"> </w:t>
      </w:r>
      <w:r w:rsidR="0011384A">
        <w:rPr>
          <w:rFonts w:ascii="Book Antiqua" w:hAnsi="Book Antiqua"/>
          <w:sz w:val="20"/>
        </w:rPr>
        <w:t>As</w:t>
      </w:r>
      <w:r w:rsidR="005B7A02">
        <w:rPr>
          <w:rFonts w:ascii="Book Antiqua" w:hAnsi="Book Antiqua"/>
          <w:sz w:val="20"/>
        </w:rPr>
        <w:t xml:space="preserve"> long as the cosmos was expanding, that initiating phase continued. The astronomical data </w:t>
      </w:r>
      <w:r w:rsidR="005B7A02" w:rsidRPr="00A00BBB">
        <w:rPr>
          <w:rFonts w:ascii="Book Antiqua" w:hAnsi="Book Antiqua"/>
          <w:sz w:val="20"/>
        </w:rPr>
        <w:t xml:space="preserve">from </w:t>
      </w:r>
      <w:r w:rsidR="005B7A02">
        <w:rPr>
          <w:rFonts w:ascii="Book Antiqua" w:hAnsi="Book Antiqua"/>
          <w:sz w:val="20"/>
        </w:rPr>
        <w:t xml:space="preserve">hydrogen clouds indicate that the expansion had completely stopped by a redshift of z = 1.6. </w:t>
      </w:r>
      <w:r w:rsidR="0011384A">
        <w:rPr>
          <w:rFonts w:ascii="Book Antiqua" w:hAnsi="Book Antiqua"/>
          <w:sz w:val="20"/>
        </w:rPr>
        <w:t xml:space="preserve">  W</w:t>
      </w:r>
      <w:r w:rsidR="005B7A02" w:rsidRPr="00A00BBB">
        <w:rPr>
          <w:rFonts w:ascii="Book Antiqua" w:hAnsi="Book Antiqua"/>
          <w:sz w:val="20"/>
        </w:rPr>
        <w:t xml:space="preserve">hen </w:t>
      </w:r>
      <w:r w:rsidR="005B7A02">
        <w:rPr>
          <w:rFonts w:ascii="Book Antiqua" w:hAnsi="Book Antiqua"/>
          <w:sz w:val="20"/>
        </w:rPr>
        <w:t>expansion ceased</w:t>
      </w:r>
      <w:r w:rsidR="0011384A">
        <w:rPr>
          <w:rFonts w:ascii="Book Antiqua" w:hAnsi="Book Antiqua"/>
          <w:sz w:val="20"/>
        </w:rPr>
        <w:t>,</w:t>
      </w:r>
      <w:r w:rsidR="005B7A02">
        <w:rPr>
          <w:rFonts w:ascii="Book Antiqua" w:hAnsi="Book Antiqua"/>
          <w:sz w:val="20"/>
        </w:rPr>
        <w:t xml:space="preserve"> the initiating phase of the turbulence was over. From that point on, Planck Particle Pairs continued to form by feeding off the ongoing </w:t>
      </w:r>
      <w:r w:rsidR="005B7A02" w:rsidRPr="00A00BBB">
        <w:rPr>
          <w:rFonts w:ascii="Book Antiqua" w:hAnsi="Book Antiqua"/>
          <w:sz w:val="20"/>
        </w:rPr>
        <w:t>persistent</w:t>
      </w:r>
      <w:r w:rsidR="005B7A02">
        <w:rPr>
          <w:rFonts w:ascii="Book Antiqua" w:hAnsi="Book Antiqua"/>
          <w:color w:val="FF0000"/>
          <w:sz w:val="20"/>
        </w:rPr>
        <w:t xml:space="preserve"> </w:t>
      </w:r>
      <w:r w:rsidR="005B7A02">
        <w:rPr>
          <w:rFonts w:ascii="Book Antiqua" w:hAnsi="Book Antiqua"/>
          <w:sz w:val="20"/>
        </w:rPr>
        <w:t xml:space="preserve">turbulence. As noted above, this phase </w:t>
      </w:r>
      <w:r w:rsidR="005B7A02" w:rsidRPr="00A00BBB">
        <w:rPr>
          <w:rFonts w:ascii="Book Antiqua" w:hAnsi="Book Antiqua"/>
          <w:sz w:val="20"/>
        </w:rPr>
        <w:t xml:space="preserve">would be </w:t>
      </w:r>
      <w:r w:rsidR="005B7A02">
        <w:rPr>
          <w:rFonts w:ascii="Book Antiqua" w:hAnsi="Book Antiqua"/>
          <w:sz w:val="20"/>
        </w:rPr>
        <w:t xml:space="preserve">expected to be long in comparison with the initiation phase. Finally, once the persistence of turbulence had ceased, </w:t>
      </w:r>
      <w:r w:rsidR="005B7A02" w:rsidRPr="00A00BBB">
        <w:rPr>
          <w:rFonts w:ascii="Book Antiqua" w:hAnsi="Book Antiqua"/>
          <w:sz w:val="20"/>
        </w:rPr>
        <w:t>Planck particle pairs would cease to form.</w:t>
      </w:r>
      <w:r w:rsidR="005B7A02">
        <w:rPr>
          <w:rFonts w:ascii="Book Antiqua" w:hAnsi="Book Antiqua"/>
          <w:color w:val="FF0000"/>
          <w:sz w:val="20"/>
        </w:rPr>
        <w:t xml:space="preserve"> </w:t>
      </w:r>
      <w:r w:rsidR="005B7A02" w:rsidRPr="00A00BBB">
        <w:rPr>
          <w:rFonts w:ascii="Book Antiqua" w:hAnsi="Book Antiqua"/>
          <w:sz w:val="20"/>
        </w:rPr>
        <w:t>At this point it was</w:t>
      </w:r>
      <w:r w:rsidR="005B7A02">
        <w:rPr>
          <w:rFonts w:ascii="Book Antiqua" w:hAnsi="Book Antiqua"/>
          <w:color w:val="FF0000"/>
          <w:sz w:val="20"/>
        </w:rPr>
        <w:t xml:space="preserve"> </w:t>
      </w:r>
      <w:r w:rsidR="005B7A02">
        <w:rPr>
          <w:rFonts w:ascii="Book Antiqua" w:hAnsi="Book Antiqua"/>
          <w:sz w:val="20"/>
        </w:rPr>
        <w:t xml:space="preserve">the recombination of the remaining PPP </w:t>
      </w:r>
      <w:r w:rsidR="005B7A02" w:rsidRPr="00A00BBB">
        <w:rPr>
          <w:rFonts w:ascii="Book Antiqua" w:hAnsi="Book Antiqua"/>
          <w:sz w:val="20"/>
        </w:rPr>
        <w:t xml:space="preserve">(due to </w:t>
      </w:r>
      <w:r w:rsidR="005B7A02">
        <w:rPr>
          <w:rFonts w:ascii="Book Antiqua" w:hAnsi="Book Antiqua"/>
          <w:sz w:val="20"/>
        </w:rPr>
        <w:t xml:space="preserve">the attraction between </w:t>
      </w:r>
      <w:r w:rsidR="005B7A02" w:rsidRPr="00A00BBB">
        <w:rPr>
          <w:rFonts w:ascii="Book Antiqua" w:hAnsi="Book Antiqua"/>
          <w:sz w:val="20"/>
        </w:rPr>
        <w:t>their electrostatic charges)</w:t>
      </w:r>
      <w:r w:rsidR="005B7A02">
        <w:rPr>
          <w:rFonts w:ascii="Book Antiqua" w:hAnsi="Book Antiqua"/>
          <w:sz w:val="20"/>
        </w:rPr>
        <w:t xml:space="preserve"> </w:t>
      </w:r>
      <w:r w:rsidR="005B7A02" w:rsidRPr="00367F0B">
        <w:rPr>
          <w:rFonts w:ascii="Book Antiqua" w:hAnsi="Book Antiqua"/>
          <w:sz w:val="20"/>
        </w:rPr>
        <w:t>which brought</w:t>
      </w:r>
      <w:r w:rsidR="005B7A02">
        <w:rPr>
          <w:rFonts w:ascii="Book Antiqua" w:hAnsi="Book Antiqua"/>
          <w:color w:val="FF0000"/>
          <w:sz w:val="20"/>
        </w:rPr>
        <w:t xml:space="preserve"> </w:t>
      </w:r>
      <w:r w:rsidR="005B7A02">
        <w:rPr>
          <w:rFonts w:ascii="Book Antiqua" w:hAnsi="Book Antiqua"/>
          <w:sz w:val="20"/>
        </w:rPr>
        <w:t>the ZPE strength up to the value we have today. This final part of the recombination phase may have begun relatively recently in astronomical time,</w:t>
      </w:r>
      <w:r w:rsidR="005B7A02" w:rsidRPr="00367F0B">
        <w:rPr>
          <w:rFonts w:ascii="Book Antiqua" w:hAnsi="Book Antiqua"/>
          <w:sz w:val="20"/>
        </w:rPr>
        <w:t xml:space="preserve"> as </w:t>
      </w:r>
      <w:r w:rsidR="005B7A02">
        <w:rPr>
          <w:rFonts w:ascii="Book Antiqua" w:hAnsi="Book Antiqua"/>
          <w:sz w:val="20"/>
        </w:rPr>
        <w:t>discussed in Chapter 5.</w:t>
      </w:r>
    </w:p>
    <w:p w:rsidR="005855E5" w:rsidRDefault="005855E5" w:rsidP="00AC4336">
      <w:pPr>
        <w:pStyle w:val="NoSpacing"/>
        <w:jc w:val="both"/>
        <w:rPr>
          <w:rFonts w:ascii="Book Antiqua" w:hAnsi="Book Antiqua"/>
          <w:sz w:val="20"/>
        </w:rPr>
      </w:pPr>
    </w:p>
    <w:p w:rsidR="00C938B4" w:rsidRPr="00115CF5" w:rsidRDefault="00C938B4" w:rsidP="00C938B4">
      <w:pPr>
        <w:pStyle w:val="Heading2"/>
        <w:spacing w:before="80" w:after="80" w:line="240" w:lineRule="atLeast"/>
        <w:rPr>
          <w:rFonts w:ascii="Book Antiqua" w:hAnsi="Book Antiqua" w:cs="Times New Roman"/>
          <w:b w:val="0"/>
          <w:sz w:val="20"/>
          <w:szCs w:val="20"/>
        </w:rPr>
      </w:pPr>
      <w:r w:rsidRPr="00115CF5">
        <w:rPr>
          <w:rFonts w:ascii="Book Antiqua" w:hAnsi="Book Antiqua" w:cs="Times New Roman"/>
          <w:b w:val="0"/>
          <w:sz w:val="20"/>
          <w:szCs w:val="20"/>
        </w:rPr>
        <w:t>4.</w:t>
      </w:r>
      <w:r>
        <w:rPr>
          <w:rFonts w:ascii="Book Antiqua" w:hAnsi="Book Antiqua" w:cs="Times New Roman"/>
          <w:b w:val="0"/>
          <w:sz w:val="20"/>
          <w:szCs w:val="20"/>
        </w:rPr>
        <w:t>7</w:t>
      </w:r>
      <w:r w:rsidRPr="00115CF5">
        <w:rPr>
          <w:rFonts w:ascii="Book Antiqua" w:hAnsi="Book Antiqua" w:cs="Times New Roman"/>
          <w:b w:val="0"/>
          <w:sz w:val="20"/>
          <w:szCs w:val="20"/>
        </w:rPr>
        <w:t xml:space="preserve"> </w:t>
      </w:r>
      <w:r>
        <w:rPr>
          <w:rFonts w:ascii="Book Antiqua" w:hAnsi="Book Antiqua" w:cs="Times New Roman"/>
          <w:b w:val="0"/>
          <w:sz w:val="20"/>
          <w:szCs w:val="20"/>
        </w:rPr>
        <w:t xml:space="preserve">The Form of the Equation Describing </w:t>
      </w:r>
      <w:r w:rsidRPr="00115CF5">
        <w:rPr>
          <w:rFonts w:ascii="Book Antiqua" w:hAnsi="Book Antiqua" w:cs="Times New Roman"/>
          <w:b w:val="0"/>
          <w:sz w:val="20"/>
          <w:szCs w:val="20"/>
        </w:rPr>
        <w:t>ZPE</w:t>
      </w:r>
      <w:r w:rsidR="007528CC">
        <w:rPr>
          <w:rFonts w:ascii="Book Antiqua" w:hAnsi="Book Antiqua" w:cs="Times New Roman"/>
          <w:b w:val="0"/>
          <w:sz w:val="20"/>
          <w:szCs w:val="20"/>
        </w:rPr>
        <w:t xml:space="preserve"> Behavior</w:t>
      </w:r>
    </w:p>
    <w:p w:rsidR="00C938B4" w:rsidRDefault="00C938B4" w:rsidP="00AC4336">
      <w:pPr>
        <w:pStyle w:val="NoSpacing"/>
        <w:ind w:firstLine="720"/>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In considering a ZPE whose strength is increasing with time, it must be remembered that it always had the frequency cubed spectrum as in equation (2) above, or wavelength to the fifth power as in (3). This condition had to hold even when its strength was very low. Therefore let us write</w:t>
      </w:r>
    </w:p>
    <w:p w:rsidR="00AC4336" w:rsidRPr="00115CF5" w:rsidRDefault="00AC4336" w:rsidP="00AC4336">
      <w:pPr>
        <w:pStyle w:val="NoSpacing"/>
        <w:jc w:val="both"/>
        <w:rPr>
          <w:rFonts w:ascii="Book Antiqua" w:hAnsi="Book Antiqua"/>
          <w:sz w:val="20"/>
        </w:rPr>
      </w:pPr>
    </w:p>
    <w:p w:rsidR="00AC4336" w:rsidRPr="00115CF5" w:rsidRDefault="007B3EBC"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00AC4336" w:rsidRPr="00115CF5">
        <w:rPr>
          <w:rFonts w:ascii="Book Antiqua" w:hAnsi="Book Antiqua"/>
          <w:i/>
          <w:sz w:val="20"/>
        </w:rPr>
        <w:tab/>
        <w:t>.</w:t>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i/>
          <w:sz w:val="20"/>
        </w:rPr>
        <w:tab/>
      </w:r>
      <w:r w:rsidR="00AC4336" w:rsidRPr="00115CF5">
        <w:rPr>
          <w:rFonts w:ascii="Book Antiqua" w:hAnsi="Book Antiqua"/>
          <w:sz w:val="20"/>
        </w:rPr>
        <w:tab/>
      </w:r>
      <w:r w:rsidR="00AC4336" w:rsidRPr="00115CF5">
        <w:rPr>
          <w:rFonts w:ascii="Book Antiqua" w:hAnsi="Book Antiqua"/>
          <w:i/>
          <w:sz w:val="20"/>
        </w:rPr>
        <w:t>(4)</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(where the symbol ~ means “proportional to” throughout this monograph). In addition, we take </w:t>
      </w: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sz w:val="20"/>
        </w:rPr>
        <w:t xml:space="preserve"> to be the initial strength of the ZPE when the Cosmic Microwave Background Radiation (CMBR) came into being. This was the time when the first atoms formed. Alternatively, we can write this in terms of wavelength so that:</w:t>
      </w:r>
    </w:p>
    <w:p w:rsidR="00AC4336" w:rsidRPr="00115CF5" w:rsidRDefault="00AC4336" w:rsidP="00AC4336">
      <w:pPr>
        <w:pStyle w:val="NoSpacing"/>
        <w:jc w:val="right"/>
        <w:rPr>
          <w:rFonts w:ascii="Book Antiqua" w:hAnsi="Book Antiqua"/>
          <w:sz w:val="20"/>
        </w:rPr>
      </w:pPr>
    </w:p>
    <w:p w:rsidR="00AC4336" w:rsidRPr="00115CF5" w:rsidRDefault="007B3EBC" w:rsidP="00AC4336">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00AC4336" w:rsidRPr="00115CF5">
        <w:rPr>
          <w:rFonts w:ascii="Book Antiqua" w:hAnsi="Book Antiqua"/>
          <w:sz w:val="20"/>
        </w:rPr>
        <w:t xml:space="preserve">  .</w:t>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sz w:val="20"/>
        </w:rPr>
        <w:tab/>
      </w:r>
      <w:r w:rsidR="00AC4336" w:rsidRPr="00115CF5">
        <w:rPr>
          <w:rFonts w:ascii="Book Antiqua" w:hAnsi="Book Antiqua"/>
          <w:i/>
          <w:sz w:val="20"/>
        </w:rPr>
        <w:t>(5)</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As the ZPE strength built up to </w:t>
      </w:r>
      <w:r w:rsidRPr="00115CF5">
        <w:rPr>
          <w:rFonts w:ascii="Book Antiqua" w:hAnsi="Book Antiqua"/>
          <w:i/>
          <w:sz w:val="20"/>
        </w:rPr>
        <w:t>Y</w:t>
      </w:r>
      <w:r w:rsidRPr="00115CF5">
        <w:rPr>
          <w:rFonts w:ascii="Book Antiqua" w:hAnsi="Book Antiqua"/>
          <w:sz w:val="20"/>
        </w:rPr>
        <w:t xml:space="preserve"> times that original strength, the proportionality of </w:t>
      </w:r>
      <m:oMath>
        <m:sSup>
          <m:sSupPr>
            <m:ctrlPr>
              <w:rPr>
                <w:rFonts w:ascii="Cambria Math" w:hAnsi="Book Antiqua"/>
                <w:i/>
                <w:sz w:val="18"/>
                <w:szCs w:val="18"/>
              </w:rPr>
            </m:ctrlPr>
          </m:sSupPr>
          <m:e>
            <m:r>
              <w:rPr>
                <w:rFonts w:ascii="Cambria Math" w:hAnsi="Cambria Math"/>
                <w:sz w:val="18"/>
                <w:szCs w:val="18"/>
              </w:rPr>
              <m:t>f</m:t>
            </m:r>
            <m:r>
              <w:rPr>
                <w:rFonts w:ascii="Cambria Math" w:hAnsi="Book Antiqua"/>
                <w:sz w:val="18"/>
                <w:szCs w:val="18"/>
              </w:rPr>
              <m:t xml:space="preserve"> </m:t>
            </m:r>
          </m:e>
          <m:sup>
            <m:r>
              <w:rPr>
                <w:rFonts w:ascii="Cambria Math" w:hAnsi="Book Antiqua"/>
                <w:sz w:val="18"/>
                <w:szCs w:val="18"/>
              </w:rPr>
              <m:t>3</m:t>
            </m:r>
          </m:sup>
        </m:sSup>
      </m:oMath>
      <w:r w:rsidRPr="00115CF5">
        <w:rPr>
          <w:rFonts w:ascii="Book Antiqua" w:hAnsi="Book Antiqua"/>
          <w:sz w:val="20"/>
        </w:rPr>
        <w:t xml:space="preserve"> or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is still retained. There are simply </w:t>
      </w:r>
      <w:r w:rsidRPr="00115CF5">
        <w:rPr>
          <w:rFonts w:ascii="Book Antiqua" w:hAnsi="Book Antiqua"/>
          <w:i/>
          <w:sz w:val="20"/>
        </w:rPr>
        <w:t>Y</w:t>
      </w:r>
      <w:r w:rsidRPr="00115CF5">
        <w:rPr>
          <w:rFonts w:ascii="Book Antiqua" w:hAnsi="Book Antiqua"/>
          <w:sz w:val="20"/>
        </w:rPr>
        <w:t xml:space="preserve"> times as many waves in any given wavelength interval as we had before. Therefore, given the presence of that distribution, we can write this new ZPE strength as</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i/>
          <w:sz w:val="20"/>
        </w:rPr>
        <w:t xml:space="preserve">  .</w:t>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i/>
          <w:sz w:val="20"/>
          <w:vertAlign w:val="superscript"/>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(6)</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Therefore as the ZPE built up, it followed the behavior of </w:t>
      </w:r>
      <w:r w:rsidRPr="00115CF5">
        <w:rPr>
          <w:rFonts w:ascii="Book Antiqua" w:hAnsi="Book Antiqua"/>
          <w:i/>
          <w:sz w:val="20"/>
        </w:rPr>
        <w:t>Y</w:t>
      </w:r>
      <w:r w:rsidRPr="00115CF5">
        <w:rPr>
          <w:rFonts w:ascii="Book Antiqua" w:hAnsi="Book Antiqua"/>
          <w:sz w:val="20"/>
        </w:rPr>
        <w:t xml:space="preserve"> while still retaining the </w:t>
      </w:r>
      <m:oMath>
        <m:r>
          <w:rPr>
            <w:rFonts w:ascii="Cambria Math" w:hAnsi="Book Antiqua"/>
            <w:sz w:val="18"/>
            <w:szCs w:val="18"/>
          </w:rPr>
          <m:t>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oMath>
      <w:r w:rsidRPr="00115CF5">
        <w:rPr>
          <w:rFonts w:ascii="Book Antiqua" w:hAnsi="Book Antiqua"/>
          <w:sz w:val="20"/>
        </w:rPr>
        <w:t xml:space="preserve">  (or </w:t>
      </w:r>
      <m:oMath>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oMath>
      <w:r w:rsidRPr="00115CF5">
        <w:rPr>
          <w:rFonts w:ascii="Book Antiqua" w:hAnsi="Book Antiqua"/>
          <w:sz w:val="20"/>
        </w:rPr>
        <w:t xml:space="preserve">) distribution. This means that as the ZPE built up it simply had </w:t>
      </w:r>
      <w:r w:rsidRPr="00115CF5">
        <w:rPr>
          <w:rFonts w:ascii="Book Antiqua" w:hAnsi="Book Antiqua"/>
          <w:i/>
          <w:sz w:val="20"/>
        </w:rPr>
        <w:t>YU</w:t>
      </w:r>
      <w:r w:rsidRPr="00115CF5">
        <w:rPr>
          <w:rFonts w:ascii="Book Antiqua" w:hAnsi="Book Antiqua"/>
          <w:i/>
          <w:sz w:val="20"/>
          <w:vertAlign w:val="subscript"/>
        </w:rPr>
        <w:t>0</w:t>
      </w:r>
      <w:r w:rsidRPr="00115CF5">
        <w:rPr>
          <w:rFonts w:ascii="Book Antiqua" w:hAnsi="Book Antiqua"/>
          <w:sz w:val="20"/>
        </w:rPr>
        <w:t xml:space="preserve"> times the energy density it had originally when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oMath>
      <w:r w:rsidRPr="00115CF5">
        <w:rPr>
          <w:rFonts w:ascii="Book Antiqua" w:hAnsi="Book Antiqua"/>
          <w:i/>
          <w:sz w:val="20"/>
          <w:vertAlign w:val="subscript"/>
        </w:rPr>
        <w:tab/>
        <w:t>.</w:t>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vertAlign w:val="subscript"/>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(7)</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If we take </w:t>
      </w:r>
      <w:r w:rsidRPr="00115CF5">
        <w:rPr>
          <w:rFonts w:ascii="Book Antiqua" w:hAnsi="Book Antiqua"/>
          <w:i/>
          <w:sz w:val="20"/>
        </w:rPr>
        <w:t>U</w:t>
      </w:r>
      <w:r w:rsidRPr="00115CF5">
        <w:rPr>
          <w:rFonts w:ascii="Book Antiqua" w:hAnsi="Book Antiqua"/>
          <w:sz w:val="20"/>
        </w:rPr>
        <w:t xml:space="preserve"> or </w:t>
      </w:r>
      <w:r w:rsidRPr="00115CF5">
        <w:rPr>
          <w:rFonts w:ascii="Book Antiqua" w:hAnsi="Book Antiqua"/>
          <w:i/>
          <w:sz w:val="20"/>
        </w:rPr>
        <w:t>U</w:t>
      </w:r>
      <w:r w:rsidRPr="00115CF5">
        <w:rPr>
          <w:rFonts w:ascii="Book Antiqua" w:hAnsi="Book Antiqua"/>
          <w:i/>
          <w:sz w:val="20"/>
          <w:vertAlign w:val="subscript"/>
        </w:rPr>
        <w:t>0</w:t>
      </w:r>
      <w:r w:rsidRPr="00115CF5">
        <w:rPr>
          <w:rFonts w:ascii="Book Antiqua" w:hAnsi="Book Antiqua"/>
          <w:sz w:val="20"/>
        </w:rPr>
        <w:t xml:space="preserve"> as the monochromatic energy density, then the function is also dependent on </w:t>
      </w:r>
      <w:r w:rsidRPr="00115CF5">
        <w:rPr>
          <w:rFonts w:ascii="Book Antiqua" w:hAnsi="Book Antiqua"/>
          <w:i/>
          <w:sz w:val="20"/>
        </w:rPr>
        <w:t>h</w:t>
      </w:r>
      <w:r w:rsidRPr="00115CF5">
        <w:rPr>
          <w:rFonts w:ascii="Book Antiqua" w:hAnsi="Book Antiqua"/>
          <w:sz w:val="20"/>
        </w:rPr>
        <w:t xml:space="preserve"> so that we can say</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ab/>
      </w: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h</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 xml:space="preserve"> (8)</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ind w:firstLine="720"/>
        <w:jc w:val="both"/>
        <w:rPr>
          <w:rFonts w:ascii="Book Antiqua" w:hAnsi="Book Antiqua"/>
          <w:sz w:val="20"/>
        </w:rPr>
      </w:pPr>
      <w:r w:rsidRPr="00115CF5">
        <w:rPr>
          <w:rFonts w:ascii="Book Antiqua" w:hAnsi="Book Antiqua"/>
          <w:sz w:val="20"/>
        </w:rPr>
        <w:t xml:space="preserve">The form of this function Y will be dealt with in Chapter 5. Nevertheless, at any given moment we can still say that Planck’s constant, </w:t>
      </w:r>
      <m:oMath>
        <m:r>
          <w:rPr>
            <w:rFonts w:ascii="Book Antiqua" w:hAnsi="Cambria Math"/>
            <w:sz w:val="18"/>
            <w:szCs w:val="18"/>
          </w:rPr>
          <m:t>h</m:t>
        </m:r>
      </m:oMath>
      <w:r w:rsidRPr="00115CF5">
        <w:rPr>
          <w:rFonts w:ascii="Book Antiqua" w:hAnsi="Book Antiqua"/>
          <w:sz w:val="20"/>
        </w:rPr>
        <w:t>, is a measure of the strength of the ZPE. However, if we use the (monochromatic) wavelength variant from (3), the equation becomes:</w:t>
      </w:r>
    </w:p>
    <w:p w:rsidR="00AC4336" w:rsidRPr="00115CF5" w:rsidRDefault="00AC4336" w:rsidP="00AC4336">
      <w:pPr>
        <w:pStyle w:val="NoSpacing"/>
        <w:ind w:firstLine="720"/>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Y</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0</m:t>
            </m:r>
          </m:sub>
        </m:sSub>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5</m:t>
            </m:r>
          </m:sup>
        </m:sSup>
        <m:r>
          <w:rPr>
            <w:rFonts w:ascii="Cambria Math" w:hAnsi="Book Antiqua"/>
            <w:sz w:val="18"/>
            <w:szCs w:val="18"/>
          </w:rPr>
          <m:t xml:space="preserve">]  = </m:t>
        </m:r>
        <m:r>
          <w:rPr>
            <w:rFonts w:ascii="Cambria Math" w:hAnsi="Cambria Math"/>
            <w:sz w:val="18"/>
            <w:szCs w:val="18"/>
          </w:rPr>
          <m:t>Y</m:t>
        </m:r>
        <m:r>
          <w:rPr>
            <w:rFonts w:ascii="Cambria Math" w:hAnsi="Book Antiqua"/>
            <w:sz w:val="18"/>
            <w:szCs w:val="18"/>
          </w:rPr>
          <m:t>[4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(9)</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This follows, since energy </w:t>
      </w:r>
      <w:r w:rsidRPr="00115CF5">
        <w:rPr>
          <w:rFonts w:ascii="Book Antiqua" w:hAnsi="Book Antiqua"/>
          <w:i/>
          <w:sz w:val="20"/>
        </w:rPr>
        <w:t>E</w:t>
      </w:r>
      <w:r w:rsidRPr="00115CF5">
        <w:rPr>
          <w:rFonts w:ascii="Book Antiqua" w:hAnsi="Book Antiqua"/>
          <w:sz w:val="20"/>
        </w:rPr>
        <w:t xml:space="preserve"> of a wave is given by </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hc</m:t>
        </m:r>
        <m:r>
          <w:rPr>
            <w:rFonts w:ascii="Cambria Math" w:hAnsi="Book Antiqua"/>
            <w:sz w:val="18"/>
            <w:szCs w:val="18"/>
          </w:rPr>
          <m:t xml:space="preserve">/ </m:t>
        </m:r>
        <m:r>
          <w:rPr>
            <w:rFonts w:ascii="Cambria Math" w:hAnsi="Cambria Math"/>
            <w:sz w:val="18"/>
            <w:szCs w:val="18"/>
          </w:rPr>
          <m:t>λ</m:t>
        </m:r>
        <m:r>
          <w:rPr>
            <w:rFonts w:ascii="Cambria Math" w:hAnsi="Book Antiqua"/>
            <w:sz w:val="18"/>
            <w:szCs w:val="18"/>
          </w:rPr>
          <m:t xml:space="preserve"> </m:t>
        </m:r>
      </m:oMath>
      <w:r w:rsidRPr="00115CF5">
        <w:rPr>
          <w:rFonts w:ascii="Book Antiqua" w:hAnsi="Book Antiqua"/>
          <w:sz w:val="20"/>
        </w:rPr>
        <w:t xml:space="preserve"> .</w:t>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sz w:val="20"/>
        </w:rPr>
        <w:tab/>
      </w:r>
      <w:r w:rsidRPr="00115CF5">
        <w:rPr>
          <w:rFonts w:ascii="Book Antiqua" w:hAnsi="Book Antiqua"/>
          <w:i/>
          <w:sz w:val="20"/>
        </w:rPr>
        <w:t>(10)</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Thus, as the ZPE strength changes with </w:t>
      </w:r>
      <w:r w:rsidRPr="00115CF5">
        <w:rPr>
          <w:rFonts w:ascii="Book Antiqua" w:hAnsi="Book Antiqua"/>
          <w:i/>
          <w:sz w:val="20"/>
        </w:rPr>
        <w:t>Y</w:t>
      </w:r>
      <w:r w:rsidRPr="00115CF5">
        <w:rPr>
          <w:rFonts w:ascii="Book Antiqua" w:hAnsi="Book Antiqua"/>
          <w:sz w:val="20"/>
        </w:rPr>
        <w:t xml:space="preserve"> times as many waves in a given interval, we can put</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 xml:space="preserve">. </m:t>
        </m:r>
        <m:r>
          <w:rPr>
            <w:rFonts w:ascii="Cambria Math" w:hAnsi="Cambria Math"/>
            <w:sz w:val="18"/>
            <w:szCs w:val="18"/>
          </w:rPr>
          <m:t>YE</m:t>
        </m:r>
        <m:r>
          <w:rPr>
            <w:rFonts w:ascii="Cambria Math" w:hAnsi="Book Antiqua"/>
            <w:sz w:val="18"/>
            <w:szCs w:val="18"/>
          </w:rPr>
          <m:t>. (1/</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 xml:space="preserve">)   </m:t>
        </m:r>
        <m:r>
          <w:rPr>
            <w:rFonts w:ascii="Cambria Math" w:hAnsi="Cambria Math"/>
            <w:sz w:val="18"/>
            <w:szCs w:val="18"/>
          </w:rPr>
          <m:t>or</m:t>
        </m:r>
        <m:r>
          <w:rPr>
            <w:rFonts w:ascii="Cambria Math" w:hAnsi="Book Antiqua"/>
            <w:sz w:val="18"/>
            <w:szCs w:val="18"/>
          </w:rPr>
          <m:t xml:space="preserve">   </m:t>
        </m:r>
        <m:r>
          <w:rPr>
            <w:rFonts w:ascii="Cambria Math" w:hAnsi="Cambria Math"/>
            <w:sz w:val="18"/>
            <w:szCs w:val="18"/>
          </w:rPr>
          <m:t>U</m:t>
        </m:r>
        <m:r>
          <w:rPr>
            <w:rFonts w:ascii="Cambria Math" w:hAnsi="Book Antiqua"/>
            <w:sz w:val="18"/>
            <w:szCs w:val="18"/>
          </w:rPr>
          <m:t xml:space="preserve">  = 4</m:t>
        </m:r>
        <m:r>
          <w:rPr>
            <w:rFonts w:ascii="Cambria Math" w:hAnsi="Cambria Math"/>
            <w:sz w:val="18"/>
            <w:szCs w:val="18"/>
          </w:rPr>
          <m:t>π</m:t>
        </m:r>
        <m:r>
          <w:rPr>
            <w:rFonts w:ascii="Cambria Math" w:hAnsi="Book Antiqua"/>
            <w:sz w:val="18"/>
            <w:szCs w:val="18"/>
          </w:rPr>
          <m:t>.</m:t>
        </m:r>
        <m:r>
          <w:rPr>
            <w:rFonts w:ascii="Cambria Math" w:hAnsi="Cambria Math"/>
            <w:sz w:val="18"/>
            <w:szCs w:val="18"/>
          </w:rPr>
          <m:t>E</m:t>
        </m:r>
        <m:r>
          <w:rPr>
            <w:rFonts w:ascii="Cambria Math" w:hAnsi="Book Antiqua"/>
            <w:sz w:val="18"/>
            <w:szCs w:val="18"/>
          </w:rPr>
          <m:t>. (</m:t>
        </m:r>
        <m:r>
          <w:rPr>
            <w:rFonts w:ascii="Cambria Math" w:hAnsi="Cambria Math"/>
            <w:sz w:val="18"/>
            <w:szCs w:val="18"/>
          </w:rPr>
          <m:t>Y</m:t>
        </m:r>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λ</m:t>
            </m:r>
          </m:e>
          <m:sup>
            <m:r>
              <w:rPr>
                <w:rFonts w:ascii="Cambria Math" w:hAnsi="Book Antiqua"/>
                <w:sz w:val="18"/>
                <w:szCs w:val="18"/>
              </w:rPr>
              <m:t>4</m:t>
            </m:r>
          </m:sup>
        </m:sSup>
        <m:r>
          <w:rPr>
            <w:rFonts w:ascii="Cambria Math" w:hAnsi="Book Antiqua"/>
            <w:sz w:val="18"/>
            <w:szCs w:val="18"/>
          </w:rPr>
          <m:t>)</m:t>
        </m:r>
      </m:oMath>
      <w:r w:rsidRPr="00115CF5">
        <w:rPr>
          <w:rFonts w:ascii="Book Antiqua" w:hAnsi="Book Antiqua"/>
          <w:i/>
          <w:sz w:val="20"/>
        </w:rPr>
        <w:t xml:space="preserve">  ,</w:t>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i/>
          <w:sz w:val="20"/>
        </w:rPr>
        <w:tab/>
      </w:r>
      <w:r w:rsidRPr="00115CF5">
        <w:rPr>
          <w:rFonts w:ascii="Book Antiqua" w:hAnsi="Book Antiqua"/>
          <w:sz w:val="20"/>
        </w:rPr>
        <w:tab/>
      </w:r>
      <w:r w:rsidRPr="00115CF5">
        <w:rPr>
          <w:rFonts w:ascii="Book Antiqua" w:hAnsi="Book Antiqua"/>
          <w:i/>
          <w:sz w:val="20"/>
        </w:rPr>
        <w:t xml:space="preserve"> (11)</w:t>
      </w:r>
    </w:p>
    <w:p w:rsidR="00AC4336" w:rsidRPr="00115CF5" w:rsidRDefault="00AC4336" w:rsidP="00AC4336">
      <w:pPr>
        <w:pStyle w:val="NoSpacing"/>
        <w:jc w:val="both"/>
        <w:rPr>
          <w:rFonts w:ascii="Book Antiqua" w:hAnsi="Book Antiqua"/>
          <w:sz w:val="20"/>
        </w:rPr>
      </w:pP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and still achieve the same result. In these cases, the whole behavior of </w:t>
      </w:r>
      <w:r w:rsidRPr="00115CF5">
        <w:rPr>
          <w:rFonts w:ascii="Book Antiqua" w:hAnsi="Book Antiqua"/>
          <w:i/>
          <w:sz w:val="20"/>
        </w:rPr>
        <w:t>U</w:t>
      </w:r>
      <w:r w:rsidRPr="00115CF5">
        <w:rPr>
          <w:rFonts w:ascii="Book Antiqua" w:hAnsi="Book Antiqua"/>
          <w:sz w:val="20"/>
        </w:rPr>
        <w:t xml:space="preserve"> depends entirely on the function </w:t>
      </w:r>
      <w:r w:rsidRPr="00115CF5">
        <w:rPr>
          <w:rFonts w:ascii="Book Antiqua" w:hAnsi="Book Antiqua"/>
          <w:i/>
          <w:sz w:val="20"/>
        </w:rPr>
        <w:t>Y</w:t>
      </w:r>
      <w:r w:rsidRPr="00115CF5">
        <w:rPr>
          <w:rFonts w:ascii="Book Antiqua" w:hAnsi="Book Antiqua"/>
          <w:sz w:val="20"/>
        </w:rPr>
        <w:t xml:space="preserve">. </w:t>
      </w:r>
    </w:p>
    <w:p w:rsidR="00AC4336" w:rsidRPr="00115CF5" w:rsidRDefault="00AC4336" w:rsidP="00AC4336">
      <w:pPr>
        <w:pStyle w:val="NoSpacing"/>
        <w:jc w:val="both"/>
        <w:rPr>
          <w:rFonts w:ascii="Book Antiqua" w:hAnsi="Book Antiqua"/>
          <w:sz w:val="20"/>
        </w:rPr>
      </w:pPr>
    </w:p>
    <w:p w:rsidR="0011384A" w:rsidRDefault="00AC4336" w:rsidP="00AC4336">
      <w:pPr>
        <w:pStyle w:val="NoSpacing"/>
        <w:jc w:val="both"/>
        <w:rPr>
          <w:rFonts w:ascii="Book Antiqua" w:hAnsi="Book Antiqua"/>
          <w:sz w:val="20"/>
        </w:rPr>
      </w:pPr>
      <w:r w:rsidRPr="00115CF5">
        <w:rPr>
          <w:rFonts w:ascii="Book Antiqua" w:hAnsi="Book Antiqua"/>
          <w:sz w:val="20"/>
        </w:rPr>
        <w:tab/>
        <w:t xml:space="preserve">On a more technical level it may be stated that a theoretical and mathematical analysis based on the known physics of turbulence and recombination indicates that the build-up in the ZPE with time may closely follow the inverse of the function that describes the redshift of light from distant galaxies [32, 33].  A streamlined approach to this is undertaken in Appendix A below. </w:t>
      </w:r>
    </w:p>
    <w:p w:rsidR="0011384A" w:rsidRDefault="0011384A" w:rsidP="00AC4336">
      <w:pPr>
        <w:pStyle w:val="NoSpacing"/>
        <w:jc w:val="both"/>
        <w:rPr>
          <w:rFonts w:ascii="Book Antiqua" w:hAnsi="Book Antiqua"/>
          <w:sz w:val="20"/>
        </w:rPr>
      </w:pPr>
    </w:p>
    <w:p w:rsidR="00AC4336" w:rsidRPr="00115CF5" w:rsidRDefault="0011384A" w:rsidP="0011384A">
      <w:pPr>
        <w:pStyle w:val="NoSpacing"/>
        <w:ind w:firstLine="360"/>
        <w:jc w:val="both"/>
        <w:rPr>
          <w:rFonts w:ascii="Book Antiqua" w:hAnsi="Book Antiqua"/>
          <w:sz w:val="20"/>
        </w:rPr>
      </w:pPr>
      <w:r>
        <w:rPr>
          <w:rFonts w:ascii="Book Antiqua" w:hAnsi="Book Antiqua"/>
          <w:sz w:val="20"/>
        </w:rPr>
        <w:t>The</w:t>
      </w:r>
      <w:r w:rsidR="00AC4336" w:rsidRPr="00115CF5">
        <w:rPr>
          <w:rFonts w:ascii="Book Antiqua" w:hAnsi="Book Antiqua"/>
          <w:sz w:val="20"/>
        </w:rPr>
        <w:t xml:space="preserve"> redshift is traditionally explained as being due to the expansion of the universe. This traditional explanation may be in serious doubt for the following reasons:</w:t>
      </w:r>
    </w:p>
    <w:p w:rsidR="00AC4336" w:rsidRPr="00115CF5" w:rsidRDefault="00AC4336" w:rsidP="00AC4336">
      <w:pPr>
        <w:pStyle w:val="NoSpacing"/>
        <w:jc w:val="both"/>
        <w:rPr>
          <w:rFonts w:ascii="Book Antiqua" w:hAnsi="Book Antiqua"/>
          <w:sz w:val="20"/>
        </w:rPr>
      </w:pPr>
      <w:r w:rsidRPr="00115CF5">
        <w:rPr>
          <w:rFonts w:ascii="Book Antiqua" w:hAnsi="Book Antiqua"/>
          <w:sz w:val="20"/>
        </w:rPr>
        <w:t xml:space="preserve">  </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 xml:space="preserve">The hydrogen clouds in space indicate a </w:t>
      </w:r>
      <w:r w:rsidR="007F4A11">
        <w:rPr>
          <w:rFonts w:ascii="Book Antiqua" w:hAnsi="Book Antiqua"/>
          <w:sz w:val="20"/>
        </w:rPr>
        <w:t xml:space="preserve">currently </w:t>
      </w:r>
      <w:r w:rsidRPr="00115CF5">
        <w:rPr>
          <w:rFonts w:ascii="Book Antiqua" w:hAnsi="Book Antiqua"/>
          <w:sz w:val="20"/>
        </w:rPr>
        <w:t>static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lines of the rainbow spectrum, which come from the different elements, are not broadened, which would be expected in a currently expanding universe.</w:t>
      </w:r>
    </w:p>
    <w:p w:rsidR="00AC4336" w:rsidRPr="00115CF5" w:rsidRDefault="00AC4336" w:rsidP="00AC4336">
      <w:pPr>
        <w:pStyle w:val="NoSpacing"/>
        <w:numPr>
          <w:ilvl w:val="0"/>
          <w:numId w:val="14"/>
        </w:numPr>
        <w:jc w:val="both"/>
        <w:rPr>
          <w:rFonts w:ascii="Book Antiqua" w:hAnsi="Book Antiqua"/>
          <w:sz w:val="20"/>
        </w:rPr>
      </w:pPr>
      <w:r w:rsidRPr="00115CF5">
        <w:rPr>
          <w:rFonts w:ascii="Book Antiqua" w:hAnsi="Book Antiqua"/>
          <w:sz w:val="20"/>
        </w:rPr>
        <w:t>The suspected quantization of the redshift would require the universe to be expanding in jumps or needs another completely different explanation regarding the redshifts.</w:t>
      </w:r>
    </w:p>
    <w:p w:rsidR="00AC4336" w:rsidRPr="00115CF5" w:rsidRDefault="00AC4336" w:rsidP="00AC4336">
      <w:pPr>
        <w:pStyle w:val="NoSpacing"/>
        <w:ind w:left="720"/>
        <w:jc w:val="both"/>
        <w:rPr>
          <w:rFonts w:ascii="Book Antiqua" w:hAnsi="Book Antiqua"/>
          <w:sz w:val="20"/>
        </w:rPr>
      </w:pPr>
    </w:p>
    <w:p w:rsidR="00AC4336" w:rsidRDefault="00AC4336" w:rsidP="00AC4336">
      <w:pPr>
        <w:pStyle w:val="NoSpacing"/>
        <w:ind w:firstLine="360"/>
        <w:jc w:val="both"/>
        <w:rPr>
          <w:rFonts w:ascii="Book Antiqua" w:hAnsi="Book Antiqua"/>
          <w:sz w:val="20"/>
        </w:rPr>
      </w:pPr>
      <w:r w:rsidRPr="00115CF5">
        <w:rPr>
          <w:rFonts w:ascii="Book Antiqua" w:hAnsi="Book Antiqua"/>
          <w:sz w:val="20"/>
        </w:rPr>
        <w:t xml:space="preserve">Chapter 5 discusses what happens to atomic orbit energies when the ZPE strength is increasing throughout the cosmos. This leads to an explanation for the redshift which is different from the currently popular model. Rather the redshift may well be intrinsic to all atomic emitters of light within those distant galaxies, and not due to cosmological expansion. If the redshift is due to the ZPE strength affecting atoms, then the redshift curve is related to ZPE strength and the function </w:t>
      </w:r>
      <w:r w:rsidRPr="00115CF5">
        <w:rPr>
          <w:rFonts w:ascii="Book Antiqua" w:hAnsi="Book Antiqua"/>
          <w:i/>
          <w:sz w:val="20"/>
        </w:rPr>
        <w:t>Y</w:t>
      </w:r>
      <w:r w:rsidR="00237558">
        <w:rPr>
          <w:rFonts w:ascii="Book Antiqua" w:hAnsi="Book Antiqua"/>
          <w:sz w:val="20"/>
        </w:rPr>
        <w:t>.</w:t>
      </w:r>
    </w:p>
    <w:p w:rsidR="00D96506" w:rsidRDefault="00D96506" w:rsidP="00AC4336">
      <w:pPr>
        <w:pStyle w:val="Heading2"/>
        <w:spacing w:before="80" w:after="80" w:line="240" w:lineRule="atLeast"/>
        <w:rPr>
          <w:rFonts w:ascii="Book Antiqua" w:hAnsi="Book Antiqua" w:cs="Times New Roman"/>
          <w:i w:val="0"/>
          <w:sz w:val="20"/>
          <w:szCs w:val="20"/>
        </w:rPr>
      </w:pPr>
    </w:p>
    <w:p w:rsidR="00AC4336" w:rsidRPr="00115CF5" w:rsidRDefault="00D3790F" w:rsidP="00AC4336">
      <w:pPr>
        <w:pStyle w:val="Heading2"/>
        <w:spacing w:before="80" w:after="80" w:line="240" w:lineRule="atLeast"/>
        <w:rPr>
          <w:rFonts w:ascii="Book Antiqua" w:hAnsi="Book Antiqua" w:cs="Times New Roman"/>
          <w:color w:val="000000"/>
          <w:sz w:val="20"/>
          <w:szCs w:val="20"/>
        </w:rPr>
      </w:pPr>
      <w:r w:rsidRPr="00115CF5">
        <w:rPr>
          <w:rFonts w:ascii="Book Antiqua" w:hAnsi="Book Antiqua" w:cs="Times New Roman"/>
          <w:i w:val="0"/>
          <w:sz w:val="20"/>
          <w:szCs w:val="20"/>
        </w:rPr>
        <w:t>R</w:t>
      </w:r>
      <w:r w:rsidR="00AC4336" w:rsidRPr="00115CF5">
        <w:rPr>
          <w:rFonts w:ascii="Book Antiqua" w:hAnsi="Book Antiqua" w:cs="Times New Roman"/>
          <w:i w:val="0"/>
          <w:sz w:val="20"/>
          <w:szCs w:val="20"/>
        </w:rPr>
        <w:t xml:space="preserve">eferences </w:t>
      </w:r>
      <w:r w:rsidR="00AC4336" w:rsidRPr="00115CF5">
        <w:rPr>
          <w:rFonts w:ascii="Book Antiqua" w:hAnsi="Book Antiqua" w:cs="Times New Roman"/>
          <w:b w:val="0"/>
          <w:i w:val="0"/>
          <w:sz w:val="20"/>
          <w:szCs w:val="20"/>
        </w:rPr>
        <w:t xml:space="preserve">– </w:t>
      </w:r>
      <w:r w:rsidR="00AC4336" w:rsidRPr="00115CF5">
        <w:rPr>
          <w:rFonts w:ascii="Book Antiqua" w:hAnsi="Book Antiqua" w:cs="Times New Roman"/>
          <w:b w:val="0"/>
          <w:sz w:val="20"/>
          <w:szCs w:val="20"/>
        </w:rPr>
        <w:t>All URL’s retrieved 9/13/12</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 T. Kuhn, </w:t>
      </w:r>
      <w:r w:rsidRPr="00115CF5">
        <w:rPr>
          <w:rFonts w:ascii="Book Antiqua" w:hAnsi="Book Antiqua"/>
          <w:i/>
          <w:sz w:val="16"/>
          <w:szCs w:val="16"/>
        </w:rPr>
        <w:t>Black Body theory and the Quantum Discontinuity: 1894-1912</w:t>
      </w:r>
      <w:r w:rsidRPr="00115CF5">
        <w:rPr>
          <w:rFonts w:ascii="Book Antiqua" w:hAnsi="Book Antiqua"/>
          <w:sz w:val="16"/>
          <w:szCs w:val="16"/>
        </w:rPr>
        <w:t xml:space="preserve">, Oxford University Press, Oxford, 1978.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 M. Planck,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13 </w:t>
      </w:r>
      <w:r w:rsidRPr="00115CF5">
        <w:rPr>
          <w:rFonts w:ascii="Book Antiqua" w:hAnsi="Book Antiqua"/>
          <w:sz w:val="16"/>
          <w:szCs w:val="16"/>
        </w:rPr>
        <w:t xml:space="preserve">(1911), p.138.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 A. Einstein, O Stern, </w:t>
      </w:r>
      <w:r w:rsidRPr="00115CF5">
        <w:rPr>
          <w:rFonts w:ascii="Book Antiqua" w:hAnsi="Book Antiqua"/>
          <w:i/>
          <w:sz w:val="16"/>
          <w:szCs w:val="16"/>
        </w:rPr>
        <w:t>Ann. Physik</w:t>
      </w:r>
      <w:r w:rsidRPr="00115CF5">
        <w:rPr>
          <w:rFonts w:ascii="Book Antiqua" w:hAnsi="Book Antiqua"/>
          <w:sz w:val="16"/>
          <w:szCs w:val="16"/>
        </w:rPr>
        <w:t xml:space="preserve"> </w:t>
      </w:r>
      <w:r w:rsidRPr="00115CF5">
        <w:rPr>
          <w:rFonts w:ascii="Book Antiqua" w:hAnsi="Book Antiqua"/>
          <w:b/>
          <w:bCs/>
          <w:sz w:val="16"/>
          <w:szCs w:val="16"/>
        </w:rPr>
        <w:t xml:space="preserve">40 </w:t>
      </w:r>
      <w:r w:rsidRPr="00115CF5">
        <w:rPr>
          <w:rFonts w:ascii="Book Antiqua" w:hAnsi="Book Antiqua"/>
          <w:sz w:val="16"/>
          <w:szCs w:val="16"/>
        </w:rPr>
        <w:t xml:space="preserve">(1913), p.551.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29 </w:t>
      </w:r>
      <w:r w:rsidRPr="00115CF5">
        <w:rPr>
          <w:rFonts w:ascii="Book Antiqua" w:hAnsi="Book Antiqua"/>
          <w:sz w:val="16"/>
          <w:szCs w:val="16"/>
        </w:rPr>
        <w:t xml:space="preserve">(1984), p.1096.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[5] W. Nernst, </w:t>
      </w:r>
      <w:r w:rsidRPr="00115CF5">
        <w:rPr>
          <w:rFonts w:ascii="Book Antiqua" w:hAnsi="Book Antiqua"/>
          <w:i/>
          <w:sz w:val="16"/>
          <w:szCs w:val="16"/>
        </w:rPr>
        <w:t>Verhandlungen der Deutschen Physikalischen Gesellschaft</w:t>
      </w:r>
      <w:r w:rsidRPr="00115CF5">
        <w:rPr>
          <w:rFonts w:ascii="Book Antiqua" w:hAnsi="Book Antiqua"/>
          <w:sz w:val="16"/>
          <w:szCs w:val="16"/>
        </w:rPr>
        <w:t xml:space="preserve"> </w:t>
      </w:r>
      <w:r w:rsidRPr="00115CF5">
        <w:rPr>
          <w:rFonts w:ascii="Book Antiqua" w:hAnsi="Book Antiqua"/>
          <w:b/>
          <w:bCs/>
          <w:sz w:val="16"/>
          <w:szCs w:val="16"/>
        </w:rPr>
        <w:t xml:space="preserve">4 </w:t>
      </w:r>
      <w:r w:rsidRPr="00115CF5">
        <w:rPr>
          <w:rFonts w:ascii="Book Antiqua" w:hAnsi="Book Antiqua"/>
          <w:sz w:val="16"/>
          <w:szCs w:val="16"/>
        </w:rPr>
        <w:t xml:space="preserve">(1916), pp.83-116. </w:t>
      </w:r>
    </w:p>
    <w:p w:rsidR="00AC4336" w:rsidRPr="00115CF5" w:rsidRDefault="00AC4336" w:rsidP="00AC4336">
      <w:pPr>
        <w:pStyle w:val="NoSpacing"/>
        <w:rPr>
          <w:rFonts w:ascii="Book Antiqua" w:hAnsi="Book Antiqua"/>
          <w:sz w:val="16"/>
          <w:szCs w:val="16"/>
          <w:u w:val="single"/>
        </w:rPr>
      </w:pPr>
      <w:r w:rsidRPr="00115CF5">
        <w:rPr>
          <w:rFonts w:ascii="Book Antiqua" w:hAnsi="Book Antiqua"/>
          <w:sz w:val="16"/>
          <w:szCs w:val="16"/>
        </w:rPr>
        <w:t xml:space="preserve">[6] CIPA, Questions and Answers about the Origin of Inertia and the Zero-Point Field, p.1. Available at </w:t>
      </w:r>
      <w:hyperlink r:id="rId60" w:history="1">
        <w:r w:rsidRPr="00115CF5">
          <w:rPr>
            <w:rStyle w:val="Hyperlink"/>
            <w:rFonts w:ascii="Book Antiqua" w:hAnsi="Book Antiqua"/>
            <w:i/>
            <w:szCs w:val="16"/>
          </w:rPr>
          <w:t>http://www.calphysics.org/questions.html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[7] R. Eisberg, R. Resnick, </w:t>
      </w:r>
      <w:r w:rsidRPr="00115CF5">
        <w:rPr>
          <w:rFonts w:ascii="Book Antiqua" w:hAnsi="Book Antiqua"/>
          <w:i/>
          <w:sz w:val="16"/>
          <w:szCs w:val="16"/>
        </w:rPr>
        <w:t>Quantum Physics</w:t>
      </w:r>
      <w:r w:rsidRPr="00115CF5">
        <w:rPr>
          <w:rFonts w:ascii="Book Antiqua" w:hAnsi="Book Antiqua"/>
          <w:sz w:val="16"/>
          <w:szCs w:val="16"/>
        </w:rPr>
        <w:t xml:space="preserve">…, p.235, John Wiley and Sons, New York,1974.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[8] S. Gasiorowicz, </w:t>
      </w:r>
      <w:r w:rsidRPr="00115CF5">
        <w:rPr>
          <w:rFonts w:ascii="Book Antiqua" w:hAnsi="Book Antiqua"/>
          <w:i/>
          <w:sz w:val="16"/>
          <w:szCs w:val="16"/>
        </w:rPr>
        <w:t>Quantum Physics</w:t>
      </w:r>
      <w:r w:rsidRPr="00115CF5">
        <w:rPr>
          <w:rFonts w:ascii="Book Antiqua" w:hAnsi="Book Antiqua"/>
          <w:sz w:val="16"/>
          <w:szCs w:val="16"/>
        </w:rPr>
        <w:t xml:space="preserve">, p.105, John Wiley and Sons, New York, 1974.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[9] P. A. M. Dirac, </w:t>
      </w:r>
      <w:r w:rsidRPr="00115CF5">
        <w:rPr>
          <w:rFonts w:ascii="Book Antiqua" w:hAnsi="Book Antiqua"/>
          <w:i/>
          <w:sz w:val="16"/>
          <w:szCs w:val="16"/>
        </w:rPr>
        <w:t>Proc. Roy. Soc. Lond</w:t>
      </w:r>
      <w:r w:rsidRPr="00115CF5">
        <w:rPr>
          <w:rFonts w:ascii="Book Antiqua" w:hAnsi="Book Antiqua"/>
          <w:sz w:val="16"/>
          <w:szCs w:val="16"/>
        </w:rPr>
        <w:t xml:space="preserve">., </w:t>
      </w:r>
      <w:r w:rsidRPr="00115CF5">
        <w:rPr>
          <w:rFonts w:ascii="Book Antiqua" w:hAnsi="Book Antiqua"/>
          <w:b/>
          <w:bCs/>
          <w:sz w:val="16"/>
          <w:szCs w:val="16"/>
        </w:rPr>
        <w:t xml:space="preserve">123 </w:t>
      </w:r>
      <w:r w:rsidRPr="00115CF5">
        <w:rPr>
          <w:rFonts w:ascii="Book Antiqua" w:hAnsi="Book Antiqua"/>
          <w:sz w:val="16"/>
          <w:szCs w:val="16"/>
        </w:rPr>
        <w:t xml:space="preserve">(1929), p.714.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[10] L. de Broglie</w:t>
      </w:r>
      <w:r w:rsidRPr="00115CF5">
        <w:rPr>
          <w:rFonts w:ascii="Book Antiqua" w:hAnsi="Book Antiqua"/>
          <w:i/>
          <w:sz w:val="16"/>
          <w:szCs w:val="16"/>
        </w:rPr>
        <w:t>, New Perspectives in Physics</w:t>
      </w:r>
      <w:r w:rsidRPr="00115CF5">
        <w:rPr>
          <w:rFonts w:ascii="Book Antiqua" w:hAnsi="Book Antiqua"/>
          <w:sz w:val="16"/>
          <w:szCs w:val="16"/>
        </w:rPr>
        <w:t xml:space="preserve">, Basic Books Publishing Co., New York, 1962.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[11] E. Nelson, </w:t>
      </w:r>
      <w:r w:rsidRPr="00115CF5">
        <w:rPr>
          <w:rFonts w:ascii="Book Antiqua" w:hAnsi="Book Antiqua"/>
          <w:i/>
          <w:sz w:val="16"/>
          <w:szCs w:val="16"/>
        </w:rPr>
        <w:t>Phys. Rev</w:t>
      </w:r>
      <w:r w:rsidRPr="00115CF5">
        <w:rPr>
          <w:rFonts w:ascii="Book Antiqua" w:hAnsi="Book Antiqua"/>
          <w:sz w:val="16"/>
          <w:szCs w:val="16"/>
        </w:rPr>
        <w:t xml:space="preserve">. </w:t>
      </w:r>
      <w:r w:rsidRPr="00115CF5">
        <w:rPr>
          <w:rFonts w:ascii="Book Antiqua" w:hAnsi="Book Antiqua"/>
          <w:b/>
          <w:bCs/>
          <w:sz w:val="16"/>
          <w:szCs w:val="16"/>
        </w:rPr>
        <w:t xml:space="preserve">150 </w:t>
      </w:r>
      <w:r w:rsidRPr="00115CF5">
        <w:rPr>
          <w:rFonts w:ascii="Book Antiqua" w:hAnsi="Book Antiqua"/>
          <w:sz w:val="16"/>
          <w:szCs w:val="16"/>
        </w:rPr>
        <w:t xml:space="preserve">(1966), p.1079. Also </w:t>
      </w:r>
      <w:r w:rsidRPr="00115CF5">
        <w:rPr>
          <w:rFonts w:ascii="Book Antiqua" w:hAnsi="Book Antiqua"/>
          <w:i/>
          <w:sz w:val="16"/>
          <w:szCs w:val="16"/>
        </w:rPr>
        <w:t>Dynamical Theories of Brownian Motion</w:t>
      </w:r>
      <w:r w:rsidRPr="00115CF5">
        <w:rPr>
          <w:rFonts w:ascii="Book Antiqua" w:hAnsi="Book Antiqua"/>
          <w:sz w:val="16"/>
          <w:szCs w:val="16"/>
        </w:rPr>
        <w:t xml:space="preserve">, Princeton University Press, 1967.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[12] T. H. Boyer,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11 </w:t>
      </w:r>
      <w:r w:rsidRPr="00115CF5">
        <w:rPr>
          <w:rFonts w:ascii="Book Antiqua" w:hAnsi="Book Antiqua"/>
          <w:sz w:val="16"/>
          <w:szCs w:val="16"/>
        </w:rPr>
        <w:t xml:space="preserve">(1975), p.790.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[13] M. R. Wehr, J. A. Richards, </w:t>
      </w:r>
      <w:r w:rsidRPr="00115CF5">
        <w:rPr>
          <w:rFonts w:ascii="Book Antiqua" w:hAnsi="Book Antiqua"/>
          <w:i/>
          <w:sz w:val="16"/>
          <w:szCs w:val="16"/>
        </w:rPr>
        <w:t>Physics of the Atom</w:t>
      </w:r>
      <w:r w:rsidRPr="00115CF5">
        <w:rPr>
          <w:rFonts w:ascii="Book Antiqua" w:hAnsi="Book Antiqua"/>
          <w:sz w:val="16"/>
          <w:szCs w:val="16"/>
        </w:rPr>
        <w:t>, p. 372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[14] B. Haisch, A Rueda, </w:t>
      </w:r>
      <w:r w:rsidRPr="00115CF5">
        <w:rPr>
          <w:rFonts w:ascii="Book Antiqua" w:hAnsi="Book Antiqua"/>
          <w:i/>
          <w:sz w:val="16"/>
          <w:szCs w:val="16"/>
        </w:rPr>
        <w:t>Phys. Lett. A</w:t>
      </w:r>
      <w:r w:rsidRPr="00115CF5">
        <w:rPr>
          <w:rFonts w:ascii="Book Antiqua" w:hAnsi="Book Antiqua"/>
          <w:sz w:val="16"/>
          <w:szCs w:val="16"/>
        </w:rPr>
        <w:t xml:space="preserve">, </w:t>
      </w:r>
      <w:r w:rsidRPr="00115CF5">
        <w:rPr>
          <w:rFonts w:ascii="Book Antiqua" w:hAnsi="Book Antiqua"/>
          <w:b/>
          <w:bCs/>
          <w:sz w:val="16"/>
          <w:szCs w:val="16"/>
        </w:rPr>
        <w:t xml:space="preserve">268 </w:t>
      </w:r>
      <w:r w:rsidRPr="00115CF5">
        <w:rPr>
          <w:rFonts w:ascii="Book Antiqua" w:hAnsi="Book Antiqua"/>
          <w:sz w:val="16"/>
          <w:szCs w:val="16"/>
        </w:rPr>
        <w:t xml:space="preserve">(2000), p.224. </w:t>
      </w:r>
    </w:p>
    <w:p w:rsidR="00AC4336" w:rsidRPr="00115CF5" w:rsidRDefault="00AC4336" w:rsidP="00AC4336">
      <w:pPr>
        <w:pStyle w:val="NoSpacing"/>
        <w:rPr>
          <w:rFonts w:ascii="Book Antiqua" w:hAnsi="Book Antiqua"/>
          <w:color w:val="000000"/>
          <w:sz w:val="16"/>
          <w:szCs w:val="16"/>
        </w:rPr>
      </w:pPr>
      <w:r w:rsidRPr="00115CF5">
        <w:rPr>
          <w:rFonts w:ascii="Book Antiqua" w:hAnsi="Book Antiqua"/>
          <w:color w:val="000000"/>
          <w:sz w:val="16"/>
          <w:szCs w:val="16"/>
        </w:rPr>
        <w:t xml:space="preserve">[15] B. Haisch, A Rueda, H E Puthoff, </w:t>
      </w:r>
      <w:r w:rsidRPr="00115CF5">
        <w:rPr>
          <w:rFonts w:ascii="Book Antiqua" w:hAnsi="Book Antiqua"/>
          <w:i/>
          <w:iCs/>
          <w:color w:val="000000"/>
          <w:sz w:val="16"/>
          <w:szCs w:val="16"/>
        </w:rPr>
        <w:t>The Sciences</w:t>
      </w:r>
      <w:r w:rsidRPr="00115CF5">
        <w:rPr>
          <w:rFonts w:ascii="Book Antiqua" w:hAnsi="Book Antiqua"/>
          <w:color w:val="000000"/>
          <w:sz w:val="16"/>
          <w:szCs w:val="16"/>
        </w:rPr>
        <w:t>, Nov/Dec 1994, p.26-31.</w:t>
      </w:r>
    </w:p>
    <w:p w:rsidR="00AC4336" w:rsidRPr="00115CF5" w:rsidRDefault="00AC4336" w:rsidP="00AC4336">
      <w:pPr>
        <w:pStyle w:val="NoSpacing"/>
        <w:rPr>
          <w:rFonts w:ascii="Book Antiqua" w:hAnsi="Book Antiqua"/>
          <w:sz w:val="16"/>
          <w:szCs w:val="16"/>
        </w:rPr>
      </w:pPr>
      <w:r w:rsidRPr="00115CF5">
        <w:rPr>
          <w:rFonts w:ascii="Book Antiqua" w:hAnsi="Book Antiqua"/>
          <w:color w:val="000000"/>
          <w:sz w:val="16"/>
          <w:szCs w:val="16"/>
        </w:rPr>
        <w:t xml:space="preserve">[16] </w:t>
      </w:r>
      <w:r w:rsidRPr="00115CF5">
        <w:rPr>
          <w:rFonts w:ascii="Book Antiqua" w:hAnsi="Book Antiqua"/>
          <w:sz w:val="16"/>
          <w:szCs w:val="16"/>
        </w:rPr>
        <w:t xml:space="preserve">T. H. Boyer, </w:t>
      </w:r>
      <w:r w:rsidRPr="00115CF5">
        <w:rPr>
          <w:rFonts w:ascii="Book Antiqua" w:hAnsi="Book Antiqua"/>
          <w:i/>
          <w:iCs/>
          <w:sz w:val="16"/>
          <w:szCs w:val="16"/>
        </w:rPr>
        <w:t>Scientific American</w:t>
      </w:r>
      <w:r w:rsidRPr="00115CF5">
        <w:rPr>
          <w:rFonts w:ascii="Book Antiqua" w:hAnsi="Book Antiqua"/>
          <w:sz w:val="16"/>
          <w:szCs w:val="16"/>
        </w:rPr>
        <w:t>, pp.70-78 (Aug 1985).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[17] P. C. W. Davies, </w:t>
      </w:r>
      <w:r w:rsidRPr="00115CF5">
        <w:rPr>
          <w:rFonts w:ascii="Book Antiqua" w:hAnsi="Book Antiqua"/>
          <w:i/>
          <w:sz w:val="16"/>
          <w:szCs w:val="16"/>
        </w:rPr>
        <w:t>J. Phys. A</w:t>
      </w:r>
      <w:r w:rsidRPr="00115CF5">
        <w:rPr>
          <w:rFonts w:ascii="Book Antiqua" w:hAnsi="Book Antiqua"/>
          <w:sz w:val="16"/>
          <w:szCs w:val="16"/>
        </w:rPr>
        <w:t xml:space="preserve">, </w:t>
      </w:r>
      <w:r w:rsidRPr="00115CF5">
        <w:rPr>
          <w:rFonts w:ascii="Book Antiqua" w:hAnsi="Book Antiqua"/>
          <w:b/>
          <w:bCs/>
          <w:sz w:val="16"/>
          <w:szCs w:val="16"/>
        </w:rPr>
        <w:t xml:space="preserve">8 </w:t>
      </w:r>
      <w:r w:rsidRPr="00115CF5">
        <w:rPr>
          <w:rFonts w:ascii="Book Antiqua" w:hAnsi="Book Antiqua"/>
          <w:sz w:val="16"/>
          <w:szCs w:val="16"/>
        </w:rPr>
        <w:t xml:space="preserve">(1975), p.609; W G Unruh,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bCs/>
          <w:sz w:val="16"/>
          <w:szCs w:val="16"/>
        </w:rPr>
        <w:t xml:space="preserve">14 </w:t>
      </w:r>
      <w:r w:rsidRPr="00115CF5">
        <w:rPr>
          <w:rFonts w:ascii="Book Antiqua" w:hAnsi="Book Antiqua"/>
          <w:sz w:val="16"/>
          <w:szCs w:val="16"/>
        </w:rPr>
        <w:t xml:space="preserve">(1976), pp.870-892.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[18] Science Editor, </w:t>
      </w:r>
      <w:r w:rsidRPr="00115CF5">
        <w:rPr>
          <w:rFonts w:ascii="Book Antiqua" w:hAnsi="Book Antiqua"/>
          <w:i/>
          <w:sz w:val="16"/>
          <w:szCs w:val="16"/>
        </w:rPr>
        <w:t>New Scientist</w:t>
      </w:r>
      <w:r w:rsidRPr="00115CF5">
        <w:rPr>
          <w:rFonts w:ascii="Book Antiqua" w:hAnsi="Book Antiqua"/>
          <w:sz w:val="16"/>
          <w:szCs w:val="16"/>
        </w:rPr>
        <w:t xml:space="preserve">, 2 December 1989, p.14.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[19] P. C. W. Davies, </w:t>
      </w:r>
      <w:r w:rsidRPr="00115CF5">
        <w:rPr>
          <w:rFonts w:ascii="Book Antiqua" w:hAnsi="Book Antiqua"/>
          <w:i/>
          <w:sz w:val="16"/>
          <w:szCs w:val="16"/>
        </w:rPr>
        <w:t>New Scientist</w:t>
      </w:r>
      <w:r w:rsidRPr="00115CF5">
        <w:rPr>
          <w:rFonts w:ascii="Book Antiqua" w:hAnsi="Book Antiqua"/>
          <w:sz w:val="16"/>
          <w:szCs w:val="16"/>
        </w:rPr>
        <w:t xml:space="preserve">, 3 November 2001, pp.30-34.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[20] P. W. Milonni, R. J. Cook, M. E. Goggin,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bCs/>
          <w:sz w:val="16"/>
          <w:szCs w:val="16"/>
        </w:rPr>
        <w:t xml:space="preserve">38 </w:t>
      </w:r>
      <w:r w:rsidRPr="00115CF5">
        <w:rPr>
          <w:rFonts w:ascii="Book Antiqua" w:hAnsi="Book Antiqua"/>
          <w:sz w:val="16"/>
          <w:szCs w:val="16"/>
        </w:rPr>
        <w:t xml:space="preserve">(1988), p.1621.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lastRenderedPageBreak/>
        <w:t xml:space="preserve">[21] S. Lamoreaux,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78 </w:t>
      </w:r>
      <w:r w:rsidRPr="00115CF5">
        <w:rPr>
          <w:rFonts w:ascii="Book Antiqua" w:hAnsi="Book Antiqua"/>
          <w:sz w:val="16"/>
          <w:szCs w:val="16"/>
        </w:rPr>
        <w:t xml:space="preserve">(1997), p.5; U Mohideen, A Roy, </w:t>
      </w:r>
      <w:r w:rsidRPr="00115CF5">
        <w:rPr>
          <w:rFonts w:ascii="Book Antiqua" w:hAnsi="Book Antiqua"/>
          <w:i/>
          <w:sz w:val="16"/>
          <w:szCs w:val="16"/>
        </w:rPr>
        <w:t>Phys. Rev. Lett</w:t>
      </w:r>
      <w:r w:rsidRPr="00115CF5">
        <w:rPr>
          <w:rFonts w:ascii="Book Antiqua" w:hAnsi="Book Antiqua"/>
          <w:sz w:val="16"/>
          <w:szCs w:val="16"/>
        </w:rPr>
        <w:t xml:space="preserve">. </w:t>
      </w:r>
      <w:r w:rsidRPr="00115CF5">
        <w:rPr>
          <w:rFonts w:ascii="Book Antiqua" w:hAnsi="Book Antiqua"/>
          <w:b/>
          <w:bCs/>
          <w:sz w:val="16"/>
          <w:szCs w:val="16"/>
        </w:rPr>
        <w:t xml:space="preserve">81 </w:t>
      </w:r>
      <w:r w:rsidRPr="00115CF5">
        <w:rPr>
          <w:rFonts w:ascii="Book Antiqua" w:hAnsi="Book Antiqua"/>
          <w:sz w:val="16"/>
          <w:szCs w:val="16"/>
        </w:rPr>
        <w:t xml:space="preserve">(1998), p.4549.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[22] M. R. Wehr, J. A. Richards, </w:t>
      </w:r>
      <w:r w:rsidRPr="00115CF5">
        <w:rPr>
          <w:rFonts w:ascii="Book Antiqua" w:hAnsi="Book Antiqua"/>
          <w:i/>
          <w:sz w:val="16"/>
          <w:szCs w:val="16"/>
        </w:rPr>
        <w:t>Physics of the Atom</w:t>
      </w:r>
      <w:r w:rsidRPr="00115CF5">
        <w:rPr>
          <w:rFonts w:ascii="Book Antiqua" w:hAnsi="Book Antiqua"/>
          <w:sz w:val="16"/>
          <w:szCs w:val="16"/>
        </w:rPr>
        <w:t>, p. 374, (Addison Wesley 1960).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[23]  Ibid, p.377.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[24] H. Genz, </w:t>
      </w:r>
      <w:r w:rsidRPr="00115CF5">
        <w:rPr>
          <w:rFonts w:ascii="Book Antiqua" w:hAnsi="Book Antiqua"/>
          <w:i/>
          <w:sz w:val="16"/>
          <w:szCs w:val="16"/>
        </w:rPr>
        <w:t>Nothingness: The Science Of  Empty Space</w:t>
      </w:r>
      <w:r w:rsidRPr="00115CF5">
        <w:rPr>
          <w:rFonts w:ascii="Book Antiqua" w:hAnsi="Book Antiqua"/>
          <w:sz w:val="16"/>
          <w:szCs w:val="16"/>
        </w:rPr>
        <w:t>, p.204, Perseus Books, Reading, Massachusetts,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[25] Science Editor, </w:t>
      </w:r>
      <w:r w:rsidRPr="00115CF5">
        <w:rPr>
          <w:rFonts w:ascii="Book Antiqua" w:hAnsi="Book Antiqua"/>
          <w:i/>
          <w:sz w:val="16"/>
          <w:szCs w:val="16"/>
        </w:rPr>
        <w:t>New Scientist</w:t>
      </w:r>
      <w:r w:rsidRPr="00115CF5">
        <w:rPr>
          <w:rFonts w:ascii="Book Antiqua" w:hAnsi="Book Antiqua"/>
          <w:sz w:val="16"/>
          <w:szCs w:val="16"/>
        </w:rPr>
        <w:t>, p. 12 and references therein (12 February, 2011).</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[26] C. M. Wilson et al., Letter to </w:t>
      </w:r>
      <w:r w:rsidRPr="00115CF5">
        <w:rPr>
          <w:rFonts w:ascii="Book Antiqua" w:hAnsi="Book Antiqua"/>
          <w:i/>
          <w:sz w:val="16"/>
          <w:szCs w:val="16"/>
        </w:rPr>
        <w:t>Nature,</w:t>
      </w:r>
      <w:r w:rsidRPr="00115CF5">
        <w:rPr>
          <w:rFonts w:ascii="Book Antiqua" w:hAnsi="Book Antiqua"/>
          <w:sz w:val="16"/>
          <w:szCs w:val="16"/>
        </w:rPr>
        <w:t xml:space="preserve"> </w:t>
      </w:r>
      <w:r w:rsidRPr="00115CF5">
        <w:rPr>
          <w:rFonts w:ascii="Book Antiqua" w:hAnsi="Book Antiqua"/>
          <w:b/>
          <w:sz w:val="16"/>
          <w:szCs w:val="16"/>
        </w:rPr>
        <w:t>479</w:t>
      </w:r>
      <w:r w:rsidRPr="00115CF5">
        <w:rPr>
          <w:rFonts w:ascii="Book Antiqua" w:hAnsi="Book Antiqua"/>
          <w:sz w:val="16"/>
          <w:szCs w:val="16"/>
        </w:rPr>
        <w:t xml:space="preserve">, pp. 376-379, issue 7373 (17 November, 2011).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[27] B. Haisch and A. Rueda, </w:t>
      </w:r>
      <w:r w:rsidRPr="00115CF5">
        <w:rPr>
          <w:rFonts w:ascii="Book Antiqua" w:hAnsi="Book Antiqua"/>
          <w:i/>
          <w:sz w:val="16"/>
          <w:szCs w:val="16"/>
        </w:rPr>
        <w:t>Ap. J</w:t>
      </w:r>
      <w:r w:rsidRPr="00115CF5">
        <w:rPr>
          <w:rFonts w:ascii="Book Antiqua" w:hAnsi="Book Antiqua"/>
          <w:sz w:val="16"/>
          <w:szCs w:val="16"/>
        </w:rPr>
        <w:t xml:space="preserve">. October 20 (1997), pre-print.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[28]</w:t>
      </w:r>
      <w:r w:rsidR="00D71C91">
        <w:rPr>
          <w:rFonts w:ascii="Book Antiqua" w:hAnsi="Book Antiqua"/>
          <w:sz w:val="16"/>
          <w:szCs w:val="16"/>
        </w:rPr>
        <w:t xml:space="preserve"> </w:t>
      </w:r>
      <w:r w:rsidR="00D71C91" w:rsidRPr="005627CB">
        <w:rPr>
          <w:rFonts w:ascii="Book Antiqua" w:hAnsi="Book Antiqua"/>
          <w:sz w:val="16"/>
          <w:szCs w:val="16"/>
        </w:rPr>
        <w:t>J</w:t>
      </w:r>
      <w:r w:rsidR="00D71C91">
        <w:rPr>
          <w:rFonts w:ascii="Book Antiqua" w:hAnsi="Book Antiqua"/>
          <w:sz w:val="16"/>
          <w:szCs w:val="16"/>
        </w:rPr>
        <w:t>.</w:t>
      </w:r>
      <w:r w:rsidR="00D71C91" w:rsidRPr="005627CB">
        <w:rPr>
          <w:rFonts w:ascii="Book Antiqua" w:hAnsi="Book Antiqua"/>
          <w:sz w:val="16"/>
          <w:szCs w:val="16"/>
        </w:rPr>
        <w:t xml:space="preserve"> Narlikar &amp; H</w:t>
      </w:r>
      <w:r w:rsidR="00D71C91">
        <w:rPr>
          <w:rFonts w:ascii="Book Antiqua" w:hAnsi="Book Antiqua"/>
          <w:sz w:val="16"/>
          <w:szCs w:val="16"/>
        </w:rPr>
        <w:t>.</w:t>
      </w:r>
      <w:r w:rsidR="00D71C91" w:rsidRPr="005627CB">
        <w:rPr>
          <w:rFonts w:ascii="Book Antiqua" w:hAnsi="Book Antiqua"/>
          <w:sz w:val="16"/>
          <w:szCs w:val="16"/>
        </w:rPr>
        <w:t xml:space="preserve"> Arp, </w:t>
      </w:r>
      <w:r w:rsidR="00D71C91">
        <w:rPr>
          <w:rFonts w:ascii="Book Antiqua" w:hAnsi="Book Antiqua"/>
          <w:sz w:val="16"/>
          <w:szCs w:val="16"/>
        </w:rPr>
        <w:t>“Flat Spacetime Cosmology: A Unified Framework for Extragalactic Redshifts”</w:t>
      </w:r>
      <w:r w:rsidR="00D71C91" w:rsidRPr="005627CB">
        <w:rPr>
          <w:rFonts w:ascii="Book Antiqua" w:hAnsi="Book Antiqua"/>
          <w:i/>
          <w:iCs/>
          <w:sz w:val="16"/>
          <w:szCs w:val="16"/>
        </w:rPr>
        <w:t xml:space="preserve">Astrophysical Journal </w:t>
      </w:r>
      <w:r w:rsidR="00D71C91" w:rsidRPr="005627CB">
        <w:rPr>
          <w:rFonts w:ascii="Book Antiqua" w:hAnsi="Book Antiqua"/>
          <w:b/>
          <w:bCs/>
          <w:sz w:val="16"/>
          <w:szCs w:val="16"/>
        </w:rPr>
        <w:t>405</w:t>
      </w:r>
      <w:r w:rsidR="00D71C91" w:rsidRPr="005627CB">
        <w:rPr>
          <w:rFonts w:ascii="Book Antiqua" w:hAnsi="Book Antiqua"/>
          <w:sz w:val="16"/>
          <w:szCs w:val="16"/>
        </w:rPr>
        <w:t>:</w:t>
      </w:r>
      <w:r w:rsidR="00D71C91">
        <w:rPr>
          <w:rFonts w:ascii="Book Antiqua" w:hAnsi="Book Antiqua"/>
          <w:sz w:val="16"/>
          <w:szCs w:val="16"/>
        </w:rPr>
        <w:t>1, pp.</w:t>
      </w:r>
      <w:r w:rsidR="00D71C91" w:rsidRPr="005627CB">
        <w:rPr>
          <w:rFonts w:ascii="Book Antiqua" w:hAnsi="Book Antiqua"/>
          <w:sz w:val="16"/>
          <w:szCs w:val="16"/>
        </w:rPr>
        <w:t>51</w:t>
      </w:r>
      <w:r w:rsidR="00D71C91">
        <w:rPr>
          <w:rFonts w:ascii="Book Antiqua" w:hAnsi="Book Antiqua"/>
          <w:sz w:val="16"/>
          <w:szCs w:val="16"/>
        </w:rPr>
        <w:t>-56, (</w:t>
      </w:r>
      <w:r w:rsidR="00D71C91" w:rsidRPr="005627CB">
        <w:rPr>
          <w:rFonts w:ascii="Book Antiqua" w:hAnsi="Book Antiqua"/>
          <w:sz w:val="16"/>
          <w:szCs w:val="16"/>
        </w:rPr>
        <w:t>1993).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[29] Ya. B. Zeldovich, </w:t>
      </w:r>
      <w:r w:rsidRPr="00115CF5">
        <w:rPr>
          <w:rFonts w:ascii="Book Antiqua" w:hAnsi="Book Antiqua"/>
          <w:i/>
          <w:sz w:val="16"/>
          <w:szCs w:val="16"/>
        </w:rPr>
        <w:t>Sov. Phys. Uspekhi</w:t>
      </w:r>
      <w:r w:rsidRPr="00115CF5">
        <w:rPr>
          <w:rFonts w:ascii="Book Antiqua" w:hAnsi="Book Antiqua"/>
          <w:sz w:val="16"/>
          <w:szCs w:val="16"/>
        </w:rPr>
        <w:t xml:space="preserve"> </w:t>
      </w:r>
      <w:r w:rsidRPr="00115CF5">
        <w:rPr>
          <w:rFonts w:ascii="Book Antiqua" w:hAnsi="Book Antiqua"/>
          <w:b/>
          <w:sz w:val="16"/>
          <w:szCs w:val="16"/>
        </w:rPr>
        <w:t>11</w:t>
      </w:r>
      <w:r w:rsidRPr="00115CF5">
        <w:rPr>
          <w:rFonts w:ascii="Book Antiqua" w:hAnsi="Book Antiqua"/>
          <w:sz w:val="16"/>
          <w:szCs w:val="16"/>
        </w:rPr>
        <w:t xml:space="preserve">:3 (1968), 381.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[30] L. Abbott, </w:t>
      </w:r>
      <w:r w:rsidRPr="00115CF5">
        <w:rPr>
          <w:rFonts w:ascii="Book Antiqua" w:hAnsi="Book Antiqua"/>
          <w:i/>
          <w:sz w:val="16"/>
          <w:szCs w:val="16"/>
        </w:rPr>
        <w:t>Scientific American</w:t>
      </w:r>
      <w:r w:rsidRPr="00115CF5">
        <w:rPr>
          <w:rFonts w:ascii="Book Antiqua" w:hAnsi="Book Antiqua"/>
          <w:sz w:val="16"/>
          <w:szCs w:val="16"/>
        </w:rPr>
        <w:t xml:space="preserve"> 258:5 (1988), 106.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[31] J. D. Barrow and J. Magueijo, </w:t>
      </w:r>
      <w:r w:rsidRPr="00115CF5">
        <w:rPr>
          <w:rFonts w:ascii="Book Antiqua" w:hAnsi="Book Antiqua"/>
          <w:i/>
          <w:sz w:val="16"/>
          <w:szCs w:val="16"/>
        </w:rPr>
        <w:t>Ap. J</w:t>
      </w:r>
      <w:r w:rsidRPr="00115CF5">
        <w:rPr>
          <w:rFonts w:ascii="Book Antiqua" w:hAnsi="Book Antiqua"/>
          <w:sz w:val="16"/>
          <w:szCs w:val="16"/>
        </w:rPr>
        <w:t>. 532 (2000), L87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[32] B. Greene, </w:t>
      </w:r>
      <w:r w:rsidRPr="00115CF5">
        <w:rPr>
          <w:rFonts w:ascii="Book Antiqua" w:hAnsi="Book Antiqua"/>
          <w:i/>
          <w:sz w:val="16"/>
          <w:szCs w:val="16"/>
        </w:rPr>
        <w:t>The Elegant Universe</w:t>
      </w:r>
      <w:r w:rsidRPr="00115CF5">
        <w:rPr>
          <w:rFonts w:ascii="Book Antiqua" w:hAnsi="Book Antiqua"/>
          <w:sz w:val="16"/>
          <w:szCs w:val="16"/>
        </w:rPr>
        <w:t xml:space="preserve">, p. 225, W. W. Norton &amp; Co. Inc., New York, 1999.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[33] H. E. Puthoff, Phys. </w:t>
      </w:r>
      <w:r w:rsidRPr="00115CF5">
        <w:rPr>
          <w:rFonts w:ascii="Book Antiqua" w:hAnsi="Book Antiqua"/>
          <w:i/>
          <w:sz w:val="16"/>
          <w:szCs w:val="16"/>
        </w:rPr>
        <w:t>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:9 (1989), 4857.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[34] Science Editor, </w:t>
      </w:r>
      <w:r w:rsidRPr="00115CF5">
        <w:rPr>
          <w:rFonts w:ascii="Book Antiqua" w:hAnsi="Book Antiqua"/>
          <w:i/>
          <w:sz w:val="16"/>
          <w:szCs w:val="16"/>
        </w:rPr>
        <w:t>New Scientist</w:t>
      </w:r>
      <w:r w:rsidRPr="00115CF5">
        <w:rPr>
          <w:rFonts w:ascii="Book Antiqua" w:hAnsi="Book Antiqua"/>
          <w:sz w:val="16"/>
          <w:szCs w:val="16"/>
        </w:rPr>
        <w:t xml:space="preserve">, p.14, (2 December 1989). </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[35] H. E. Puthoff, 1987, </w:t>
      </w:r>
      <w:r w:rsidRPr="00115CF5">
        <w:rPr>
          <w:rFonts w:ascii="Book Antiqua" w:hAnsi="Book Antiqua"/>
          <w:i/>
          <w:sz w:val="16"/>
          <w:szCs w:val="16"/>
        </w:rPr>
        <w:t>Phys. Rev. D</w:t>
      </w:r>
      <w:r w:rsidRPr="00115CF5">
        <w:rPr>
          <w:rFonts w:ascii="Book Antiqua" w:hAnsi="Book Antiqua"/>
          <w:sz w:val="16"/>
          <w:szCs w:val="16"/>
        </w:rPr>
        <w:t xml:space="preserve"> </w:t>
      </w:r>
      <w:r w:rsidRPr="00115CF5">
        <w:rPr>
          <w:rFonts w:ascii="Book Antiqua" w:hAnsi="Book Antiqua"/>
          <w:b/>
          <w:sz w:val="16"/>
          <w:szCs w:val="16"/>
        </w:rPr>
        <w:t>35</w:t>
      </w:r>
      <w:r w:rsidRPr="00115CF5">
        <w:rPr>
          <w:rFonts w:ascii="Book Antiqua" w:hAnsi="Book Antiqua"/>
          <w:sz w:val="16"/>
          <w:szCs w:val="16"/>
        </w:rPr>
        <w:t>:10 (1987), 3266.</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[36] B. Setterfield, </w:t>
      </w:r>
      <w:r w:rsidRPr="00115CF5">
        <w:rPr>
          <w:rFonts w:ascii="Book Antiqua" w:hAnsi="Book Antiqua"/>
          <w:i/>
          <w:iCs/>
          <w:sz w:val="16"/>
          <w:szCs w:val="16"/>
        </w:rPr>
        <w:t xml:space="preserve">Journal of Vectorial Relativity </w:t>
      </w:r>
      <w:r w:rsidRPr="00115CF5">
        <w:rPr>
          <w:rFonts w:ascii="Book Antiqua" w:hAnsi="Book Antiqua"/>
          <w:b/>
          <w:bCs/>
          <w:sz w:val="16"/>
          <w:szCs w:val="16"/>
        </w:rPr>
        <w:t xml:space="preserve">2 </w:t>
      </w:r>
      <w:r w:rsidRPr="00115CF5">
        <w:rPr>
          <w:rFonts w:ascii="Book Antiqua" w:hAnsi="Book Antiqua"/>
          <w:sz w:val="16"/>
          <w:szCs w:val="16"/>
        </w:rPr>
        <w:t>(3):1-28 (2007).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[37] T. Norman, B. Setterfield, </w:t>
      </w:r>
      <w:r w:rsidRPr="00115CF5">
        <w:rPr>
          <w:rFonts w:ascii="Book Antiqua" w:hAnsi="Book Antiqua"/>
          <w:i/>
          <w:sz w:val="16"/>
          <w:szCs w:val="16"/>
        </w:rPr>
        <w:t>The Atomic Constants, Light and Time,</w:t>
      </w:r>
      <w:r w:rsidRPr="00115CF5">
        <w:rPr>
          <w:rFonts w:ascii="Book Antiqua" w:hAnsi="Book Antiqua"/>
          <w:sz w:val="16"/>
          <w:szCs w:val="16"/>
        </w:rPr>
        <w:t xml:space="preserve"> report for SRI Internat. &amp; Flinders Uni.  (Aug 1987).</w:t>
      </w:r>
    </w:p>
    <w:p w:rsidR="00AC4336" w:rsidRPr="00115CF5" w:rsidRDefault="00AC4336" w:rsidP="00AC4336">
      <w:pPr>
        <w:pStyle w:val="reference"/>
        <w:ind w:left="450" w:hanging="450"/>
        <w:rPr>
          <w:szCs w:val="16"/>
        </w:rPr>
      </w:pPr>
      <w:r w:rsidRPr="00115CF5">
        <w:rPr>
          <w:color w:val="000000"/>
          <w:szCs w:val="16"/>
        </w:rPr>
        <w:t xml:space="preserve">[38] </w:t>
      </w:r>
      <w:r w:rsidRPr="00115CF5">
        <w:rPr>
          <w:szCs w:val="16"/>
        </w:rPr>
        <w:t xml:space="preserve">B. Setterfield, </w:t>
      </w:r>
      <w:r w:rsidRPr="00115CF5">
        <w:rPr>
          <w:i/>
          <w:iCs/>
          <w:szCs w:val="16"/>
        </w:rPr>
        <w:t xml:space="preserve">JVR </w:t>
      </w:r>
      <w:r w:rsidRPr="00115CF5">
        <w:rPr>
          <w:b/>
          <w:bCs/>
          <w:szCs w:val="16"/>
        </w:rPr>
        <w:t xml:space="preserve">3 </w:t>
      </w:r>
      <w:r w:rsidRPr="00115CF5">
        <w:rPr>
          <w:szCs w:val="16"/>
        </w:rPr>
        <w:t>(4):1-32 (2008).</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[39] B. Setterfield &amp; D. Dzimano, </w:t>
      </w:r>
      <w:r w:rsidRPr="00115CF5">
        <w:rPr>
          <w:rFonts w:ascii="Book Antiqua" w:hAnsi="Book Antiqua"/>
          <w:i/>
          <w:iCs/>
          <w:sz w:val="16"/>
          <w:szCs w:val="16"/>
        </w:rPr>
        <w:t>Journal of Theoretics</w:t>
      </w:r>
      <w:r w:rsidRPr="00115CF5">
        <w:rPr>
          <w:rFonts w:ascii="Book Antiqua" w:hAnsi="Book Antiqua"/>
          <w:sz w:val="16"/>
          <w:szCs w:val="16"/>
        </w:rPr>
        <w:t>, extensive papers (29 Dec 2003).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[40] F. M. Pipkin and R. C. Ritter,</w:t>
      </w:r>
      <w:r w:rsidRPr="00115CF5">
        <w:rPr>
          <w:rFonts w:ascii="Book Antiqua" w:hAnsi="Book Antiqua"/>
          <w:i/>
          <w:sz w:val="16"/>
          <w:szCs w:val="16"/>
        </w:rPr>
        <w:t xml:space="preserve"> Science</w:t>
      </w:r>
      <w:r w:rsidRPr="00115CF5">
        <w:rPr>
          <w:rFonts w:ascii="Book Antiqua" w:hAnsi="Book Antiqua"/>
          <w:sz w:val="16"/>
          <w:szCs w:val="16"/>
        </w:rPr>
        <w:t xml:space="preserve"> </w:t>
      </w:r>
      <w:r w:rsidRPr="00115CF5">
        <w:rPr>
          <w:rFonts w:ascii="Book Antiqua" w:hAnsi="Book Antiqua"/>
          <w:b/>
          <w:sz w:val="16"/>
          <w:szCs w:val="16"/>
        </w:rPr>
        <w:t>219</w:t>
      </w:r>
      <w:r w:rsidRPr="00115CF5">
        <w:rPr>
          <w:rFonts w:ascii="Book Antiqua" w:hAnsi="Book Antiqua"/>
          <w:sz w:val="16"/>
          <w:szCs w:val="16"/>
        </w:rPr>
        <w:t>, p.4587, (1983).</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[41] B. Greene, </w:t>
      </w:r>
      <w:r w:rsidRPr="00115CF5">
        <w:rPr>
          <w:rFonts w:ascii="Book Antiqua" w:hAnsi="Book Antiqua"/>
          <w:i/>
          <w:sz w:val="16"/>
          <w:szCs w:val="16"/>
        </w:rPr>
        <w:t>The Elegant Universe,</w:t>
      </w:r>
      <w:r w:rsidRPr="00115CF5">
        <w:rPr>
          <w:rFonts w:ascii="Book Antiqua" w:hAnsi="Book Antiqua"/>
          <w:sz w:val="16"/>
          <w:szCs w:val="16"/>
        </w:rPr>
        <w:t xml:space="preserve"> p. 208 (W.W. Norton &amp; Co.,New York,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[42] C. W. Misner, K. S. Thorne and J. A. Wheeler, </w:t>
      </w:r>
      <w:r w:rsidRPr="00115CF5">
        <w:rPr>
          <w:rFonts w:ascii="Book Antiqua" w:hAnsi="Book Antiqua"/>
          <w:i/>
          <w:sz w:val="16"/>
          <w:szCs w:val="16"/>
        </w:rPr>
        <w:t>Gravitation</w:t>
      </w:r>
      <w:r w:rsidRPr="00115CF5">
        <w:rPr>
          <w:rFonts w:ascii="Book Antiqua" w:hAnsi="Book Antiqua"/>
          <w:sz w:val="16"/>
          <w:szCs w:val="16"/>
        </w:rPr>
        <w:t>, p.12, W. H. Freeman and Co., New York, 1997.</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[43] M. Brooks, "</w:t>
      </w:r>
      <w:r w:rsidRPr="00115CF5">
        <w:rPr>
          <w:rFonts w:ascii="Book Antiqua" w:hAnsi="Book Antiqua"/>
          <w:i/>
          <w:sz w:val="16"/>
          <w:szCs w:val="16"/>
        </w:rPr>
        <w:t>Quantum Foam</w:t>
      </w:r>
      <w:r w:rsidRPr="00115CF5">
        <w:rPr>
          <w:rFonts w:ascii="Book Antiqua" w:hAnsi="Book Antiqua"/>
          <w:sz w:val="16"/>
          <w:szCs w:val="16"/>
        </w:rPr>
        <w:t>", New Scientist (19 June 1999).</w:t>
      </w:r>
    </w:p>
    <w:p w:rsidR="00AC4336" w:rsidRPr="00115CF5" w:rsidRDefault="00AC4336" w:rsidP="00AC4336">
      <w:pPr>
        <w:pStyle w:val="NoSpacing"/>
        <w:rPr>
          <w:rFonts w:ascii="Book Antiqua" w:hAnsi="Book Antiqua"/>
          <w:i/>
          <w:color w:val="0000FF"/>
          <w:sz w:val="16"/>
          <w:szCs w:val="16"/>
        </w:rPr>
      </w:pPr>
      <w:r w:rsidRPr="00115CF5">
        <w:rPr>
          <w:rFonts w:ascii="Book Antiqua" w:hAnsi="Book Antiqua"/>
          <w:sz w:val="16"/>
          <w:szCs w:val="16"/>
        </w:rPr>
        <w:t xml:space="preserve">[44] C. H. Gibson, “Turbulence and Mixing in the Early Universe”, Keynote Paper, International Conference Mechanical Engineering, haka, Bangladesh, Dec. 26 to 28, 2001, </w:t>
      </w:r>
      <w:r w:rsidRPr="00115CF5">
        <w:rPr>
          <w:rFonts w:ascii="Book Antiqua" w:hAnsi="Book Antiqua"/>
          <w:i/>
          <w:sz w:val="16"/>
          <w:szCs w:val="16"/>
        </w:rPr>
        <w:t xml:space="preserve"> </w:t>
      </w:r>
      <w:hyperlink r:id="rId61" w:history="1">
        <w:r w:rsidRPr="00115CF5">
          <w:rPr>
            <w:rStyle w:val="Hyperlink"/>
            <w:rFonts w:ascii="Book Antiqua" w:hAnsi="Book Antiqua"/>
            <w:i/>
            <w:szCs w:val="16"/>
          </w:rPr>
          <w:t>http://arxiv.org/abs/astro-ph/0110012</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[45] F. Hoyle, G. Burbidge &amp; J. Narlikar, </w:t>
      </w:r>
      <w:r w:rsidRPr="00115CF5">
        <w:rPr>
          <w:rFonts w:ascii="Book Antiqua" w:hAnsi="Book Antiqua"/>
          <w:bCs/>
          <w:i/>
          <w:sz w:val="16"/>
          <w:szCs w:val="16"/>
        </w:rPr>
        <w:t>A Different Approach to Cosmology</w:t>
      </w:r>
      <w:r w:rsidRPr="00115CF5">
        <w:rPr>
          <w:rFonts w:ascii="Book Antiqua" w:hAnsi="Book Antiqua"/>
          <w:i/>
          <w:sz w:val="16"/>
          <w:szCs w:val="16"/>
        </w:rPr>
        <w:t>,</w:t>
      </w:r>
      <w:r w:rsidRPr="00115CF5">
        <w:rPr>
          <w:rFonts w:ascii="Book Antiqua" w:hAnsi="Book Antiqua"/>
          <w:sz w:val="16"/>
          <w:szCs w:val="16"/>
        </w:rPr>
        <w:t xml:space="preserve"> pp.108 ff. (Cambridge U. P., UK, 2005).</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[46] L. Ashmore, </w:t>
      </w:r>
      <w:r w:rsidRPr="00115CF5">
        <w:rPr>
          <w:rFonts w:ascii="Book Antiqua" w:hAnsi="Book Antiqua"/>
          <w:i/>
          <w:iCs/>
          <w:sz w:val="16"/>
          <w:szCs w:val="16"/>
        </w:rPr>
        <w:t>2nd Crisis in Cosmology Conference, CCC-2. ASP Conference Series</w:t>
      </w:r>
      <w:r w:rsidRPr="00115CF5">
        <w:rPr>
          <w:rFonts w:ascii="Book Antiqua" w:hAnsi="Book Antiqua"/>
          <w:sz w:val="16"/>
          <w:szCs w:val="16"/>
        </w:rPr>
        <w:t>, Vol. 413, Proceedings of the Conference held 7-11 September 2008, at Port Angeles, Washington, USA. F Potter, ed., p.3 (Astronomical Society of the Pacific, San Francisco, 2009).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[47] L. Ashmore, “An Explanation of Redshift in a Static Universe”, </w:t>
      </w:r>
      <w:r w:rsidRPr="00115CF5">
        <w:rPr>
          <w:rFonts w:ascii="Book Antiqua" w:hAnsi="Book Antiqua"/>
          <w:i/>
          <w:iCs/>
          <w:sz w:val="16"/>
          <w:szCs w:val="16"/>
        </w:rPr>
        <w:t xml:space="preserve">Proceedings of the NPA </w:t>
      </w:r>
      <w:r w:rsidRPr="00115CF5">
        <w:rPr>
          <w:rFonts w:ascii="Book Antiqua" w:hAnsi="Book Antiqua"/>
          <w:b/>
          <w:bCs/>
          <w:sz w:val="16"/>
          <w:szCs w:val="16"/>
        </w:rPr>
        <w:t>6</w:t>
      </w:r>
      <w:r w:rsidRPr="00115CF5">
        <w:rPr>
          <w:rFonts w:ascii="Book Antiqua" w:hAnsi="Book Antiqua"/>
          <w:sz w:val="16"/>
          <w:szCs w:val="16"/>
        </w:rPr>
        <w:t>, Long Beach, CA (2010).</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[48] C. Bizon, et al in </w:t>
      </w:r>
      <w:r w:rsidRPr="00115CF5">
        <w:rPr>
          <w:rFonts w:ascii="Book Antiqua" w:hAnsi="Book Antiqua"/>
          <w:i/>
          <w:sz w:val="16"/>
          <w:szCs w:val="16"/>
        </w:rPr>
        <w:t>Dynamics: Models and Kinetic Methods for Nonequilibrium Many Body Systems,</w:t>
      </w:r>
      <w:r w:rsidRPr="00115CF5">
        <w:rPr>
          <w:rFonts w:ascii="Book Antiqua" w:hAnsi="Book Antiqua"/>
          <w:sz w:val="16"/>
          <w:szCs w:val="16"/>
        </w:rPr>
        <w:t xml:space="preserve"> J Karkheck, ed. (Kluwer, Dordrecht, 1999).</w:t>
      </w:r>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[49] H. E. Puthoff, </w:t>
      </w:r>
      <w:r w:rsidRPr="00115CF5">
        <w:rPr>
          <w:rFonts w:ascii="Book Antiqua" w:hAnsi="Book Antiqua"/>
          <w:i/>
          <w:sz w:val="16"/>
          <w:szCs w:val="16"/>
        </w:rPr>
        <w:t>Phys. Rev. A</w:t>
      </w:r>
      <w:r w:rsidRPr="00115CF5">
        <w:rPr>
          <w:rFonts w:ascii="Book Antiqua" w:hAnsi="Book Antiqua"/>
          <w:sz w:val="16"/>
          <w:szCs w:val="16"/>
        </w:rPr>
        <w:t xml:space="preserve"> </w:t>
      </w:r>
      <w:r w:rsidRPr="00115CF5">
        <w:rPr>
          <w:rFonts w:ascii="Book Antiqua" w:hAnsi="Book Antiqua"/>
          <w:b/>
          <w:sz w:val="16"/>
          <w:szCs w:val="16"/>
        </w:rPr>
        <w:t>40</w:t>
      </w:r>
      <w:r w:rsidRPr="00115CF5">
        <w:rPr>
          <w:rFonts w:ascii="Book Antiqua" w:hAnsi="Book Antiqua"/>
          <w:sz w:val="16"/>
          <w:szCs w:val="16"/>
        </w:rPr>
        <w:t xml:space="preserve"> (9):4857 (1989).</w:t>
      </w:r>
    </w:p>
    <w:p w:rsidR="00AC4336" w:rsidRDefault="00AC4336" w:rsidP="00AC4336">
      <w:pPr>
        <w:pStyle w:val="NoSpacing"/>
        <w:rPr>
          <w:rFonts w:ascii="Book Antiqua" w:hAnsi="Book Antiqua"/>
          <w:sz w:val="16"/>
          <w:szCs w:val="16"/>
        </w:rPr>
      </w:pPr>
      <w:r w:rsidRPr="00115CF5">
        <w:rPr>
          <w:rFonts w:ascii="Book Antiqua" w:hAnsi="Book Antiqua"/>
          <w:sz w:val="16"/>
          <w:szCs w:val="16"/>
        </w:rPr>
        <w:t xml:space="preserve">[50] E. A. Karlow, </w:t>
      </w:r>
      <w:r w:rsidRPr="00115CF5">
        <w:rPr>
          <w:rFonts w:ascii="Book Antiqua" w:hAnsi="Book Antiqua"/>
          <w:i/>
          <w:sz w:val="16"/>
          <w:szCs w:val="16"/>
        </w:rPr>
        <w:t>American Journal of Physics</w:t>
      </w:r>
      <w:r w:rsidRPr="00115CF5">
        <w:rPr>
          <w:rFonts w:ascii="Book Antiqua" w:hAnsi="Book Antiqua"/>
          <w:sz w:val="16"/>
          <w:szCs w:val="16"/>
        </w:rPr>
        <w:t xml:space="preserve">, </w:t>
      </w:r>
      <w:r w:rsidRPr="00115CF5">
        <w:rPr>
          <w:rFonts w:ascii="Book Antiqua" w:hAnsi="Book Antiqua"/>
          <w:b/>
          <w:sz w:val="16"/>
          <w:szCs w:val="16"/>
        </w:rPr>
        <w:t>62</w:t>
      </w:r>
      <w:r w:rsidRPr="00115CF5">
        <w:rPr>
          <w:rFonts w:ascii="Book Antiqua" w:hAnsi="Book Antiqua"/>
          <w:sz w:val="16"/>
          <w:szCs w:val="16"/>
        </w:rPr>
        <w:t>:7 (1994), 634.</w:t>
      </w:r>
    </w:p>
    <w:p w:rsidR="00850B55" w:rsidRPr="00115CF5" w:rsidRDefault="00850B55" w:rsidP="00AC4336">
      <w:pPr>
        <w:pStyle w:val="NoSpacing"/>
        <w:rPr>
          <w:rFonts w:ascii="Book Antiqua" w:hAnsi="Book Antiqua"/>
          <w:sz w:val="16"/>
          <w:szCs w:val="16"/>
        </w:rPr>
      </w:pPr>
      <w:r>
        <w:rPr>
          <w:rFonts w:ascii="Book Antiqua" w:hAnsi="Book Antiqua"/>
          <w:sz w:val="16"/>
          <w:szCs w:val="16"/>
        </w:rPr>
        <w:t>[51] See for example the situation with the Boeing 757 here:</w:t>
      </w:r>
      <w:r w:rsidRPr="00850B55">
        <w:rPr>
          <w:rFonts w:ascii="Book Antiqua" w:hAnsi="Book Antiqua"/>
          <w:i/>
          <w:sz w:val="16"/>
          <w:szCs w:val="16"/>
        </w:rPr>
        <w:t xml:space="preserve"> http://www.faa.gov/training_testing/training/media/wake/04SEC2.PDF</w:t>
      </w:r>
    </w:p>
    <w:p w:rsidR="00AC4336" w:rsidRPr="00115CF5" w:rsidRDefault="00AC4336" w:rsidP="00AC4336">
      <w:pPr>
        <w:pStyle w:val="NoSpacing"/>
        <w:rPr>
          <w:rFonts w:ascii="Book Antiqua" w:hAnsi="Book Antiqua"/>
          <w:sz w:val="16"/>
          <w:szCs w:val="16"/>
        </w:rPr>
      </w:pPr>
    </w:p>
    <w:p w:rsidR="00AC4336" w:rsidRPr="00115CF5" w:rsidRDefault="00AC4336" w:rsidP="00AC4336">
      <w:pPr>
        <w:pStyle w:val="NoSpacing"/>
        <w:rPr>
          <w:rFonts w:ascii="Book Antiqua" w:hAnsi="Book Antiqua"/>
          <w:i/>
          <w:sz w:val="20"/>
        </w:rPr>
      </w:pPr>
      <w:r w:rsidRPr="00115CF5">
        <w:rPr>
          <w:rFonts w:ascii="Book Antiqua" w:hAnsi="Book Antiqua"/>
          <w:b/>
          <w:sz w:val="20"/>
        </w:rPr>
        <w:t xml:space="preserve">Figure References </w:t>
      </w:r>
      <w:r w:rsidRPr="00115CF5">
        <w:rPr>
          <w:rFonts w:ascii="Book Antiqua" w:hAnsi="Book Antiqua"/>
          <w:i/>
          <w:sz w:val="20"/>
        </w:rPr>
        <w:t>– All URL’s retrieved 9/13/12</w:t>
      </w:r>
    </w:p>
    <w:p w:rsidR="00AC4336" w:rsidRPr="00115CF5" w:rsidRDefault="00AC4336" w:rsidP="00AC4336">
      <w:pPr>
        <w:pStyle w:val="NoSpacing"/>
        <w:rPr>
          <w:rFonts w:ascii="Book Antiqua" w:hAnsi="Book Antiqua"/>
          <w:b/>
          <w:sz w:val="16"/>
          <w:szCs w:val="16"/>
        </w:rPr>
      </w:pPr>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1: Black body radiation curves.     </w:t>
      </w:r>
      <w:hyperlink r:id="rId62" w:history="1">
        <w:r w:rsidRPr="00115CF5">
          <w:rPr>
            <w:rStyle w:val="Hyperlink"/>
            <w:rFonts w:ascii="Book Antiqua" w:hAnsi="Book Antiqua"/>
            <w:bCs/>
            <w:i/>
            <w:iCs/>
            <w:szCs w:val="16"/>
          </w:rPr>
          <w:t>http://spaceflight.esa.int/impress/text/education/Heat%20Transfer/Radiation.html</w:t>
        </w:r>
      </w:hyperlink>
    </w:p>
    <w:p w:rsidR="00AC4336" w:rsidRPr="00115CF5" w:rsidRDefault="00AC4336" w:rsidP="00AC4336">
      <w:pPr>
        <w:pStyle w:val="NoSpacing"/>
        <w:rPr>
          <w:rFonts w:ascii="Book Antiqua" w:hAnsi="Book Antiqua"/>
          <w:bCs/>
          <w:iCs/>
          <w:color w:val="000000"/>
          <w:sz w:val="16"/>
          <w:szCs w:val="16"/>
        </w:rPr>
      </w:pPr>
      <w:r w:rsidRPr="00115CF5">
        <w:rPr>
          <w:rFonts w:ascii="Book Antiqua" w:hAnsi="Book Antiqua"/>
          <w:bCs/>
          <w:iCs/>
          <w:color w:val="000000"/>
          <w:sz w:val="16"/>
          <w:szCs w:val="16"/>
        </w:rPr>
        <w:t xml:space="preserve">Figure 2: </w:t>
      </w:r>
      <w:hyperlink r:id="rId63" w:history="1">
        <w:r w:rsidRPr="00115CF5">
          <w:rPr>
            <w:rStyle w:val="Hyperlink"/>
            <w:rFonts w:ascii="Book Antiqua" w:hAnsi="Book Antiqua"/>
            <w:bCs/>
            <w:i/>
            <w:iCs/>
            <w:szCs w:val="16"/>
          </w:rPr>
          <w:t>http://www.kennislink.nl/upload/193600_276_1205417537548-79872_276_1022530650861-herschepping2.jpg</w:t>
        </w:r>
      </w:hyperlink>
    </w:p>
    <w:p w:rsidR="00AC4336" w:rsidRPr="00115CF5" w:rsidRDefault="00AC4336" w:rsidP="00AC4336">
      <w:pPr>
        <w:pStyle w:val="NoSpacing"/>
        <w:rPr>
          <w:rFonts w:ascii="Book Antiqua" w:hAnsi="Book Antiqua"/>
          <w:sz w:val="16"/>
          <w:szCs w:val="16"/>
        </w:rPr>
      </w:pPr>
      <w:r w:rsidRPr="00115CF5">
        <w:rPr>
          <w:rFonts w:ascii="Book Antiqua" w:hAnsi="Book Antiqua"/>
          <w:bCs/>
          <w:iCs/>
          <w:color w:val="000000"/>
          <w:sz w:val="16"/>
          <w:szCs w:val="16"/>
        </w:rPr>
        <w:t>Figure 3</w:t>
      </w:r>
      <w:r w:rsidRPr="00115CF5">
        <w:rPr>
          <w:rFonts w:ascii="Book Antiqua" w:hAnsi="Book Antiqua"/>
          <w:bCs/>
          <w:i/>
          <w:iCs/>
          <w:color w:val="000000"/>
          <w:sz w:val="16"/>
          <w:szCs w:val="16"/>
        </w:rPr>
        <w:t xml:space="preserve">: </w:t>
      </w:r>
      <w:hyperlink r:id="rId64" w:history="1">
        <w:r w:rsidRPr="00115CF5">
          <w:rPr>
            <w:rStyle w:val="Hyperlink"/>
            <w:rFonts w:ascii="Book Antiqua" w:hAnsi="Book Antiqua"/>
            <w:i/>
            <w:szCs w:val="16"/>
          </w:rPr>
          <w:t>http://www.calphysics.org/rindler.html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4: </w:t>
      </w:r>
      <w:hyperlink r:id="rId65" w:history="1">
        <w:r w:rsidRPr="00115CF5">
          <w:rPr>
            <w:rStyle w:val="Hyperlink"/>
            <w:rFonts w:ascii="Book Antiqua" w:hAnsi="Book Antiqua"/>
            <w:i/>
            <w:szCs w:val="16"/>
          </w:rPr>
          <w:t>http://www.zamandayolculuk.com/cetinbal/elementaryparticles.htm</w:t>
        </w:r>
      </w:hyperlink>
    </w:p>
    <w:p w:rsidR="00AC4336" w:rsidRPr="00115CF5" w:rsidRDefault="00AC4336" w:rsidP="00AC4336">
      <w:pPr>
        <w:pStyle w:val="NoSpacing"/>
        <w:rPr>
          <w:rFonts w:ascii="Book Antiqua" w:hAnsi="Book Antiqua"/>
          <w:i/>
          <w:sz w:val="16"/>
          <w:szCs w:val="16"/>
        </w:rPr>
      </w:pPr>
      <w:r w:rsidRPr="00115CF5">
        <w:rPr>
          <w:rFonts w:ascii="Book Antiqua" w:hAnsi="Book Antiqua"/>
          <w:sz w:val="16"/>
          <w:szCs w:val="16"/>
        </w:rPr>
        <w:t xml:space="preserve">Figure 5: </w:t>
      </w:r>
      <w:hyperlink r:id="rId66" w:history="1">
        <w:r w:rsidRPr="00115CF5">
          <w:rPr>
            <w:rStyle w:val="Hyperlink"/>
            <w:rFonts w:ascii="Book Antiqua" w:hAnsi="Book Antiqua"/>
            <w:i/>
            <w:szCs w:val="16"/>
          </w:rPr>
          <w:t>http://sdsu-physics.org/physics180/physics180A/units/unit2/workandenergy.html</w:t>
        </w:r>
      </w:hyperlink>
    </w:p>
    <w:p w:rsidR="00AC4336" w:rsidRPr="00115CF5" w:rsidRDefault="00AC4336" w:rsidP="00AC4336">
      <w:pPr>
        <w:pStyle w:val="NoSpacing"/>
        <w:rPr>
          <w:rFonts w:ascii="Book Antiqua" w:hAnsi="Book Antiqua"/>
          <w:sz w:val="16"/>
          <w:szCs w:val="16"/>
        </w:rPr>
      </w:pPr>
      <w:r w:rsidRPr="00115CF5">
        <w:rPr>
          <w:rFonts w:ascii="Book Antiqua" w:hAnsi="Book Antiqua"/>
          <w:sz w:val="16"/>
          <w:szCs w:val="16"/>
        </w:rPr>
        <w:t xml:space="preserve">Figure 6: </w:t>
      </w:r>
      <w:hyperlink r:id="rId67" w:history="1">
        <w:r w:rsidRPr="00115CF5">
          <w:rPr>
            <w:rStyle w:val="Hyperlink"/>
            <w:rFonts w:ascii="Book Antiqua" w:hAnsi="Book Antiqua"/>
            <w:i/>
            <w:szCs w:val="16"/>
          </w:rPr>
          <w:t>http://members.wolfram.com/jeffb/visualization/stringtheory.shtml</w:t>
        </w:r>
      </w:hyperlink>
    </w:p>
    <w:p w:rsidR="00AC4336" w:rsidRPr="00115CF5" w:rsidRDefault="00AC4336" w:rsidP="00AC4336">
      <w:pPr>
        <w:pStyle w:val="NoSpacing"/>
        <w:jc w:val="both"/>
        <w:rPr>
          <w:rFonts w:ascii="Book Antiqua" w:hAnsi="Book Antiqua"/>
          <w:i/>
          <w:sz w:val="16"/>
          <w:szCs w:val="16"/>
        </w:rPr>
      </w:pPr>
      <w:r w:rsidRPr="00115CF5">
        <w:rPr>
          <w:rFonts w:ascii="Book Antiqua" w:hAnsi="Book Antiqua"/>
          <w:sz w:val="16"/>
          <w:szCs w:val="16"/>
        </w:rPr>
        <w:t>Figure 7:</w:t>
      </w:r>
      <w:r w:rsidRPr="00115CF5">
        <w:rPr>
          <w:rFonts w:ascii="Book Antiqua" w:hAnsi="Book Antiqua"/>
          <w:i/>
          <w:sz w:val="16"/>
          <w:szCs w:val="16"/>
        </w:rPr>
        <w:t xml:space="preserve"> </w:t>
      </w:r>
      <w:hyperlink r:id="rId68" w:history="1">
        <w:r w:rsidRPr="00115CF5">
          <w:rPr>
            <w:rStyle w:val="Hyperlink"/>
            <w:rFonts w:ascii="Book Antiqua" w:hAnsi="Book Antiqua"/>
            <w:i/>
            <w:szCs w:val="16"/>
          </w:rPr>
          <w:t>http://astro.ucla.edu/~wright/Lyman-alpha-forest.html</w:t>
        </w:r>
      </w:hyperlink>
    </w:p>
    <w:p w:rsidR="00AC4336" w:rsidRPr="007220EA" w:rsidRDefault="00AC4336" w:rsidP="00AC4336">
      <w:pPr>
        <w:pStyle w:val="NoSpacing"/>
        <w:rPr>
          <w:i/>
        </w:rPr>
      </w:pPr>
      <w:r w:rsidRPr="00115CF5">
        <w:rPr>
          <w:rFonts w:ascii="Book Antiqua" w:hAnsi="Book Antiqua"/>
          <w:sz w:val="16"/>
          <w:szCs w:val="16"/>
        </w:rPr>
        <w:t xml:space="preserve">Figure 8: </w:t>
      </w:r>
      <w:hyperlink r:id="rId69" w:history="1">
        <w:r w:rsidRPr="007220EA">
          <w:rPr>
            <w:rStyle w:val="Hyperlink"/>
            <w:rFonts w:ascii="Book Antiqua" w:hAnsi="Book Antiqua"/>
            <w:i/>
            <w:szCs w:val="16"/>
          </w:rPr>
          <w:t>http://astronomy.ua.edu/keel/agn/forest.html</w:t>
        </w:r>
      </w:hyperlink>
    </w:p>
    <w:p w:rsidR="007220EA" w:rsidRPr="007220EA" w:rsidRDefault="007220EA" w:rsidP="00AC4336">
      <w:pPr>
        <w:pStyle w:val="NoSpacing"/>
        <w:rPr>
          <w:rFonts w:ascii="Book Antiqua" w:hAnsi="Book Antiqua"/>
          <w:sz w:val="16"/>
          <w:szCs w:val="16"/>
        </w:rPr>
      </w:pPr>
      <w:r w:rsidRPr="007220EA">
        <w:rPr>
          <w:sz w:val="16"/>
          <w:szCs w:val="16"/>
        </w:rPr>
        <w:t>Figure 9: Wake turbulence from l aircraft</w:t>
      </w:r>
      <w:r>
        <w:rPr>
          <w:sz w:val="16"/>
          <w:szCs w:val="16"/>
        </w:rPr>
        <w:t xml:space="preserve">: </w:t>
      </w:r>
      <w:r w:rsidR="00057D91" w:rsidRPr="00057D91">
        <w:rPr>
          <w:i/>
          <w:sz w:val="16"/>
          <w:szCs w:val="16"/>
        </w:rPr>
        <w:t>http://en.wikipedia.org/wiki/Wake_turbulence</w:t>
      </w:r>
    </w:p>
    <w:p w:rsidR="00AC4336" w:rsidRPr="007220EA" w:rsidRDefault="00AC4336" w:rsidP="00AC4336">
      <w:pPr>
        <w:pStyle w:val="NoSpacing"/>
        <w:rPr>
          <w:rFonts w:ascii="Book Antiqua" w:hAnsi="Book Antiqua"/>
          <w:sz w:val="16"/>
          <w:szCs w:val="16"/>
        </w:rPr>
      </w:pPr>
    </w:p>
    <w:p w:rsidR="00153186" w:rsidRDefault="00AC4336" w:rsidP="00AC4336">
      <w:pPr>
        <w:jc w:val="center"/>
        <w:rPr>
          <w:rFonts w:ascii="Book Antiqua" w:hAnsi="Book Antiqua"/>
          <w:b/>
          <w:sz w:val="28"/>
          <w:szCs w:val="28"/>
        </w:rPr>
      </w:pPr>
      <w:r w:rsidRPr="00115CF5">
        <w:rPr>
          <w:rFonts w:ascii="Book Antiqua" w:hAnsi="Book Antiqua"/>
          <w:b/>
          <w:sz w:val="28"/>
          <w:szCs w:val="28"/>
        </w:rPr>
        <w:t>*  *  *  *  *  *  *</w:t>
      </w:r>
    </w:p>
    <w:p w:rsidR="00153186" w:rsidRDefault="00153186">
      <w:pPr>
        <w:widowControl/>
        <w:spacing w:after="200" w:line="276" w:lineRule="auto"/>
        <w:rPr>
          <w:rFonts w:ascii="Book Antiqua" w:hAnsi="Book Antiqua"/>
          <w:b/>
          <w:sz w:val="28"/>
          <w:szCs w:val="28"/>
        </w:rPr>
      </w:pPr>
      <w:r>
        <w:rPr>
          <w:rFonts w:ascii="Book Antiqua" w:hAnsi="Book Antiqua"/>
          <w:b/>
          <w:sz w:val="28"/>
          <w:szCs w:val="28"/>
        </w:rPr>
        <w:br w:type="page"/>
      </w:r>
    </w:p>
    <w:p w:rsidR="00EE348C" w:rsidRPr="00BE14F9" w:rsidRDefault="00EE348C" w:rsidP="00EE348C">
      <w:pPr>
        <w:pStyle w:val="Default"/>
        <w:jc w:val="center"/>
        <w:rPr>
          <w:rFonts w:ascii="Book Antiqua" w:hAnsi="Book Antiqua"/>
          <w:b/>
          <w:bCs/>
          <w:iCs/>
        </w:rPr>
      </w:pPr>
      <w:r w:rsidRPr="001C763F">
        <w:rPr>
          <w:rFonts w:ascii="Book Antiqua" w:hAnsi="Book Antiqua"/>
          <w:b/>
        </w:rPr>
        <w:lastRenderedPageBreak/>
        <w:t>Chapter 2:</w:t>
      </w:r>
      <w:r w:rsidRPr="00BE14F9">
        <w:rPr>
          <w:rFonts w:ascii="Book Antiqua" w:hAnsi="Book Antiqua"/>
          <w:b/>
        </w:rPr>
        <w:t xml:space="preserve"> </w:t>
      </w:r>
      <w:r w:rsidRPr="00FF3454">
        <w:rPr>
          <w:rFonts w:ascii="Book Antiqua" w:hAnsi="Book Antiqua"/>
          <w:b/>
          <w:i/>
        </w:rPr>
        <w:t>An Introduction to Planck’s Constant, h, and the Speed of Light, c.</w:t>
      </w:r>
    </w:p>
    <w:p w:rsidR="00EE348C" w:rsidRPr="00BE14F9" w:rsidRDefault="00EE348C" w:rsidP="00EE348C">
      <w:pPr>
        <w:pStyle w:val="NoSpacing"/>
        <w:rPr>
          <w:rFonts w:ascii="Book Antiqua" w:hAnsi="Book Antiqua"/>
          <w:b/>
          <w:sz w:val="20"/>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1. Zero Point Energy and Planck’s Constant, </w:t>
      </w:r>
      <w:r w:rsidRPr="00BE14F9">
        <w:rPr>
          <w:rFonts w:ascii="Book Antiqua" w:hAnsi="Book Antiqua" w:cs="Times New Roman"/>
          <w:i/>
          <w:sz w:val="20"/>
          <w:szCs w:val="20"/>
        </w:rPr>
        <w:t>h</w:t>
      </w:r>
      <w:r w:rsidRPr="00BE14F9">
        <w:rPr>
          <w:rFonts w:ascii="Book Antiqua" w:hAnsi="Book Antiqua" w:cs="Times New Roman"/>
          <w:sz w:val="20"/>
          <w:szCs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As noted before, Planck published his ‘second theory’ in 1911, demonstrating the existence of </w:t>
      </w:r>
      <w:r w:rsidR="001C763F">
        <w:rPr>
          <w:rFonts w:ascii="Book Antiqua" w:hAnsi="Book Antiqua"/>
          <w:sz w:val="20"/>
        </w:rPr>
        <w:t>a real</w:t>
      </w:r>
      <w:r w:rsidRPr="00BE14F9">
        <w:rPr>
          <w:rFonts w:ascii="Book Antiqua" w:hAnsi="Book Antiqua"/>
          <w:sz w:val="20"/>
        </w:rPr>
        <w:t xml:space="preserve"> ZPE. His equations revealed that Planck’s constant, </w:t>
      </w:r>
      <m:oMath>
        <m:r>
          <w:rPr>
            <w:rFonts w:ascii="Book Antiqua" w:hAnsi="Cambria Math"/>
            <w:sz w:val="18"/>
            <w:szCs w:val="18"/>
          </w:rPr>
          <m:t>h</m:t>
        </m:r>
      </m:oMath>
      <w:r w:rsidRPr="00BE14F9">
        <w:rPr>
          <w:rFonts w:ascii="Book Antiqua" w:hAnsi="Book Antiqua"/>
          <w:i/>
          <w:sz w:val="20"/>
        </w:rPr>
        <w:t>,</w:t>
      </w:r>
      <w:r w:rsidRPr="00BE14F9">
        <w:rPr>
          <w:rFonts w:ascii="Book Antiqua" w:hAnsi="Book Antiqua"/>
          <w:sz w:val="20"/>
        </w:rPr>
        <w:t xml:space="preserve"> was simply a scale factor which depended upon the ZPE strength. This meant that </w:t>
      </w:r>
      <m:oMath>
        <m:r>
          <w:rPr>
            <w:rFonts w:ascii="Book Antiqua" w:hAnsi="Cambria Math"/>
            <w:sz w:val="18"/>
            <w:szCs w:val="18"/>
          </w:rPr>
          <m:t>h</m:t>
        </m:r>
      </m:oMath>
      <w:r w:rsidRPr="00BE14F9">
        <w:rPr>
          <w:rFonts w:ascii="Book Antiqua" w:hAnsi="Book Antiqua"/>
          <w:sz w:val="20"/>
        </w:rPr>
        <w:t xml:space="preserve"> was a measure of the energy density of the ZPE, </w:t>
      </w:r>
      <m:oMath>
        <m:r>
          <w:rPr>
            <w:rFonts w:ascii="Cambria Math" w:hAnsi="Cambria Math"/>
            <w:sz w:val="18"/>
            <w:szCs w:val="18"/>
          </w:rPr>
          <m:t>U</m:t>
        </m:r>
      </m:oMath>
      <w:r w:rsidRPr="00BE14F9">
        <w:rPr>
          <w:rFonts w:ascii="Book Antiqua" w:hAnsi="Book Antiqua"/>
          <w:sz w:val="20"/>
        </w:rPr>
        <w:t>, as in (1) here.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m:t>
        </m:r>
        <m:r>
          <w:rPr>
            <w:rFonts w:ascii="Cambria Math" w:hAnsi="Cambria Math"/>
            <w:sz w:val="18"/>
            <w:szCs w:val="18"/>
          </w:rPr>
          <m:t>f</m:t>
        </m:r>
        <m:r>
          <w:rPr>
            <w:rFonts w:ascii="Cambria Math" w:hAnsi="Book Antiqua"/>
            <w:sz w:val="18"/>
            <w:szCs w:val="18"/>
          </w:rPr>
          <m:t>)</m:t>
        </m:r>
        <m:r>
          <w:rPr>
            <w:rFonts w:ascii="Cambria Math" w:hAnsi="Cambria Math"/>
            <w:sz w:val="18"/>
            <w:szCs w:val="18"/>
          </w:rPr>
          <m:t>df</m:t>
        </m:r>
        <m:r>
          <w:rPr>
            <w:rFonts w:ascii="Cambria Math" w:hAnsi="Book Antiqua"/>
            <w:sz w:val="18"/>
            <w:szCs w:val="18"/>
          </w:rPr>
          <m:t xml:space="preserve"> = (4</m:t>
        </m:r>
        <m:r>
          <w:rPr>
            <w:rFonts w:ascii="Cambria Math" w:hAnsi="Cambria Math"/>
            <w:sz w:val="18"/>
            <w:szCs w:val="18"/>
          </w:rPr>
          <m:t>π</m:t>
        </m:r>
        <m:r>
          <w:rPr>
            <w:rFonts w:ascii="Book Antiqua" w:hAnsi="Cambria Math"/>
            <w:sz w:val="18"/>
            <w:szCs w:val="18"/>
          </w:rPr>
          <m:t>h</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r>
          <w:rPr>
            <w:rFonts w:ascii="Cambria Math" w:hAnsi="Book Antiqua"/>
            <w:sz w:val="18"/>
            <w:szCs w:val="18"/>
          </w:rPr>
          <m:t xml:space="preserve"> = </m:t>
        </m:r>
        <m:r>
          <w:rPr>
            <w:rFonts w:ascii="Cambria Math" w:hAnsi="Cambria Math"/>
            <w:sz w:val="18"/>
            <w:szCs w:val="18"/>
          </w:rPr>
          <m:t>h</m:t>
        </m:r>
        <m:r>
          <w:rPr>
            <w:rFonts w:ascii="Cambria Math" w:hAnsi="Book Antiqua"/>
            <w:sz w:val="18"/>
            <w:szCs w:val="18"/>
          </w:rPr>
          <m:t xml:space="preserve"> (4</m:t>
        </m:r>
        <m:r>
          <w:rPr>
            <w:rFonts w:ascii="Cambria Math" w:hAnsi="Cambria Math"/>
            <w:sz w:val="18"/>
            <w:szCs w:val="18"/>
          </w:rPr>
          <m:t>π</m:t>
        </m:r>
        <m:sSup>
          <m:sSupPr>
            <m:ctrlPr>
              <w:rPr>
                <w:rFonts w:ascii="Cambria Math" w:hAnsi="Book Antiqua"/>
                <w:i/>
                <w:sz w:val="18"/>
                <w:szCs w:val="18"/>
              </w:rPr>
            </m:ctrlPr>
          </m:sSupPr>
          <m:e>
            <m:r>
              <w:rPr>
                <w:rFonts w:ascii="Cambria Math" w:hAnsi="Cambria Math"/>
                <w:sz w:val="18"/>
                <w:szCs w:val="18"/>
              </w:rPr>
              <m:t>f</m:t>
            </m:r>
          </m:e>
          <m:sup>
            <m:r>
              <w:rPr>
                <w:rFonts w:ascii="Cambria Math" w:hAnsi="Book Antiqua"/>
                <w:sz w:val="18"/>
                <w:szCs w:val="18"/>
              </w:rPr>
              <m:t>3</m:t>
            </m:r>
          </m:sup>
        </m:sSup>
        <m:r>
          <w:rPr>
            <w:rFonts w:ascii="Cambria Math" w:hAnsi="Book Antiqua"/>
            <w:sz w:val="18"/>
            <w:szCs w:val="18"/>
          </w:rPr>
          <m:t>/</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3</m:t>
            </m:r>
          </m:sup>
        </m:sSup>
        <m:r>
          <w:rPr>
            <w:rFonts w:ascii="Cambria Math" w:hAnsi="Book Antiqua"/>
            <w:sz w:val="18"/>
            <w:szCs w:val="18"/>
          </w:rPr>
          <m:t xml:space="preserve">) </m:t>
        </m:r>
        <m:r>
          <w:rPr>
            <w:rFonts w:ascii="Cambria Math" w:hAnsi="Cambria Math"/>
            <w:sz w:val="18"/>
            <w:szCs w:val="18"/>
          </w:rPr>
          <m:t>df</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Therefore, if the ZPE strength, </w:t>
      </w:r>
      <m:oMath>
        <m:r>
          <w:rPr>
            <w:rFonts w:ascii="Cambria Math" w:hAnsi="Cambria Math"/>
            <w:sz w:val="18"/>
            <w:szCs w:val="18"/>
          </w:rPr>
          <m:t>U</m:t>
        </m:r>
      </m:oMath>
      <w:r w:rsidRPr="00BE14F9">
        <w:rPr>
          <w:rFonts w:ascii="Book Antiqua" w:hAnsi="Book Antiqua"/>
          <w:sz w:val="20"/>
        </w:rPr>
        <w:t>, increased,</w:t>
      </w:r>
      <w:r w:rsidRPr="00BE14F9">
        <w:rPr>
          <w:rFonts w:ascii="Book Antiqua" w:hAnsi="Book Antiqua"/>
          <w:i/>
          <w:sz w:val="20"/>
        </w:rPr>
        <w:t xml:space="preserve"> </w:t>
      </w:r>
      <m:oMath>
        <m:r>
          <w:rPr>
            <w:rFonts w:ascii="Book Antiqua" w:hAnsi="Cambria Math"/>
            <w:sz w:val="18"/>
            <w:szCs w:val="18"/>
          </w:rPr>
          <m:t>h</m:t>
        </m:r>
      </m:oMath>
      <w:r w:rsidRPr="00BE14F9">
        <w:rPr>
          <w:rFonts w:ascii="Book Antiqua" w:hAnsi="Book Antiqua"/>
          <w:i/>
          <w:sz w:val="20"/>
        </w:rPr>
        <w:t xml:space="preserve"> </w:t>
      </w:r>
      <w:r w:rsidRPr="00BE14F9">
        <w:rPr>
          <w:rFonts w:ascii="Book Antiqua" w:hAnsi="Book Antiqua"/>
          <w:sz w:val="20"/>
        </w:rPr>
        <w:t xml:space="preserve">must also increase proportionally. Thus we can write: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where </w:t>
      </w:r>
      <w:r w:rsidRPr="00BE14F9">
        <w:rPr>
          <w:rFonts w:ascii="Book Antiqua" w:hAnsi="Book Antiqua"/>
          <w:i/>
          <w:sz w:val="20"/>
        </w:rPr>
        <w:t>U</w:t>
      </w:r>
      <w:r w:rsidRPr="00BE14F9">
        <w:rPr>
          <w:rFonts w:ascii="Book Antiqua" w:hAnsi="Book Antiqua"/>
          <w:sz w:val="20"/>
        </w:rPr>
        <w:t xml:space="preserve"> is the energy density of the ZPE. This relationship may also be expressed as:</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7B3EBC"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Book Antiqua" w:hAnsi="Cambria Math"/>
                <w:sz w:val="18"/>
                <w:szCs w:val="18"/>
              </w:rPr>
              <m:t>h</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position w:val="-8"/>
            <w:sz w:val="18"/>
            <w:szCs w:val="18"/>
            <w:vertAlign w:val="subscript"/>
          </w:rPr>
          <m:t xml:space="preserve"> </m:t>
        </m:r>
      </m:oMath>
      <w:r w:rsidR="00EE348C" w:rsidRPr="00BE14F9">
        <w:rPr>
          <w:rFonts w:ascii="Book Antiqua" w:hAnsi="Book Antiqua"/>
          <w:sz w:val="20"/>
        </w:rPr>
        <w:tab/>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(3)</w:t>
      </w:r>
    </w:p>
    <w:p w:rsidR="00EE348C" w:rsidRPr="00BE14F9" w:rsidRDefault="00EE348C" w:rsidP="00EE348C">
      <w:pPr>
        <w:pStyle w:val="NoSpacing"/>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In equation (3),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Pr="00BE14F9">
        <w:rPr>
          <w:rFonts w:ascii="Book Antiqua" w:hAnsi="Book Antiqua"/>
          <w:position w:val="-8"/>
          <w:sz w:val="20"/>
          <w:vertAlign w:val="subscript"/>
        </w:rPr>
        <w:t xml:space="preserve"> </w:t>
      </w:r>
      <w:r w:rsidRPr="00BE14F9">
        <w:rPr>
          <w:rFonts w:ascii="Book Antiqua" w:hAnsi="Book Antiqua"/>
          <w:sz w:val="20"/>
        </w:rPr>
        <w:t xml:space="preserve">is the present value of </w:t>
      </w:r>
      <m:oMath>
        <m:r>
          <w:rPr>
            <w:rFonts w:ascii="Cambria Math" w:hAnsi="Cambria Math"/>
            <w:sz w:val="18"/>
            <w:szCs w:val="18"/>
          </w:rPr>
          <m:t>h</m:t>
        </m:r>
      </m:oMath>
      <w:r w:rsidRPr="00BE14F9">
        <w:rPr>
          <w:rFonts w:ascii="Book Antiqua" w:hAnsi="Book Antiqua"/>
          <w:sz w:val="20"/>
        </w:rPr>
        <w:t xml:space="preserve">, while </w:t>
      </w:r>
      <m:oMath>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oMath>
      <w:r w:rsidRPr="00BE14F9">
        <w:rPr>
          <w:rFonts w:ascii="Book Antiqua" w:hAnsi="Book Antiqua"/>
          <w:position w:val="-8"/>
          <w:sz w:val="20"/>
          <w:vertAlign w:val="subscript"/>
        </w:rPr>
        <w:t xml:space="preserve"> </w:t>
      </w:r>
      <w:r w:rsidRPr="00BE14F9">
        <w:rPr>
          <w:rFonts w:ascii="Book Antiqua" w:hAnsi="Book Antiqua"/>
          <w:sz w:val="20"/>
        </w:rPr>
        <w:t>is its value at some distant galaxy</w:t>
      </w:r>
      <w:r w:rsidRPr="001C763F">
        <w:rPr>
          <w:rFonts w:ascii="Book Antiqua" w:hAnsi="Book Antiqua"/>
          <w:sz w:val="20"/>
        </w:rPr>
        <w:t xml:space="preserve"> </w:t>
      </w:r>
      <w:r w:rsidR="008B1CEA">
        <w:rPr>
          <w:rFonts w:ascii="Book Antiqua" w:hAnsi="Book Antiqua"/>
          <w:sz w:val="20"/>
        </w:rPr>
        <w:t>(</w:t>
      </w:r>
      <w:r w:rsidRPr="001C763F">
        <w:rPr>
          <w:rFonts w:ascii="Book Antiqua" w:hAnsi="Book Antiqua"/>
          <w:sz w:val="20"/>
        </w:rPr>
        <w:t>and so at an earlier time</w:t>
      </w:r>
      <w:r w:rsidR="008B1CEA">
        <w:rPr>
          <w:rFonts w:ascii="Book Antiqua" w:hAnsi="Book Antiqua"/>
          <w:sz w:val="20"/>
        </w:rPr>
        <w:t>)</w:t>
      </w:r>
      <w:r w:rsidRPr="00BE14F9">
        <w:rPr>
          <w:rFonts w:ascii="Book Antiqua" w:hAnsi="Book Antiqua"/>
          <w:sz w:val="20"/>
        </w:rPr>
        <w:t xml:space="preserve">. This system will be adopted throughout this chapter.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 wealth of experimental evidence </w:t>
      </w:r>
      <w:r w:rsidRPr="008B1CEA">
        <w:rPr>
          <w:rFonts w:ascii="Book Antiqua" w:hAnsi="Book Antiqua"/>
          <w:sz w:val="20"/>
        </w:rPr>
        <w:t>was assessed</w:t>
      </w:r>
      <w:r w:rsidR="008B1CEA">
        <w:rPr>
          <w:rFonts w:ascii="Book Antiqua" w:hAnsi="Book Antiqua"/>
          <w:sz w:val="20"/>
        </w:rPr>
        <w:t xml:space="preserve"> qualified physicists</w:t>
      </w:r>
      <w:r w:rsidRPr="00BE14F9">
        <w:rPr>
          <w:rFonts w:ascii="Book Antiqua" w:hAnsi="Book Antiqua"/>
          <w:sz w:val="20"/>
        </w:rPr>
        <w:t xml:space="preserve"> before each internationally recommended value for the physical constants was issued and accepted. Nevertheless, a systematic variation in these constants is noted. The recommended (internationally accepted) values for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are shown in Table 1 and graphed in Figures 1 and 2. As noted, the value of </w:t>
      </w:r>
      <m:oMath>
        <m:r>
          <w:rPr>
            <w:rFonts w:ascii="Book Antiqua" w:hAnsi="Cambria Math"/>
            <w:sz w:val="18"/>
            <w:szCs w:val="18"/>
          </w:rPr>
          <m:t>h</m:t>
        </m:r>
      </m:oMath>
      <w:r w:rsidRPr="00BE14F9">
        <w:rPr>
          <w:rFonts w:ascii="Book Antiqua" w:hAnsi="Book Antiqua"/>
          <w:sz w:val="20"/>
        </w:rPr>
        <w:t xml:space="preserve"> increased systematically up to about 1970. Afterwards, the data show either a flat point or a small decline.</w:t>
      </w:r>
    </w:p>
    <w:p w:rsidR="00EE348C" w:rsidRPr="000E5755" w:rsidRDefault="00EE348C" w:rsidP="00EE348C">
      <w:pPr>
        <w:pStyle w:val="NoSpacing"/>
        <w:jc w:val="both"/>
        <w:rPr>
          <w:rFonts w:ascii="Book Antiqua" w:hAnsi="Book Antiqua"/>
          <w:i/>
          <w:sz w:val="20"/>
        </w:rPr>
      </w:pPr>
      <w:r w:rsidRPr="00BE14F9">
        <w:rPr>
          <w:rFonts w:ascii="Book Antiqua" w:hAnsi="Book Antiqua"/>
          <w:sz w:val="20"/>
        </w:rPr>
        <w:tab/>
      </w:r>
    </w:p>
    <w:p w:rsidR="00EE348C" w:rsidRPr="000E5755" w:rsidRDefault="00EE348C" w:rsidP="004E1CE7">
      <w:pPr>
        <w:pStyle w:val="NoSpacing"/>
        <w:jc w:val="center"/>
        <w:rPr>
          <w:rFonts w:ascii="Book Antiqua" w:hAnsi="Book Antiqua"/>
          <w:i/>
          <w:sz w:val="18"/>
          <w:szCs w:val="18"/>
        </w:rPr>
      </w:pPr>
      <w:r w:rsidRPr="000E5755">
        <w:rPr>
          <w:rFonts w:ascii="Book Antiqua" w:hAnsi="Book Antiqua"/>
          <w:b/>
          <w:sz w:val="18"/>
          <w:szCs w:val="18"/>
        </w:rPr>
        <w:t>Table 1</w:t>
      </w:r>
      <w:r w:rsidRPr="000E5755">
        <w:rPr>
          <w:rFonts w:ascii="Book Antiqua" w:hAnsi="Book Antiqua"/>
          <w:b/>
          <w:i/>
          <w:sz w:val="18"/>
          <w:szCs w:val="18"/>
        </w:rPr>
        <w:t>:</w:t>
      </w:r>
      <w:r w:rsidRPr="000E5755">
        <w:rPr>
          <w:rFonts w:ascii="Book Antiqua" w:hAnsi="Book Antiqua"/>
          <w:i/>
          <w:sz w:val="18"/>
          <w:szCs w:val="18"/>
        </w:rPr>
        <w:t xml:space="preserve"> </w:t>
      </w:r>
      <w:r w:rsidRPr="000E5755">
        <w:rPr>
          <w:rFonts w:ascii="Book Antiqua" w:hAnsi="Book Antiqua"/>
          <w:b/>
          <w:i/>
          <w:sz w:val="18"/>
          <w:szCs w:val="18"/>
        </w:rPr>
        <w:t xml:space="preserve">Internationally recommended values of </w:t>
      </w:r>
      <m:oMath>
        <m:r>
          <m:rPr>
            <m:sty m:val="bi"/>
          </m:rPr>
          <w:rPr>
            <w:rFonts w:ascii="Cambria Math" w:hAnsi="Cambria Math"/>
            <w:sz w:val="18"/>
            <w:szCs w:val="18"/>
          </w:rPr>
          <m:t>h</m:t>
        </m:r>
      </m:oMath>
      <w:r w:rsidRPr="000E5755">
        <w:rPr>
          <w:rFonts w:ascii="Book Antiqua" w:hAnsi="Book Antiqua"/>
          <w:b/>
          <w:i/>
          <w:sz w:val="18"/>
          <w:szCs w:val="18"/>
        </w:rPr>
        <w:t xml:space="preserve"> and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r w:rsidRPr="000E5755">
        <w:rPr>
          <w:rFonts w:ascii="Book Antiqua" w:hAnsi="Book Antiqua"/>
          <w:b/>
          <w:i/>
          <w:sz w:val="18"/>
          <w:szCs w:val="18"/>
        </w:rPr>
        <w:t>.</w:t>
      </w:r>
    </w:p>
    <w:p w:rsidR="00EE348C" w:rsidRPr="00BE14F9" w:rsidRDefault="00EE348C" w:rsidP="00EE348C">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4"/>
        <w:gridCol w:w="2324"/>
        <w:gridCol w:w="2324"/>
      </w:tblGrid>
      <w:tr w:rsidR="00EE348C" w:rsidRPr="00BE14F9" w:rsidTr="004E1CE7">
        <w:trPr>
          <w:trHeight w:val="260"/>
          <w:jc w:val="center"/>
        </w:trPr>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YEAR           REF.</w:t>
            </w:r>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oMath>
          </w:p>
        </w:tc>
        <w:tc>
          <w:tcPr>
            <w:tcW w:w="2324" w:type="dxa"/>
          </w:tcPr>
          <w:p w:rsidR="00EE348C" w:rsidRPr="00252CC0" w:rsidRDefault="00EE348C" w:rsidP="00400B4E">
            <w:pPr>
              <w:pStyle w:val="NoSpacing"/>
              <w:jc w:val="both"/>
              <w:rPr>
                <w:rFonts w:ascii="Book Antiqua" w:hAnsi="Book Antiqua"/>
                <w:b/>
                <w:i/>
                <w:sz w:val="18"/>
                <w:szCs w:val="18"/>
              </w:rPr>
            </w:pPr>
            <w:r w:rsidRPr="00252CC0">
              <w:rPr>
                <w:rFonts w:ascii="Book Antiqua" w:hAnsi="Book Antiqua"/>
                <w:b/>
                <w:i/>
                <w:sz w:val="18"/>
                <w:szCs w:val="18"/>
              </w:rPr>
              <w:t xml:space="preserve">VALUE OF </w:t>
            </w:r>
            <m:oMath>
              <m:r>
                <m:rPr>
                  <m:sty m:val="bi"/>
                </m:rPr>
                <w:rPr>
                  <w:rFonts w:ascii="Cambria Math" w:hAnsi="Cambria Math"/>
                  <w:sz w:val="18"/>
                  <w:szCs w:val="18"/>
                </w:rPr>
                <m:t>h</m:t>
              </m:r>
              <m:r>
                <m:rPr>
                  <m:sty m:val="bi"/>
                </m:rPr>
                <w:rPr>
                  <w:rFonts w:ascii="Cambria Math" w:hAnsi="Book Antiqua"/>
                  <w:sz w:val="18"/>
                  <w:szCs w:val="18"/>
                </w:rPr>
                <m:t>/</m:t>
              </m:r>
              <m:r>
                <m:rPr>
                  <m:sty m:val="bi"/>
                </m:rPr>
                <w:rPr>
                  <w:rFonts w:ascii="Cambria Math" w:hAnsi="Cambria Math"/>
                  <w:sz w:val="18"/>
                  <w:szCs w:val="18"/>
                </w:rPr>
                <m:t>e</m:t>
              </m:r>
            </m:oMath>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1939              [3]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6.6214</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1941              [4]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6.6242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1.37933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1947              [5]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1950              [6]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6.62363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1.37928</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1952              [7]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1955              [8]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6.62517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1.37942</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1963              [9]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6.62559</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1.379474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1965              [10]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6.62592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1.379495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1969              [11]</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6.626196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1.3795234</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1973              [12]</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6.626227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1.3795215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1986              [13]</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6.6260755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1.37951075</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1998              [14]</w:t>
            </w:r>
            <w:r w:rsidRPr="00E366A5">
              <w:rPr>
                <w:rFonts w:ascii="Book Antiqua" w:hAnsi="Book Antiqua"/>
                <w:b/>
                <w:color w:val="FF0000"/>
                <w:sz w:val="18"/>
                <w:szCs w:val="18"/>
              </w:rPr>
              <w:t xml:space="preserve"> </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6.62606876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1.37951011</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2002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6.62606930</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1.37951016</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2006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6.62606896</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1.37951013</w:t>
            </w:r>
          </w:p>
        </w:tc>
      </w:tr>
      <w:tr w:rsidR="00EE348C" w:rsidRPr="00BE14F9" w:rsidTr="004E1CE7">
        <w:trPr>
          <w:trHeight w:val="260"/>
          <w:jc w:val="center"/>
        </w:trPr>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2010              [15]</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6.62606957</w:t>
            </w:r>
          </w:p>
        </w:tc>
        <w:tc>
          <w:tcPr>
            <w:tcW w:w="2324"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1.37951019</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1965, Sanders pointed out that the then increasing values for </w:t>
      </w:r>
      <m:oMath>
        <m:r>
          <w:rPr>
            <w:rFonts w:ascii="Cambria Math" w:hAnsi="Cambria Math"/>
            <w:sz w:val="18"/>
            <w:szCs w:val="18"/>
          </w:rPr>
          <m:t>h</m:t>
        </m:r>
      </m:oMath>
      <w:r w:rsidRPr="00BE14F9">
        <w:rPr>
          <w:rFonts w:ascii="Book Antiqua" w:hAnsi="Book Antiqua"/>
          <w:sz w:val="20"/>
        </w:rPr>
        <w:t xml:space="preserve"> could only partly be accounted for by the improvements in instrumental resolution [1]. One reviewer, preferring the changes in </w:t>
      </w:r>
      <m:oMath>
        <m:r>
          <w:rPr>
            <w:rFonts w:ascii="Cambria Math" w:hAnsi="Cambria Math"/>
            <w:sz w:val="18"/>
            <w:szCs w:val="18"/>
          </w:rPr>
          <m:t>h</m:t>
        </m:r>
      </m:oMath>
      <w:r w:rsidRPr="00BE14F9">
        <w:rPr>
          <w:rFonts w:ascii="Book Antiqua" w:hAnsi="Book Antiqua"/>
          <w:sz w:val="20"/>
        </w:rPr>
        <w:t xml:space="preserve"> to </w:t>
      </w:r>
      <w:r w:rsidR="00B07806">
        <w:rPr>
          <w:rFonts w:ascii="Book Antiqua" w:hAnsi="Book Antiqua"/>
          <w:sz w:val="20"/>
        </w:rPr>
        <w:t xml:space="preserve">merely </w:t>
      </w:r>
      <w:r w:rsidRPr="00BE14F9">
        <w:rPr>
          <w:rFonts w:ascii="Book Antiqua" w:hAnsi="Book Antiqua"/>
          <w:sz w:val="20"/>
        </w:rPr>
        <w:t>be a matter of instrumental improvements, nevertheless remarked that th</w:t>
      </w:r>
      <w:r w:rsidR="00B07806">
        <w:rPr>
          <w:rFonts w:ascii="Book Antiqua" w:hAnsi="Book Antiqua"/>
          <w:sz w:val="20"/>
        </w:rPr>
        <w:t>is</w:t>
      </w:r>
      <w:r w:rsidRPr="00BE14F9">
        <w:rPr>
          <w:rFonts w:ascii="Book Antiqua" w:hAnsi="Book Antiqua"/>
          <w:sz w:val="20"/>
        </w:rPr>
        <w:t xml:space="preserve"> </w:t>
      </w:r>
      <w:r w:rsidRPr="00BE14F9">
        <w:rPr>
          <w:rFonts w:ascii="Book Antiqua" w:hAnsi="Book Antiqua"/>
          <w:i/>
          <w:sz w:val="20"/>
        </w:rPr>
        <w:t xml:space="preserve">"may in part explain the trend in the figures, but I admit that such </w:t>
      </w:r>
      <w:r w:rsidRPr="00BE14F9">
        <w:rPr>
          <w:rFonts w:ascii="Book Antiqua" w:hAnsi="Book Antiqua"/>
          <w:i/>
          <w:sz w:val="20"/>
        </w:rPr>
        <w:lastRenderedPageBreak/>
        <w:t>an explanation does not appear to be quantitatively adequate."</w:t>
      </w:r>
      <w:r w:rsidRPr="00BE14F9">
        <w:rPr>
          <w:rFonts w:ascii="Book Antiqua" w:hAnsi="Book Antiqua"/>
          <w:sz w:val="20"/>
        </w:rPr>
        <w:t>[2]</w:t>
      </w:r>
      <w:r w:rsidRPr="00BE14F9">
        <w:rPr>
          <w:rFonts w:ascii="Book Antiqua" w:hAnsi="Book Antiqua"/>
          <w:color w:val="FF0000"/>
          <w:sz w:val="20"/>
        </w:rPr>
        <w:t xml:space="preserve"> </w:t>
      </w:r>
      <w:r w:rsidRPr="00BE14F9">
        <w:rPr>
          <w:rFonts w:ascii="Book Antiqua" w:hAnsi="Book Antiqua"/>
          <w:sz w:val="20"/>
        </w:rPr>
        <w:t xml:space="preserve">That problem was compounded since other quantities such as </w:t>
      </w:r>
      <m:oMath>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sz w:val="20"/>
        </w:rPr>
        <w:t xml:space="preserve"> is the electronic charge), </w:t>
      </w:r>
      <m:oMath>
        <m:r>
          <w:rPr>
            <w:rFonts w:ascii="Book Antiqua" w:hAnsi="Cambria Math"/>
            <w:sz w:val="18"/>
            <w:szCs w:val="18"/>
          </w:rPr>
          <m:t>h</m:t>
        </m:r>
        <m:r>
          <w:rPr>
            <w:rFonts w:ascii="Cambria Math" w:hAnsi="Book Antiqua"/>
            <w:sz w:val="18"/>
            <w:szCs w:val="18"/>
          </w:rPr>
          <m:t>/2</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(the magnetic flux quantum), and </w:t>
      </w:r>
      <m:oMath>
        <m:r>
          <w:rPr>
            <w:rFonts w:ascii="Cambria Math" w:hAnsi="Book Antiqua"/>
            <w:sz w:val="18"/>
            <w:szCs w:val="18"/>
          </w:rPr>
          <m:t>2</m:t>
        </m:r>
        <m:r>
          <w:rPr>
            <w:rFonts w:ascii="Cambria Math" w:hAnsi="Cambria Math"/>
            <w:sz w:val="18"/>
            <w:szCs w:val="18"/>
          </w:rPr>
          <m:t>e</m:t>
        </m:r>
        <m:r>
          <w:rPr>
            <w:rFonts w:ascii="Cambria Math" w:hAnsi="Book Antiqua"/>
            <w:sz w:val="18"/>
            <w:szCs w:val="18"/>
          </w:rPr>
          <m:t>/</m:t>
        </m:r>
        <m:r>
          <w:rPr>
            <w:rFonts w:ascii="Cambria Math" w:hAnsi="Cambria Math"/>
            <w:sz w:val="18"/>
            <w:szCs w:val="18"/>
          </w:rPr>
          <m:t>h</m:t>
        </m:r>
      </m:oMath>
      <w:r w:rsidRPr="00BE14F9">
        <w:rPr>
          <w:rFonts w:ascii="Book Antiqua" w:hAnsi="Book Antiqua"/>
          <w:sz w:val="20"/>
        </w:rPr>
        <w:t xml:space="preserve"> (the Josephson constant), all show synchronous trends centered around 1970. They were each measured by different methods than those used to measure </w:t>
      </w:r>
      <m:oMath>
        <m:r>
          <w:rPr>
            <w:rFonts w:ascii="Cambria Math" w:hAnsi="Cambria Math"/>
            <w:sz w:val="18"/>
            <w:szCs w:val="18"/>
          </w:rPr>
          <m:t>h</m:t>
        </m:r>
      </m:oMath>
      <w:r w:rsidRPr="00BE14F9">
        <w:rPr>
          <w:rFonts w:ascii="Book Antiqua" w:hAnsi="Book Antiqua"/>
          <w:sz w:val="20"/>
        </w:rPr>
        <w:t>, and each had a large amount of experimental data to back up the listed value.</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tbl>
      <w:tblPr>
        <w:tblStyle w:val="TableGrid"/>
        <w:tblW w:w="0" w:type="auto"/>
        <w:jc w:val="center"/>
        <w:tblLook w:val="04A0"/>
      </w:tblPr>
      <w:tblGrid>
        <w:gridCol w:w="5295"/>
        <w:gridCol w:w="5118"/>
      </w:tblGrid>
      <w:tr w:rsidR="00EE348C" w:rsidRPr="00BE14F9" w:rsidTr="004E1CE7">
        <w:trPr>
          <w:jc w:val="center"/>
        </w:trPr>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205997" cy="3790950"/>
                  <wp:effectExtent l="19050" t="0" r="0" b="0"/>
                  <wp:docPr id="9"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70" cstate="print">
                            <a:lum contrast="20000"/>
                          </a:blip>
                          <a:srcRect/>
                          <a:stretch>
                            <a:fillRect/>
                          </a:stretch>
                        </pic:blipFill>
                        <pic:spPr bwMode="auto">
                          <a:xfrm>
                            <a:off x="0" y="0"/>
                            <a:ext cx="3209833" cy="3795486"/>
                          </a:xfrm>
                          <a:prstGeom prst="rect">
                            <a:avLst/>
                          </a:prstGeom>
                          <a:noFill/>
                          <a:ln w="9525">
                            <a:noFill/>
                            <a:miter lim="800000"/>
                            <a:headEnd/>
                            <a:tailEnd/>
                          </a:ln>
                        </pic:spPr>
                      </pic:pic>
                    </a:graphicData>
                  </a:graphic>
                </wp:inline>
              </w:drawing>
            </w:r>
          </w:p>
        </w:tc>
        <w:tc>
          <w:tcPr>
            <w:tcW w:w="4360" w:type="dxa"/>
          </w:tcPr>
          <w:p w:rsidR="00EE348C" w:rsidRPr="00BE14F9" w:rsidRDefault="00EE348C" w:rsidP="00400B4E">
            <w:pPr>
              <w:pStyle w:val="NoSpacing"/>
              <w:jc w:val="both"/>
              <w:rPr>
                <w:rFonts w:ascii="Book Antiqua" w:hAnsi="Book Antiqua"/>
                <w:sz w:val="20"/>
              </w:rPr>
            </w:pPr>
            <w:r w:rsidRPr="00BE14F9">
              <w:rPr>
                <w:rFonts w:ascii="Book Antiqua" w:hAnsi="Book Antiqua"/>
                <w:noProof/>
                <w:sz w:val="20"/>
              </w:rPr>
              <w:drawing>
                <wp:inline distT="0" distB="0" distL="0" distR="0">
                  <wp:extent cx="3093505" cy="3790950"/>
                  <wp:effectExtent l="19050" t="0" r="0" b="0"/>
                  <wp:docPr id="13" name="Picture 5" descr="E:\ValuesOfHO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aluesOfHOverE.jpg"/>
                          <pic:cNvPicPr>
                            <a:picLocks noChangeAspect="1" noChangeArrowheads="1"/>
                          </pic:cNvPicPr>
                        </pic:nvPicPr>
                        <pic:blipFill>
                          <a:blip r:embed="rId71" cstate="print">
                            <a:lum contrast="20000"/>
                          </a:blip>
                          <a:srcRect r="4797"/>
                          <a:stretch>
                            <a:fillRect/>
                          </a:stretch>
                        </pic:blipFill>
                        <pic:spPr bwMode="auto">
                          <a:xfrm>
                            <a:off x="0" y="0"/>
                            <a:ext cx="3093505" cy="3790950"/>
                          </a:xfrm>
                          <a:prstGeom prst="rect">
                            <a:avLst/>
                          </a:prstGeom>
                          <a:noFill/>
                          <a:ln w="9525">
                            <a:noFill/>
                            <a:miter lim="800000"/>
                            <a:headEnd/>
                            <a:tailEnd/>
                          </a:ln>
                        </pic:spPr>
                      </pic:pic>
                    </a:graphicData>
                  </a:graphic>
                </wp:inline>
              </w:drawing>
            </w:r>
          </w:p>
        </w:tc>
      </w:tr>
    </w:tbl>
    <w:p w:rsidR="00EE348C" w:rsidRPr="00BE14F9" w:rsidRDefault="00EE348C" w:rsidP="00EE348C">
      <w:pPr>
        <w:pStyle w:val="NoSpacing"/>
        <w:jc w:val="both"/>
        <w:rPr>
          <w:rFonts w:ascii="Book Antiqua" w:hAnsi="Book Antiqua"/>
          <w:sz w:val="20"/>
        </w:rPr>
      </w:pPr>
    </w:p>
    <w:p w:rsidR="00EE348C" w:rsidRPr="00BE14F9" w:rsidRDefault="00EE348C" w:rsidP="004E1CE7">
      <w:pPr>
        <w:pStyle w:val="NoSpacing"/>
        <w:jc w:val="center"/>
        <w:rPr>
          <w:rFonts w:ascii="Book Antiqua" w:hAnsi="Book Antiqua"/>
          <w:sz w:val="20"/>
        </w:rPr>
      </w:pPr>
      <w:r w:rsidRPr="00F203B0">
        <w:rPr>
          <w:rFonts w:ascii="Book Antiqua" w:hAnsi="Book Antiqua"/>
          <w:b/>
          <w:i/>
          <w:sz w:val="18"/>
          <w:szCs w:val="18"/>
        </w:rPr>
        <w:t>Figure 1:</w:t>
      </w:r>
      <w:r w:rsidRPr="00F203B0">
        <w:rPr>
          <w:rFonts w:ascii="Book Antiqua" w:hAnsi="Book Antiqua"/>
          <w:i/>
          <w:sz w:val="18"/>
          <w:szCs w:val="18"/>
        </w:rPr>
        <w:t xml:space="preserve"> Graph of recommended values of Planck’s constant, </w:t>
      </w:r>
      <w:r w:rsidRPr="00F203B0">
        <w:rPr>
          <w:rFonts w:ascii="Book Antiqua" w:hAnsi="Book Antiqua"/>
          <w:sz w:val="18"/>
          <w:szCs w:val="18"/>
        </w:rPr>
        <w:t>h</w:t>
      </w:r>
      <w:r w:rsidRPr="00F203B0">
        <w:rPr>
          <w:rFonts w:ascii="Book Antiqua" w:hAnsi="Book Antiqua"/>
          <w:i/>
          <w:sz w:val="18"/>
          <w:szCs w:val="18"/>
        </w:rPr>
        <w:t xml:space="preserve"> (left) and  </w:t>
      </w:r>
      <w:r w:rsidRPr="00F203B0">
        <w:rPr>
          <w:rFonts w:ascii="Book Antiqua" w:hAnsi="Book Antiqua"/>
          <w:sz w:val="18"/>
          <w:szCs w:val="18"/>
        </w:rPr>
        <w:t>h/e</w:t>
      </w:r>
      <w:r w:rsidRPr="00F203B0">
        <w:rPr>
          <w:rFonts w:ascii="Book Antiqua" w:hAnsi="Book Antiqua"/>
          <w:i/>
          <w:sz w:val="18"/>
          <w:szCs w:val="18"/>
        </w:rPr>
        <w:t xml:space="preserve"> (right) with </w:t>
      </w:r>
      <w:r w:rsidRPr="00F203B0">
        <w:rPr>
          <w:rFonts w:ascii="Book Antiqua" w:hAnsi="Book Antiqua"/>
          <w:sz w:val="18"/>
          <w:szCs w:val="18"/>
        </w:rPr>
        <w:t>e</w:t>
      </w:r>
      <w:r w:rsidRPr="00F203B0">
        <w:rPr>
          <w:rFonts w:ascii="Book Antiqua" w:hAnsi="Book Antiqua"/>
          <w:i/>
          <w:sz w:val="18"/>
          <w:szCs w:val="18"/>
        </w:rPr>
        <w:t xml:space="preserve"> the electronic charge</w:t>
      </w:r>
      <w:r w:rsidRPr="00BE14F9">
        <w:rPr>
          <w:rFonts w:ascii="Book Antiqua" w:hAnsi="Book Antiqua"/>
          <w:sz w:val="20"/>
        </w:rPr>
        <w:t>.</w:t>
      </w:r>
    </w:p>
    <w:p w:rsidR="00EE348C" w:rsidRPr="00BE14F9" w:rsidRDefault="00EE348C" w:rsidP="00EE348C">
      <w:pPr>
        <w:pStyle w:val="NoSpacing"/>
        <w:jc w:val="both"/>
        <w:rPr>
          <w:rFonts w:ascii="Book Antiqua" w:hAnsi="Book Antiqua"/>
          <w:sz w:val="20"/>
        </w:rPr>
      </w:pPr>
    </w:p>
    <w:p w:rsidR="00EE348C" w:rsidRPr="00BE14F9" w:rsidRDefault="00EE348C" w:rsidP="00B07806">
      <w:pPr>
        <w:pStyle w:val="NoSpacing"/>
        <w:ind w:firstLine="720"/>
        <w:jc w:val="both"/>
        <w:rPr>
          <w:rFonts w:ascii="Book Antiqua" w:hAnsi="Book Antiqua"/>
          <w:sz w:val="20"/>
        </w:rPr>
      </w:pPr>
      <w:r w:rsidRPr="00BE14F9">
        <w:rPr>
          <w:rFonts w:ascii="Book Antiqua" w:hAnsi="Book Antiqua"/>
          <w:sz w:val="20"/>
        </w:rPr>
        <w:t xml:space="preserve">From the data in Table 1 and the graphs in Figure 1 (left and right), the trends in </w:t>
      </w:r>
      <m:oMath>
        <m:r>
          <w:rPr>
            <w:rFonts w:ascii="Book Antiqua" w:hAnsi="Cambria Math"/>
            <w:sz w:val="18"/>
            <w:szCs w:val="18"/>
          </w:rPr>
          <m:t>h</m:t>
        </m:r>
      </m:oMath>
      <w:r w:rsidRPr="00BE14F9">
        <w:rPr>
          <w:rFonts w:ascii="Book Antiqua" w:hAnsi="Book Antiqua"/>
          <w:sz w:val="20"/>
        </w:rPr>
        <w:t xml:space="preserve"> and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r>
          <w:rPr>
            <w:rFonts w:ascii="Cambria Math" w:hAnsi="Book Antiqua"/>
            <w:sz w:val="18"/>
            <w:szCs w:val="18"/>
          </w:rPr>
          <m:t xml:space="preserve"> </m:t>
        </m:r>
      </m:oMath>
      <w:r w:rsidRPr="00BE14F9">
        <w:rPr>
          <w:rFonts w:ascii="Book Antiqua" w:hAnsi="Book Antiqua"/>
          <w:sz w:val="20"/>
        </w:rPr>
        <w:t xml:space="preserve">become apparent. More complete data from individual experiments and a discussion about them can be found in </w:t>
      </w:r>
      <w:r w:rsidRPr="00BE14F9">
        <w:rPr>
          <w:rFonts w:ascii="Book Antiqua" w:hAnsi="Book Antiqua"/>
          <w:i/>
          <w:sz w:val="20"/>
        </w:rPr>
        <w:t>Atomic Constants, Light and Time</w:t>
      </w:r>
      <w:r w:rsidRPr="00BE14F9">
        <w:rPr>
          <w:rFonts w:ascii="Book Antiqua" w:hAnsi="Book Antiqua"/>
          <w:sz w:val="20"/>
        </w:rPr>
        <w:t xml:space="preserve">, available on the internet here: </w:t>
      </w:r>
      <w:hyperlink r:id="rId72" w:history="1">
        <w:r w:rsidRPr="00B07806">
          <w:rPr>
            <w:rStyle w:val="Hyperlink"/>
            <w:rFonts w:ascii="Book Antiqua" w:hAnsi="Book Antiqua"/>
            <w:i/>
            <w:sz w:val="20"/>
          </w:rPr>
          <w:t>www.setterfield.org/report/report.html</w:t>
        </w:r>
      </w:hyperlink>
      <w:r w:rsidRPr="00BE14F9">
        <w:rPr>
          <w:rFonts w:ascii="Book Antiqua" w:hAnsi="Book Antiqua"/>
          <w:sz w:val="20"/>
        </w:rPr>
        <w:t>.</w:t>
      </w:r>
    </w:p>
    <w:p w:rsidR="00EE348C" w:rsidRPr="00BE14F9" w:rsidRDefault="00EE348C" w:rsidP="00EE348C">
      <w:pPr>
        <w:pStyle w:val="NoSpacing"/>
        <w:jc w:val="both"/>
        <w:rPr>
          <w:rFonts w:ascii="Book Antiqua" w:hAnsi="Book Antiqua"/>
          <w:sz w:val="20"/>
          <w:u w:val="single"/>
        </w:rPr>
      </w:pPr>
    </w:p>
    <w:p w:rsidR="00EE348C" w:rsidRPr="00BE14F9" w:rsidRDefault="00EE348C" w:rsidP="00EE348C">
      <w:pPr>
        <w:pStyle w:val="Heading1"/>
        <w:spacing w:before="0" w:line="240" w:lineRule="atLeast"/>
        <w:rPr>
          <w:rFonts w:ascii="Book Antiqua" w:hAnsi="Book Antiqua" w:cs="Times New Roman"/>
          <w:sz w:val="20"/>
          <w:szCs w:val="20"/>
        </w:rPr>
      </w:pPr>
      <w:r w:rsidRPr="00BE14F9">
        <w:rPr>
          <w:rFonts w:ascii="Book Antiqua" w:hAnsi="Book Antiqua" w:cs="Times New Roman"/>
          <w:sz w:val="20"/>
          <w:szCs w:val="20"/>
        </w:rPr>
        <w:t xml:space="preserve">2. The ZPE and the Speed of Light, </w:t>
      </w:r>
      <w:r w:rsidRPr="00BE14F9">
        <w:rPr>
          <w:rFonts w:ascii="Book Antiqua" w:hAnsi="Book Antiqua" w:cs="Times New Roman"/>
          <w:i/>
          <w:sz w:val="20"/>
          <w:szCs w:val="20"/>
        </w:rPr>
        <w:t>c</w:t>
      </w:r>
      <w:r w:rsidRPr="00BE14F9">
        <w:rPr>
          <w:rFonts w:ascii="Book Antiqua" w:hAnsi="Book Antiqua" w:cs="Times New Roman"/>
          <w:sz w:val="20"/>
          <w:szCs w:val="20"/>
        </w:rPr>
        <w:t xml:space="preserve">. </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 Data and the Invariance of hc.</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A variety of data accumulated from astronomical observations out to the frontiers of the cosmos indicate that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Book Antiqua" w:hAnsi="Cambria Math"/>
            <w:sz w:val="18"/>
            <w:szCs w:val="18"/>
          </w:rPr>
          <m:t>h</m:t>
        </m:r>
        <m:r>
          <w:rPr>
            <w:rFonts w:ascii="Cambria Math" w:hAnsi="Cambria Math"/>
            <w:sz w:val="18"/>
            <w:szCs w:val="18"/>
          </w:rPr>
          <m:t>c</m:t>
        </m:r>
        <m:r>
          <w:rPr>
            <w:rFonts w:ascii="Cambria Math" w:hAnsi="Book Antiqua"/>
            <w:sz w:val="18"/>
            <w:szCs w:val="18"/>
          </w:rPr>
          <m:t xml:space="preserve"> = </m:t>
        </m:r>
        <m:r>
          <m:rPr>
            <m:sty m:val="bi"/>
          </m:rPr>
          <w:rPr>
            <w:rFonts w:ascii="Cambria Math" w:hAnsi="Cambria Math"/>
            <w:sz w:val="18"/>
            <w:szCs w:val="18"/>
          </w:rPr>
          <m:t>invariant</m:t>
        </m:r>
        <m:r>
          <w:rPr>
            <w:rFonts w:ascii="Cambria Math" w:hAnsi="Book Antiqua"/>
            <w:sz w:val="18"/>
            <w:szCs w:val="18"/>
          </w:rPr>
          <m:t xml:space="preserve">  </m:t>
        </m:r>
        <m:r>
          <w:rPr>
            <w:rFonts w:ascii="Cambria Math" w:hAnsi="Cambria Math"/>
            <w:sz w:val="18"/>
            <w:szCs w:val="18"/>
          </w:rPr>
          <m:t>s</m:t>
        </m:r>
        <m:r>
          <w:rPr>
            <w:rFonts w:ascii="Cambria Math" w:hAnsi="Cambria Math"/>
            <w:sz w:val="18"/>
            <w:szCs w:val="18"/>
          </w:rPr>
          <m:t>o</m:t>
        </m:r>
        <m:r>
          <w:rPr>
            <w:rFonts w:ascii="Cambria Math" w:hAnsi="Book Antiqua"/>
            <w:sz w:val="18"/>
            <w:szCs w:val="18"/>
          </w:rPr>
          <m:t xml:space="preserve"> </m:t>
        </m:r>
        <m:r>
          <w:rPr>
            <w:rFonts w:ascii="Cambria Math" w:hAnsi="Cambria Math"/>
            <w:sz w:val="18"/>
            <w:szCs w:val="18"/>
          </w:rPr>
          <m:t>t</m:t>
        </m:r>
        <m:r>
          <w:rPr>
            <w:rFonts w:ascii="Book Antiqua" w:hAnsi="Cambria Math"/>
            <w:sz w:val="18"/>
            <w:szCs w:val="18"/>
          </w:rPr>
          <m:t>h</m:t>
        </m:r>
        <m:r>
          <w:rPr>
            <w:rFonts w:ascii="Cambria Math" w:hAnsi="Cambria Math"/>
            <w:sz w:val="18"/>
            <w:szCs w:val="18"/>
          </w:rPr>
          <m:t>at</m:t>
        </m:r>
        <m:r>
          <w:rPr>
            <w:rFonts w:ascii="Cambria Math" w:hAnsi="Book Antiqua"/>
            <w:sz w:val="18"/>
            <w:szCs w:val="18"/>
          </w:rPr>
          <m:t xml:space="preserve">  </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This conclusion is supported to an accuracy of parts per million. Some of the early experiments were performed by Bahcall and Salpeter [16], Baum and Florentin-Nielsen [17] and Solheim et al [18]. Noerdlinger also obtained the early result that the quantity</w:t>
      </w:r>
      <w:r w:rsidRPr="00BE14F9">
        <w:rPr>
          <w:rFonts w:ascii="Book Antiqua" w:hAnsi="Book Antiqua"/>
          <w:i/>
          <w:sz w:val="20"/>
        </w:rPr>
        <w:t xml:space="preserve"> </w:t>
      </w:r>
      <m:oMath>
        <m:r>
          <w:rPr>
            <w:rFonts w:ascii="Cambria Math" w:hAnsi="Cambria Math"/>
            <w:sz w:val="18"/>
            <w:szCs w:val="18"/>
          </w:rPr>
          <m:t>d</m:t>
        </m:r>
        <m:r>
          <w:rPr>
            <w:rFonts w:ascii="Cambria Math" w:hAnsi="Book Antiqua"/>
            <w:sz w:val="18"/>
            <w:szCs w:val="18"/>
          </w:rPr>
          <m:t>[</m:t>
        </m:r>
        <m:r>
          <w:rPr>
            <w:rFonts w:ascii="Cambria Math" w:hAnsi="Cambria Math"/>
            <w:sz w:val="18"/>
            <w:szCs w:val="18"/>
          </w:rPr>
          <m:t>ln</m:t>
        </m:r>
        <m:r>
          <w:rPr>
            <w:rFonts w:ascii="Cambria Math" w:hAnsi="Book Antiqua"/>
            <w:sz w:val="18"/>
            <w:szCs w:val="18"/>
          </w:rPr>
          <m:t>(</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dz</m:t>
        </m:r>
        <m:r>
          <w:rPr>
            <w:rFonts w:ascii="Cambria Math" w:hAnsi="Book Antiqua"/>
            <w:sz w:val="18"/>
            <w:szCs w:val="18"/>
          </w:rPr>
          <m:t xml:space="preserve"> </m:t>
        </m:r>
        <m:r>
          <w:rPr>
            <w:rFonts w:ascii="Book Antiqua" w:hAnsi="Book Antiqua"/>
            <w:sz w:val="18"/>
            <w:szCs w:val="18"/>
            <w:u w:val="single"/>
          </w:rPr>
          <m:t>≤</m:t>
        </m:r>
        <m:r>
          <w:rPr>
            <w:rFonts w:ascii="Cambria Math" w:hAnsi="Book Antiqua"/>
            <w:sz w:val="18"/>
            <w:szCs w:val="18"/>
            <w:u w:val="single"/>
          </w:rPr>
          <m:t xml:space="preserve"> </m:t>
        </m:r>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1</m:t>
        </m:r>
        <m:sSup>
          <m:sSupPr>
            <m:ctrlPr>
              <w:rPr>
                <w:rFonts w:ascii="Cambria Math" w:hAnsi="Book Antiqua"/>
                <w:i/>
                <w:sz w:val="18"/>
                <w:szCs w:val="18"/>
              </w:rPr>
            </m:ctrlPr>
          </m:sSupPr>
          <m:e>
            <m:r>
              <w:rPr>
                <w:rFonts w:ascii="Cambria Math" w:hAnsi="Book Antiqua"/>
                <w:sz w:val="18"/>
                <w:szCs w:val="18"/>
              </w:rPr>
              <m:t>0</m:t>
            </m:r>
          </m:e>
          <m:sup>
            <m:r>
              <w:rPr>
                <w:rFonts w:ascii="Book Antiqua" w:hAnsi="Book Antiqua"/>
                <w:sz w:val="18"/>
                <w:szCs w:val="18"/>
              </w:rPr>
              <m:t>-</m:t>
            </m:r>
            <m:r>
              <w:rPr>
                <w:rFonts w:ascii="Cambria Math" w:hAnsi="Book Antiqua"/>
                <w:sz w:val="18"/>
                <w:szCs w:val="18"/>
              </w:rPr>
              <m:t>4</m:t>
            </m:r>
          </m:sup>
        </m:sSup>
      </m:oMath>
      <w:r w:rsidRPr="00BE14F9">
        <w:rPr>
          <w:rFonts w:ascii="Book Antiqua" w:hAnsi="Book Antiqua"/>
          <w:sz w:val="20"/>
        </w:rPr>
        <w:t xml:space="preserve">, where </w:t>
      </w:r>
      <m:oMath>
        <m:r>
          <w:rPr>
            <w:rFonts w:ascii="Cambria Math" w:hAnsi="Cambria Math"/>
            <w:sz w:val="18"/>
            <w:szCs w:val="18"/>
          </w:rPr>
          <m:t>z</m:t>
        </m:r>
      </m:oMath>
      <w:r w:rsidRPr="00BE14F9">
        <w:rPr>
          <w:rFonts w:ascii="Book Antiqua" w:hAnsi="Book Antiqua"/>
          <w:sz w:val="20"/>
        </w:rPr>
        <w:t xml:space="preserve"> is the redshift</w:t>
      </w:r>
      <w:r w:rsidR="00AA513F">
        <w:rPr>
          <w:rFonts w:ascii="Book Antiqua" w:hAnsi="Book Antiqua"/>
          <w:sz w:val="20"/>
        </w:rPr>
        <w:t xml:space="preserve"> [19]</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15215C" w:rsidRDefault="00EE348C" w:rsidP="0015215C">
      <w:pPr>
        <w:pStyle w:val="NoSpacing"/>
        <w:jc w:val="both"/>
        <w:rPr>
          <w:rFonts w:ascii="Book Antiqua" w:hAnsi="Book Antiqua"/>
          <w:sz w:val="20"/>
        </w:rPr>
      </w:pPr>
      <w:r w:rsidRPr="00BE14F9">
        <w:rPr>
          <w:rFonts w:ascii="Book Antiqua" w:hAnsi="Book Antiqua"/>
          <w:sz w:val="20"/>
        </w:rPr>
        <w:tab/>
        <w:t xml:space="preserve">More recent studies have focused on the fine structure constant,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[20]. This constant is a combination of four quantities such that </w:t>
      </w:r>
      <m:oMath>
        <m:r>
          <w:rPr>
            <w:rFonts w:ascii="Cambria Math" w:hAnsi="Cambria Math"/>
            <w:sz w:val="18"/>
            <w:szCs w:val="18"/>
          </w:rPr>
          <m:t>α</m:t>
        </m:r>
        <m:r>
          <w:rPr>
            <w:rFonts w:ascii="Cambria Math" w:hAnsi="Book Antiqua"/>
            <w:sz w:val="18"/>
            <w:szCs w:val="18"/>
          </w:rPr>
          <m:t xml:space="preserve"> = [</m:t>
        </m:r>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][1/(2</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oMath>
      <w:r w:rsidRPr="00BE14F9">
        <w:rPr>
          <w:rFonts w:ascii="Book Antiqua" w:hAnsi="Book Antiqua"/>
          <w:sz w:val="20"/>
        </w:rPr>
        <w:t xml:space="preserve">, where </w:t>
      </w:r>
      <m:oMath>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is the electronic charge, and </w:t>
      </w:r>
      <m:oMath>
        <m:r>
          <w:rPr>
            <w:rFonts w:ascii="Cambria Math" w:hAnsi="Cambria Math"/>
            <w:sz w:val="18"/>
            <w:szCs w:val="18"/>
          </w:rPr>
          <m:t>ε</m:t>
        </m:r>
      </m:oMath>
      <w:r w:rsidRPr="00BE14F9">
        <w:rPr>
          <w:rFonts w:ascii="Book Antiqua" w:hAnsi="Book Antiqua"/>
          <w:sz w:val="20"/>
        </w:rPr>
        <w:t xml:space="preserve"> the vacuum permittivity. Early </w:t>
      </w:r>
      <w:r w:rsidRPr="00BE14F9">
        <w:rPr>
          <w:rFonts w:ascii="Book Antiqua" w:hAnsi="Book Antiqua"/>
          <w:sz w:val="20"/>
        </w:rPr>
        <w:lastRenderedPageBreak/>
        <w:t xml:space="preserve">observations have unequivocally shown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is cosmologically invariant as in (4). However, observational evidence has shown that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iCs/>
          <w:sz w:val="20"/>
        </w:rPr>
        <w:t xml:space="preserve">is also stable to one part in a million [21]. Given the data that leads to (4), these results </w:t>
      </w:r>
      <w:r w:rsidRPr="00BE14F9">
        <w:rPr>
          <w:rFonts w:ascii="Book Antiqua" w:hAnsi="Book Antiqua"/>
          <w:sz w:val="20"/>
        </w:rPr>
        <w:t xml:space="preserve">also require that throughout the cosmos </w:t>
      </w:r>
    </w:p>
    <w:p w:rsidR="0015215C" w:rsidRDefault="0015215C" w:rsidP="0015215C">
      <w:pPr>
        <w:pStyle w:val="NoSpacing"/>
        <w:jc w:val="both"/>
        <w:rPr>
          <w:rFonts w:ascii="Book Antiqua" w:hAnsi="Book Antiqua"/>
          <w:sz w:val="20"/>
        </w:rPr>
      </w:pPr>
    </w:p>
    <w:p w:rsidR="00EE348C" w:rsidRPr="00BE14F9" w:rsidRDefault="007B3EBC" w:rsidP="0015215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constant</m:t>
        </m:r>
      </m:oMath>
      <w:r w:rsidR="00EE348C" w:rsidRPr="00BE14F9">
        <w:rPr>
          <w:rFonts w:ascii="Book Antiqua" w:hAnsi="Book Antiqua"/>
          <w:iCs/>
          <w:sz w:val="20"/>
        </w:rPr>
        <w:tab/>
        <w:t>.</w:t>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(5)</w:t>
      </w:r>
    </w:p>
    <w:p w:rsidR="0015215C" w:rsidRDefault="0015215C" w:rsidP="009A5FF9">
      <w:pPr>
        <w:pStyle w:val="NoSpacing"/>
        <w:ind w:firstLine="720"/>
        <w:jc w:val="both"/>
        <w:rPr>
          <w:rFonts w:ascii="Book Antiqua" w:hAnsi="Book Antiqua"/>
          <w:sz w:val="20"/>
        </w:rPr>
      </w:pPr>
    </w:p>
    <w:p w:rsidR="00EE348C" w:rsidRPr="00BE14F9" w:rsidRDefault="00EE348C" w:rsidP="009A5FF9">
      <w:pPr>
        <w:pStyle w:val="NoSpacing"/>
        <w:ind w:firstLine="720"/>
        <w:jc w:val="both"/>
        <w:rPr>
          <w:rFonts w:ascii="Book Antiqua" w:hAnsi="Book Antiqua"/>
          <w:sz w:val="20"/>
        </w:rPr>
      </w:pPr>
      <w:r w:rsidRPr="00BE14F9">
        <w:rPr>
          <w:rFonts w:ascii="Book Antiqua" w:hAnsi="Book Antiqua"/>
          <w:sz w:val="20"/>
        </w:rPr>
        <w:t xml:space="preserve">The basic constancy of (5) over astronomical time was established early on by Dyson [22], Peres [23], Bahcall and Schmidt [24], and Wesson [25]. However, an exception can occur in strong gravitational fields as shown in [26]. This is due to a change in the self-energy of the system that is analogous to the change in the stored energy of a charged air capacitor taken to a region of differing dielectric constant.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data, which uphold the constancy of </w:t>
      </w:r>
      <m:oMath>
        <m:r>
          <w:rPr>
            <w:rFonts w:ascii="Cambria Math" w:hAnsi="Cambria Math"/>
            <w:sz w:val="18"/>
            <w:szCs w:val="18"/>
          </w:rPr>
          <m:t>α</m:t>
        </m:r>
      </m:oMath>
      <w:r w:rsidRPr="00BE14F9">
        <w:rPr>
          <w:rFonts w:ascii="Book Antiqua" w:hAnsi="Book Antiqua"/>
          <w:i/>
          <w:iCs/>
          <w:sz w:val="20"/>
        </w:rPr>
        <w:t xml:space="preserve">, </w:t>
      </w:r>
      <w:r w:rsidRPr="00BE14F9">
        <w:rPr>
          <w:rFonts w:ascii="Book Antiqua" w:hAnsi="Book Antiqua"/>
          <w:sz w:val="20"/>
        </w:rPr>
        <w:t xml:space="preserve">are often taken as applying tight restrictions on any variability of the speed of light on a cosmological time scale. This has been the research of John Webb for a number of years [27]. Recently it has been suggested that the fine structure constant may vary in space rather than time. However small these claims of variation may be, any actual variation has yet to be proved.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have been some very small suspected changes in the value of the fine structure constant, </w:t>
      </w:r>
      <m:oMath>
        <m:r>
          <w:rPr>
            <w:rFonts w:ascii="Cambria Math" w:hAnsi="Cambria Math"/>
            <w:sz w:val="18"/>
            <w:szCs w:val="18"/>
          </w:rPr>
          <m:t>a</m:t>
        </m:r>
      </m:oMath>
      <w:r w:rsidRPr="00BE14F9">
        <w:rPr>
          <w:rFonts w:ascii="Book Antiqua" w:hAnsi="Book Antiqua"/>
          <w:sz w:val="20"/>
        </w:rPr>
        <w:t xml:space="preserve">.  For this reason, those holding to a minimalist position on the variation of atomic constants have stated that </w:t>
      </w:r>
      <w:r w:rsidRPr="00BE14F9">
        <w:rPr>
          <w:rFonts w:ascii="Book Antiqua" w:hAnsi="Book Antiqua"/>
          <w:i/>
          <w:sz w:val="20"/>
        </w:rPr>
        <w:t>c</w:t>
      </w:r>
      <w:r w:rsidRPr="00BE14F9">
        <w:rPr>
          <w:rFonts w:ascii="Book Antiqua" w:hAnsi="Book Antiqua"/>
          <w:sz w:val="20"/>
        </w:rPr>
        <w:t xml:space="preserve"> cannot vary by any more than 1 part in about a million throughout astronomical time.  However, if the ZPE approach is adopted, it is expected that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will remain fixed, and the extent of any individual variation in </w:t>
      </w:r>
      <m:oMath>
        <m:r>
          <w:rPr>
            <w:rFonts w:ascii="Book Antiqua" w:hAnsi="Cambria Math"/>
            <w:sz w:val="18"/>
            <w:szCs w:val="18"/>
          </w:rPr>
          <m:t>h</m:t>
        </m:r>
      </m:oMath>
      <w:r w:rsidRPr="00BE14F9">
        <w:rPr>
          <w:rFonts w:ascii="Book Antiqua" w:hAnsi="Book Antiqua"/>
          <w:sz w:val="20"/>
        </w:rPr>
        <w:t xml:space="preserve"> and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separately cannot be deduced from these data alone.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This then indicates that quantities like </w:t>
      </w:r>
      <m:oMath>
        <m:r>
          <w:rPr>
            <w:rFonts w:ascii="Book Antiqua" w:hAnsi="Cambria Math"/>
            <w:sz w:val="18"/>
            <w:szCs w:val="18"/>
          </w:rPr>
          <m:t>h</m:t>
        </m:r>
        <m:r>
          <w:rPr>
            <w:rFonts w:ascii="Cambria Math" w:hAnsi="Cambria Math"/>
            <w:sz w:val="18"/>
            <w:szCs w:val="18"/>
          </w:rPr>
          <m:t>c</m:t>
        </m:r>
      </m:oMath>
      <w:r w:rsidRPr="00BE14F9">
        <w:rPr>
          <w:rFonts w:ascii="Book Antiqua" w:hAnsi="Book Antiqua"/>
          <w:i/>
          <w:sz w:val="20"/>
        </w:rPr>
        <w:t>,</w:t>
      </w:r>
      <w:r w:rsidRPr="00BE14F9">
        <w:rPr>
          <w:rFonts w:ascii="Book Antiqua" w:hAnsi="Book Antiqua"/>
          <w:sz w:val="20"/>
        </w:rPr>
        <w:t xml:space="preserve"> or the fine structure constant, </w:t>
      </w:r>
      <m:oMath>
        <m:r>
          <w:rPr>
            <w:rFonts w:ascii="Cambria Math" w:hAnsi="Cambria Math"/>
            <w:sz w:val="18"/>
            <w:szCs w:val="18"/>
          </w:rPr>
          <m:t>α</m:t>
        </m:r>
      </m:oMath>
      <w:r w:rsidRPr="00BE14F9">
        <w:rPr>
          <w:rFonts w:ascii="Book Antiqua" w:hAnsi="Book Antiqua"/>
          <w:i/>
          <w:sz w:val="20"/>
        </w:rPr>
        <w:t>,</w:t>
      </w:r>
      <w:r w:rsidRPr="00BE14F9">
        <w:rPr>
          <w:rFonts w:ascii="Book Antiqua" w:hAnsi="Book Antiqua"/>
          <w:sz w:val="20"/>
        </w:rPr>
        <w:t xml:space="preserve"> can themselves be invariant while, at the same time, their component parts may vary synchronously. Wesson was aware of just such a possibility. He wrote: </w:t>
      </w:r>
      <w:r w:rsidRPr="00BE14F9">
        <w:rPr>
          <w:rFonts w:ascii="Book Antiqua" w:hAnsi="Book Antiqua"/>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BE14F9">
        <w:rPr>
          <w:rFonts w:ascii="Book Antiqua" w:hAnsi="Book Antiqua"/>
          <w:sz w:val="20"/>
        </w:rPr>
        <w:t xml:space="preserve"> [25, 28]</w:t>
      </w:r>
      <w:r w:rsidRPr="00BE14F9">
        <w:rPr>
          <w:rFonts w:ascii="Book Antiqua" w:hAnsi="Book Antiqua"/>
          <w:color w:val="FF0000"/>
          <w:sz w:val="20"/>
        </w:rPr>
        <w:t xml:space="preserve">  </w:t>
      </w:r>
      <w:r w:rsidRPr="00BE14F9">
        <w:rPr>
          <w:rFonts w:ascii="Book Antiqua" w:hAnsi="Book Antiqua"/>
          <w:sz w:val="20"/>
        </w:rPr>
        <w:t xml:space="preserve">A simple example can be shown with the number “12.”  The </w:t>
      </w:r>
      <w:r w:rsidR="008B1CEA">
        <w:rPr>
          <w:rFonts w:ascii="Book Antiqua" w:hAnsi="Book Antiqua"/>
          <w:sz w:val="20"/>
        </w:rPr>
        <w:t>product</w:t>
      </w:r>
      <w:r w:rsidRPr="00BE14F9">
        <w:rPr>
          <w:rFonts w:ascii="Book Antiqua" w:hAnsi="Book Antiqua"/>
          <w:sz w:val="20"/>
        </w:rPr>
        <w:t xml:space="preserve"> of 12 will remain constant whether we get there by </w:t>
      </w:r>
      <m:oMath>
        <m:r>
          <w:rPr>
            <w:rFonts w:ascii="Cambria Math" w:hAnsi="Book Antiqua"/>
            <w:sz w:val="18"/>
            <w:szCs w:val="18"/>
          </w:rPr>
          <m:t xml:space="preserve">1 </m:t>
        </m:r>
        <m:r>
          <w:rPr>
            <w:rFonts w:ascii="Cambria Math" w:hAnsi="Cambria Math"/>
            <w:sz w:val="18"/>
            <w:szCs w:val="18"/>
          </w:rPr>
          <m:t>x</m:t>
        </m:r>
        <m:r>
          <w:rPr>
            <w:rFonts w:ascii="Cambria Math" w:hAnsi="Book Antiqua"/>
            <w:sz w:val="18"/>
            <w:szCs w:val="18"/>
          </w:rPr>
          <m:t xml:space="preserve"> 12</m:t>
        </m:r>
      </m:oMath>
      <w:r w:rsidRPr="00BE14F9">
        <w:rPr>
          <w:rFonts w:ascii="Book Antiqua" w:hAnsi="Book Antiqua"/>
          <w:sz w:val="20"/>
        </w:rPr>
        <w:t xml:space="preserve">, </w:t>
      </w:r>
      <m:oMath>
        <m:r>
          <w:rPr>
            <w:rFonts w:ascii="Cambria Math" w:hAnsi="Book Antiqua"/>
            <w:sz w:val="18"/>
            <w:szCs w:val="18"/>
          </w:rPr>
          <m:t xml:space="preserve">2 </m:t>
        </m:r>
        <m:r>
          <w:rPr>
            <w:rFonts w:ascii="Cambria Math" w:hAnsi="Cambria Math"/>
            <w:sz w:val="18"/>
            <w:szCs w:val="18"/>
          </w:rPr>
          <m:t>x</m:t>
        </m:r>
        <m:r>
          <w:rPr>
            <w:rFonts w:ascii="Cambria Math" w:hAnsi="Book Antiqua"/>
            <w:sz w:val="18"/>
            <w:szCs w:val="18"/>
          </w:rPr>
          <m:t xml:space="preserve"> 6</m:t>
        </m:r>
      </m:oMath>
      <w:r w:rsidRPr="00BE14F9">
        <w:rPr>
          <w:rFonts w:ascii="Book Antiqua" w:hAnsi="Book Antiqua"/>
          <w:sz w:val="20"/>
        </w:rPr>
        <w:t xml:space="preserve">, or </w:t>
      </w:r>
      <m:oMath>
        <m:r>
          <w:rPr>
            <w:rFonts w:ascii="Cambria Math" w:hAnsi="Book Antiqua"/>
            <w:sz w:val="18"/>
            <w:szCs w:val="18"/>
          </w:rPr>
          <m:t xml:space="preserve">3 </m:t>
        </m:r>
        <m:r>
          <w:rPr>
            <w:rFonts w:ascii="Cambria Math" w:hAnsi="Cambria Math"/>
            <w:sz w:val="18"/>
            <w:szCs w:val="18"/>
          </w:rPr>
          <m:t>x</m:t>
        </m:r>
        <m:r>
          <w:rPr>
            <w:rFonts w:ascii="Cambria Math" w:hAnsi="Book Antiqua"/>
            <w:sz w:val="18"/>
            <w:szCs w:val="18"/>
          </w:rPr>
          <m:t xml:space="preserve"> 4</m:t>
        </m:r>
      </m:oMath>
      <w:r w:rsidRPr="00BE14F9">
        <w:rPr>
          <w:rFonts w:ascii="Book Antiqua" w:hAnsi="Book Antiqua"/>
          <w:sz w:val="20"/>
        </w:rPr>
        <w:t xml:space="preserve">.  In the same way, </w:t>
      </w:r>
      <m:oMath>
        <m:r>
          <w:rPr>
            <w:rFonts w:ascii="Book Antiqua" w:hAnsi="Cambria Math"/>
            <w:sz w:val="18"/>
            <w:szCs w:val="18"/>
          </w:rPr>
          <m:t>h</m:t>
        </m:r>
        <m:r>
          <w:rPr>
            <w:rFonts w:ascii="Cambria Math" w:hAnsi="Cambria Math"/>
            <w:sz w:val="18"/>
            <w:szCs w:val="18"/>
          </w:rPr>
          <m:t>c</m:t>
        </m:r>
      </m:oMath>
      <w:r w:rsidRPr="00BE14F9">
        <w:rPr>
          <w:rFonts w:ascii="Book Antiqua" w:hAnsi="Book Antiqua"/>
          <w:sz w:val="20"/>
        </w:rPr>
        <w:t xml:space="preserve"> can remain constant if </w:t>
      </w:r>
      <m:oMath>
        <m:r>
          <w:rPr>
            <w:rFonts w:ascii="Book Antiqua" w:hAnsi="Cambria Math"/>
            <w:sz w:val="18"/>
            <w:szCs w:val="18"/>
          </w:rPr>
          <m:t>h</m:t>
        </m:r>
      </m:oMath>
      <w:r w:rsidRPr="00BE14F9">
        <w:rPr>
          <w:rFonts w:ascii="Book Antiqua" w:hAnsi="Book Antiqua"/>
          <w:sz w:val="20"/>
        </w:rPr>
        <w:t xml:space="preserve"> increases at the same time </w:t>
      </w:r>
      <m:oMath>
        <m:r>
          <w:rPr>
            <w:rFonts w:ascii="Cambria Math" w:hAnsi="Cambria Math"/>
            <w:sz w:val="18"/>
            <w:szCs w:val="18"/>
          </w:rPr>
          <m:t>c</m:t>
        </m:r>
      </m:oMath>
      <w:r w:rsidRPr="00BE14F9">
        <w:rPr>
          <w:rFonts w:ascii="Book Antiqua" w:hAnsi="Book Antiqua"/>
          <w:sz w:val="20"/>
        </w:rPr>
        <w:t xml:space="preserve"> decreases, or vice versa.</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We therefore need to look at the speed of light data independently, as well as examine the theoretical base that supports these data in a varying ZPE context. Let us begin by considering results obtained from experiments with the Casimir effect, and the discussion that surrounded them.</w:t>
      </w:r>
    </w:p>
    <w:p w:rsidR="00EE348C" w:rsidRPr="00BE14F9" w:rsidRDefault="00EE348C" w:rsidP="00EE348C">
      <w:pPr>
        <w:pStyle w:val="NoSpacing"/>
        <w:ind w:firstLine="720"/>
        <w:jc w:val="both"/>
        <w:rPr>
          <w:rFonts w:ascii="Book Antiqua" w:hAnsi="Book Antiqua"/>
          <w:b/>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2.2 The Casimir Effect and the Speed of Light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the Casimir experiments, the energy density of a vacuum in a flask is locally lowered between two enclosed metal plates, as they are brought closer together, when compared with the vacuum outside the plates. This occurs because long wavelengths of the ZPE are excluded and exert an excess pressure from outside the plates, </w:t>
      </w:r>
      <w:r w:rsidR="008B1CEA">
        <w:rPr>
          <w:rFonts w:ascii="Book Antiqua" w:hAnsi="Book Antiqua"/>
          <w:sz w:val="20"/>
        </w:rPr>
        <w:t>as previously explained</w:t>
      </w:r>
      <w:r w:rsidRPr="00BE14F9">
        <w:rPr>
          <w:rFonts w:ascii="Book Antiqua" w:hAnsi="Book Antiqua"/>
          <w:sz w:val="20"/>
        </w:rPr>
        <w:t xml:space="preserve">. In the meantime, studies of the Casimir effect have revealed that changes in the energy density of the ZPE would also result in changes in lightspeed.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February and March of 1990, Klaus Scharnhorst at the Humboldt University in Berlin, and Gabriel Barton of the University of Sussex in Brighton, England investigated the effects of this lower energy density between the Casimir plates more thoroughly. Scharnhorst used QED theory to calculate what happens to light travelling between the Casimir plates. He states in his Abstract that any change in vacuum energy density </w:t>
      </w:r>
      <w:r w:rsidRPr="00BE14F9">
        <w:rPr>
          <w:rFonts w:ascii="Book Antiqua" w:hAnsi="Book Antiqua"/>
          <w:i/>
          <w:sz w:val="20"/>
        </w:rPr>
        <w:t>“in the simplest terms consists in causing a change in the velocity of light.”</w:t>
      </w:r>
      <w:r w:rsidRPr="00BE14F9">
        <w:rPr>
          <w:rFonts w:ascii="Book Antiqua" w:hAnsi="Book Antiqua"/>
          <w:sz w:val="20"/>
        </w:rPr>
        <w:t xml:space="preserve"> [29] Scharnhorst elaborated: </w:t>
      </w:r>
      <w:r w:rsidRPr="00BE14F9">
        <w:rPr>
          <w:rFonts w:ascii="Book Antiqua" w:hAnsi="Book Antiqua"/>
          <w:i/>
          <w:sz w:val="20"/>
        </w:rPr>
        <w:t>“This is simply the result of the change in the vacuum structure enforced by the plates.”</w:t>
      </w:r>
      <w:r w:rsidRPr="00BE14F9">
        <w:rPr>
          <w:rFonts w:ascii="Book Antiqua" w:hAnsi="Book Antiqua"/>
          <w:sz w:val="20"/>
        </w:rPr>
        <w:t xml:space="preserve"> [30] He concludes: </w:t>
      </w:r>
      <w:r w:rsidRPr="00BE14F9">
        <w:rPr>
          <w:rFonts w:ascii="Book Antiqua" w:hAnsi="Book Antiqua"/>
          <w:i/>
          <w:sz w:val="20"/>
        </w:rPr>
        <w:t>“In the simplest terms the impact of the plates on the propagation of light in the vacuum between them can be described by saying that they cause a change (more precisely a raising) in the velocity of light for electromagnetic waves propagating perpendicular to the plates…”</w:t>
      </w:r>
      <w:r w:rsidRPr="00BE14F9">
        <w:rPr>
          <w:rFonts w:ascii="Book Antiqua" w:hAnsi="Book Antiqua"/>
          <w:sz w:val="20"/>
        </w:rPr>
        <w:t xml:space="preserve"> [29]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Barton also used the quantum interaction laws of QED physics, but took a somewhat different approach. He states:</w:t>
      </w:r>
      <w:r w:rsidRPr="00BE14F9">
        <w:rPr>
          <w:rFonts w:ascii="Book Antiqua" w:hAnsi="Book Antiqua"/>
          <w:i/>
          <w:sz w:val="20"/>
        </w:rPr>
        <w:t xml:space="preserve"> “But (as known from the Casimir effect) the intensity of the zero-point field between parallel mirrors is less than unbounded space, which for light normal to the mirrors entails a refractive index </w:t>
      </w:r>
      <m:oMath>
        <m:r>
          <w:rPr>
            <w:rFonts w:ascii="Cambria Math" w:hAnsi="Cambria Math" w:cs="PBADFD+TimesNewRoman,Italic"/>
            <w:sz w:val="18"/>
            <w:szCs w:val="18"/>
          </w:rPr>
          <m:t>n</m:t>
        </m:r>
        <m:r>
          <w:rPr>
            <w:rFonts w:ascii="Cambria Math" w:hAnsi="Book Antiqua" w:cs="PBADFD+TimesNewRoman,Italic"/>
            <w:sz w:val="18"/>
            <w:szCs w:val="18"/>
          </w:rPr>
          <m:t xml:space="preserve"> &lt; 1</m:t>
        </m:r>
      </m:oMath>
      <w:r w:rsidRPr="00BE14F9">
        <w:rPr>
          <w:rFonts w:ascii="Book Antiqua" w:hAnsi="Book Antiqua"/>
          <w:i/>
          <w:sz w:val="20"/>
        </w:rPr>
        <w:t xml:space="preserve"> and speed </w:t>
      </w:r>
      <m:oMath>
        <m:r>
          <w:rPr>
            <w:rFonts w:ascii="Cambria Math" w:hAnsi="Cambria Math" w:cs="PBADFD+TimesNewRoman,Italic"/>
            <w:sz w:val="18"/>
            <w:szCs w:val="18"/>
          </w:rPr>
          <m:t>c</m:t>
        </m:r>
        <m:r>
          <w:rPr>
            <w:rFonts w:ascii="Cambria Math" w:hAnsi="Book Antiqua" w:cs="PBADFD+TimesNewRoman,Italic"/>
            <w:sz w:val="18"/>
            <w:szCs w:val="18"/>
          </w:rPr>
          <m:t>/</m:t>
        </m:r>
        <m:r>
          <w:rPr>
            <w:rFonts w:ascii="Cambria Math" w:hAnsi="Cambria Math" w:cs="PBADFD+TimesNewRoman,Italic"/>
            <w:sz w:val="18"/>
            <w:szCs w:val="18"/>
          </w:rPr>
          <m:t>n</m:t>
        </m:r>
        <m:r>
          <w:rPr>
            <w:rFonts w:ascii="Cambria Math" w:hAnsi="Book Antiqua" w:cs="PBADFD+TimesNewRoman,Italic"/>
            <w:sz w:val="18"/>
            <w:szCs w:val="18"/>
          </w:rPr>
          <m:t xml:space="preserve"> &gt; </m:t>
        </m:r>
        <m:r>
          <w:rPr>
            <w:rFonts w:ascii="Cambria Math" w:hAnsi="Cambria Math" w:cs="PBADFD+TimesNewRoman,Italic"/>
            <w:sz w:val="18"/>
            <w:szCs w:val="18"/>
          </w:rPr>
          <m:t>c</m:t>
        </m:r>
      </m:oMath>
      <w:r w:rsidRPr="00BE14F9">
        <w:rPr>
          <w:rFonts w:ascii="Book Antiqua" w:hAnsi="Book Antiqua"/>
          <w:i/>
          <w:sz w:val="20"/>
        </w:rPr>
        <w:t>, as Scharnhorst has recently found by other arguments."</w:t>
      </w:r>
      <w:r w:rsidRPr="00BE14F9">
        <w:rPr>
          <w:rFonts w:ascii="Book Antiqua" w:hAnsi="Book Antiqua"/>
          <w:sz w:val="20"/>
        </w:rPr>
        <w:t xml:space="preserve">[31] Barton concluded: </w:t>
      </w:r>
      <w:r w:rsidRPr="00BE14F9">
        <w:rPr>
          <w:rFonts w:ascii="Book Antiqua" w:hAnsi="Book Antiqua"/>
          <w:i/>
          <w:sz w:val="20"/>
        </w:rPr>
        <w:t>“One could say that between parallel mirrors, even at zero temperature, there is a disturbance of the electromagnetic field, and it is as if between the mirrors, the energy density of the electromagnetic field were less than zero. So it seemed to me that if a positive energy density makes light go slower, then, in a sense, a negative energy density, such as you have between mirrors, would make light go faster.”</w:t>
      </w:r>
      <w:r w:rsidRPr="00BE14F9">
        <w:rPr>
          <w:rFonts w:ascii="Book Antiqua" w:hAnsi="Book Antiqua"/>
          <w:sz w:val="20"/>
        </w:rPr>
        <w:t xml:space="preserve">[30] So where Scharnhorst noted that changes in the structure of the vacuum affected the speed of light, Barton rightly concluded that it was the electromagnetic properties of that vacuum which were responsible.  In other words, Barton is saying that if energy density of space is less than normal, the speed of light is faster; if it is greater than what we know as normal, then light slows. The words “energy density” mean the strength of the Zero Point Energy.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Stephen Barnett commented in </w:t>
      </w:r>
      <w:r w:rsidRPr="00BE14F9">
        <w:rPr>
          <w:rFonts w:ascii="Book Antiqua" w:hAnsi="Book Antiqua"/>
          <w:i/>
          <w:sz w:val="20"/>
        </w:rPr>
        <w:t>Nature</w:t>
      </w:r>
      <w:r w:rsidRPr="00BE14F9">
        <w:rPr>
          <w:rFonts w:ascii="Book Antiqua" w:hAnsi="Book Antiqua"/>
          <w:sz w:val="20"/>
        </w:rPr>
        <w:t xml:space="preserve"> on the outcome of these QED investigations, stating that </w:t>
      </w:r>
      <w:r w:rsidRPr="00BE14F9">
        <w:rPr>
          <w:rFonts w:ascii="Book Antiqua" w:hAnsi="Book Antiqua"/>
          <w:i/>
          <w:sz w:val="20"/>
        </w:rPr>
        <w:t>“The source of this surprising development is the mysterious nature of the vacuum as revealed by quantum electrodynamics. It is not an empty nothing but contains randomly fluctuating electromagnetic fields and virtual electron-positron pairs with an infinite zero-point energy. Light propagating through space interacts with the vacuum fields, and observable properties, including the speed of light, are in part determined by this interaction.”</w:t>
      </w:r>
      <w:r w:rsidRPr="00BE14F9">
        <w:rPr>
          <w:rFonts w:ascii="Book Antiqua" w:hAnsi="Book Antiqua"/>
          <w:sz w:val="20"/>
        </w:rPr>
        <w:t>[32]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Although he is mistaken about the ZPE being ‘infinite,’ his conclusions were supported by a 1995 study on </w:t>
      </w:r>
      <w:r w:rsidRPr="00BE14F9">
        <w:rPr>
          <w:rFonts w:ascii="Book Antiqua" w:hAnsi="Book Antiqua"/>
          <w:i/>
          <w:iCs/>
          <w:sz w:val="20"/>
        </w:rPr>
        <w:t xml:space="preserve">c </w:t>
      </w:r>
      <w:r w:rsidRPr="00BE14F9">
        <w:rPr>
          <w:rFonts w:ascii="Book Antiqua" w:hAnsi="Book Antiqua"/>
          <w:sz w:val="20"/>
        </w:rPr>
        <w:t xml:space="preserve">in ‘modified vacua’, including the Casimir vacuum. This later analysis read in part: </w:t>
      </w:r>
      <w:r w:rsidRPr="00BE14F9">
        <w:rPr>
          <w:rFonts w:ascii="Book Antiqua" w:hAnsi="Book Antiqua"/>
          <w:i/>
          <w:iCs/>
          <w:sz w:val="20"/>
        </w:rPr>
        <w:t xml:space="preserve">“Whether photons move faster or slower than c depends only on the lower or higher energy density of the modified vacuum respectively.” </w:t>
      </w:r>
      <w:r w:rsidRPr="00BE14F9">
        <w:rPr>
          <w:rFonts w:ascii="Book Antiqua" w:hAnsi="Book Antiqua"/>
          <w:sz w:val="20"/>
        </w:rPr>
        <w:t xml:space="preserve">[33] The analysis concluded that in all vacua </w:t>
      </w:r>
      <w:r w:rsidRPr="00BE14F9">
        <w:rPr>
          <w:rFonts w:ascii="Book Antiqua" w:hAnsi="Book Antiqua"/>
          <w:i/>
          <w:iCs/>
          <w:sz w:val="20"/>
        </w:rPr>
        <w:t xml:space="preserve">“It follows automatically that if the vacuum has a lower energy density than the standard vacuum, [lightspeed] </w:t>
      </w:r>
      <m:oMath>
        <m:r>
          <w:rPr>
            <w:rFonts w:ascii="Cambria Math" w:hAnsi="Cambria Math"/>
            <w:sz w:val="18"/>
            <w:szCs w:val="18"/>
          </w:rPr>
          <m:t>v</m:t>
        </m:r>
        <m:r>
          <w:rPr>
            <w:rFonts w:ascii="Cambria Math" w:hAnsi="Book Antiqua"/>
            <w:sz w:val="18"/>
            <w:szCs w:val="18"/>
          </w:rPr>
          <m:t xml:space="preserve"> &gt;1</m:t>
        </m:r>
      </m:oMath>
      <w:r w:rsidRPr="00BE14F9">
        <w:rPr>
          <w:rFonts w:ascii="Book Antiqua" w:hAnsi="Book Antiqua"/>
          <w:i/>
          <w:iCs/>
          <w:sz w:val="20"/>
        </w:rPr>
        <w:t xml:space="preserve">, and vice versa,” </w:t>
      </w:r>
      <w:r w:rsidRPr="00BE14F9">
        <w:rPr>
          <w:rFonts w:ascii="Book Antiqua" w:hAnsi="Book Antiqua"/>
          <w:sz w:val="20"/>
        </w:rPr>
        <w:t>(</w:t>
      </w:r>
      <m:oMath>
        <m:r>
          <w:rPr>
            <w:rFonts w:ascii="Cambria Math" w:hAnsi="Cambria Math"/>
            <w:sz w:val="18"/>
            <w:szCs w:val="18"/>
          </w:rPr>
          <m:t>v</m:t>
        </m:r>
        <m:r>
          <w:rPr>
            <w:rFonts w:ascii="Cambria Math" w:hAnsi="Book Antiqua"/>
            <w:sz w:val="18"/>
            <w:szCs w:val="18"/>
          </w:rPr>
          <m:t xml:space="preserve"> = 1</m:t>
        </m:r>
      </m:oMath>
      <w:r w:rsidRPr="00BE14F9">
        <w:rPr>
          <w:rFonts w:ascii="Book Antiqua" w:hAnsi="Book Antiqua"/>
          <w:sz w:val="20"/>
        </w:rPr>
        <w:t xml:space="preserve"> denotes the current speed of light).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Although analysis in [33]</w:t>
      </w:r>
      <w:r w:rsidRPr="00BE14F9">
        <w:rPr>
          <w:rFonts w:ascii="Book Antiqua" w:hAnsi="Book Antiqua"/>
          <w:color w:val="FF0000"/>
          <w:sz w:val="20"/>
        </w:rPr>
        <w:t xml:space="preserve"> </w:t>
      </w:r>
      <w:r w:rsidRPr="00BE14F9">
        <w:rPr>
          <w:rFonts w:ascii="Book Antiqua" w:hAnsi="Book Antiqua"/>
          <w:sz w:val="20"/>
        </w:rPr>
        <w:t>was done using QED concepts, the general principle of higher lightspeed with a lower ZPE energy density is supported by th</w:t>
      </w:r>
      <w:r w:rsidR="006F31A3">
        <w:rPr>
          <w:rFonts w:ascii="Book Antiqua" w:hAnsi="Book Antiqua"/>
          <w:sz w:val="20"/>
        </w:rPr>
        <w:t>at</w:t>
      </w:r>
      <w:r w:rsidRPr="00BE14F9">
        <w:rPr>
          <w:rFonts w:ascii="Book Antiqua" w:hAnsi="Book Antiqua"/>
          <w:sz w:val="20"/>
        </w:rPr>
        <w:t xml:space="preserve"> study.  The QED formula which resulted from these studies only works over a limited range, however, and is not applicable on an astronomical scale.  This is quite different from the approach used by SED physics in which the Zero Point Energy is a known reality and, as such, </w:t>
      </w:r>
      <w:r w:rsidR="006F31A3">
        <w:rPr>
          <w:rFonts w:ascii="Book Antiqua" w:hAnsi="Book Antiqua"/>
          <w:sz w:val="20"/>
        </w:rPr>
        <w:t xml:space="preserve">the </w:t>
      </w:r>
      <w:r w:rsidRPr="00BE14F9">
        <w:rPr>
          <w:rFonts w:ascii="Book Antiqua" w:hAnsi="Book Antiqua"/>
          <w:sz w:val="20"/>
        </w:rPr>
        <w:t xml:space="preserve">formulas derived </w:t>
      </w:r>
      <w:r w:rsidR="006F31A3">
        <w:rPr>
          <w:rFonts w:ascii="Book Antiqua" w:hAnsi="Book Antiqua"/>
          <w:sz w:val="20"/>
        </w:rPr>
        <w:t xml:space="preserve">in that context </w:t>
      </w:r>
      <w:r w:rsidR="008B6EE9">
        <w:rPr>
          <w:rFonts w:ascii="Book Antiqua" w:hAnsi="Book Antiqua"/>
          <w:sz w:val="20"/>
        </w:rPr>
        <w:t>may</w:t>
      </w:r>
      <w:r w:rsidR="006F31A3">
        <w:rPr>
          <w:rFonts w:ascii="Book Antiqua" w:hAnsi="Book Antiqua"/>
          <w:sz w:val="20"/>
        </w:rPr>
        <w:t xml:space="preserve"> </w:t>
      </w:r>
      <w:r w:rsidRPr="00BE14F9">
        <w:rPr>
          <w:rFonts w:ascii="Book Antiqua" w:hAnsi="Book Antiqua"/>
          <w:sz w:val="20"/>
        </w:rPr>
        <w:t>have universal applications.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2.3 </w:t>
      </w:r>
      <w:r w:rsidRPr="008B1CEA">
        <w:rPr>
          <w:rFonts w:ascii="Book Antiqua" w:hAnsi="Book Antiqua" w:cs="Times New Roman"/>
          <w:b w:val="0"/>
          <w:sz w:val="20"/>
          <w:szCs w:val="20"/>
        </w:rPr>
        <w:t>Virtual Particles and the Speed of Light</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SED physics has a relatively simple explanation for the effect shown by the Casimir experiments on the speed of light,</w:t>
      </w:r>
      <m:oMath>
        <m:r>
          <w:rPr>
            <w:rFonts w:ascii="Cambria Math" w:hAnsi="Cambria Math"/>
            <w:sz w:val="18"/>
            <w:szCs w:val="18"/>
          </w:rPr>
          <m:t>c</m:t>
        </m:r>
      </m:oMath>
      <w:r w:rsidRPr="00BE14F9">
        <w:rPr>
          <w:rFonts w:ascii="Book Antiqua" w:hAnsi="Book Antiqua"/>
          <w:sz w:val="20"/>
        </w:rPr>
        <w:t xml:space="preserve">. This occurs because the ZPE produces a veritable zoo of sub-atomic particle/antiparticle pairs which form briefly and then annihilate (as opposed to QED physics which states the random particles are responsible for the ZPE). As a photon of light proceeds through the vacuum, it is briefly absorbed by a virtual particle and then re-emitted as the particle pairs annihilate. An instant later the process repeats. Thus the path of a light photon is like a runner going over hurdles. As the strength of the ZPE increases, so, in direct proportion, do the number of virtual particles per unit volume. </w:t>
      </w:r>
      <w:r w:rsidRPr="00A41720">
        <w:rPr>
          <w:rFonts w:ascii="Book Antiqua" w:hAnsi="Book Antiqua"/>
          <w:sz w:val="20"/>
        </w:rPr>
        <w:t>Therefore, since a photon sweeps through a given volume of the vacuum, the number of interactions with virtual particles will increase in direct proportion to any ZPE increase.</w:t>
      </w:r>
      <w:r w:rsidRPr="00BE14F9">
        <w:rPr>
          <w:rFonts w:ascii="Book Antiqua" w:hAnsi="Book Antiqua"/>
          <w:sz w:val="20"/>
        </w:rPr>
        <w:t xml:space="preserve"> The more virtual particles per unit volume, the longer it takes light photons to traverse it. Thus, as the ZPE strength increased through time, photons took longer to reach their destination. </w:t>
      </w:r>
    </w:p>
    <w:p w:rsidR="00EE348C" w:rsidRPr="00BE14F9" w:rsidRDefault="00EE348C" w:rsidP="00EE348C">
      <w:pPr>
        <w:pStyle w:val="NoSpacing"/>
        <w:jc w:val="both"/>
        <w:rPr>
          <w:rFonts w:ascii="Book Antiqua" w:hAnsi="Book Antiqua"/>
          <w:sz w:val="20"/>
        </w:rPr>
      </w:pPr>
    </w:p>
    <w:p w:rsidR="00CD1B81" w:rsidRPr="00BE14F9" w:rsidRDefault="00EE348C" w:rsidP="00CD1B81">
      <w:pPr>
        <w:pStyle w:val="NoSpacing"/>
        <w:jc w:val="both"/>
        <w:rPr>
          <w:rFonts w:ascii="Book Antiqua" w:hAnsi="Book Antiqua"/>
          <w:sz w:val="20"/>
        </w:rPr>
      </w:pPr>
      <w:r w:rsidRPr="00BE14F9">
        <w:rPr>
          <w:rFonts w:ascii="Book Antiqua" w:hAnsi="Book Antiqua"/>
          <w:sz w:val="20"/>
        </w:rPr>
        <w:tab/>
        <w:t>There is something else which happens.  The presence of the photon can raise the local energy threshold of the ZPE high enough to allow an additional virtual particle pair to form</w:t>
      </w:r>
      <w:r w:rsidR="00A41720">
        <w:rPr>
          <w:rFonts w:ascii="Book Antiqua" w:hAnsi="Book Antiqua"/>
          <w:sz w:val="20"/>
        </w:rPr>
        <w:t xml:space="preserve"> where the ZPE has an energy peak.</w:t>
      </w:r>
      <w:r w:rsidRPr="00BE14F9">
        <w:rPr>
          <w:rFonts w:ascii="Book Antiqua" w:hAnsi="Book Antiqua"/>
          <w:sz w:val="20"/>
        </w:rPr>
        <w:t xml:space="preserve"> The virtual particle that is thus generated depends entirely on the generating photon</w:t>
      </w:r>
      <w:r w:rsidR="002F4446">
        <w:rPr>
          <w:rFonts w:ascii="Book Antiqua" w:hAnsi="Book Antiqua"/>
          <w:sz w:val="20"/>
        </w:rPr>
        <w:t>.</w:t>
      </w:r>
      <w:r w:rsidRPr="00BE14F9">
        <w:rPr>
          <w:rFonts w:ascii="Book Antiqua" w:hAnsi="Book Antiqua"/>
          <w:sz w:val="20"/>
        </w:rPr>
        <w:t xml:space="preserve"> This occurs because each </w:t>
      </w:r>
      <w:r w:rsidR="00A41720">
        <w:rPr>
          <w:rFonts w:ascii="Book Antiqua" w:hAnsi="Book Antiqua"/>
          <w:sz w:val="20"/>
        </w:rPr>
        <w:t xml:space="preserve">photon </w:t>
      </w:r>
      <w:r w:rsidRPr="00BE14F9">
        <w:rPr>
          <w:rFonts w:ascii="Book Antiqua" w:hAnsi="Book Antiqua"/>
          <w:sz w:val="20"/>
        </w:rPr>
        <w:t xml:space="preserve">has its own intrinsic energy which governs the form of the interaction. Furthermore, the virtual particle pair that is generated is required, by the very nature of the process, to be the one with which the photon can interact. </w:t>
      </w:r>
      <w:r w:rsidR="00A41720">
        <w:rPr>
          <w:rFonts w:ascii="Book Antiqua" w:hAnsi="Book Antiqua"/>
          <w:sz w:val="20"/>
        </w:rPr>
        <w:t xml:space="preserve">  The virtual pair will </w:t>
      </w:r>
      <w:r w:rsidR="00A41720" w:rsidRPr="00BE14F9">
        <w:rPr>
          <w:rFonts w:ascii="Book Antiqua" w:hAnsi="Book Antiqua"/>
          <w:sz w:val="20"/>
        </w:rPr>
        <w:t>then annihilate, and emit the photon again.</w:t>
      </w:r>
      <w:r w:rsidR="00CD1B81">
        <w:rPr>
          <w:rFonts w:ascii="Book Antiqua" w:hAnsi="Book Antiqua"/>
          <w:sz w:val="20"/>
        </w:rPr>
        <w:t xml:space="preserve"> </w:t>
      </w:r>
      <w:r w:rsidR="00CD1B81" w:rsidRPr="00BE14F9">
        <w:rPr>
          <w:rFonts w:ascii="Book Antiqua" w:hAnsi="Book Antiqua"/>
          <w:sz w:val="20"/>
        </w:rPr>
        <w:t xml:space="preserve">This is another conceptual example of how the speed of light, </w:t>
      </w:r>
      <m:oMath>
        <m:r>
          <w:rPr>
            <w:rFonts w:ascii="Cambria Math" w:hAnsi="Cambria Math"/>
            <w:sz w:val="18"/>
            <w:szCs w:val="18"/>
          </w:rPr>
          <m:t>c</m:t>
        </m:r>
      </m:oMath>
      <w:r w:rsidR="00CD1B81" w:rsidRPr="00BE14F9">
        <w:rPr>
          <w:rFonts w:ascii="Book Antiqua" w:hAnsi="Book Antiqua"/>
          <w:sz w:val="20"/>
        </w:rPr>
        <w:t>, is inversely related to ZPE strength.</w:t>
      </w:r>
    </w:p>
    <w:p w:rsidR="00A41720" w:rsidRDefault="00A41720" w:rsidP="00EE348C">
      <w:pPr>
        <w:pStyle w:val="NoSpacing"/>
        <w:jc w:val="both"/>
        <w:rPr>
          <w:rFonts w:ascii="Book Antiqua" w:hAnsi="Book Antiqua"/>
          <w:sz w:val="20"/>
        </w:rPr>
      </w:pPr>
    </w:p>
    <w:p w:rsidR="00CD1B81" w:rsidRDefault="00CD1B81" w:rsidP="00CD1B81">
      <w:pPr>
        <w:pStyle w:val="NoSpacing"/>
        <w:ind w:firstLine="720"/>
        <w:jc w:val="both"/>
        <w:rPr>
          <w:rFonts w:ascii="Book Antiqua" w:hAnsi="Book Antiqua"/>
          <w:sz w:val="20"/>
        </w:rPr>
      </w:pPr>
      <w:r>
        <w:rPr>
          <w:rFonts w:ascii="Book Antiqua" w:hAnsi="Book Antiqua"/>
          <w:sz w:val="20"/>
        </w:rPr>
        <w:lastRenderedPageBreak/>
        <w:t xml:space="preserve">(Tiny little neutrinos, with the least mass known, are the only particles with no charge.  Eminating from the sun, other plasmas and nuclear reactions, they travel at nearly the speed of light.  They, too, appear to interact with virtual particles in the same way light photons do.  Like photons, they </w:t>
      </w:r>
      <w:r w:rsidR="005B5906">
        <w:rPr>
          <w:rFonts w:ascii="Book Antiqua" w:hAnsi="Book Antiqua"/>
          <w:sz w:val="20"/>
        </w:rPr>
        <w:t>seem</w:t>
      </w:r>
      <w:r>
        <w:rPr>
          <w:rFonts w:ascii="Book Antiqua" w:hAnsi="Book Antiqua"/>
          <w:sz w:val="20"/>
        </w:rPr>
        <w:t xml:space="preserve"> to be able to generate additional virtual particle pairs that they can interact with. Again, this would </w:t>
      </w:r>
      <w:r w:rsidR="005B5906">
        <w:rPr>
          <w:rFonts w:ascii="Book Antiqua" w:hAnsi="Book Antiqua"/>
          <w:sz w:val="20"/>
        </w:rPr>
        <w:t xml:space="preserve">occur when they </w:t>
      </w:r>
      <w:r>
        <w:rPr>
          <w:rFonts w:ascii="Book Antiqua" w:hAnsi="Book Antiqua"/>
          <w:sz w:val="20"/>
        </w:rPr>
        <w:t>hit</w:t>
      </w:r>
      <w:r w:rsidR="005B5906">
        <w:rPr>
          <w:rFonts w:ascii="Book Antiqua" w:hAnsi="Book Antiqua"/>
          <w:sz w:val="20"/>
        </w:rPr>
        <w:t xml:space="preserve"> the</w:t>
      </w:r>
      <w:r>
        <w:rPr>
          <w:rFonts w:ascii="Book Antiqua" w:hAnsi="Book Antiqua"/>
          <w:sz w:val="20"/>
        </w:rPr>
        <w:t xml:space="preserve"> peaks in the ZPE field.)</w:t>
      </w:r>
    </w:p>
    <w:p w:rsidR="00CD1B81" w:rsidRDefault="00CD1B81"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2.4  Considering the ZPE as a Refractive Medium </w:t>
      </w:r>
    </w:p>
    <w:p w:rsidR="00EE348C" w:rsidRPr="00BE14F9" w:rsidRDefault="00EE348C" w:rsidP="00EE348C">
      <w:pPr>
        <w:rPr>
          <w:rFonts w:ascii="Book Antiqua" w:hAnsi="Book Antiqua"/>
        </w:rPr>
      </w:pPr>
    </w:p>
    <w:p w:rsidR="00EE348C" w:rsidRPr="00BE14F9" w:rsidRDefault="004046FE" w:rsidP="00EE348C">
      <w:pPr>
        <w:shd w:val="clear" w:color="auto" w:fill="FFFFFF"/>
        <w:ind w:firstLine="720"/>
        <w:jc w:val="both"/>
        <w:rPr>
          <w:rFonts w:ascii="Book Antiqua" w:hAnsi="Book Antiqua"/>
          <w:color w:val="000000"/>
        </w:rPr>
      </w:pPr>
      <w:r>
        <w:rPr>
          <w:rFonts w:ascii="Book Antiqua" w:hAnsi="Book Antiqua"/>
          <w:color w:val="000000"/>
        </w:rPr>
        <w:t xml:space="preserve">When a straw is put into a glass of water, the straw appears ‘broken’ at the surface of the water.  The reason for this is that when </w:t>
      </w:r>
      <w:r w:rsidR="00EE348C" w:rsidRPr="00BE14F9">
        <w:rPr>
          <w:rFonts w:ascii="Book Antiqua" w:hAnsi="Book Antiqua"/>
          <w:color w:val="000000"/>
        </w:rPr>
        <w:t xml:space="preserve">light goes from air into water there is a point in the light's path where a change in velocity takes place. At this point of change, the leading waves slow down and the ones coming behind crowd in on the leading waves. This causes the wavelengths to bunch up, so they are closer together in the water than in the air. </w:t>
      </w:r>
      <w:r>
        <w:rPr>
          <w:rFonts w:ascii="Book Antiqua" w:hAnsi="Book Antiqua"/>
          <w:color w:val="000000"/>
        </w:rPr>
        <w:t xml:space="preserve"> This is why the ‘break’ appears.</w:t>
      </w:r>
    </w:p>
    <w:p w:rsidR="0001588B" w:rsidRDefault="0001588B" w:rsidP="00EE348C">
      <w:pPr>
        <w:shd w:val="clear" w:color="auto" w:fill="FFFFFF"/>
        <w:ind w:firstLine="720"/>
        <w:jc w:val="both"/>
        <w:rPr>
          <w:rFonts w:ascii="Book Antiqua" w:hAnsi="Book Antiqua"/>
          <w:color w:val="000000"/>
        </w:rPr>
      </w:pPr>
    </w:p>
    <w:p w:rsidR="004046FE" w:rsidRPr="00BE14F9" w:rsidRDefault="00EE348C" w:rsidP="004046FE">
      <w:pPr>
        <w:shd w:val="clear" w:color="auto" w:fill="FFFFFF"/>
        <w:ind w:firstLine="720"/>
        <w:jc w:val="both"/>
        <w:rPr>
          <w:rFonts w:ascii="Book Antiqua" w:hAnsi="Book Antiqua"/>
          <w:color w:val="000000"/>
        </w:rPr>
      </w:pPr>
      <w:r w:rsidRPr="00BE14F9">
        <w:rPr>
          <w:rFonts w:ascii="Book Antiqua" w:hAnsi="Book Antiqua"/>
          <w:color w:val="000000"/>
        </w:rPr>
        <w:t xml:space="preserve">However, space is not like that. The actual changes in the ZPE are smooth, continuous and simultaneous throughout the cosmos. Because of this, there is no place in the light's path where a sudden change in velocity occurs. Therefore, the waves do not bunch up; the wavelengths remain constant throughout the whole travel distance. This happens because every part of the train of waves from the point of emission to the point of reception is, at any moment, traveling with the same velocity as the rest of the wave-train. This is where the </w:t>
      </w:r>
      <w:r w:rsidR="004046FE">
        <w:rPr>
          <w:rFonts w:ascii="Book Antiqua" w:hAnsi="Book Antiqua"/>
          <w:color w:val="000000"/>
        </w:rPr>
        <w:t>locomotive</w:t>
      </w:r>
      <w:r w:rsidRPr="00BE14F9">
        <w:rPr>
          <w:rFonts w:ascii="Book Antiqua" w:hAnsi="Book Antiqua"/>
          <w:color w:val="000000"/>
        </w:rPr>
        <w:t xml:space="preserve"> analogy comes in; as the locomotive slows, every car</w:t>
      </w:r>
      <w:r w:rsidR="004046FE">
        <w:rPr>
          <w:rFonts w:ascii="Book Antiqua" w:hAnsi="Book Antiqua"/>
          <w:color w:val="000000"/>
        </w:rPr>
        <w:t xml:space="preserve"> attached</w:t>
      </w:r>
      <w:r w:rsidRPr="00BE14F9">
        <w:rPr>
          <w:rFonts w:ascii="Book Antiqua" w:hAnsi="Book Antiqua"/>
          <w:color w:val="000000"/>
        </w:rPr>
        <w:t xml:space="preserve"> slows uniformly with it. The cars do not bunch up together but remain at a constant distance apart. </w:t>
      </w:r>
      <w:r w:rsidR="004046FE" w:rsidRPr="00BE14F9">
        <w:rPr>
          <w:rFonts w:ascii="Book Antiqua" w:hAnsi="Book Antiqua"/>
          <w:color w:val="000000"/>
        </w:rPr>
        <w:t>That is a picture of a train of light waves from a distant object going through the vacuum with a changing ZPE, which is basically the same as a varying refractive index.</w:t>
      </w:r>
      <w:r w:rsidR="004046FE">
        <w:rPr>
          <w:rFonts w:ascii="Book Antiqua" w:hAnsi="Book Antiqua"/>
          <w:color w:val="000000"/>
        </w:rPr>
        <w:t xml:space="preserve">  The</w:t>
      </w:r>
      <w:r w:rsidR="004046FE" w:rsidRPr="00BE14F9">
        <w:rPr>
          <w:rFonts w:ascii="Book Antiqua" w:hAnsi="Book Antiqua"/>
          <w:color w:val="000000"/>
        </w:rPr>
        <w:t xml:space="preserve"> simultaneously smooth changes in the ZPE strength throughout the cosmos mean that there will be no refraction of the light waves.</w:t>
      </w:r>
    </w:p>
    <w:p w:rsidR="00EE348C" w:rsidRPr="00BE14F9" w:rsidRDefault="00EE348C" w:rsidP="00EE348C">
      <w:pPr>
        <w:shd w:val="clear" w:color="auto" w:fill="FFFFFF"/>
        <w:ind w:firstLine="720"/>
        <w:jc w:val="both"/>
        <w:rPr>
          <w:rFonts w:ascii="Book Antiqua" w:hAnsi="Book Antiqua"/>
          <w:color w:val="00000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2.5 The Vacuum: a Non-Dispersive Medium</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In contrast to the QED approach, which limits the possibility of changing vacuum properties </w:t>
      </w:r>
      <w:r w:rsidR="0077266B">
        <w:rPr>
          <w:rFonts w:ascii="Book Antiqua" w:hAnsi="Book Antiqua"/>
          <w:sz w:val="20"/>
        </w:rPr>
        <w:t>which would</w:t>
      </w:r>
      <w:r w:rsidRPr="00BE14F9">
        <w:rPr>
          <w:rFonts w:ascii="Book Antiqua" w:hAnsi="Book Antiqua"/>
          <w:sz w:val="20"/>
        </w:rPr>
        <w:t xml:space="preserve"> affect the speed of light, it is necessary to examine </w:t>
      </w:r>
      <w:r w:rsidR="0077266B">
        <w:rPr>
          <w:rFonts w:ascii="Book Antiqua" w:hAnsi="Book Antiqua"/>
          <w:sz w:val="20"/>
        </w:rPr>
        <w:t>the reality of a changing Zero Point Energy</w:t>
      </w:r>
      <w:r w:rsidRPr="00BE14F9">
        <w:rPr>
          <w:rFonts w:ascii="Book Antiqua" w:hAnsi="Book Antiqua"/>
          <w:sz w:val="20"/>
        </w:rPr>
        <w:t xml:space="preserve">.  Any changes in the strength of the ZPE will mean that the vacuum’s electrical permittivity, </w:t>
      </w:r>
      <m:oMath>
        <m:r>
          <w:rPr>
            <w:rFonts w:ascii="Cambria Math" w:hAnsi="Cambria Math"/>
            <w:sz w:val="18"/>
            <w:szCs w:val="18"/>
          </w:rPr>
          <m:t>ε</m:t>
        </m:r>
      </m:oMath>
      <w:r w:rsidRPr="00BE14F9">
        <w:rPr>
          <w:rFonts w:ascii="Book Antiqua" w:hAnsi="Book Antiqua"/>
          <w:sz w:val="20"/>
        </w:rPr>
        <w:t xml:space="preserve">, and magnetic permeability, </w:t>
      </w:r>
      <m:oMath>
        <m:r>
          <w:rPr>
            <w:rFonts w:ascii="Cambria Math" w:hAnsi="Cambria Math"/>
            <w:sz w:val="18"/>
            <w:szCs w:val="18"/>
          </w:rPr>
          <m:t>μ</m:t>
        </m:r>
      </m:oMath>
      <w:r w:rsidRPr="00BE14F9">
        <w:rPr>
          <w:rFonts w:ascii="Book Antiqua" w:hAnsi="Book Antiqua"/>
          <w:sz w:val="20"/>
        </w:rPr>
        <w:t xml:space="preserve">, must also change. Nevertheless, with these changes in vacuum properties, the vacuum must remain a non-dispersive medium; otherwise photographs of distant astronomical objects would appear blurred. This requires the ratio of electric energy to the magnetic energy in a traveling wave to remain constant. In turn, this means the intrinsic impedance of free space, </w:t>
      </w:r>
      <m:oMath>
        <m:r>
          <w:rPr>
            <w:rFonts w:ascii="Book Antiqua" w:hAnsi="Book Antiqua"/>
            <w:sz w:val="18"/>
            <w:szCs w:val="18"/>
          </w:rPr>
          <m:t>Ω</m:t>
        </m:r>
      </m:oMath>
      <w:r w:rsidRPr="00BE14F9">
        <w:rPr>
          <w:rFonts w:ascii="Book Antiqua" w:hAnsi="Book Antiqua"/>
          <w:sz w:val="20"/>
        </w:rPr>
        <w:t>, must be invariant. It then follows from the definition of intrinsic impedance that [34]:</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Book Antiqua" w:hAnsi="Book Antiqua"/>
            <w:sz w:val="18"/>
            <w:szCs w:val="18"/>
          </w:rPr>
          <m:t>Ω</m:t>
        </m:r>
        <m:r>
          <w:rPr>
            <w:rFonts w:ascii="Cambria Math" w:hAnsi="Book Antiqua"/>
            <w:sz w:val="18"/>
            <w:szCs w:val="18"/>
          </w:rPr>
          <m:t xml:space="preserve"> = </m:t>
        </m:r>
        <m:r>
          <w:rPr>
            <w:rFonts w:ascii="Book Antiqua" w:hAnsi="Book Antiqua"/>
            <w:sz w:val="18"/>
            <w:szCs w:val="18"/>
          </w:rPr>
          <m:t>√</m:t>
        </m:r>
        <m:r>
          <w:rPr>
            <w:rFonts w:ascii="Cambria Math" w:hAnsi="Book Antiqua"/>
            <w:sz w:val="18"/>
            <w:szCs w:val="18"/>
          </w:rPr>
          <m:t xml:space="preserve">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m:t>
        </m:r>
        <m:r>
          <m:rPr>
            <m:sty m:val="bi"/>
          </m:rPr>
          <w:rPr>
            <w:rFonts w:ascii="Cambria Math" w:hAnsi="Book Antiqua"/>
            <w:sz w:val="18"/>
            <w:szCs w:val="18"/>
          </w:rPr>
          <m:t xml:space="preserve"> </m:t>
        </m:r>
        <m:r>
          <w:rPr>
            <w:rFonts w:ascii="Cambria Math" w:hAnsi="Cambria Math"/>
            <w:sz w:val="18"/>
            <w:szCs w:val="18"/>
          </w:rPr>
          <m:t>invariant</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ε</m:t>
        </m:r>
        <m:r>
          <w:rPr>
            <w:rFonts w:ascii="Cambria Math" w:hAnsi="Book Antiqua"/>
            <w:sz w:val="18"/>
            <w:szCs w:val="18"/>
          </w:rPr>
          <m:t xml:space="preserve"> </m:t>
        </m:r>
        <m:r>
          <w:rPr>
            <w:rFonts w:ascii="Cambria Math" w:hAnsi="Cambria Math"/>
            <w:sz w:val="18"/>
            <w:szCs w:val="18"/>
          </w:rPr>
          <m:t>c</m:t>
        </m:r>
        <m:r>
          <w:rPr>
            <w:rFonts w:ascii="Cambria Math" w:hAnsi="Book Antiqua"/>
            <w:sz w:val="18"/>
            <w:szCs w:val="18"/>
          </w:rPr>
          <m:t>)</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t xml:space="preserve"> (6)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Thus </w:t>
      </w:r>
      <m:oMath>
        <m:r>
          <w:rPr>
            <w:rFonts w:ascii="Book Antiqua" w:hAnsi="Book Antiqua"/>
            <w:sz w:val="18"/>
            <w:szCs w:val="18"/>
          </w:rPr>
          <m:t>Ω</m:t>
        </m:r>
      </m:oMath>
      <w:r w:rsidRPr="00BE14F9">
        <w:rPr>
          <w:rFonts w:ascii="Book Antiqua" w:hAnsi="Book Antiqua"/>
          <w:i/>
          <w:iCs/>
          <w:sz w:val="20"/>
        </w:rPr>
        <w:t xml:space="preserve"> </w:t>
      </w:r>
      <w:r w:rsidRPr="00BE14F9">
        <w:rPr>
          <w:rFonts w:ascii="Book Antiqua" w:hAnsi="Book Antiqua"/>
          <w:sz w:val="20"/>
        </w:rPr>
        <w:t xml:space="preserve">will always bear the value of 376.73 ohms. From (6) it follows that with all these changes,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must vary inversely to both the vacuum permittivity and permeability (which are a result of the ZPE), so that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(7)</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As a result, at any given instant, </w:t>
      </w:r>
      <w:r w:rsidRPr="00BE14F9">
        <w:rPr>
          <w:rFonts w:ascii="Book Antiqua" w:hAnsi="Book Antiqua"/>
          <w:i/>
          <w:iCs/>
          <w:sz w:val="20"/>
        </w:rPr>
        <w:t xml:space="preserve">c </w:t>
      </w:r>
      <w:r w:rsidRPr="00BE14F9">
        <w:rPr>
          <w:rFonts w:ascii="Book Antiqua" w:hAnsi="Book Antiqua"/>
          <w:sz w:val="20"/>
        </w:rPr>
        <w:t xml:space="preserve">would have the same value throughout the cosmos. Experimentally, this constraint has been verified by Barnet, Davis, &amp; Sanders [35].  </w:t>
      </w:r>
    </w:p>
    <w:p w:rsidR="0077266B" w:rsidRDefault="0077266B"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2.6 </w:t>
      </w:r>
      <w:r w:rsidR="002307FA">
        <w:rPr>
          <w:rFonts w:ascii="Book Antiqua" w:hAnsi="Book Antiqua" w:cs="Times New Roman"/>
          <w:b w:val="0"/>
          <w:sz w:val="20"/>
          <w:szCs w:val="20"/>
        </w:rPr>
        <w:t>Vacuum Permittivity, Permeability and</w:t>
      </w:r>
      <w:r w:rsidRPr="00BE14F9">
        <w:rPr>
          <w:rFonts w:ascii="Book Antiqua" w:hAnsi="Book Antiqua" w:cs="Times New Roman"/>
          <w:b w:val="0"/>
          <w:sz w:val="20"/>
          <w:szCs w:val="20"/>
        </w:rPr>
        <w:t xml:space="preserve"> Energy Density.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Barton's analysis, mentioned previously, considered the magnetic properties of space (the permeability) as well as the vacuum’s electric properties (the permittivity) in his calculations. Analysis has shown that the Casimir process affects both properties uniformly, regardless of wavelength.  This agrees with the requirement of an unchanging intrinsic </w:t>
      </w:r>
      <w:r w:rsidRPr="00BE14F9">
        <w:rPr>
          <w:rFonts w:ascii="Book Antiqua" w:hAnsi="Book Antiqua"/>
          <w:sz w:val="20"/>
        </w:rPr>
        <w:lastRenderedPageBreak/>
        <w:t xml:space="preserve">impedance.  Scharnhorst’s treatment also confirms this as it reveals that there is no dispersion in this process. This made it possible for Barnett to comment in Nature: </w:t>
      </w:r>
      <w:r w:rsidRPr="00BE14F9">
        <w:rPr>
          <w:rFonts w:ascii="Book Antiqua" w:hAnsi="Book Antiqua"/>
          <w:i/>
          <w:sz w:val="20"/>
        </w:rPr>
        <w:t>“Scharnhorst and Barton …[show that] with the apparent increase in the velocity of light, the phase, group and signal velocities will therefore all increase by about the same amount.”</w:t>
      </w:r>
      <w:r w:rsidRPr="00BE14F9">
        <w:rPr>
          <w:rFonts w:ascii="Book Antiqua" w:hAnsi="Book Antiqua"/>
          <w:sz w:val="20"/>
        </w:rPr>
        <w:t xml:space="preserve"> [32]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Also of significance is Barton’s comment: </w:t>
      </w:r>
      <w:r w:rsidRPr="00BE14F9">
        <w:rPr>
          <w:rFonts w:ascii="Book Antiqua" w:hAnsi="Book Antiqua"/>
          <w:i/>
          <w:sz w:val="20"/>
        </w:rPr>
        <w:t>“But between [the Casimir plates or] mirrors the intensity of the zero-point oscillations of the Maxwell field is less than in unbounded space, a familiar conclusion confirmed experimentally by the Casimir effect; and the same … reduction in intensity entails a proportionate drop of the refractive index below unity (</w:t>
      </w:r>
      <m:oMath>
        <m:r>
          <w:rPr>
            <w:rFonts w:ascii="Cambria Math" w:hAnsi="Cambria Math" w:cs="PBADFD+TimesNewRoman,Italic"/>
            <w:sz w:val="18"/>
            <w:szCs w:val="18"/>
          </w:rPr>
          <m:t>Δn</m:t>
        </m:r>
        <m:r>
          <w:rPr>
            <w:rFonts w:ascii="Cambria Math" w:hAnsi="Book Antiqua" w:cs="PBADFD+TimesNewRoman,Italic"/>
            <w:sz w:val="18"/>
            <w:szCs w:val="18"/>
          </w:rPr>
          <m:t>&lt;0</m:t>
        </m:r>
      </m:oMath>
      <w:r w:rsidRPr="00BE14F9">
        <w:rPr>
          <w:rFonts w:ascii="Book Antiqua" w:hAnsi="Book Antiqua"/>
          <w:i/>
          <w:sz w:val="20"/>
        </w:rPr>
        <w:t>).”</w:t>
      </w:r>
      <w:r w:rsidRPr="00BE14F9">
        <w:rPr>
          <w:rFonts w:ascii="Book Antiqua" w:hAnsi="Book Antiqua"/>
          <w:sz w:val="20"/>
        </w:rPr>
        <w:t xml:space="preserve"> [31] In fact Barton shows that the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of the vacuum between the plates (or mirrors) are both proportional to the Casimir vacuum energy density, </w:t>
      </w:r>
      <m:oMath>
        <m:r>
          <w:rPr>
            <w:rFonts w:ascii="Cambria Math" w:hAnsi="Cambria Math" w:cs="PBADEC+TimesNewRoman"/>
            <w:sz w:val="18"/>
            <w:szCs w:val="18"/>
          </w:rPr>
          <m:t>U</m:t>
        </m:r>
      </m:oMath>
      <w:r w:rsidRPr="00BE14F9">
        <w:rPr>
          <w:rFonts w:ascii="Book Antiqua" w:hAnsi="Book Antiqua"/>
          <w:sz w:val="20"/>
        </w:rPr>
        <w:t>. As a result, from these analyses we can write: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m:t>
        </m:r>
        <m:r>
          <w:rPr>
            <w:rFonts w:ascii="Cambria Math" w:hAnsi="Cambria Math"/>
            <w:sz w:val="18"/>
            <w:szCs w:val="18"/>
          </w:rPr>
          <m:t>U</m:t>
        </m:r>
      </m:oMath>
      <w:r w:rsidRPr="00BE14F9">
        <w:rPr>
          <w:rFonts w:ascii="Book Antiqua" w:hAnsi="Book Antiqua"/>
          <w:iCs/>
          <w:sz w:val="20"/>
        </w:rPr>
        <w:t xml:space="preserve">  .</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This result will seem problematical to those who are only use</w:t>
      </w:r>
      <w:r w:rsidR="006A4A9E">
        <w:rPr>
          <w:rFonts w:ascii="Book Antiqua" w:hAnsi="Book Antiqua"/>
          <w:sz w:val="20"/>
        </w:rPr>
        <w:t>d to</w:t>
      </w:r>
      <w:r w:rsidRPr="00BE14F9">
        <w:rPr>
          <w:rFonts w:ascii="Book Antiqua" w:hAnsi="Book Antiqua"/>
          <w:sz w:val="20"/>
        </w:rPr>
        <w:t xml:space="preserve"> SI Units, since those units define both ε and µ as fixed constants. However, those who formulated the SI units did this on the basis that the speed of light itself is an absolute constant. But, if </w:t>
      </w:r>
      <w:r w:rsidRPr="00BE14F9">
        <w:rPr>
          <w:rFonts w:ascii="Book Antiqua" w:hAnsi="Book Antiqua"/>
          <w:i/>
          <w:sz w:val="20"/>
        </w:rPr>
        <w:t>c</w:t>
      </w:r>
      <w:r w:rsidRPr="00BE14F9">
        <w:rPr>
          <w:rFonts w:ascii="Book Antiqua" w:hAnsi="Book Antiqua"/>
          <w:sz w:val="20"/>
        </w:rPr>
        <w:t xml:space="preserve"> varies, then it necessarily follows that ε and µ must also vary as shown in (8). This is in perfect accord with the old system of units (the centimeter, gram, second or CGS units) used by Maxwell which were in use up to the middle of the 20</w:t>
      </w:r>
      <w:r w:rsidRPr="00BE14F9">
        <w:rPr>
          <w:rFonts w:ascii="Book Antiqua" w:hAnsi="Book Antiqua"/>
          <w:sz w:val="20"/>
          <w:vertAlign w:val="superscript"/>
        </w:rPr>
        <w:t>th</w:t>
      </w:r>
      <w:r w:rsidRPr="00BE14F9">
        <w:rPr>
          <w:rFonts w:ascii="Book Antiqua" w:hAnsi="Book Antiqua"/>
          <w:sz w:val="20"/>
        </w:rPr>
        <w:t xml:space="preserve"> century.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this basis, the result in equation (8) may be derived from classical electrodynamics.  Those equations show that if other factors are unchanged, then energy densities are generally proportional to both the permittivity and the permeability [36]. Therefore, since permittivity, </w:t>
      </w:r>
      <m:oMath>
        <m:r>
          <w:rPr>
            <w:rFonts w:ascii="Cambria Math" w:hAnsi="Cambria Math" w:cs="PBADEC+TimesNewRoman"/>
            <w:sz w:val="18"/>
            <w:szCs w:val="18"/>
          </w:rPr>
          <m:t>ε</m:t>
        </m:r>
      </m:oMath>
      <w:r w:rsidRPr="00BE14F9">
        <w:rPr>
          <w:rFonts w:ascii="Book Antiqua" w:hAnsi="Book Antiqua"/>
          <w:sz w:val="20"/>
        </w:rPr>
        <w:t xml:space="preserve">, and permeability, </w:t>
      </w:r>
      <m:oMath>
        <m:r>
          <w:rPr>
            <w:rFonts w:ascii="Cambria Math" w:hAnsi="Cambria Math" w:cs="PBADEC+TimesNewRoman"/>
            <w:sz w:val="18"/>
            <w:szCs w:val="18"/>
          </w:rPr>
          <m:t>μ</m:t>
        </m:r>
      </m:oMath>
      <w:r w:rsidRPr="00BE14F9">
        <w:rPr>
          <w:rFonts w:ascii="Book Antiqua" w:hAnsi="Book Antiqua"/>
          <w:sz w:val="20"/>
        </w:rPr>
        <w:t xml:space="preserve">, are uniformly affected by the Casimir process, it follows that light speed, </w:t>
      </w:r>
      <m:oMath>
        <m:r>
          <w:rPr>
            <w:rFonts w:ascii="Cambria Math" w:hAnsi="Cambria Math" w:cs="PBADEC+TimesNewRoman"/>
            <w:sz w:val="18"/>
            <w:szCs w:val="18"/>
          </w:rPr>
          <m:t>c</m:t>
        </m:r>
      </m:oMath>
      <w:r w:rsidRPr="00BE14F9">
        <w:rPr>
          <w:rFonts w:ascii="Book Antiqua" w:hAnsi="Book Antiqua"/>
          <w:sz w:val="20"/>
        </w:rPr>
        <w:t xml:space="preserve">, is inversely proportional to each, from the standard equation </w:t>
      </w:r>
    </w:p>
    <w:p w:rsidR="00EE348C" w:rsidRPr="00BE14F9" w:rsidRDefault="00EE348C" w:rsidP="00EE348C">
      <w:pPr>
        <w:pStyle w:val="NoSpacing"/>
        <w:jc w:val="both"/>
        <w:rPr>
          <w:rFonts w:ascii="Book Antiqua" w:hAnsi="Book Antiqua"/>
          <w:sz w:val="20"/>
        </w:rPr>
      </w:pPr>
    </w:p>
    <w:p w:rsidR="00EE348C" w:rsidRPr="00BE14F9" w:rsidRDefault="007B3EBC" w:rsidP="00EE348C">
      <w:pPr>
        <w:pStyle w:val="NoSpacing"/>
        <w:jc w:val="right"/>
        <w:rPr>
          <w:rFonts w:ascii="Book Antiqua" w:hAnsi="Book Antiqua"/>
          <w:sz w:val="20"/>
        </w:rPr>
      </w:pPr>
      <m:oMath>
        <m:sSup>
          <m:sSupPr>
            <m:ctrlPr>
              <w:rPr>
                <w:rFonts w:ascii="Cambria Math" w:hAnsi="Book Antiqua" w:cs="PBADEC+TimesNewRoman"/>
                <w:i/>
                <w:sz w:val="18"/>
                <w:szCs w:val="18"/>
              </w:rPr>
            </m:ctrlPr>
          </m:sSupPr>
          <m:e>
            <m:r>
              <w:rPr>
                <w:rFonts w:ascii="Cambria Math" w:hAnsi="Cambria Math" w:cs="PBADEC+TimesNewRoman"/>
                <w:sz w:val="18"/>
                <w:szCs w:val="18"/>
              </w:rPr>
              <m:t>c</m:t>
            </m:r>
          </m:e>
          <m:sup>
            <m:r>
              <w:rPr>
                <w:rFonts w:ascii="Cambria Math" w:hAnsi="Book Antiqua" w:cs="PBADEC+TimesNewRoman"/>
                <w:sz w:val="18"/>
                <w:szCs w:val="18"/>
              </w:rPr>
              <m:t>2</m:t>
            </m:r>
          </m:sup>
        </m:sSup>
        <m:r>
          <w:rPr>
            <w:rFonts w:ascii="Cambria Math" w:hAnsi="Book Antiqua" w:cs="PBADEC+TimesNewRoman"/>
            <w:sz w:val="18"/>
            <w:szCs w:val="18"/>
          </w:rPr>
          <m:t xml:space="preserve"> =  1/(</m:t>
        </m:r>
        <m:r>
          <w:rPr>
            <w:rFonts w:ascii="Cambria Math" w:hAnsi="Cambria Math" w:cs="PBADEC+TimesNewRoman"/>
            <w:sz w:val="18"/>
            <w:szCs w:val="18"/>
          </w:rPr>
          <m:t>εμ</m:t>
        </m:r>
        <m:r>
          <w:rPr>
            <w:rFonts w:ascii="Cambria Math" w:hAnsi="Book Antiqua" w:cs="PBADEC+TimesNewRoman"/>
            <w:sz w:val="18"/>
            <w:szCs w:val="18"/>
          </w:rPr>
          <m:t>)</m:t>
        </m:r>
      </m:oMath>
      <w:r w:rsidR="00EE348C" w:rsidRPr="00BE14F9">
        <w:rPr>
          <w:rFonts w:ascii="Book Antiqua" w:hAnsi="Book Antiqua"/>
          <w:i/>
          <w:sz w:val="20"/>
        </w:rPr>
        <w:t xml:space="preserve"> .</w:t>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r>
      <w:r w:rsidR="00EE348C" w:rsidRPr="00BE14F9">
        <w:rPr>
          <w:rFonts w:ascii="Book Antiqua" w:hAnsi="Book Antiqua"/>
          <w:i/>
          <w:sz w:val="20"/>
        </w:rPr>
        <w:tab/>
        <w:t>(9)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Therefore, by applying the results of  (5), (7) and  (8) to (9) we get:</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U</m:t>
        </m:r>
        <m:r>
          <w:rPr>
            <w:rFonts w:ascii="Cambria Math" w:hAnsi="Book Antiqua"/>
            <w:sz w:val="18"/>
            <w:szCs w:val="18"/>
          </w:rPr>
          <m:t xml:space="preserve"> ~ </m:t>
        </m:r>
        <m:r>
          <w:rPr>
            <w:rFonts w:ascii="Cambria Math" w:hAnsi="Cambria Math"/>
            <w:sz w:val="18"/>
            <w:szCs w:val="18"/>
          </w:rPr>
          <m:t>ε</m:t>
        </m:r>
        <m:r>
          <w:rPr>
            <w:rFonts w:ascii="Cambria Math" w:hAnsi="Book Antiqua"/>
            <w:sz w:val="18"/>
            <w:szCs w:val="18"/>
          </w:rPr>
          <m:t xml:space="preserve"> ~ </m:t>
        </m:r>
        <m:r>
          <w:rPr>
            <w:rFonts w:ascii="Cambria Math" w:hAnsi="Cambria Math"/>
            <w:sz w:val="18"/>
            <w:szCs w:val="18"/>
          </w:rPr>
          <m:t>μ</m:t>
        </m:r>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oMath>
      <w:r w:rsidRPr="00BE14F9">
        <w:rPr>
          <w:rFonts w:ascii="Book Antiqua" w:hAnsi="Book Antiqua"/>
          <w:i/>
          <w:sz w:val="18"/>
          <w:szCs w:val="18"/>
        </w:rPr>
        <w:t xml:space="preserve"> </w:t>
      </w:r>
      <w:r w:rsidRPr="00BE14F9">
        <w:rPr>
          <w:rFonts w:ascii="Book Antiqua" w:hAnsi="Book Antiqua"/>
          <w:i/>
          <w:iCs/>
          <w:sz w:val="20"/>
        </w:rPr>
        <w:t xml:space="preserve"> </w:t>
      </w:r>
      <w:r w:rsidRPr="00BE14F9">
        <w:rPr>
          <w:rFonts w:ascii="Book Antiqua" w:hAnsi="Book Antiqua"/>
          <w:iCs/>
          <w:sz w:val="20"/>
        </w:rPr>
        <w:tab/>
        <w:t>.</w:t>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sz w:val="20"/>
        </w:rPr>
        <w:t>(10)</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Since the energy density of electromagnetic waves, </w:t>
      </w:r>
      <m:oMath>
        <m:r>
          <w:rPr>
            <w:rFonts w:ascii="Cambria Math" w:hAnsi="Cambria Math"/>
            <w:sz w:val="18"/>
            <w:szCs w:val="18"/>
          </w:rPr>
          <m:t>ρ</m:t>
        </m:r>
      </m:oMath>
      <w:r w:rsidRPr="00BE14F9">
        <w:rPr>
          <w:rFonts w:ascii="Book Antiqua" w:hAnsi="Book Antiqua"/>
          <w:sz w:val="20"/>
        </w:rPr>
        <w:t xml:space="preserve">, also applies to the energy density of ZPE waves, </w:t>
      </w:r>
      <m:oMath>
        <m:r>
          <w:rPr>
            <w:rFonts w:ascii="Cambria Math" w:hAnsi="Cambria Math"/>
            <w:sz w:val="18"/>
            <w:szCs w:val="18"/>
          </w:rPr>
          <m:t>U</m:t>
        </m:r>
      </m:oMath>
      <w:r w:rsidRPr="00BE14F9">
        <w:rPr>
          <w:rFonts w:ascii="Book Antiqua" w:hAnsi="Book Antiqua"/>
          <w:i/>
          <w:sz w:val="20"/>
        </w:rPr>
        <w:t xml:space="preserve">, </w:t>
      </w:r>
      <w:r w:rsidRPr="00BE14F9">
        <w:rPr>
          <w:rFonts w:ascii="Book Antiqua" w:hAnsi="Book Antiqua"/>
          <w:sz w:val="20"/>
        </w:rPr>
        <w:t>then this</w:t>
      </w:r>
      <w:r w:rsidRPr="00BE14F9">
        <w:rPr>
          <w:rFonts w:ascii="Book Antiqua" w:hAnsi="Book Antiqua"/>
          <w:i/>
          <w:sz w:val="20"/>
        </w:rPr>
        <w:t xml:space="preserve"> </w:t>
      </w:r>
      <w:r w:rsidRPr="00BE14F9">
        <w:rPr>
          <w:rFonts w:ascii="Book Antiqua" w:hAnsi="Book Antiqua"/>
          <w:sz w:val="20"/>
        </w:rPr>
        <w:t>result can be more firmly established. According to classical theory as given by Starling and Woodall in [36] we get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sSup>
          <m:sSupPr>
            <m:ctrlPr>
              <w:rPr>
                <w:rFonts w:ascii="Cambria Math" w:hAnsi="Book Antiqua" w:cs="Arial"/>
                <w:i/>
                <w:sz w:val="18"/>
                <w:szCs w:val="18"/>
              </w:rPr>
            </m:ctrlPr>
          </m:sSupPr>
          <m:e>
            <m:r>
              <w:rPr>
                <w:rFonts w:ascii="Cambria Math" w:hAnsi="Cambria Math" w:cs="Arial"/>
                <w:sz w:val="18"/>
                <w:szCs w:val="18"/>
              </w:rPr>
              <m:t>E</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Book Antiqua" w:hAnsi="Book Antiqua" w:cs="Arial"/>
            <w:sz w:val="18"/>
            <w:szCs w:val="18"/>
          </w:rPr>
          <m:t>µ</m:t>
        </m:r>
        <m:sSup>
          <m:sSupPr>
            <m:ctrlPr>
              <w:rPr>
                <w:rFonts w:ascii="Cambria Math" w:hAnsi="Book Antiqua" w:cs="Arial"/>
                <w:i/>
                <w:sz w:val="18"/>
                <w:szCs w:val="18"/>
              </w:rPr>
            </m:ctrlPr>
          </m:sSupPr>
          <m:e>
            <m:r>
              <w:rPr>
                <w:rFonts w:ascii="Cambria Math" w:hAnsi="Cambria Math" w:cs="Arial"/>
                <w:sz w:val="18"/>
                <w:szCs w:val="18"/>
              </w:rPr>
              <m:t>H</m:t>
            </m:r>
          </m:e>
          <m:sup>
            <m:r>
              <w:rPr>
                <w:rFonts w:ascii="Cambria Math" w:hAnsi="Book Antiqua" w:cs="Arial"/>
                <w:sz w:val="18"/>
                <w:szCs w:val="18"/>
              </w:rPr>
              <m:t>2</m:t>
            </m:r>
          </m:sup>
        </m:sSup>
        <m:r>
          <w:rPr>
            <w:rFonts w:ascii="Cambria Math" w:hAnsi="Book Antiqua" w:cs="Arial"/>
            <w:sz w:val="18"/>
            <w:szCs w:val="18"/>
          </w:rPr>
          <m:t>/4</m:t>
        </m:r>
        <m:r>
          <w:rPr>
            <w:rFonts w:ascii="Cambria Math" w:hAnsi="Cambria Math" w:cs="Arial"/>
            <w:sz w:val="18"/>
            <w:szCs w:val="18"/>
          </w:rPr>
          <m:t>π</m:t>
        </m:r>
        <m:r>
          <w:rPr>
            <w:rFonts w:ascii="Cambria Math" w:hAnsi="Book Antiqua" w:cs="Arial"/>
            <w:sz w:val="18"/>
            <w:szCs w:val="18"/>
          </w:rPr>
          <m:t xml:space="preserve">  =  </m:t>
        </m:r>
        <m:r>
          <w:rPr>
            <w:rFonts w:ascii="Cambria Math" w:hAnsi="Cambria Math" w:cs="Arial"/>
            <w:sz w:val="18"/>
            <w:szCs w:val="18"/>
          </w:rPr>
          <m:t>ρ</m:t>
        </m:r>
        <m:r>
          <w:rPr>
            <w:rFonts w:ascii="Cambria Math" w:hAnsi="Book Antiqua" w:cs="Arial"/>
            <w:sz w:val="18"/>
            <w:szCs w:val="18"/>
          </w:rPr>
          <m:t xml:space="preserve">  =  </m:t>
        </m:r>
        <m:r>
          <w:rPr>
            <w:rFonts w:ascii="Cambria Math" w:hAnsi="Cambria Math" w:cs="Arial"/>
            <w:sz w:val="18"/>
            <w:szCs w:val="18"/>
          </w:rPr>
          <m:t>U</m:t>
        </m:r>
      </m:oMath>
      <w:r w:rsidRPr="00BE14F9">
        <w:rPr>
          <w:rFonts w:ascii="Book Antiqua" w:hAnsi="Book Antiqua"/>
          <w:sz w:val="20"/>
        </w:rPr>
        <w:t xml:space="preserve"> ,</w:t>
      </w:r>
      <w:r w:rsidRPr="00BE14F9">
        <w:rPr>
          <w:rFonts w:ascii="Book Antiqua" w:hAnsi="Book Antiqua"/>
          <w:sz w:val="20"/>
        </w:rPr>
        <w:tab/>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(11)</w:t>
      </w:r>
    </w:p>
    <w:p w:rsidR="00EE348C" w:rsidRPr="00BE14F9" w:rsidRDefault="00EE348C" w:rsidP="00EE348C">
      <w:pPr>
        <w:pStyle w:val="NoSpacing"/>
        <w:jc w:val="both"/>
        <w:rPr>
          <w:rFonts w:ascii="Book Antiqua" w:hAnsi="Book Antiqua"/>
          <w:sz w:val="20"/>
        </w:rPr>
      </w:pPr>
    </w:p>
    <w:p w:rsidR="00EE348C" w:rsidRPr="00BE14F9" w:rsidRDefault="00EE348C" w:rsidP="00332EE3">
      <w:pPr>
        <w:pStyle w:val="NoSpacing"/>
        <w:jc w:val="both"/>
        <w:rPr>
          <w:rFonts w:ascii="Book Antiqua" w:hAnsi="Book Antiqua"/>
          <w:sz w:val="20"/>
        </w:rPr>
      </w:pPr>
      <w:r w:rsidRPr="00BE14F9">
        <w:rPr>
          <w:rFonts w:ascii="Book Antiqua" w:hAnsi="Book Antiqua"/>
          <w:sz w:val="20"/>
        </w:rPr>
        <w:t xml:space="preserve">where </w:t>
      </w:r>
      <m:oMath>
        <m:r>
          <w:rPr>
            <w:rFonts w:ascii="Cambria Math" w:hAnsi="Cambria Math" w:cs="Arial"/>
            <w:sz w:val="18"/>
            <w:szCs w:val="18"/>
          </w:rPr>
          <m:t>E</m:t>
        </m:r>
      </m:oMath>
      <w:r w:rsidRPr="00BE14F9">
        <w:rPr>
          <w:rFonts w:ascii="Book Antiqua" w:hAnsi="Book Antiqua"/>
          <w:sz w:val="20"/>
        </w:rPr>
        <w:t xml:space="preserve"> is the electric field strength and </w:t>
      </w:r>
      <m:oMath>
        <m:r>
          <w:rPr>
            <w:rFonts w:ascii="Cambria Math" w:hAnsi="Cambria Math" w:cs="Arial"/>
            <w:sz w:val="18"/>
            <w:szCs w:val="18"/>
          </w:rPr>
          <m:t>H</m:t>
        </m:r>
      </m:oMath>
      <w:r w:rsidRPr="00BE14F9">
        <w:rPr>
          <w:rFonts w:ascii="Book Antiqua" w:hAnsi="Book Antiqua"/>
          <w:sz w:val="20"/>
        </w:rPr>
        <w:t xml:space="preserve"> is the magnetic field strength of the ZPE waves. Equation</w:t>
      </w:r>
      <w:r w:rsidR="002307FA">
        <w:rPr>
          <w:rFonts w:ascii="Book Antiqua" w:hAnsi="Book Antiqua"/>
          <w:sz w:val="20"/>
        </w:rPr>
        <w:t>s (6) and</w:t>
      </w:r>
      <w:r w:rsidRPr="00BE14F9">
        <w:rPr>
          <w:rFonts w:ascii="Book Antiqua" w:hAnsi="Book Antiqua"/>
          <w:sz w:val="20"/>
        </w:rPr>
        <w:t xml:space="preserve"> (7) </w:t>
      </w:r>
      <w:r w:rsidR="002307FA">
        <w:rPr>
          <w:rFonts w:ascii="Book Antiqua" w:hAnsi="Book Antiqua"/>
          <w:sz w:val="20"/>
        </w:rPr>
        <w:t>are still valid in SI units and have</w:t>
      </w:r>
      <w:r w:rsidRPr="00BE14F9">
        <w:rPr>
          <w:rFonts w:ascii="Book Antiqua" w:hAnsi="Book Antiqua"/>
          <w:sz w:val="20"/>
        </w:rPr>
        <w:t xml:space="preserve"> already established that</w:t>
      </w:r>
      <m:oMath>
        <m:r>
          <w:rPr>
            <w:rFonts w:ascii="Cambria Math" w:hAnsi="Book Antiqua" w:cs="Arial"/>
            <w:sz w:val="18"/>
            <w:szCs w:val="18"/>
          </w:rPr>
          <m:t xml:space="preserve"> </m:t>
        </m:r>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xml:space="preserve"> are proportional to </w:t>
      </w:r>
      <m:oMath>
        <m:r>
          <w:rPr>
            <w:rFonts w:ascii="Cambria Math" w:hAnsi="Book Antiqua" w:cs="Arial"/>
            <w:sz w:val="18"/>
            <w:szCs w:val="18"/>
          </w:rPr>
          <m:t>1/</m:t>
        </m:r>
        <m:r>
          <w:rPr>
            <w:rFonts w:ascii="Cambria Math" w:hAnsi="Cambria Math" w:cs="Arial"/>
            <w:sz w:val="18"/>
            <w:szCs w:val="18"/>
          </w:rPr>
          <m:t>c</m:t>
        </m:r>
      </m:oMath>
      <w:r w:rsidRPr="00BE14F9">
        <w:rPr>
          <w:rFonts w:ascii="Book Antiqua" w:hAnsi="Book Antiqua"/>
          <w:sz w:val="20"/>
        </w:rPr>
        <w:t xml:space="preserve">.  </w:t>
      </w:r>
      <w:r w:rsidR="00332EE3">
        <w:rPr>
          <w:rFonts w:ascii="Book Antiqua" w:hAnsi="Book Antiqua"/>
          <w:sz w:val="20"/>
        </w:rPr>
        <w:t>Therefore, when using the currently accepted SI units</w:t>
      </w:r>
      <w:r w:rsidR="008911E6">
        <w:rPr>
          <w:rFonts w:ascii="Book Antiqua" w:hAnsi="Book Antiqua"/>
          <w:sz w:val="20"/>
        </w:rPr>
        <w:t xml:space="preserve"> in (11)</w:t>
      </w:r>
      <w:r w:rsidR="00332EE3">
        <w:rPr>
          <w:rFonts w:ascii="Book Antiqua" w:hAnsi="Book Antiqua"/>
          <w:sz w:val="20"/>
        </w:rPr>
        <w:t xml:space="preserve">, </w:t>
      </w:r>
      <m:oMath>
        <m:r>
          <w:rPr>
            <w:rFonts w:ascii="Cambria Math" w:hAnsi="Cambria Math" w:cs="Arial"/>
            <w:sz w:val="18"/>
            <w:szCs w:val="18"/>
          </w:rPr>
          <m:t>E</m:t>
        </m:r>
      </m:oMath>
      <w:r w:rsidRPr="00BE14F9">
        <w:rPr>
          <w:rFonts w:ascii="Book Antiqua" w:hAnsi="Book Antiqua"/>
          <w:sz w:val="20"/>
        </w:rPr>
        <w:t xml:space="preserve"> and </w:t>
      </w:r>
      <m:oMath>
        <m:r>
          <w:rPr>
            <w:rFonts w:ascii="Cambria Math" w:hAnsi="Cambria Math" w:cs="Arial"/>
            <w:sz w:val="18"/>
            <w:szCs w:val="18"/>
          </w:rPr>
          <m:t>H</m:t>
        </m:r>
      </m:oMath>
      <w:r w:rsidRPr="00BE14F9">
        <w:rPr>
          <w:rFonts w:ascii="Book Antiqua" w:hAnsi="Book Antiqua"/>
          <w:sz w:val="20"/>
        </w:rPr>
        <w:t xml:space="preserve"> </w:t>
      </w:r>
      <w:r w:rsidR="00332EE3">
        <w:rPr>
          <w:rFonts w:ascii="Book Antiqua" w:hAnsi="Book Antiqua"/>
          <w:sz w:val="20"/>
        </w:rPr>
        <w:t>must</w:t>
      </w:r>
      <w:r w:rsidRPr="00BE14F9">
        <w:rPr>
          <w:rFonts w:ascii="Book Antiqua" w:hAnsi="Book Antiqua"/>
          <w:sz w:val="20"/>
        </w:rPr>
        <w:t xml:space="preserve"> remain constant. Thus the only component to change as the ZPE changes is the electric and magnetic properties of the vacuum, </w:t>
      </w:r>
      <m:oMath>
        <m:r>
          <w:rPr>
            <w:rFonts w:ascii="Cambria Math" w:hAnsi="Cambria Math" w:cs="Arial"/>
            <w:sz w:val="18"/>
            <w:szCs w:val="18"/>
          </w:rPr>
          <m:t>ε</m:t>
        </m:r>
      </m:oMath>
      <w:r w:rsidRPr="00BE14F9">
        <w:rPr>
          <w:rFonts w:ascii="Book Antiqua" w:hAnsi="Book Antiqua"/>
          <w:sz w:val="20"/>
        </w:rPr>
        <w:t xml:space="preserve"> and </w:t>
      </w:r>
      <m:oMath>
        <m:r>
          <w:rPr>
            <w:rFonts w:ascii="Book Antiqua" w:hAnsi="Book Antiqua" w:cs="Arial"/>
            <w:sz w:val="18"/>
            <w:szCs w:val="18"/>
          </w:rPr>
          <m:t>µ</m:t>
        </m:r>
      </m:oMath>
      <w:r w:rsidRPr="00BE14F9">
        <w:rPr>
          <w:rFonts w:ascii="Book Antiqua" w:hAnsi="Book Antiqua"/>
          <w:sz w:val="20"/>
        </w:rPr>
        <w:t>. As a result, we can conclude that</w:t>
      </w:r>
      <w:r w:rsidR="00BA7C19">
        <w:rPr>
          <w:rFonts w:ascii="Book Antiqua" w:hAnsi="Book Antiqua"/>
          <w:sz w:val="20"/>
        </w:rPr>
        <w:t>, for SI units</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cs="Arial"/>
            <w:sz w:val="18"/>
            <w:szCs w:val="18"/>
          </w:rPr>
          <m:t>ε</m:t>
        </m:r>
        <m:r>
          <w:rPr>
            <w:rFonts w:ascii="Cambria Math" w:hAnsi="Book Antiqua" w:cs="Arial"/>
            <w:sz w:val="18"/>
            <w:szCs w:val="18"/>
          </w:rPr>
          <m:t xml:space="preserve"> ~ </m:t>
        </m:r>
        <m:r>
          <w:rPr>
            <w:rFonts w:ascii="Book Antiqua" w:hAnsi="Book Antiqua" w:cs="Arial"/>
            <w:sz w:val="18"/>
            <w:szCs w:val="18"/>
          </w:rPr>
          <m:t>µ</m:t>
        </m:r>
        <m:r>
          <w:rPr>
            <w:rFonts w:ascii="Cambria Math" w:hAnsi="Book Antiqua" w:cs="Arial"/>
            <w:sz w:val="18"/>
            <w:szCs w:val="18"/>
          </w:rPr>
          <m:t xml:space="preserve"> ~ </m:t>
        </m:r>
        <m:r>
          <w:rPr>
            <w:rFonts w:ascii="Cambria Math" w:hAnsi="Cambria Math" w:cs="Arial"/>
            <w:sz w:val="18"/>
            <w:szCs w:val="18"/>
          </w:rPr>
          <m:t>U</m:t>
        </m:r>
        <m:r>
          <w:rPr>
            <w:rFonts w:ascii="Cambria Math" w:hAnsi="Book Antiqua" w:cs="Arial"/>
            <w:sz w:val="18"/>
            <w:szCs w:val="18"/>
          </w:rPr>
          <m:t xml:space="preserve"> ~ 1/</m:t>
        </m:r>
        <m:r>
          <w:rPr>
            <w:rFonts w:ascii="Cambria Math" w:hAnsi="Cambria Math" w:cs="Arial"/>
            <w:sz w:val="18"/>
            <w:szCs w:val="18"/>
          </w:rPr>
          <m:t>c</m:t>
        </m:r>
        <m:r>
          <w:rPr>
            <w:rFonts w:ascii="Cambria Math" w:hAnsi="Book Antiqua" w:cs="Arial"/>
            <w:sz w:val="18"/>
            <w:szCs w:val="18"/>
          </w:rPr>
          <m:t xml:space="preserve"> ~ </m:t>
        </m:r>
        <m:r>
          <w:rPr>
            <w:rFonts w:ascii="Cambria Math" w:hAnsi="Cambria Math" w:cs="Arial"/>
            <w:sz w:val="18"/>
            <w:szCs w:val="18"/>
          </w:rPr>
          <m:t>h</m:t>
        </m:r>
      </m:oMath>
      <w:r w:rsidRPr="00BE14F9">
        <w:rPr>
          <w:rFonts w:ascii="Book Antiqua" w:hAnsi="Book Antiqua"/>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(12)</w:t>
      </w:r>
    </w:p>
    <w:p w:rsidR="00EE348C" w:rsidRPr="00BE14F9" w:rsidRDefault="00EE348C" w:rsidP="00EE348C">
      <w:pPr>
        <w:pStyle w:val="NoSpacing"/>
        <w:jc w:val="both"/>
        <w:rPr>
          <w:rFonts w:ascii="Book Antiqua" w:hAnsi="Book Antiqua"/>
          <w:sz w:val="20"/>
        </w:rPr>
      </w:pPr>
    </w:p>
    <w:p w:rsidR="00EE348C" w:rsidRPr="00BE14F9" w:rsidRDefault="00BA7C19" w:rsidP="00EE348C">
      <w:pPr>
        <w:pStyle w:val="NoSpacing"/>
        <w:jc w:val="both"/>
        <w:rPr>
          <w:rFonts w:ascii="Book Antiqua" w:hAnsi="Book Antiqua"/>
          <w:sz w:val="20"/>
        </w:rPr>
      </w:pPr>
      <w:r>
        <w:rPr>
          <w:rFonts w:ascii="Book Antiqua" w:hAnsi="Book Antiqua"/>
          <w:sz w:val="20"/>
        </w:rPr>
        <w:t xml:space="preserve">The result from (12) is therefore valid for both systems of units.  </w:t>
      </w:r>
      <w:r w:rsidR="00EE348C" w:rsidRPr="00BE14F9">
        <w:rPr>
          <w:rFonts w:ascii="Book Antiqua" w:hAnsi="Book Antiqua"/>
          <w:sz w:val="20"/>
        </w:rPr>
        <w:t xml:space="preserve">The considerations that lead to (10) and (12) both indicate </w:t>
      </w:r>
      <m:oMath>
        <m:r>
          <w:rPr>
            <w:rFonts w:ascii="Cambria Math" w:hAnsi="Cambria Math"/>
            <w:sz w:val="18"/>
            <w:szCs w:val="18"/>
          </w:rPr>
          <m:t>c</m:t>
        </m:r>
      </m:oMath>
      <w:r w:rsidR="00EE348C" w:rsidRPr="00BE14F9">
        <w:rPr>
          <w:rFonts w:ascii="Book Antiqua" w:hAnsi="Book Antiqua"/>
          <w:i/>
          <w:iCs/>
          <w:sz w:val="20"/>
        </w:rPr>
        <w:t xml:space="preserve"> </w:t>
      </w:r>
      <w:r w:rsidR="00EE348C" w:rsidRPr="00BE14F9">
        <w:rPr>
          <w:rFonts w:ascii="Book Antiqua" w:hAnsi="Book Antiqua"/>
          <w:sz w:val="20"/>
        </w:rPr>
        <w:t xml:space="preserve">is inversely related to </w:t>
      </w:r>
      <m:oMath>
        <m:r>
          <w:rPr>
            <w:rFonts w:ascii="Cambria Math" w:hAnsi="Cambria Math"/>
            <w:sz w:val="18"/>
            <w:szCs w:val="18"/>
          </w:rPr>
          <m:t>U</m:t>
        </m:r>
      </m:oMath>
      <w:r w:rsidR="00EE348C" w:rsidRPr="00BE14F9">
        <w:rPr>
          <w:rFonts w:ascii="Book Antiqua" w:hAnsi="Book Antiqua"/>
          <w:i/>
          <w:iCs/>
          <w:sz w:val="20"/>
        </w:rPr>
        <w:t xml:space="preserve">.  </w:t>
      </w:r>
      <w:r w:rsidR="00EE348C" w:rsidRPr="00BE14F9">
        <w:rPr>
          <w:rFonts w:ascii="Book Antiqua" w:hAnsi="Book Antiqua"/>
          <w:iCs/>
          <w:sz w:val="20"/>
        </w:rPr>
        <w:t>Therefore:</w:t>
      </w:r>
      <w:r w:rsidR="00EE348C" w:rsidRPr="00BE14F9">
        <w:rPr>
          <w:rFonts w:ascii="Book Antiqua" w:hAnsi="Book Antiqua"/>
          <w:i/>
          <w:iCs/>
          <w:sz w:val="20"/>
        </w:rPr>
        <w:t xml:space="preserve">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7B3EBC" w:rsidP="00EE348C">
      <w:pPr>
        <w:pStyle w:val="NoSpacing"/>
        <w:jc w:val="right"/>
        <w:rPr>
          <w:rFonts w:ascii="Book Antiqua" w:hAnsi="Book Antiqua"/>
          <w:sz w:val="20"/>
        </w:rPr>
      </w:pPr>
      <m:oMath>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U</m:t>
            </m:r>
          </m:e>
          <m:sub>
            <m:r>
              <w:rPr>
                <w:rFonts w:ascii="Cambria Math" w:hAnsi="Book Antiqua"/>
                <w:sz w:val="18"/>
                <w:szCs w:val="18"/>
              </w:rPr>
              <m:t>1</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1</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c</m:t>
            </m:r>
          </m:e>
          <m:sub>
            <m:r>
              <w:rPr>
                <w:rFonts w:ascii="Cambria Math" w:hAnsi="Book Antiqua"/>
                <w:sz w:val="18"/>
                <w:szCs w:val="18"/>
              </w:rPr>
              <m:t>2</m:t>
            </m:r>
          </m:sub>
        </m:sSub>
        <m:r>
          <w:rPr>
            <w:rFonts w:ascii="Cambria Math" w:hAnsi="Book Antiqua"/>
            <w:sz w:val="18"/>
            <w:szCs w:val="18"/>
          </w:rPr>
          <m:t xml:space="preserve"> = </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2</m:t>
            </m:r>
          </m:sub>
        </m:sSub>
        <m:r>
          <w:rPr>
            <w:rFonts w:ascii="Cambria Math" w:hAnsi="Book Antiqua"/>
            <w:sz w:val="18"/>
            <w:szCs w:val="18"/>
          </w:rPr>
          <m:t>/</m:t>
        </m:r>
        <m:sSub>
          <m:sSubPr>
            <m:ctrlPr>
              <w:rPr>
                <w:rFonts w:ascii="Cambria Math" w:hAnsi="Book Antiqua"/>
                <w:i/>
                <w:sz w:val="18"/>
                <w:szCs w:val="18"/>
              </w:rPr>
            </m:ctrlPr>
          </m:sSubPr>
          <m:e>
            <m:r>
              <w:rPr>
                <w:rFonts w:ascii="Cambria Math" w:hAnsi="Cambria Math"/>
                <w:sz w:val="18"/>
                <w:szCs w:val="18"/>
              </w:rPr>
              <m:t>h</m:t>
            </m:r>
          </m:e>
          <m:sub>
            <m:r>
              <w:rPr>
                <w:rFonts w:ascii="Cambria Math" w:hAnsi="Book Antiqua"/>
                <w:sz w:val="18"/>
                <w:szCs w:val="18"/>
              </w:rPr>
              <m:t>1</m:t>
            </m:r>
          </m:sub>
        </m:sSub>
      </m:oMath>
      <w:r w:rsidR="00EE348C" w:rsidRPr="00BE14F9">
        <w:rPr>
          <w:rFonts w:ascii="Book Antiqua" w:hAnsi="Book Antiqua"/>
          <w:sz w:val="20"/>
        </w:rPr>
        <w:tab/>
      </w:r>
      <w:r w:rsidR="00BA7C19">
        <w:rPr>
          <w:rFonts w:ascii="Book Antiqua" w:hAnsi="Book Antiqua"/>
          <w:sz w:val="20"/>
        </w:rPr>
        <w:t>.</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(13)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widowControl/>
        <w:numPr>
          <w:ilvl w:val="1"/>
          <w:numId w:val="18"/>
        </w:numPr>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Varying c and Light Wave Characteristics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Apart </w:t>
      </w:r>
      <w:r w:rsidR="00BA7C19">
        <w:rPr>
          <w:rFonts w:ascii="Book Antiqua" w:hAnsi="Book Antiqua"/>
          <w:sz w:val="20"/>
        </w:rPr>
        <w:t xml:space="preserve">from </w:t>
      </w:r>
      <w:r w:rsidRPr="00BE14F9">
        <w:rPr>
          <w:rFonts w:ascii="Book Antiqua" w:hAnsi="Book Antiqua"/>
          <w:sz w:val="20"/>
        </w:rPr>
        <w:t xml:space="preserve">speed, there are other qualities of light which must be considered as well.  The amplitude of a light wave is how high it is, not how long it is.  The wave-length is how long it is -- the distance from crest to crest, and it is this </w:t>
      </w:r>
      <w:r w:rsidRPr="00BE14F9">
        <w:rPr>
          <w:rFonts w:ascii="Book Antiqua" w:hAnsi="Book Antiqua"/>
          <w:sz w:val="20"/>
        </w:rPr>
        <w:lastRenderedPageBreak/>
        <w:t xml:space="preserve">that determines color. </w:t>
      </w:r>
      <w:r w:rsidR="00BA7C19">
        <w:rPr>
          <w:rFonts w:ascii="Book Antiqua" w:hAnsi="Book Antiqua"/>
          <w:sz w:val="20"/>
        </w:rPr>
        <w:t>Wave length</w:t>
      </w:r>
      <w:r w:rsidRPr="00BE14F9">
        <w:rPr>
          <w:rFonts w:ascii="Book Antiqua" w:hAnsi="Book Antiqua"/>
          <w:sz w:val="20"/>
        </w:rPr>
        <w:t xml:space="preserve"> is fixed at the moment of emission. The frequency is the number of waves passing a given point in one second. This is what varies in proportion to light speed.  The wave lengths – the colors – do not change.  Again, it is like a train passing.  The train can speed up or slow down, but the lengths of the various cars remain the same. This approach can be formalized in the following way.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Maxwell’s equations are the basic equations describing electromagnetic phenomena, of which light is a part.  In order to achieve accord with Maxwell’s equations, and to accommodate a changing speed of light through time, it is required that photon energies, </w:t>
      </w:r>
      <m:oMath>
        <m:r>
          <w:rPr>
            <w:rFonts w:ascii="Cambria Math" w:hAnsi="Cambria Math"/>
            <w:sz w:val="18"/>
            <w:szCs w:val="18"/>
          </w:rPr>
          <m:t>E</m:t>
        </m:r>
      </m:oMath>
      <w:r w:rsidRPr="00BE14F9">
        <w:rPr>
          <w:rFonts w:ascii="Book Antiqua" w:hAnsi="Book Antiqua"/>
          <w:sz w:val="20"/>
        </w:rPr>
        <w:t xml:space="preserve">, are conserved in transit through space, regardless of any time-variations in the ZPE, </w:t>
      </w:r>
      <m:oMath>
        <m:r>
          <w:rPr>
            <w:rFonts w:ascii="Cambria Math" w:hAnsi="Cambria Math"/>
            <w:sz w:val="18"/>
            <w:szCs w:val="18"/>
          </w:rPr>
          <m:t>c</m:t>
        </m:r>
      </m:oMath>
      <w:r w:rsidRPr="00BE14F9">
        <w:rPr>
          <w:rFonts w:ascii="Book Antiqua" w:hAnsi="Book Antiqua"/>
          <w:sz w:val="20"/>
        </w:rPr>
        <w:t xml:space="preserve">, and </w:t>
      </w:r>
      <m:oMath>
        <m:r>
          <w:rPr>
            <w:rFonts w:ascii="Book Antiqua" w:hAnsi="Cambria Math"/>
            <w:sz w:val="18"/>
            <w:szCs w:val="18"/>
          </w:rPr>
          <m:t>h</m:t>
        </m:r>
      </m:oMath>
      <w:r w:rsidRPr="00BE14F9">
        <w:rPr>
          <w:rFonts w:ascii="Book Antiqua" w:hAnsi="Book Antiqua"/>
          <w:sz w:val="20"/>
        </w:rPr>
        <w:t>. Consequently, we have</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E</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f</m:t>
        </m:r>
        <m:r>
          <w:rPr>
            <w:rFonts w:ascii="Cambria Math" w:hAnsi="Book Antiqua"/>
            <w:sz w:val="18"/>
            <w:szCs w:val="18"/>
          </w:rPr>
          <m:t xml:space="preserve"> = </m:t>
        </m:r>
        <m:r>
          <w:rPr>
            <w:rFonts w:ascii="Book Antiqua" w:hAnsi="Cambria Math"/>
            <w:sz w:val="18"/>
            <w:szCs w:val="18"/>
          </w:rPr>
          <m:t>h</m:t>
        </m:r>
        <m:r>
          <w:rPr>
            <w:rFonts w:ascii="Cambria Math" w:hAnsi="Cambria Math"/>
            <w:sz w:val="18"/>
            <w:szCs w:val="18"/>
          </w:rPr>
          <m:t>c</m:t>
        </m:r>
        <m:r>
          <w:rPr>
            <w:rFonts w:ascii="Cambria Math" w:hAnsi="Book Antiqua"/>
            <w:sz w:val="18"/>
            <w:szCs w:val="18"/>
          </w:rPr>
          <m:t>/</m:t>
        </m:r>
        <m:r>
          <w:rPr>
            <w:rFonts w:ascii="Cambria Math" w:hAnsi="Cambria Math"/>
            <w:sz w:val="18"/>
            <w:szCs w:val="18"/>
          </w:rPr>
          <m:t>λ</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t xml:space="preserve"> </w:t>
      </w:r>
      <w:r w:rsidRPr="00BE14F9">
        <w:rPr>
          <w:rFonts w:ascii="Book Antiqua" w:hAnsi="Book Antiqua"/>
          <w:i/>
          <w:sz w:val="20"/>
        </w:rPr>
        <w:t>(14)</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w:r w:rsidRPr="00BE14F9">
        <w:rPr>
          <w:rFonts w:ascii="Book Antiqua" w:hAnsi="Book Antiqua"/>
          <w:i/>
          <w:iCs/>
          <w:sz w:val="20"/>
        </w:rPr>
        <w:t xml:space="preserve">h </w:t>
      </w:r>
      <w:r w:rsidRPr="00BE14F9">
        <w:rPr>
          <w:rFonts w:ascii="Book Antiqua" w:hAnsi="Book Antiqua"/>
          <w:sz w:val="20"/>
        </w:rPr>
        <w:t xml:space="preserve">is inversely proportional to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as in (4), it follows from (14) that a photon’s frequency, </w:t>
      </w:r>
      <m:oMath>
        <m:r>
          <w:rPr>
            <w:rFonts w:ascii="Cambria Math" w:hAnsi="Cambria Math"/>
            <w:sz w:val="18"/>
            <w:szCs w:val="18"/>
          </w:rPr>
          <m:t>f</m:t>
        </m:r>
      </m:oMath>
      <w:r w:rsidRPr="00BE14F9">
        <w:rPr>
          <w:rFonts w:ascii="Book Antiqua" w:hAnsi="Book Antiqua"/>
          <w:sz w:val="20"/>
        </w:rPr>
        <w:t xml:space="preserve">, must be inversely related to </w:t>
      </w:r>
      <m:oMath>
        <m:r>
          <w:rPr>
            <w:rFonts w:ascii="Book Antiqua" w:hAnsi="Cambria Math"/>
            <w:sz w:val="18"/>
            <w:szCs w:val="18"/>
          </w:rPr>
          <m:t>h</m:t>
        </m:r>
      </m:oMath>
      <w:r w:rsidRPr="00BE14F9">
        <w:rPr>
          <w:rFonts w:ascii="Book Antiqua" w:hAnsi="Book Antiqua"/>
          <w:i/>
          <w:iCs/>
          <w:sz w:val="20"/>
        </w:rPr>
        <w:t xml:space="preserve"> </w:t>
      </w:r>
      <w:r w:rsidRPr="00BE14F9">
        <w:rPr>
          <w:rFonts w:ascii="Book Antiqua" w:hAnsi="Book Antiqua"/>
          <w:sz w:val="20"/>
        </w:rPr>
        <w:t xml:space="preserve">and directly related to </w:t>
      </w:r>
      <m:oMath>
        <m:r>
          <w:rPr>
            <w:rFonts w:ascii="Cambria Math" w:hAnsi="Cambria Math"/>
            <w:sz w:val="18"/>
            <w:szCs w:val="18"/>
          </w:rPr>
          <m:t>c</m:t>
        </m:r>
      </m:oMath>
      <w:r w:rsidRPr="00BE14F9">
        <w:rPr>
          <w:rFonts w:ascii="Book Antiqua" w:hAnsi="Book Antiqua"/>
          <w:sz w:val="20"/>
        </w:rPr>
        <w:t xml:space="preserve">. Thus, as the photon travels through space and its speed declines, the wavelength, </w:t>
      </w:r>
      <m:oMath>
        <m:r>
          <w:rPr>
            <w:rFonts w:ascii="Cambria Math" w:hAnsi="Cambria Math"/>
            <w:sz w:val="18"/>
            <w:szCs w:val="18"/>
          </w:rPr>
          <m:t>λ</m:t>
        </m:r>
      </m:oMath>
      <w:r w:rsidRPr="00BE14F9">
        <w:rPr>
          <w:rFonts w:ascii="Book Antiqua" w:hAnsi="Book Antiqua"/>
          <w:sz w:val="20"/>
        </w:rPr>
        <w:t xml:space="preserve">, remains unchanged, maintaining its color and energy. Therefore, in a varying ZPE situation it is the frequency of these waves that changes in proportion to the speed [37]. So for a time-varying ZPE, and hence </w:t>
      </w:r>
      <m:oMath>
        <m:r>
          <w:rPr>
            <w:rFonts w:ascii="Cambria Math" w:hAnsi="Cambria Math"/>
            <w:sz w:val="18"/>
            <w:szCs w:val="18"/>
          </w:rPr>
          <m:t>c</m:t>
        </m:r>
      </m:oMath>
      <w:r w:rsidRPr="00BE14F9">
        <w:rPr>
          <w:rFonts w:ascii="Book Antiqua" w:hAnsi="Book Antiqua"/>
          <w:sz w:val="20"/>
        </w:rPr>
        <w:t xml:space="preserve">, we have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 1/</m:t>
        </m:r>
        <m:r>
          <w:rPr>
            <w:rFonts w:ascii="Cambria Math" w:hAnsi="Cambria Math"/>
            <w:sz w:val="18"/>
            <w:szCs w:val="18"/>
          </w:rPr>
          <m:t>h</m:t>
        </m:r>
        <m:r>
          <w:rPr>
            <w:rFonts w:ascii="Cambria Math" w:hAnsi="Book Antiqua"/>
            <w:sz w:val="18"/>
            <w:szCs w:val="18"/>
          </w:rPr>
          <m:t xml:space="preserve"> ~ 1/</m:t>
        </m:r>
        <m:r>
          <w:rPr>
            <w:rFonts w:ascii="Cambria Math" w:hAnsi="Cambria Math"/>
            <w:sz w:val="18"/>
            <w:szCs w:val="18"/>
          </w:rPr>
          <m:t>U</m:t>
        </m:r>
        <m:r>
          <w:rPr>
            <w:rFonts w:ascii="Cambria Math" w:hAnsi="Book Antiqua"/>
            <w:sz w:val="18"/>
            <w:szCs w:val="18"/>
          </w:rPr>
          <m:t xml:space="preserve"> </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(15)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The question then arises, can light slow down without being ‘bent?’  In the example of the straw appearing to be broken at the surface of the water, we are seeing an example of light being bent.  But this is not what is happening in space.  With the glass of water, two different mediums are present simultaneously.  But in space, through time, changes have occurred simultaneously throughout all of the cosmos, so that different mediums are not present at the same time.  Even extremely long wave-trains, such as those from distant quasars, are slowing simultaneously throughout the</w:t>
      </w:r>
      <w:r w:rsidR="005E065C">
        <w:rPr>
          <w:rFonts w:ascii="Book Antiqua" w:hAnsi="Book Antiqua"/>
          <w:sz w:val="20"/>
        </w:rPr>
        <w:t xml:space="preserve"> entire </w:t>
      </w:r>
      <w:r w:rsidRPr="00BE14F9">
        <w:rPr>
          <w:rFonts w:ascii="Book Antiqua" w:hAnsi="Book Antiqua"/>
          <w:sz w:val="20"/>
        </w:rPr>
        <w:t>cosmos</w:t>
      </w:r>
      <w:r w:rsidRPr="00BE14F9">
        <w:rPr>
          <w:rFonts w:ascii="Book Antiqua" w:hAnsi="Book Antiqua"/>
          <w:b/>
          <w:sz w:val="20"/>
        </w:rPr>
        <w:t xml:space="preserve"> </w:t>
      </w:r>
      <w:r w:rsidRPr="00BE14F9">
        <w:rPr>
          <w:rFonts w:ascii="Book Antiqua" w:hAnsi="Book Antiqua"/>
          <w:sz w:val="20"/>
        </w:rPr>
        <w:t>so there is no bunching up effect. In other words, there is no refracting or bending of light in these circumstances.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observational truth of (14) and (15) was noted by Birge </w:t>
      </w:r>
      <w:r w:rsidR="004B56B5">
        <w:rPr>
          <w:rFonts w:ascii="Book Antiqua" w:hAnsi="Book Antiqua"/>
          <w:sz w:val="20"/>
        </w:rPr>
        <w:t xml:space="preserve">in 1934 </w:t>
      </w:r>
      <w:r w:rsidRPr="00BE14F9">
        <w:rPr>
          <w:rFonts w:ascii="Book Antiqua" w:hAnsi="Book Antiqua"/>
          <w:sz w:val="20"/>
        </w:rPr>
        <w:t>[38]. Light-speed was measured as varying</w:t>
      </w:r>
      <w:r w:rsidR="004B56B5">
        <w:rPr>
          <w:rFonts w:ascii="Book Antiqua" w:hAnsi="Book Antiqua"/>
          <w:sz w:val="20"/>
        </w:rPr>
        <w:t xml:space="preserve">, but </w:t>
      </w:r>
      <w:r w:rsidRPr="00BE14F9">
        <w:rPr>
          <w:rFonts w:ascii="Book Antiqua" w:hAnsi="Book Antiqua"/>
          <w:sz w:val="20"/>
        </w:rPr>
        <w:t xml:space="preserve">without any observed change in wavelengths in interferometers. Birge admitted that this allowed only one conclusion. He said: </w:t>
      </w:r>
      <w:r w:rsidRPr="00BE14F9">
        <w:rPr>
          <w:rFonts w:ascii="Book Antiqua" w:hAnsi="Book Antiqua"/>
          <w:i/>
          <w:iCs/>
          <w:sz w:val="20"/>
        </w:rPr>
        <w:t xml:space="preserve">“if the value of </w:t>
      </w:r>
      <m:oMath>
        <m:r>
          <w:rPr>
            <w:rFonts w:ascii="Cambria Math" w:hAnsi="Cambria Math"/>
            <w:sz w:val="18"/>
            <w:szCs w:val="18"/>
          </w:rPr>
          <m:t>c</m:t>
        </m:r>
      </m:oMath>
      <w:r w:rsidRPr="00BE14F9">
        <w:rPr>
          <w:rFonts w:ascii="Book Antiqua" w:hAnsi="Book Antiqua"/>
          <w:i/>
          <w:iCs/>
          <w:sz w:val="20"/>
        </w:rPr>
        <w:t xml:space="preserve"> … is actually changing with time, but the value of </w:t>
      </w:r>
      <m:oMath>
        <m:r>
          <w:rPr>
            <w:rFonts w:ascii="Cambria Math" w:hAnsi="Cambria Math"/>
            <w:sz w:val="18"/>
            <w:szCs w:val="18"/>
          </w:rPr>
          <m:t>λ</m:t>
        </m:r>
      </m:oMath>
      <w:r w:rsidRPr="00BE14F9">
        <w:rPr>
          <w:rFonts w:ascii="Book Antiqua" w:hAnsi="Book Antiqua"/>
          <w:sz w:val="20"/>
        </w:rPr>
        <w:t xml:space="preserve"> </w:t>
      </w:r>
      <w:r w:rsidRPr="00BE14F9">
        <w:rPr>
          <w:rFonts w:ascii="Book Antiqua" w:hAnsi="Book Antiqua"/>
          <w:i/>
          <w:iCs/>
          <w:sz w:val="20"/>
        </w:rPr>
        <w:t xml:space="preserve">in terms of the standard metre shows no corresponding change, then it necessarily follows that the value of every atomic frequency ... must be changing.” </w:t>
      </w:r>
      <w:r w:rsidRPr="00BE14F9">
        <w:rPr>
          <w:rFonts w:ascii="Book Antiqua" w:hAnsi="Book Antiqua"/>
          <w:sz w:val="20"/>
        </w:rPr>
        <w:t xml:space="preserve">[38]. This is based on the standard equation </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c</m:t>
        </m:r>
        <m:r>
          <w:rPr>
            <w:rFonts w:ascii="Cambria Math" w:hAnsi="Book Antiqua"/>
            <w:sz w:val="18"/>
            <w:szCs w:val="18"/>
          </w:rPr>
          <m:t xml:space="preserve"> = </m:t>
        </m:r>
        <m:r>
          <w:rPr>
            <w:rFonts w:ascii="Cambria Math" w:hAnsi="Cambria Math"/>
            <w:sz w:val="18"/>
            <w:szCs w:val="18"/>
          </w:rPr>
          <m:t>f</m:t>
        </m:r>
        <m:r>
          <w:rPr>
            <w:rFonts w:ascii="Cambria Math" w:hAnsi="Book Antiqua"/>
            <w:sz w:val="18"/>
            <w:szCs w:val="18"/>
          </w:rPr>
          <m:t xml:space="preserve"> </m:t>
        </m:r>
        <m:r>
          <w:rPr>
            <w:rFonts w:ascii="Cambria Math" w:hAnsi="Cambria Math"/>
            <w:sz w:val="18"/>
            <w:szCs w:val="18"/>
          </w:rPr>
          <m:t>λ</m:t>
        </m:r>
      </m:oMath>
      <w:r w:rsidRPr="00BE14F9">
        <w:rPr>
          <w:rFonts w:ascii="Book Antiqua" w:hAnsi="Book Antiqua"/>
          <w:i/>
          <w:iCs/>
          <w:sz w:val="20"/>
        </w:rPr>
        <w:tab/>
        <w:t>.</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Cs/>
          <w:sz w:val="20"/>
        </w:rPr>
        <w:tab/>
      </w:r>
      <w:r w:rsidRPr="00BE14F9">
        <w:rPr>
          <w:rFonts w:ascii="Book Antiqua" w:hAnsi="Book Antiqua"/>
          <w:iCs/>
          <w:sz w:val="20"/>
        </w:rPr>
        <w:tab/>
      </w:r>
      <w:r w:rsidRPr="00BE14F9">
        <w:rPr>
          <w:rFonts w:ascii="Book Antiqua" w:hAnsi="Book Antiqua"/>
          <w:i/>
          <w:iCs/>
          <w:sz w:val="20"/>
        </w:rPr>
        <w:t xml:space="preserve"> </w:t>
      </w:r>
      <w:r w:rsidRPr="00BE14F9">
        <w:rPr>
          <w:rFonts w:ascii="Book Antiqua" w:hAnsi="Book Antiqua"/>
          <w:i/>
          <w:sz w:val="20"/>
        </w:rPr>
        <w:t>(16)</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Since </w:t>
      </w:r>
      <m:oMath>
        <m:r>
          <w:rPr>
            <w:rFonts w:ascii="Cambria Math" w:hAnsi="Cambria Math"/>
            <w:sz w:val="18"/>
            <w:szCs w:val="18"/>
          </w:rPr>
          <m:t>λ</m:t>
        </m:r>
      </m:oMath>
      <w:r w:rsidRPr="00BE14F9">
        <w:rPr>
          <w:rFonts w:ascii="Book Antiqua" w:hAnsi="Book Antiqua"/>
          <w:i/>
          <w:iCs/>
          <w:sz w:val="20"/>
        </w:rPr>
        <w:t xml:space="preserve"> </w:t>
      </w:r>
      <w:r w:rsidRPr="00BE14F9">
        <w:rPr>
          <w:rFonts w:ascii="Book Antiqua" w:hAnsi="Book Antiqua"/>
          <w:sz w:val="20"/>
        </w:rPr>
        <w:t xml:space="preserve">is unchanged, then, photon frequencies, </w:t>
      </w:r>
      <m:oMath>
        <m:r>
          <w:rPr>
            <w:rFonts w:ascii="Cambria Math" w:hAnsi="Cambria Math"/>
            <w:sz w:val="18"/>
            <w:szCs w:val="18"/>
          </w:rPr>
          <m:t>f</m:t>
        </m:r>
      </m:oMath>
      <w:r w:rsidRPr="00BE14F9">
        <w:rPr>
          <w:rFonts w:ascii="Book Antiqua" w:hAnsi="Book Antiqua"/>
          <w:i/>
          <w:iCs/>
          <w:sz w:val="20"/>
        </w:rPr>
        <w:t xml:space="preserve">, </w:t>
      </w:r>
      <w:r w:rsidRPr="00BE14F9">
        <w:rPr>
          <w:rFonts w:ascii="Book Antiqua" w:hAnsi="Book Antiqua"/>
          <w:sz w:val="20"/>
        </w:rPr>
        <w:t>must go as:</w:t>
      </w:r>
    </w:p>
    <w:p w:rsidR="00EE348C" w:rsidRPr="00BE14F9" w:rsidRDefault="00EE348C" w:rsidP="00EE348C">
      <w:pPr>
        <w:pStyle w:val="NoSpacing"/>
        <w:jc w:val="both"/>
        <w:rPr>
          <w:rFonts w:ascii="Book Antiqua" w:hAnsi="Book Antiqua"/>
          <w:i/>
          <w:iCs/>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f</m:t>
        </m:r>
        <m:r>
          <w:rPr>
            <w:rFonts w:ascii="Cambria Math" w:hAnsi="Book Antiqua"/>
            <w:sz w:val="18"/>
            <w:szCs w:val="18"/>
          </w:rPr>
          <m:t xml:space="preserve"> ~ </m:t>
        </m:r>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i/>
          <w:iCs/>
          <w:sz w:val="20"/>
        </w:rPr>
        <w:t xml:space="preserve"> .</w:t>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iCs/>
          <w:sz w:val="20"/>
        </w:rPr>
        <w:tab/>
      </w:r>
      <w:r w:rsidRPr="00BE14F9">
        <w:rPr>
          <w:rFonts w:ascii="Book Antiqua" w:hAnsi="Book Antiqua"/>
          <w:i/>
          <w:sz w:val="20"/>
        </w:rPr>
        <w:t>(17)</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As Birge's quote indicates, atomic frequencies and clocks are also affected by ZPE behavior.  The reason that atomic processes and clocks are affected can be found in atomic mass behavior and the ZPE. Th</w:t>
      </w:r>
      <w:r w:rsidR="004B56B5">
        <w:rPr>
          <w:rFonts w:ascii="Book Antiqua" w:hAnsi="Book Antiqua"/>
          <w:sz w:val="20"/>
        </w:rPr>
        <w:t xml:space="preserve">ese points are all </w:t>
      </w:r>
      <w:r w:rsidRPr="00BE14F9">
        <w:rPr>
          <w:rFonts w:ascii="Book Antiqua" w:hAnsi="Book Antiqua"/>
          <w:sz w:val="20"/>
        </w:rPr>
        <w:t xml:space="preserve">discussed in detail in Chapter 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rPr>
          <w:rFonts w:ascii="Book Antiqua" w:hAnsi="Book Antiqua"/>
          <w:i/>
          <w:sz w:val="20"/>
        </w:rPr>
      </w:pPr>
      <w:r w:rsidRPr="00BE14F9">
        <w:rPr>
          <w:rFonts w:ascii="Book Antiqua" w:hAnsi="Book Antiqua"/>
          <w:i/>
          <w:sz w:val="20"/>
        </w:rPr>
        <w:t xml:space="preserve">2.8 Varying c and </w:t>
      </w:r>
      <w:r w:rsidR="00AA4A30">
        <w:rPr>
          <w:rFonts w:ascii="Book Antiqua" w:hAnsi="Book Antiqua"/>
          <w:i/>
          <w:sz w:val="20"/>
        </w:rPr>
        <w:t xml:space="preserve">Electromagnetic </w:t>
      </w:r>
      <w:r w:rsidRPr="00BE14F9">
        <w:rPr>
          <w:rFonts w:ascii="Book Antiqua" w:hAnsi="Book Antiqua"/>
          <w:i/>
          <w:sz w:val="20"/>
        </w:rPr>
        <w:t>Wave Amplitudes</w:t>
      </w:r>
    </w:p>
    <w:p w:rsidR="00EE348C" w:rsidRPr="00BE14F9" w:rsidRDefault="00EE348C" w:rsidP="00EE348C">
      <w:pPr>
        <w:pStyle w:val="NoSpacing"/>
        <w:rPr>
          <w:rFonts w:ascii="Book Antiqua" w:hAnsi="Book Antiqua"/>
          <w:b/>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As mentioned above, it is usual today, using the current International System (SI) units, to take the maximum amplitude of a wave, </w:t>
      </w:r>
      <m:oMath>
        <m:r>
          <w:rPr>
            <w:rFonts w:ascii="Cambria Math" w:hAnsi="Cambria Math"/>
            <w:sz w:val="18"/>
            <w:szCs w:val="18"/>
          </w:rPr>
          <m:t>A</m:t>
        </m:r>
      </m:oMath>
      <w:r w:rsidRPr="00BE14F9">
        <w:rPr>
          <w:rFonts w:ascii="Book Antiqua" w:hAnsi="Book Antiqua"/>
          <w:sz w:val="20"/>
        </w:rPr>
        <w:t xml:space="preserve">, as being governed solely by the electric field strength </w:t>
      </w:r>
      <m:oMath>
        <m:r>
          <w:rPr>
            <w:rFonts w:ascii="Cambria Math" w:hAnsi="Cambria Math"/>
            <w:sz w:val="18"/>
            <w:szCs w:val="18"/>
          </w:rPr>
          <m:t>E</m:t>
        </m:r>
      </m:oMath>
      <w:r w:rsidRPr="00BE14F9">
        <w:rPr>
          <w:rFonts w:ascii="Book Antiqua" w:hAnsi="Book Antiqua"/>
          <w:sz w:val="20"/>
        </w:rPr>
        <w:t xml:space="preserve"> or the magnetic field strength, </w:t>
      </w:r>
      <m:oMath>
        <m:r>
          <w:rPr>
            <w:rFonts w:ascii="Cambria Math" w:hAnsi="Cambria Math"/>
            <w:sz w:val="18"/>
            <w:szCs w:val="18"/>
          </w:rPr>
          <m:t>H</m:t>
        </m:r>
      </m:oMath>
      <w:r w:rsidRPr="00BE14F9">
        <w:rPr>
          <w:rFonts w:ascii="Book Antiqua" w:hAnsi="Book Antiqua"/>
          <w:i/>
          <w:sz w:val="20"/>
        </w:rPr>
        <w:t>,</w:t>
      </w:r>
      <w:r w:rsidRPr="00BE14F9">
        <w:rPr>
          <w:rFonts w:ascii="Book Antiqua" w:hAnsi="Book Antiqua"/>
          <w:sz w:val="20"/>
        </w:rPr>
        <w:t xml:space="preserve"> as we have done above.  But there has been an historical mix-up of the quantities involved.  The system of units used up to the mid-20</w:t>
      </w:r>
      <w:r w:rsidRPr="00BE14F9">
        <w:rPr>
          <w:rFonts w:ascii="Book Antiqua" w:hAnsi="Book Antiqua"/>
          <w:sz w:val="20"/>
          <w:vertAlign w:val="superscript"/>
        </w:rPr>
        <w:t>th</w:t>
      </w:r>
      <w:r w:rsidRPr="00BE14F9">
        <w:rPr>
          <w:rFonts w:ascii="Book Antiqua" w:hAnsi="Book Antiqua"/>
          <w:sz w:val="20"/>
        </w:rPr>
        <w:t xml:space="preserve"> century, was the centimeter, gram, second (CGS) system. This was the system of units used by Maxwell when he formulated his laws. On this CGS system of units, it is the energy density rather than the field strength that the maximum amplitude, </w:t>
      </w:r>
      <m:oMath>
        <m:r>
          <w:rPr>
            <w:rFonts w:ascii="Cambria Math" w:hAnsi="Cambria Math" w:cs="Arial"/>
            <w:sz w:val="18"/>
            <w:szCs w:val="18"/>
          </w:rPr>
          <m:t>A</m:t>
        </m:r>
      </m:oMath>
      <w:r w:rsidRPr="00BE14F9">
        <w:rPr>
          <w:rFonts w:ascii="Book Antiqua" w:hAnsi="Book Antiqua"/>
          <w:sz w:val="20"/>
        </w:rPr>
        <w:t>, was related to. The relationship on the CGS system was then given as follows: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(18)</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In equation (18), the factor of </w:t>
      </w:r>
      <m:oMath>
        <m:r>
          <w:rPr>
            <w:rFonts w:ascii="Book Antiqua" w:hAnsi="Book Antiqua" w:cs="Arial"/>
            <w:sz w:val="18"/>
            <w:szCs w:val="18"/>
          </w:rPr>
          <m:t>½</m:t>
        </m:r>
      </m:oMath>
      <w:r w:rsidRPr="00BE14F9">
        <w:rPr>
          <w:rFonts w:ascii="Book Antiqua" w:hAnsi="Book Antiqua"/>
          <w:sz w:val="20"/>
        </w:rPr>
        <w:t xml:space="preserve"> is used with </w:t>
      </w:r>
      <m:oMath>
        <m:r>
          <w:rPr>
            <w:rFonts w:ascii="Cambria Math" w:hAnsi="Cambria Math" w:cs="Arial"/>
            <w:sz w:val="18"/>
            <w:szCs w:val="18"/>
          </w:rPr>
          <m:t>A</m:t>
        </m:r>
      </m:oMath>
      <w:r w:rsidRPr="00BE14F9">
        <w:rPr>
          <w:rFonts w:ascii="Book Antiqua" w:hAnsi="Book Antiqua"/>
          <w:sz w:val="20"/>
        </w:rPr>
        <w:t xml:space="preserve"> since it represents the average of the square of the sine over all angles. From (18) it follows that the standard CGS definition of the intensity,</w:t>
      </w:r>
      <w:r w:rsidRPr="00BE14F9">
        <w:rPr>
          <w:rFonts w:ascii="Book Antiqua" w:hAnsi="Book Antiqua"/>
          <w:i/>
          <w:sz w:val="20"/>
        </w:rPr>
        <w:t xml:space="preserve"> </w:t>
      </w:r>
      <m:oMath>
        <m:r>
          <w:rPr>
            <w:rFonts w:ascii="Cambria Math" w:hAnsi="Cambria Math"/>
            <w:sz w:val="18"/>
            <w:szCs w:val="18"/>
          </w:rPr>
          <m:t>I</m:t>
        </m:r>
      </m:oMath>
      <w:r w:rsidRPr="00BE14F9">
        <w:rPr>
          <w:rFonts w:ascii="Book Antiqua" w:hAnsi="Book Antiqua"/>
          <w:sz w:val="20"/>
        </w:rPr>
        <w:t xml:space="preserve">, of an electromagnetic wave, given by the energy density multiplied by its velocity,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then becomes:</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oMath>
      <w:r w:rsidRPr="00BE14F9">
        <w:rPr>
          <w:rFonts w:ascii="Book Antiqua" w:hAnsi="Book Antiqua"/>
          <w:i/>
          <w:sz w:val="20"/>
        </w:rPr>
        <w:t xml:space="preserve">  .</w:t>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i/>
          <w:sz w:val="20"/>
        </w:rPr>
        <w:tab/>
      </w:r>
      <w:r w:rsidRPr="00BE14F9">
        <w:rPr>
          <w:rFonts w:ascii="Book Antiqua" w:hAnsi="Book Antiqua"/>
          <w:sz w:val="20"/>
        </w:rPr>
        <w:tab/>
      </w:r>
      <w:r w:rsidRPr="00BE14F9">
        <w:rPr>
          <w:rFonts w:ascii="Book Antiqua" w:hAnsi="Book Antiqua"/>
          <w:i/>
          <w:sz w:val="20"/>
        </w:rPr>
        <w:t>(19)</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When equation (10) is applied to (19) we have the CGS result:</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18"/>
            <w:szCs w:val="18"/>
          </w:rPr>
          <m:t>I</m:t>
        </m:r>
        <m:r>
          <w:rPr>
            <w:rFonts w:ascii="Cambria Math" w:hAnsi="Book Antiqua"/>
            <w:sz w:val="18"/>
            <w:szCs w:val="18"/>
          </w:rPr>
          <m:t xml:space="preserve"> = </m:t>
        </m:r>
        <m:r>
          <w:rPr>
            <w:rFonts w:ascii="Cambria Math" w:hAnsi="Cambria Math"/>
            <w:sz w:val="18"/>
            <w:szCs w:val="18"/>
          </w:rPr>
          <m:t>cε</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r>
          <w:rPr>
            <w:rFonts w:ascii="Book Antiqua" w:hAnsi="Book Antiqua"/>
            <w:sz w:val="18"/>
            <w:szCs w:val="18"/>
          </w:rPr>
          <m:t>µ</m:t>
        </m:r>
        <m:sSup>
          <m:sSupPr>
            <m:ctrlPr>
              <w:rPr>
                <w:rFonts w:ascii="Cambria Math" w:hAnsi="Book Antiqua"/>
                <w:i/>
                <w:sz w:val="18"/>
                <w:szCs w:val="18"/>
              </w:rPr>
            </m:ctrlPr>
          </m:sSupPr>
          <m:e>
            <m:r>
              <w:rPr>
                <w:rFonts w:ascii="Cambria Math" w:hAnsi="Cambria Math"/>
                <w:sz w:val="18"/>
                <w:szCs w:val="18"/>
              </w:rPr>
              <m:t>H</m:t>
            </m:r>
          </m:e>
          <m:sup>
            <m:r>
              <w:rPr>
                <w:rFonts w:ascii="Cambria Math" w:hAnsi="Book Antiqua"/>
                <w:sz w:val="18"/>
                <w:szCs w:val="18"/>
              </w:rPr>
              <m:t>2</m:t>
            </m:r>
          </m:sup>
        </m:sSup>
        <m:r>
          <w:rPr>
            <w:rFonts w:ascii="Cambria Math" w:hAnsi="Book Antiqua"/>
            <w:sz w:val="18"/>
            <w:szCs w:val="18"/>
          </w:rPr>
          <m:t>/4</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m:t>
        </m:r>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/8</m:t>
        </m:r>
        <m:r>
          <w:rPr>
            <w:rFonts w:ascii="Cambria Math" w:hAnsi="Cambria Math"/>
            <w:sz w:val="18"/>
            <w:szCs w:val="18"/>
          </w:rPr>
          <m:t>π</m:t>
        </m:r>
        <m:r>
          <w:rPr>
            <w:rFonts w:ascii="Cambria Math" w:hAnsi="Book Antiqua"/>
            <w:sz w:val="18"/>
            <w:szCs w:val="18"/>
          </w:rPr>
          <m:t xml:space="preserve"> = </m:t>
        </m:r>
        <m:r>
          <w:rPr>
            <w:rFonts w:ascii="Cambria Math" w:hAnsi="Cambria Math"/>
            <w:sz w:val="18"/>
            <w:szCs w:val="18"/>
          </w:rPr>
          <m:t>const</m:t>
        </m:r>
        <m:r>
          <w:rPr>
            <w:rFonts w:ascii="Cambria Math" w:hAnsi="Book Antiqua"/>
            <w:sz w:val="18"/>
            <w:szCs w:val="18"/>
          </w:rPr>
          <m:t>.</m:t>
        </m:r>
      </m:oMath>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sz w:val="20"/>
        </w:rPr>
        <w:tab/>
      </w:r>
      <w:r w:rsidRPr="00BE14F9">
        <w:rPr>
          <w:rFonts w:ascii="Book Antiqua" w:hAnsi="Book Antiqua"/>
          <w:i/>
          <w:sz w:val="20"/>
        </w:rPr>
        <w:t xml:space="preserve">     (20)</w:t>
      </w:r>
    </w:p>
    <w:p w:rsidR="00EE348C" w:rsidRPr="00BE14F9" w:rsidRDefault="00EE348C" w:rsidP="00EE348C">
      <w:pPr>
        <w:pStyle w:val="NoSpacing"/>
        <w:jc w:val="both"/>
        <w:rPr>
          <w:rFonts w:ascii="Book Antiqua" w:hAnsi="Book Antiqua"/>
          <w:sz w:val="20"/>
        </w:rPr>
      </w:pPr>
    </w:p>
    <w:p w:rsidR="00EE348C" w:rsidRPr="00BE14F9" w:rsidRDefault="00AB518D" w:rsidP="00EE348C">
      <w:pPr>
        <w:pStyle w:val="NoSpacing"/>
        <w:ind w:firstLine="720"/>
        <w:jc w:val="both"/>
        <w:rPr>
          <w:rFonts w:ascii="Book Antiqua" w:hAnsi="Book Antiqua"/>
          <w:sz w:val="20"/>
        </w:rPr>
      </w:pPr>
      <w:r>
        <w:rPr>
          <w:rFonts w:ascii="Book Antiqua" w:hAnsi="Book Antiqua"/>
          <w:sz w:val="20"/>
        </w:rPr>
        <w:t>This is why</w:t>
      </w:r>
      <w:r w:rsidR="00EE348C" w:rsidRPr="00BE14F9">
        <w:rPr>
          <w:rFonts w:ascii="Book Antiqua" w:hAnsi="Book Antiqua"/>
          <w:sz w:val="20"/>
        </w:rPr>
        <w:t xml:space="preserve"> radiation intensities will be constant with changing </w:t>
      </w:r>
      <m:oMath>
        <m:r>
          <w:rPr>
            <w:rFonts w:ascii="Cambria Math" w:hAnsi="Cambria Math"/>
            <w:sz w:val="18"/>
            <w:szCs w:val="18"/>
          </w:rPr>
          <m:t>c</m:t>
        </m:r>
      </m:oMath>
      <w:r w:rsidR="00EE348C" w:rsidRPr="00BE14F9">
        <w:rPr>
          <w:rFonts w:ascii="Book Antiqua" w:hAnsi="Book Antiqua"/>
          <w:sz w:val="20"/>
        </w:rPr>
        <w:t>. Energy density multiplied by electromagnetic wave velocity is, effectively, the Poynting vector. Therefore we can say that, with any changes in</w:t>
      </w:r>
      <m:oMath>
        <m:r>
          <w:rPr>
            <w:rFonts w:ascii="Cambria Math" w:hAnsi="Book Antiqua"/>
            <w:sz w:val="18"/>
            <w:szCs w:val="18"/>
          </w:rPr>
          <m:t xml:space="preserve"> </m:t>
        </m:r>
        <m:r>
          <w:rPr>
            <w:rFonts w:ascii="Cambria Math" w:hAnsi="Cambria Math"/>
            <w:sz w:val="18"/>
            <w:szCs w:val="18"/>
          </w:rPr>
          <m:t>U</m:t>
        </m:r>
      </m:oMath>
      <w:r w:rsidR="00EE348C" w:rsidRPr="00BE14F9">
        <w:rPr>
          <w:rFonts w:ascii="Book Antiqua" w:hAnsi="Book Antiqua"/>
          <w:sz w:val="20"/>
        </w:rPr>
        <w:t xml:space="preserve"> </w:t>
      </w:r>
      <w:r>
        <w:rPr>
          <w:rFonts w:ascii="Book Antiqua" w:hAnsi="Book Antiqua"/>
          <w:sz w:val="20"/>
        </w:rPr>
        <w:t>(</w:t>
      </w:r>
      <w:r w:rsidR="00EE348C" w:rsidRPr="00BE14F9">
        <w:rPr>
          <w:rFonts w:ascii="Book Antiqua" w:hAnsi="Book Antiqua"/>
          <w:sz w:val="20"/>
        </w:rPr>
        <w:t xml:space="preserve">and hence </w:t>
      </w:r>
      <m:oMath>
        <m:r>
          <w:rPr>
            <w:rFonts w:ascii="Cambria Math" w:hAnsi="Cambria Math"/>
            <w:sz w:val="18"/>
            <w:szCs w:val="18"/>
          </w:rPr>
          <m:t>c</m:t>
        </m:r>
      </m:oMath>
      <w:r>
        <w:rPr>
          <w:rFonts w:ascii="Book Antiqua" w:hAnsi="Book Antiqua"/>
          <w:sz w:val="18"/>
          <w:szCs w:val="18"/>
        </w:rPr>
        <w:t>)</w:t>
      </w:r>
      <w:r w:rsidR="00EE348C" w:rsidRPr="00BE14F9">
        <w:rPr>
          <w:rFonts w:ascii="Book Antiqua" w:hAnsi="Book Antiqua"/>
          <w:sz w:val="20"/>
        </w:rPr>
        <w:t>, as shown in the above two equations, the Poynting vector is conserved. As a result, the maximum amplitudes of electromagnetic radiation will behave on the CGS system in this way:</w:t>
      </w:r>
    </w:p>
    <w:p w:rsidR="00EE348C" w:rsidRPr="00BE14F9" w:rsidRDefault="00EE348C" w:rsidP="00EE348C">
      <w:pPr>
        <w:pStyle w:val="NoSpacing"/>
        <w:jc w:val="both"/>
        <w:rPr>
          <w:rFonts w:ascii="Book Antiqua" w:hAnsi="Book Antiqua"/>
          <w:sz w:val="20"/>
        </w:rPr>
      </w:pPr>
    </w:p>
    <w:p w:rsidR="00EE348C" w:rsidRPr="00BE14F9" w:rsidRDefault="007B3EBC" w:rsidP="00EE348C">
      <w:pPr>
        <w:pStyle w:val="NoSpacing"/>
        <w:jc w:val="right"/>
        <w:rPr>
          <w:rFonts w:ascii="Book Antiqua" w:hAnsi="Book Antiqua"/>
          <w:sz w:val="20"/>
        </w:rPr>
      </w:pP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r>
          <w:rPr>
            <w:rFonts w:ascii="Cambria Math" w:hAnsi="Book Antiqua"/>
            <w:sz w:val="18"/>
            <w:szCs w:val="18"/>
          </w:rPr>
          <m:t xml:space="preserve"> ~ 1/</m:t>
        </m:r>
        <m:r>
          <w:rPr>
            <w:rFonts w:ascii="Cambria Math" w:hAnsi="Cambria Math"/>
            <w:sz w:val="18"/>
            <w:szCs w:val="18"/>
          </w:rPr>
          <m:t>c</m:t>
        </m:r>
        <m:r>
          <w:rPr>
            <w:rFonts w:ascii="Cambria Math" w:hAnsi="Book Antiqua"/>
            <w:sz w:val="18"/>
            <w:szCs w:val="18"/>
          </w:rPr>
          <m:t xml:space="preserve"> </m:t>
        </m:r>
      </m:oMath>
      <w:r w:rsidR="00EE348C" w:rsidRPr="00BE14F9">
        <w:rPr>
          <w:rFonts w:ascii="Book Antiqua" w:hAnsi="Book Antiqua"/>
          <w:sz w:val="20"/>
        </w:rPr>
        <w:tab/>
        <w:t xml:space="preserve"> .</w:t>
      </w:r>
      <w:r w:rsidR="00EE348C" w:rsidRPr="00BE14F9">
        <w:rPr>
          <w:rFonts w:ascii="Book Antiqua" w:hAnsi="Book Antiqua"/>
          <w:sz w:val="20"/>
        </w:rPr>
        <w:tab/>
        <w:t xml:space="preserve"> </w:t>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sz w:val="20"/>
        </w:rPr>
        <w:tab/>
      </w:r>
      <w:r w:rsidR="00EE348C" w:rsidRPr="00BE14F9">
        <w:rPr>
          <w:rFonts w:ascii="Book Antiqua" w:hAnsi="Book Antiqua"/>
          <w:i/>
          <w:sz w:val="20"/>
        </w:rPr>
        <w:t>(21)</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 xml:space="preserve">This means that, using the original CGS system, amplitudes of radiation </w:t>
      </w:r>
      <w:r w:rsidR="004A523D">
        <w:rPr>
          <w:rFonts w:ascii="Book Antiqua" w:hAnsi="Book Antiqua"/>
          <w:sz w:val="20"/>
        </w:rPr>
        <w:t xml:space="preserve">(Figure A) </w:t>
      </w:r>
      <w:r w:rsidRPr="00BE14F9">
        <w:rPr>
          <w:rFonts w:ascii="Book Antiqua" w:hAnsi="Book Antiqua"/>
          <w:sz w:val="20"/>
        </w:rPr>
        <w:t>were lower when the speed of light</w:t>
      </w:r>
      <w:r w:rsidRPr="00BE14F9">
        <w:rPr>
          <w:rFonts w:ascii="Book Antiqua" w:hAnsi="Book Antiqua"/>
          <w:i/>
          <w:sz w:val="20"/>
        </w:rPr>
        <w:t xml:space="preserve"> </w:t>
      </w:r>
      <w:r w:rsidRPr="00BE14F9">
        <w:rPr>
          <w:rFonts w:ascii="Book Antiqua" w:hAnsi="Book Antiqua"/>
          <w:sz w:val="20"/>
        </w:rPr>
        <w:t>was higher, indicating the overall intensity of light remained the same.  In other words, if the speed of light were ten times faster than now, then the square of the amplitudes would be</w:t>
      </w:r>
      <m:oMath>
        <m:r>
          <w:rPr>
            <w:rFonts w:ascii="Cambria Math" w:hAnsi="Book Antiqua"/>
            <w:sz w:val="18"/>
            <w:szCs w:val="18"/>
          </w:rPr>
          <m:t xml:space="preserve"> </m:t>
        </m:r>
        <m:f>
          <m:fPr>
            <m:type m:val="skw"/>
            <m:ctrlPr>
              <w:rPr>
                <w:rFonts w:ascii="Cambria Math" w:hAnsi="Book Antiqua"/>
                <w:i/>
                <w:sz w:val="18"/>
                <w:szCs w:val="18"/>
              </w:rPr>
            </m:ctrlPr>
          </m:fPr>
          <m:num>
            <m:r>
              <w:rPr>
                <w:rFonts w:ascii="Cambria Math" w:hAnsi="Book Antiqua"/>
                <w:sz w:val="18"/>
                <w:szCs w:val="18"/>
              </w:rPr>
              <m:t>1</m:t>
            </m:r>
          </m:num>
          <m:den>
            <m:r>
              <w:rPr>
                <w:rFonts w:ascii="Cambria Math" w:hAnsi="Book Antiqua"/>
                <w:sz w:val="18"/>
                <w:szCs w:val="18"/>
              </w:rPr>
              <m:t>10</m:t>
            </m:r>
          </m:den>
        </m:f>
      </m:oMath>
      <w:r w:rsidRPr="00BE14F9">
        <w:rPr>
          <w:rFonts w:ascii="Book Antiqua" w:hAnsi="Book Antiqua"/>
          <w:sz w:val="20"/>
        </w:rPr>
        <w:t xml:space="preserve"> of what they are now (it is the square of the amplitude which is inversely related to </w:t>
      </w:r>
      <m:oMath>
        <m:r>
          <w:rPr>
            <w:rFonts w:ascii="Cambria Math" w:hAnsi="Cambria Math"/>
            <w:sz w:val="18"/>
            <w:szCs w:val="18"/>
          </w:rPr>
          <m:t>c</m:t>
        </m:r>
      </m:oMath>
      <w:r w:rsidRPr="00BE14F9">
        <w:rPr>
          <w:rFonts w:ascii="Book Antiqua" w:hAnsi="Book Antiqua"/>
          <w:sz w:val="20"/>
        </w:rPr>
        <w:t xml:space="preserve">).  </w:t>
      </w:r>
    </w:p>
    <w:p w:rsidR="00AB518D" w:rsidRDefault="00AB518D" w:rsidP="00EE348C">
      <w:pPr>
        <w:pStyle w:val="NoSpacing"/>
        <w:jc w:val="both"/>
        <w:rPr>
          <w:rFonts w:ascii="Book Antiqua" w:hAnsi="Book Antiqua"/>
          <w:sz w:val="20"/>
        </w:rPr>
      </w:pPr>
    </w:p>
    <w:p w:rsidR="00CB587A" w:rsidRPr="007F73AB" w:rsidRDefault="00CB587A" w:rsidP="00CB587A">
      <w:pPr>
        <w:pStyle w:val="NoSpacing"/>
        <w:jc w:val="center"/>
        <w:rPr>
          <w:rFonts w:ascii="Book Antiqua" w:hAnsi="Book Antiqua"/>
          <w:sz w:val="20"/>
        </w:rPr>
      </w:pPr>
      <w:r w:rsidRPr="007F73AB">
        <w:rPr>
          <w:rFonts w:ascii="Book Antiqua" w:hAnsi="Book Antiqua"/>
          <w:noProof/>
          <w:sz w:val="20"/>
        </w:rPr>
        <w:drawing>
          <wp:inline distT="0" distB="0" distL="0" distR="0">
            <wp:extent cx="3200560" cy="2712653"/>
            <wp:effectExtent l="19050" t="0" r="0" b="0"/>
            <wp:docPr id="781"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199295" cy="2711580"/>
                    </a:xfrm>
                    <a:prstGeom prst="rect">
                      <a:avLst/>
                    </a:prstGeom>
                    <a:noFill/>
                    <a:ln w="9525">
                      <a:noFill/>
                      <a:miter lim="800000"/>
                      <a:headEnd/>
                      <a:tailEnd/>
                    </a:ln>
                  </pic:spPr>
                </pic:pic>
              </a:graphicData>
            </a:graphic>
          </wp:inline>
        </w:drawing>
      </w:r>
    </w:p>
    <w:p w:rsidR="00CB587A" w:rsidRPr="007F73AB" w:rsidRDefault="00CB587A" w:rsidP="00CB587A">
      <w:pPr>
        <w:pStyle w:val="NoSpacing"/>
        <w:ind w:firstLine="720"/>
        <w:rPr>
          <w:rFonts w:ascii="Book Antiqua" w:hAnsi="Book Antiqua"/>
          <w:sz w:val="20"/>
        </w:rPr>
      </w:pPr>
    </w:p>
    <w:p w:rsidR="00CB587A" w:rsidRPr="00262DE1" w:rsidRDefault="004A523D" w:rsidP="00CB587A">
      <w:pPr>
        <w:pStyle w:val="NoSpacing"/>
        <w:rPr>
          <w:rFonts w:ascii="Book Antiqua" w:hAnsi="Book Antiqua"/>
          <w:i/>
          <w:sz w:val="18"/>
          <w:szCs w:val="18"/>
        </w:rPr>
      </w:pPr>
      <w:r w:rsidRPr="004A523D">
        <w:rPr>
          <w:rFonts w:ascii="Book Antiqua" w:hAnsi="Book Antiqua"/>
          <w:b/>
          <w:i/>
          <w:sz w:val="18"/>
          <w:szCs w:val="18"/>
        </w:rPr>
        <w:t>Figure A:</w:t>
      </w:r>
      <w:r>
        <w:rPr>
          <w:rFonts w:ascii="Book Antiqua" w:hAnsi="Book Antiqua"/>
          <w:i/>
          <w:sz w:val="18"/>
          <w:szCs w:val="18"/>
        </w:rPr>
        <w:t xml:space="preserve"> </w:t>
      </w:r>
      <w:r w:rsidR="00CB587A" w:rsidRPr="00262DE1">
        <w:rPr>
          <w:rFonts w:ascii="Book Antiqua" w:hAnsi="Book Antiqua"/>
          <w:i/>
          <w:sz w:val="18"/>
          <w:szCs w:val="18"/>
        </w:rPr>
        <w:t xml:space="preserve">Waves of the same wavelength (energy or color) but with different amplitudes (heights or brightness). The top wave is the least bright of the three while the bottom wave is the brightest. When lightspeed was higher, wave heights were lower, so individual waves were less bright.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On the SI units system now used, equation (20) is basically the same, and intensities remain unchanged. But the redefinition of amplitude in SI units means that we must now write (20) as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right"/>
        <w:rPr>
          <w:rFonts w:ascii="Book Antiqua" w:hAnsi="Book Antiqua"/>
          <w:sz w:val="20"/>
        </w:rPr>
      </w:pPr>
      <m:oMath>
        <m:r>
          <w:rPr>
            <w:rFonts w:ascii="Cambria Math" w:hAnsi="Cambria Math"/>
            <w:sz w:val="20"/>
          </w:rPr>
          <m:t>I</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H</m:t>
            </m:r>
          </m:e>
          <m:sup>
            <m:r>
              <w:rPr>
                <w:rFonts w:ascii="Cambria Math" w:hAnsi="Book Antiqua"/>
                <w:sz w:val="20"/>
              </w:rPr>
              <m:t>2</m:t>
            </m:r>
          </m:sup>
        </m:sSup>
        <m:r>
          <w:rPr>
            <w:rFonts w:ascii="Cambria Math" w:hAnsi="Book Antiqua"/>
            <w:sz w:val="20"/>
          </w:rPr>
          <m:t>/4</m:t>
        </m:r>
        <m:r>
          <w:rPr>
            <w:rFonts w:ascii="Cambria Math" w:hAnsi="Cambria Math"/>
            <w:sz w:val="20"/>
          </w:rPr>
          <m:t>π</m:t>
        </m:r>
        <m:r>
          <w:rPr>
            <w:rFonts w:ascii="Cambria Math" w:hAnsi="Book Antiqua"/>
            <w:sz w:val="20"/>
          </w:rPr>
          <m:t xml:space="preserve"> = </m:t>
        </m:r>
        <m:r>
          <w:rPr>
            <w:rFonts w:ascii="Cambria Math" w:hAnsi="Cambria Math"/>
            <w:sz w:val="20"/>
          </w:rPr>
          <m:t>cε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m:t>
        </m:r>
        <m:r>
          <w:rPr>
            <w:rFonts w:ascii="Book Antiqua" w:hAnsi="Book Antiqua"/>
            <w:sz w:val="20"/>
          </w:rPr>
          <m:t>µ</m:t>
        </m:r>
        <m:sSup>
          <m:sSupPr>
            <m:ctrlPr>
              <w:rPr>
                <w:rFonts w:ascii="Cambria Math" w:hAnsi="Book Antiqua"/>
                <w:i/>
                <w:sz w:val="20"/>
              </w:rPr>
            </m:ctrlPr>
          </m:sSupPr>
          <m:e>
            <m:r>
              <w:rPr>
                <w:rFonts w:ascii="Cambria Math" w:hAnsi="Cambria Math"/>
                <w:sz w:val="20"/>
              </w:rPr>
              <m:t>A</m:t>
            </m:r>
          </m:e>
          <m:sup>
            <m:r>
              <w:rPr>
                <w:rFonts w:ascii="Cambria Math" w:hAnsi="Book Antiqua"/>
                <w:sz w:val="20"/>
              </w:rPr>
              <m:t>2</m:t>
            </m:r>
          </m:sup>
        </m:sSup>
        <m:r>
          <w:rPr>
            <w:rFonts w:ascii="Cambria Math" w:hAnsi="Book Antiqua"/>
            <w:sz w:val="20"/>
          </w:rPr>
          <m:t>/8</m:t>
        </m:r>
        <m:r>
          <w:rPr>
            <w:rFonts w:ascii="Cambria Math" w:hAnsi="Cambria Math"/>
            <w:sz w:val="20"/>
          </w:rPr>
          <m:t>π</m:t>
        </m:r>
        <m:r>
          <w:rPr>
            <w:rFonts w:ascii="Cambria Math" w:hAnsi="Book Antiqua"/>
            <w:sz w:val="20"/>
          </w:rPr>
          <m:t xml:space="preserve"> = </m:t>
        </m:r>
        <m:r>
          <w:rPr>
            <w:rFonts w:ascii="Cambria Math" w:hAnsi="Cambria Math"/>
            <w:sz w:val="20"/>
          </w:rPr>
          <m:t>const</m:t>
        </m:r>
        <m:r>
          <w:rPr>
            <w:rFonts w:ascii="Cambria Math" w:hAnsi="Book Antiqua"/>
            <w:sz w:val="20"/>
          </w:rPr>
          <m:t>.</m:t>
        </m:r>
      </m:oMath>
      <w:r w:rsidRPr="00BE14F9">
        <w:rPr>
          <w:rFonts w:ascii="Book Antiqua" w:hAnsi="Book Antiqua"/>
          <w:i/>
          <w:sz w:val="20"/>
        </w:rPr>
        <w:tab/>
        <w:t xml:space="preserve">  </w:t>
      </w:r>
      <w:r w:rsidRPr="00BE14F9">
        <w:rPr>
          <w:rFonts w:ascii="Book Antiqua" w:hAnsi="Book Antiqua"/>
          <w:i/>
          <w:sz w:val="20"/>
        </w:rPr>
        <w:tab/>
      </w:r>
      <w:r w:rsidRPr="00BE14F9">
        <w:rPr>
          <w:rFonts w:ascii="Book Antiqua" w:hAnsi="Book Antiqua"/>
          <w:i/>
          <w:sz w:val="20"/>
        </w:rPr>
        <w:tab/>
        <w:t xml:space="preserve">    (22)</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lastRenderedPageBreak/>
        <w:t xml:space="preserve">The difference is that in the SI units used in (22), the amplitude, </w:t>
      </w:r>
      <m:oMath>
        <m:r>
          <w:rPr>
            <w:rFonts w:ascii="Cambria Math" w:hAnsi="Cambria Math"/>
            <w:sz w:val="18"/>
            <w:szCs w:val="18"/>
          </w:rPr>
          <m:t>A</m:t>
        </m:r>
      </m:oMath>
      <w:r w:rsidRPr="00BE14F9">
        <w:rPr>
          <w:rFonts w:ascii="Book Antiqua" w:hAnsi="Book Antiqua"/>
          <w:sz w:val="20"/>
        </w:rPr>
        <w:t xml:space="preserve">, is a constant, whereas, using the older, CGS, units as Maxwell did, </w:t>
      </w:r>
      <m:oMath>
        <m:sSup>
          <m:sSupPr>
            <m:ctrlPr>
              <w:rPr>
                <w:rFonts w:ascii="Cambria Math" w:hAnsi="Book Antiqua"/>
                <w:i/>
                <w:sz w:val="18"/>
                <w:szCs w:val="18"/>
              </w:rPr>
            </m:ctrlPr>
          </m:sSupPr>
          <m:e>
            <m:r>
              <w:rPr>
                <w:rFonts w:ascii="Cambria Math" w:hAnsi="Cambria Math"/>
                <w:sz w:val="18"/>
                <w:szCs w:val="18"/>
              </w:rPr>
              <m:t>A</m:t>
            </m:r>
          </m:e>
          <m:sup>
            <m:r>
              <w:rPr>
                <w:rFonts w:ascii="Cambria Math" w:hAnsi="Book Antiqua"/>
                <w:sz w:val="18"/>
                <w:szCs w:val="18"/>
              </w:rPr>
              <m:t>2</m:t>
            </m:r>
          </m:sup>
        </m:sSup>
      </m:oMath>
      <w:r w:rsidRPr="00BE14F9">
        <w:rPr>
          <w:rFonts w:ascii="Book Antiqua" w:hAnsi="Book Antiqua"/>
          <w:sz w:val="20"/>
        </w:rPr>
        <w:t xml:space="preserve"> changes in proportion to the ZPE strength, and thus along with (and inversely to) light speed.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 the CGS system of units, the energy density of the wave determines the wave amplitude. Therefore, as the speed drops with greater ZPE strength, the amplitude increases to compensate so that the actual intensity, or irradiance, of light from a source is constant. Appendix B on Radiant Energy Emission goes into more detail.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However, on the current SI units system, while radiation intensity is still constant, amplitudes are also considered constant. The quantity which changes in this case is the energy density; that increases as light-speed decreases.</w:t>
      </w:r>
    </w:p>
    <w:p w:rsidR="00EE348C" w:rsidRDefault="00EE348C" w:rsidP="00EE348C">
      <w:pPr>
        <w:pStyle w:val="NoSpacing"/>
        <w:ind w:firstLine="720"/>
        <w:jc w:val="both"/>
        <w:rPr>
          <w:rFonts w:ascii="Book Antiqua" w:hAnsi="Book Antiqua"/>
          <w:i/>
          <w:sz w:val="20"/>
        </w:rPr>
      </w:pPr>
    </w:p>
    <w:p w:rsidR="00644C81" w:rsidRPr="00BE14F9" w:rsidRDefault="00644C81" w:rsidP="00EE348C">
      <w:pPr>
        <w:pStyle w:val="NoSpacing"/>
        <w:ind w:firstLine="720"/>
        <w:jc w:val="both"/>
        <w:rPr>
          <w:rFonts w:ascii="Book Antiqua" w:hAnsi="Book Antiqua"/>
          <w:i/>
          <w:sz w:val="20"/>
        </w:rPr>
      </w:pPr>
    </w:p>
    <w:p w:rsidR="00EE348C" w:rsidRPr="00BE14F9" w:rsidRDefault="00EE348C" w:rsidP="00EE348C">
      <w:pPr>
        <w:pStyle w:val="NoSpacing"/>
        <w:jc w:val="both"/>
        <w:rPr>
          <w:rFonts w:ascii="Book Antiqua" w:hAnsi="Book Antiqua"/>
          <w:i/>
          <w:sz w:val="20"/>
        </w:rPr>
      </w:pPr>
      <w:r w:rsidRPr="00BE14F9">
        <w:rPr>
          <w:rFonts w:ascii="Book Antiqua" w:hAnsi="Book Antiqua"/>
          <w:i/>
          <w:sz w:val="20"/>
        </w:rPr>
        <w:t>2.9 Light as Photons Rather Than Waves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famous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 xml:space="preserve">was known before Einstein, although it is now associated with him.  What it means is that the total energy of an atomic system is the result of the mass times the speed of light squared.  It has been established that this equation is true in the atomic frame of reference.  Because we can measure the energy given out, we have also been able to determine that the energy itself is conserved, or unchanged.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difference between the CGS and SI approaches to light as shown above are based on the idea that light is a series of waves.  However, light is also considered to be a stream of photons, which behave as though they have mass.  If we look at light in this way, we find the two approaches harmonize.</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sz w:val="20"/>
        </w:rPr>
        <w:t xml:space="preserve">If we are considering photons instead of waves, then we can consider that all the photons of a given energy and hence color (or wavelength), have the same size. As the unbroken stream of photons slows down, the photon size remains the same since the color does not change (as the wavelength remains constant).  In the equation, </w:t>
      </w:r>
      <m:oMath>
        <m:r>
          <w:rPr>
            <w:rFonts w:ascii="Cambria Math" w:hAnsi="Cambria Math"/>
            <w:sz w:val="18"/>
            <w:szCs w:val="18"/>
          </w:rPr>
          <m:t>E</m:t>
        </m:r>
        <m:r>
          <w:rPr>
            <w:rFonts w:ascii="Cambria Math" w:hAnsi="Book Antiqua"/>
            <w:sz w:val="18"/>
            <w:szCs w:val="18"/>
          </w:rPr>
          <m:t xml:space="preserve"> = </m:t>
        </m:r>
        <m:r>
          <w:rPr>
            <w:rFonts w:ascii="Cambria Math" w:hAnsi="Cambria Math"/>
            <w:sz w:val="18"/>
            <w:szCs w:val="18"/>
          </w:rPr>
          <m:t>m</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oMath>
      <w:r w:rsidRPr="00BE14F9">
        <w:rPr>
          <w:rFonts w:ascii="Book Antiqua" w:hAnsi="Book Antiqua"/>
          <w:i/>
          <w:sz w:val="20"/>
        </w:rPr>
        <w:t xml:space="preserve">, </w:t>
      </w:r>
      <w:r w:rsidRPr="00BE14F9">
        <w:rPr>
          <w:rFonts w:ascii="Book Antiqua" w:hAnsi="Book Antiqua"/>
          <w:sz w:val="20"/>
        </w:rPr>
        <w:t>the ‘</w:t>
      </w:r>
      <m:oMath>
        <m:r>
          <w:rPr>
            <w:rFonts w:ascii="Cambria Math" w:hAnsi="Cambria Math"/>
            <w:sz w:val="18"/>
            <w:szCs w:val="18"/>
          </w:rPr>
          <m:t>c</m:t>
        </m:r>
      </m:oMath>
      <w:r w:rsidRPr="00BE14F9">
        <w:rPr>
          <w:rFonts w:ascii="Book Antiqua" w:hAnsi="Book Antiqua"/>
          <w:sz w:val="20"/>
        </w:rPr>
        <w:t>’ has now changed.</w:t>
      </w:r>
      <w:r w:rsidRPr="00BE14F9">
        <w:rPr>
          <w:rFonts w:ascii="Book Antiqua" w:hAnsi="Book Antiqua"/>
          <w:i/>
          <w:sz w:val="20"/>
        </w:rPr>
        <w:t xml:space="preserve"> </w:t>
      </w:r>
      <w:r w:rsidRPr="00BE14F9">
        <w:rPr>
          <w:rFonts w:ascii="Book Antiqua" w:hAnsi="Book Antiqua"/>
          <w:sz w:val="20"/>
        </w:rPr>
        <w:t>However we know from research that the ‘</w:t>
      </w:r>
      <m:oMath>
        <m:r>
          <w:rPr>
            <w:rFonts w:ascii="Cambria Math" w:hAnsi="Cambria Math"/>
            <w:sz w:val="18"/>
            <w:szCs w:val="18"/>
          </w:rPr>
          <m:t>E</m:t>
        </m:r>
      </m:oMath>
      <w:r w:rsidRPr="00BE14F9">
        <w:rPr>
          <w:rFonts w:ascii="Book Antiqua" w:hAnsi="Book Antiqua"/>
          <w:sz w:val="20"/>
        </w:rPr>
        <w:t xml:space="preserve">’ remains constant.  Therefore, for the equation to hold true, it is the effective mass, </w:t>
      </w:r>
      <m:oMath>
        <m:r>
          <w:rPr>
            <w:rFonts w:ascii="Cambria Math" w:hAnsi="Cambria Math"/>
            <w:sz w:val="18"/>
            <w:szCs w:val="18"/>
          </w:rPr>
          <m:t>m</m:t>
        </m:r>
      </m:oMath>
      <w:r w:rsidRPr="00BE14F9">
        <w:rPr>
          <w:rFonts w:ascii="Book Antiqua" w:hAnsi="Book Antiqua"/>
          <w:sz w:val="20"/>
        </w:rPr>
        <w:t>, of the photon which must be changing.  The size must stay the same, so that means the photon itself must become “denser.” In other words, there is more mass within the fixed volume of the photon.</w:t>
      </w:r>
      <w:r w:rsidRPr="00BE14F9">
        <w:rPr>
          <w:rFonts w:ascii="Book Antiqua" w:hAnsi="Book Antiqua"/>
          <w:i/>
          <w:sz w:val="20"/>
        </w:rPr>
        <w:t xml:space="preserve"> </w:t>
      </w:r>
    </w:p>
    <w:p w:rsidR="00EE348C" w:rsidRPr="00BE14F9" w:rsidRDefault="00EE348C" w:rsidP="00EE348C">
      <w:pPr>
        <w:pStyle w:val="NoSpacing"/>
        <w:ind w:firstLine="720"/>
        <w:jc w:val="both"/>
        <w:rPr>
          <w:rFonts w:ascii="Book Antiqua" w:hAnsi="Book Antiqua"/>
          <w:i/>
          <w:sz w:val="20"/>
        </w:rPr>
      </w:pPr>
    </w:p>
    <w:p w:rsidR="00644C81" w:rsidRDefault="00EE348C" w:rsidP="00EE348C">
      <w:pPr>
        <w:pStyle w:val="NoSpacing"/>
        <w:ind w:firstLine="720"/>
        <w:jc w:val="both"/>
        <w:rPr>
          <w:rFonts w:ascii="Book Antiqua" w:hAnsi="Book Antiqua"/>
          <w:sz w:val="20"/>
        </w:rPr>
      </w:pPr>
      <w:r w:rsidRPr="00BE14F9">
        <w:rPr>
          <w:rFonts w:ascii="Book Antiqua" w:hAnsi="Book Antiqua"/>
          <w:sz w:val="20"/>
        </w:rPr>
        <w:t xml:space="preserve">As an analogy, when the speed of light was high, a photon might be considered to have the density, or mass, of a snowflake of a fixed size. However, as </w:t>
      </w:r>
      <w:r w:rsidRPr="00BE14F9">
        <w:rPr>
          <w:rFonts w:ascii="Book Antiqua" w:hAnsi="Book Antiqua"/>
          <w:i/>
          <w:sz w:val="20"/>
        </w:rPr>
        <w:t>c</w:t>
      </w:r>
      <w:r w:rsidRPr="00BE14F9">
        <w:rPr>
          <w:rFonts w:ascii="Book Antiqua" w:hAnsi="Book Antiqua"/>
          <w:sz w:val="20"/>
        </w:rPr>
        <w:t xml:space="preserve"> decreased, and the number of photons arriving at an observer per second decreased, the density, or mass, of each photon increased in compensation so that its mass was now more like that of a hailstone, even though its size was unaltered. </w:t>
      </w:r>
    </w:p>
    <w:p w:rsidR="00644C81" w:rsidRDefault="00644C81"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This change in “density” or mass in a given volume occurred as ε and µ changed. Thus light photons, while more numerous originally, when the speed of light was higher, were each “softer.” This has implications for plants which may help explain gigantism among fossil flora</w:t>
      </w:r>
      <w:r w:rsidR="00CB587A">
        <w:rPr>
          <w:rFonts w:ascii="Book Antiqua" w:hAnsi="Book Antiqua"/>
          <w:sz w:val="20"/>
        </w:rPr>
        <w:t>, as</w:t>
      </w:r>
      <w:r w:rsidRPr="00BE14F9">
        <w:rPr>
          <w:rFonts w:ascii="Book Antiqua" w:hAnsi="Book Antiqua"/>
          <w:sz w:val="20"/>
        </w:rPr>
        <w:t xml:space="preserve"> explored in Chapter 10</w:t>
      </w:r>
      <w:r w:rsidR="0050282A">
        <w:rPr>
          <w:rFonts w:ascii="Book Antiqua" w:hAnsi="Book Antiqua"/>
          <w:sz w:val="20"/>
        </w:rPr>
        <w:t>.</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There is one final, but important, consequence of </w:t>
      </w:r>
      <w:r w:rsidR="00CB587A">
        <w:rPr>
          <w:rFonts w:ascii="Book Antiqua" w:hAnsi="Book Antiqua"/>
          <w:sz w:val="20"/>
        </w:rPr>
        <w:t>a change in</w:t>
      </w:r>
      <w:r w:rsidRPr="00BE14F9">
        <w:rPr>
          <w:rFonts w:ascii="Book Antiqua" w:hAnsi="Book Antiqua"/>
          <w:sz w:val="20"/>
        </w:rPr>
        <w:t xml:space="preserve"> vacuum permittivity. Equations (10) and (12) have </w:t>
      </w:r>
      <m:oMath>
        <m:r>
          <w:rPr>
            <w:rFonts w:ascii="Cambria Math" w:hAnsi="Cambria Math"/>
            <w:sz w:val="18"/>
            <w:szCs w:val="18"/>
          </w:rPr>
          <m:t>ε</m:t>
        </m:r>
      </m:oMath>
      <w:r w:rsidRPr="00BE14F9">
        <w:rPr>
          <w:rFonts w:ascii="Book Antiqua" w:hAnsi="Book Antiqua"/>
          <w:i/>
          <w:iCs/>
          <w:sz w:val="20"/>
        </w:rPr>
        <w:t xml:space="preserve"> </w:t>
      </w:r>
      <w:r w:rsidRPr="00BE14F9">
        <w:rPr>
          <w:rFonts w:ascii="Book Antiqua" w:hAnsi="Book Antiqua"/>
          <w:sz w:val="20"/>
        </w:rPr>
        <w:t xml:space="preserve">proportional to </w:t>
      </w:r>
      <m:oMath>
        <m:r>
          <w:rPr>
            <w:rFonts w:ascii="Cambria Math" w:hAnsi="Cambria Math"/>
            <w:sz w:val="18"/>
            <w:szCs w:val="18"/>
          </w:rPr>
          <m:t>U</m:t>
        </m:r>
      </m:oMath>
      <w:r w:rsidRPr="00BE14F9">
        <w:rPr>
          <w:rFonts w:ascii="Book Antiqua" w:hAnsi="Book Antiqua"/>
          <w:sz w:val="20"/>
        </w:rPr>
        <w:t xml:space="preserve">, so when this is applied to (5), it requires that </w:t>
      </w:r>
    </w:p>
    <w:p w:rsidR="00EE348C" w:rsidRPr="00BE14F9" w:rsidRDefault="00EE348C" w:rsidP="00EE348C">
      <w:pPr>
        <w:pStyle w:val="NoSpacing"/>
        <w:jc w:val="both"/>
        <w:rPr>
          <w:rFonts w:ascii="Book Antiqua" w:hAnsi="Book Antiqua"/>
          <w:iCs/>
          <w:sz w:val="20"/>
        </w:rPr>
      </w:pPr>
    </w:p>
    <w:p w:rsidR="00EE348C" w:rsidRPr="00BE14F9" w:rsidRDefault="007B3EBC" w:rsidP="00EE348C">
      <w:pPr>
        <w:pStyle w:val="NoSpacing"/>
        <w:jc w:val="right"/>
        <w:rPr>
          <w:rFonts w:ascii="Book Antiqua" w:hAnsi="Book Antiqua"/>
          <w:sz w:val="20"/>
        </w:rPr>
      </w:pPr>
      <m:oMath>
        <m:sSup>
          <m:sSupPr>
            <m:ctrlPr>
              <w:rPr>
                <w:rFonts w:ascii="Cambria Math" w:hAnsi="Book Antiqua"/>
                <w:i/>
                <w:iCs/>
                <w:sz w:val="18"/>
                <w:szCs w:val="18"/>
              </w:rPr>
            </m:ctrlPr>
          </m:sSupPr>
          <m:e>
            <m:r>
              <w:rPr>
                <w:rFonts w:ascii="Cambria Math" w:hAnsi="Cambria Math"/>
                <w:sz w:val="18"/>
                <w:szCs w:val="18"/>
              </w:rPr>
              <m:t>e</m:t>
            </m:r>
          </m:e>
          <m:sup>
            <m:r>
              <w:rPr>
                <w:rFonts w:ascii="Cambria Math" w:hAnsi="Book Antiqua"/>
                <w:sz w:val="18"/>
                <w:szCs w:val="18"/>
              </w:rPr>
              <m:t>2</m:t>
            </m:r>
          </m:sup>
        </m:sSup>
        <m:r>
          <w:rPr>
            <w:rFonts w:ascii="Cambria Math" w:hAnsi="Book Antiqua"/>
            <w:sz w:val="18"/>
            <w:szCs w:val="18"/>
          </w:rPr>
          <m:t xml:space="preserve"> ~ </m:t>
        </m:r>
        <m:r>
          <w:rPr>
            <w:rFonts w:ascii="Cambria Math" w:hAnsi="Cambria Math"/>
            <w:sz w:val="18"/>
            <w:szCs w:val="18"/>
          </w:rPr>
          <m:t>U</m:t>
        </m:r>
      </m:oMath>
      <w:r w:rsidR="00EE348C" w:rsidRPr="00BE14F9">
        <w:rPr>
          <w:rFonts w:ascii="Book Antiqua" w:hAnsi="Book Antiqua"/>
          <w:i/>
          <w:iCs/>
          <w:sz w:val="20"/>
        </w:rPr>
        <w:tab/>
        <w:t>,</w:t>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
          <w:iCs/>
          <w:sz w:val="20"/>
        </w:rPr>
        <w:tab/>
      </w:r>
      <w:r w:rsidR="00EE348C" w:rsidRPr="00BE14F9">
        <w:rPr>
          <w:rFonts w:ascii="Book Antiqua" w:hAnsi="Book Antiqua"/>
          <w:iCs/>
          <w:sz w:val="20"/>
        </w:rPr>
        <w:tab/>
      </w:r>
      <w:r w:rsidR="00EE348C" w:rsidRPr="00BE14F9">
        <w:rPr>
          <w:rFonts w:ascii="Book Antiqua" w:hAnsi="Book Antiqua"/>
          <w:i/>
          <w:iCs/>
          <w:sz w:val="20"/>
        </w:rPr>
        <w:t xml:space="preserve">  </w:t>
      </w:r>
      <w:r w:rsidR="00EE348C" w:rsidRPr="00BE14F9">
        <w:rPr>
          <w:rFonts w:ascii="Book Antiqua" w:hAnsi="Book Antiqua"/>
          <w:i/>
          <w:sz w:val="20"/>
        </w:rPr>
        <w:t>(23)</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Many experiments measure </w:t>
      </w:r>
      <w:r w:rsidRPr="00BE14F9">
        <w:rPr>
          <w:rFonts w:ascii="Book Antiqua" w:hAnsi="Book Antiqua"/>
          <w:i/>
          <w:iCs/>
          <w:sz w:val="20"/>
        </w:rPr>
        <w:t xml:space="preserve">e </w:t>
      </w:r>
      <w:r w:rsidRPr="00BE14F9">
        <w:rPr>
          <w:rFonts w:ascii="Book Antiqua" w:hAnsi="Book Antiqua"/>
          <w:sz w:val="20"/>
        </w:rPr>
        <w:t xml:space="preserve">in the context of the permittivity of its environment. This means changes in </w:t>
      </w:r>
      <w:r w:rsidRPr="00BE14F9">
        <w:rPr>
          <w:rFonts w:ascii="Book Antiqua" w:hAnsi="Book Antiqua"/>
          <w:i/>
          <w:iCs/>
          <w:sz w:val="20"/>
        </w:rPr>
        <w:t xml:space="preserve">e </w:t>
      </w:r>
      <w:r w:rsidRPr="00BE14F9">
        <w:rPr>
          <w:rFonts w:ascii="Book Antiqua" w:hAnsi="Book Antiqua"/>
          <w:sz w:val="20"/>
        </w:rPr>
        <w:t xml:space="preserve">alone often have to be deduced from other quantities such as the ratio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sz w:val="20"/>
        </w:rPr>
        <w:t xml:space="preserve">. This ratio should be proportional to the square root of </w:t>
      </w:r>
      <m:oMath>
        <m:r>
          <w:rPr>
            <w:rFonts w:ascii="Cambria Math" w:hAnsi="Cambria Math"/>
            <w:sz w:val="18"/>
            <w:szCs w:val="18"/>
          </w:rPr>
          <m:t>U</m:t>
        </m:r>
      </m:oMath>
      <w:r w:rsidRPr="00BE14F9">
        <w:rPr>
          <w:rFonts w:ascii="Book Antiqua" w:hAnsi="Book Antiqua"/>
          <w:sz w:val="20"/>
        </w:rPr>
        <w:t xml:space="preserve">, as shown in (23), while </w:t>
      </w:r>
      <m:oMath>
        <m:r>
          <w:rPr>
            <w:rFonts w:ascii="Book Antiqua" w:hAnsi="Cambria Math"/>
            <w:sz w:val="18"/>
            <w:szCs w:val="18"/>
          </w:rPr>
          <m:t>h</m:t>
        </m:r>
        <m:r>
          <w:rPr>
            <w:rFonts w:ascii="Cambria Math" w:hAnsi="Book Antiqua"/>
            <w:sz w:val="18"/>
            <w:szCs w:val="18"/>
          </w:rPr>
          <m:t xml:space="preserve"> </m:t>
        </m:r>
      </m:oMath>
      <w:r w:rsidRPr="00BE14F9">
        <w:rPr>
          <w:rFonts w:ascii="Book Antiqua" w:hAnsi="Book Antiqua"/>
          <w:sz w:val="20"/>
        </w:rPr>
        <w:t xml:space="preserve">is directly proportional to </w:t>
      </w:r>
      <m:oMath>
        <m:r>
          <w:rPr>
            <w:rFonts w:ascii="Cambria Math" w:hAnsi="Cambria Math"/>
            <w:sz w:val="18"/>
            <w:szCs w:val="18"/>
          </w:rPr>
          <m:t>U</m:t>
        </m:r>
      </m:oMath>
      <w:r w:rsidRPr="00BE14F9">
        <w:rPr>
          <w:rFonts w:ascii="Book Antiqua" w:hAnsi="Book Antiqua"/>
          <w:sz w:val="20"/>
        </w:rPr>
        <w:t xml:space="preserve">. When the </w:t>
      </w:r>
      <m:oMath>
        <m:r>
          <w:rPr>
            <w:rFonts w:ascii="Book Antiqua" w:hAnsi="Cambria Math"/>
            <w:sz w:val="18"/>
            <w:szCs w:val="18"/>
          </w:rPr>
          <m:t>h</m:t>
        </m:r>
        <m:r>
          <w:rPr>
            <w:rFonts w:ascii="Cambria Math" w:hAnsi="Book Antiqua"/>
            <w:sz w:val="18"/>
            <w:szCs w:val="18"/>
          </w:rPr>
          <m:t>/</m:t>
        </m:r>
        <m:r>
          <w:rPr>
            <w:rFonts w:ascii="Cambria Math" w:hAnsi="Cambria Math"/>
            <w:sz w:val="18"/>
            <w:szCs w:val="18"/>
          </w:rPr>
          <m:t>e</m:t>
        </m:r>
      </m:oMath>
      <w:r w:rsidRPr="00BE14F9">
        <w:rPr>
          <w:rFonts w:ascii="Book Antiqua" w:hAnsi="Book Antiqua"/>
          <w:i/>
          <w:iCs/>
          <w:sz w:val="20"/>
        </w:rPr>
        <w:t xml:space="preserve"> </w:t>
      </w:r>
      <w:r w:rsidRPr="00BE14F9">
        <w:rPr>
          <w:rFonts w:ascii="Book Antiqua" w:hAnsi="Book Antiqua"/>
          <w:sz w:val="20"/>
        </w:rPr>
        <w:t xml:space="preserve">data for Figure 1 are examined in detail, as in reference [2], this variation, proposed by equation (23) above, is supported.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lastRenderedPageBreak/>
        <w:t xml:space="preserve">2.10  Maxwell, Relativity and Varying c.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Einstein’s theory of Special Relativity was built upon two basic assumptions. The first was that there is no absolute reference frame anywhere in the universe. The second was the invariance in light-speed.  This is discussed in other articles as well [39].</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discovery, in the late 1960’s, of the Cosmic Microwave Background Radiation (CMBR) </w:t>
      </w:r>
      <w:r w:rsidR="00D56EFD">
        <w:rPr>
          <w:rFonts w:ascii="Book Antiqua" w:hAnsi="Book Antiqua"/>
          <w:sz w:val="20"/>
        </w:rPr>
        <w:t xml:space="preserve">seems to have </w:t>
      </w:r>
      <w:r w:rsidRPr="00BE14F9">
        <w:rPr>
          <w:rFonts w:ascii="Book Antiqua" w:hAnsi="Book Antiqua"/>
          <w:sz w:val="20"/>
        </w:rPr>
        <w:t xml:space="preserve">invalidated Einstein’s assumption that there is no absolute frame of reference anywhere in the universe. </w:t>
      </w:r>
      <w:r w:rsidR="00CB587A">
        <w:rPr>
          <w:rFonts w:ascii="Book Antiqua" w:hAnsi="Book Antiqua"/>
          <w:sz w:val="20"/>
        </w:rPr>
        <w:t>T</w:t>
      </w:r>
      <w:r w:rsidRPr="00BE14F9">
        <w:rPr>
          <w:rFonts w:ascii="Book Antiqua" w:hAnsi="Book Antiqua"/>
          <w:sz w:val="20"/>
        </w:rPr>
        <w:t xml:space="preserve">he true velocities of our solar system and our galaxy have been individually determined using the CMBR as an absolute frame of reference. In noting this development, Martin Harwit in </w:t>
      </w:r>
      <w:r w:rsidRPr="00BE14F9">
        <w:rPr>
          <w:rFonts w:ascii="Book Antiqua" w:hAnsi="Book Antiqua"/>
          <w:b/>
          <w:iCs/>
          <w:sz w:val="20"/>
        </w:rPr>
        <w:t xml:space="preserve">Astrophysical Concepts </w:t>
      </w:r>
      <w:r w:rsidRPr="00BE14F9">
        <w:rPr>
          <w:rFonts w:ascii="Book Antiqua" w:hAnsi="Book Antiqua"/>
          <w:iCs/>
          <w:sz w:val="20"/>
        </w:rPr>
        <w:t>makes this comment [40]:</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r>
      <w:r w:rsidRPr="00BE14F9">
        <w:rPr>
          <w:rFonts w:ascii="Book Antiqua" w:hAnsi="Book Antiqua"/>
          <w:i/>
          <w:sz w:val="20"/>
        </w:rPr>
        <w:t>"It is interesting that the presence of such a radiation field should allow us to determine an absolute rest frame on the basis of a local measurement."</w:t>
      </w:r>
      <w:r w:rsidRPr="00BE14F9">
        <w:rPr>
          <w:rFonts w:ascii="Book Antiqua" w:hAnsi="Book Antiqua"/>
          <w:sz w:val="20"/>
        </w:rPr>
        <w:t xml:space="preserve"> Harwit then tries to salvage what he can for relativity by saying: </w:t>
      </w:r>
      <w:r w:rsidRPr="00BE14F9">
        <w:rPr>
          <w:rFonts w:ascii="Book Antiqua" w:hAnsi="Book Antiqua"/>
          <w:i/>
          <w:sz w:val="20"/>
        </w:rPr>
        <w:t>“Rather, the establishment of an absolute reference frame would emphasize the fact that special relativity is really only meant to deal with small-scale phenomena and that phenomena on larger scales allow us to determine a preferred frame of reference in which cosmic processes look isotropic.”</w:t>
      </w:r>
      <w:r w:rsidRPr="00BE14F9">
        <w:rPr>
          <w:rFonts w:ascii="Book Antiqua" w:hAnsi="Book Antiqua"/>
          <w:sz w:val="20"/>
        </w:rPr>
        <w:t xml:space="preserve"> In other words, special relativity must only apply to the atomic frame of reference rather than at the macroscopic level. As a consequence, Relativity's insistence on a constant </w:t>
      </w:r>
      <w:r w:rsidRPr="00BE14F9">
        <w:rPr>
          <w:rFonts w:ascii="Book Antiqua" w:hAnsi="Book Antiqua"/>
          <w:i/>
          <w:sz w:val="20"/>
        </w:rPr>
        <w:t>c</w:t>
      </w:r>
      <w:r w:rsidRPr="00BE14F9">
        <w:rPr>
          <w:rFonts w:ascii="Book Antiqua" w:hAnsi="Book Antiqua"/>
          <w:sz w:val="20"/>
        </w:rPr>
        <w:t xml:space="preserve"> may likewise only apply in the atomic realm. Van Flandern agreed. He wrote: </w:t>
      </w:r>
      <w:r w:rsidRPr="00BE14F9">
        <w:rPr>
          <w:rFonts w:ascii="Book Antiqua" w:hAnsi="Book Antiqua"/>
          <w:i/>
          <w:sz w:val="20"/>
        </w:rPr>
        <w:t>"Assumptions such as the constancy of the velocity of light ... may be true in only one set of units [atomic or orbital], but not the other."</w:t>
      </w:r>
      <w:r w:rsidRPr="00BE14F9">
        <w:rPr>
          <w:rFonts w:ascii="Book Antiqua" w:hAnsi="Book Antiqua"/>
          <w:sz w:val="20"/>
        </w:rPr>
        <w:t xml:space="preserve"> </w:t>
      </w:r>
      <w:r w:rsidRPr="006F62E5">
        <w:rPr>
          <w:rFonts w:ascii="Book Antiqua" w:hAnsi="Book Antiqua"/>
          <w:sz w:val="20"/>
        </w:rPr>
        <w:t>[41]</w:t>
      </w:r>
      <w:r w:rsidR="006F62E5">
        <w:rPr>
          <w:rFonts w:ascii="Book Antiqua" w:hAnsi="Book Antiqua"/>
          <w:sz w:val="20"/>
        </w:rPr>
        <w:t xml:space="preserve"> </w:t>
      </w:r>
      <w:r w:rsidRPr="00BE14F9">
        <w:rPr>
          <w:rFonts w:ascii="Book Antiqua" w:hAnsi="Book Antiqua"/>
          <w:sz w:val="20"/>
        </w:rPr>
        <w:t xml:space="preserve"> This statement will be shown to be true after further examination of the behavior of atomic constants with a changing ZPE.</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second of Einstein's two assumptions was the constancy of the speed of light. As mentioned, this has been the topic of scientific discussion by Albrecht and Magueijo and others. Indeed, Magueijo pointed out that </w:t>
      </w:r>
      <w:r w:rsidRPr="00BE14F9">
        <w:rPr>
          <w:rStyle w:val="Emphasis"/>
          <w:rFonts w:ascii="Book Antiqua" w:hAnsi="Book Antiqua"/>
          <w:sz w:val="20"/>
        </w:rPr>
        <w:t>“…the urge to reconcile VSL [variable speed of light] to relativity is motivating much ongoing work… It now appears that the constancy of c is not so essential to relativity after all; the theory can be based on other postulates.” [42]</w:t>
      </w:r>
      <w:r w:rsidRPr="00BE14F9">
        <w:rPr>
          <w:rFonts w:ascii="Book Antiqua" w:hAnsi="Book Antiqua"/>
          <w:sz w:val="20"/>
        </w:rPr>
        <w:t xml:space="preserve">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Style w:val="Emphasis"/>
          <w:rFonts w:ascii="Book Antiqua" w:hAnsi="Book Antiqua"/>
          <w:sz w:val="20"/>
        </w:rPr>
      </w:pPr>
      <w:r w:rsidRPr="00BE14F9">
        <w:rPr>
          <w:rFonts w:ascii="Book Antiqua" w:hAnsi="Book Antiqua"/>
          <w:sz w:val="20"/>
        </w:rPr>
        <w:t xml:space="preserve">Conclusions from Cahill’s work at Flinders University go even further. His experimental results mean </w:t>
      </w:r>
      <w:r w:rsidRPr="00BE14F9">
        <w:rPr>
          <w:rStyle w:val="Emphasis"/>
          <w:rFonts w:ascii="Book Antiqua" w:hAnsi="Book Antiqua"/>
          <w:sz w:val="20"/>
        </w:rPr>
        <w:t xml:space="preserve">“that the Einstein postulate regarding the invariance of the speed of light was incorrect – in disagreement with experiment, and had been so from the beginning. This meant that the Special Relativity effects required a different explanation, and indeed Lorentz had supplied that some 100 years ago: in this it is the absolute motion of systems through the dynamical 3-space that causes SR effects, and which is diametrically opposite to the Einstein formalism.” </w:t>
      </w:r>
      <w:r w:rsidRPr="00687FED">
        <w:rPr>
          <w:rStyle w:val="Emphasis"/>
          <w:rFonts w:ascii="Book Antiqua" w:hAnsi="Book Antiqua"/>
          <w:i w:val="0"/>
          <w:sz w:val="20"/>
        </w:rPr>
        <w:t>[43]</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 In a similar vein, a banner headline in New Scientist for the 1st November 2008, pp. 28-31, read </w:t>
      </w:r>
      <w:r w:rsidRPr="00BE14F9">
        <w:rPr>
          <w:rFonts w:ascii="Book Antiqua" w:hAnsi="Book Antiqua"/>
          <w:b/>
          <w:sz w:val="20"/>
        </w:rPr>
        <w:t>"</w:t>
      </w:r>
      <w:r w:rsidRPr="00BE14F9">
        <w:rPr>
          <w:rFonts w:ascii="Book Antiqua" w:hAnsi="Book Antiqua"/>
          <w:i/>
          <w:sz w:val="20"/>
        </w:rPr>
        <w:t>Why Einstein was wrong about Relativity. The speed of light is nothing special</w:t>
      </w:r>
      <w:r w:rsidRPr="00BE14F9">
        <w:rPr>
          <w:rFonts w:ascii="Book Antiqua" w:hAnsi="Book Antiqua"/>
          <w:b/>
          <w:sz w:val="20"/>
        </w:rPr>
        <w:t>."</w:t>
      </w:r>
      <w:r w:rsidRPr="00BE14F9">
        <w:rPr>
          <w:rFonts w:ascii="Book Antiqua" w:hAnsi="Book Antiqua"/>
          <w:sz w:val="20"/>
        </w:rPr>
        <w:t xml:space="preserve"> In the article it was pointed out that Mitchell Feigenbaum of the Rockefeller University, New York, had demonstrated a different way of deriving Relativity theory. He shows that in this approach, </w:t>
      </w:r>
      <w:r w:rsidRPr="00BE14F9">
        <w:rPr>
          <w:rFonts w:ascii="Book Antiqua" w:hAnsi="Book Antiqua"/>
          <w:i/>
          <w:sz w:val="20"/>
        </w:rPr>
        <w:t>"Relativity emerges, complete with a definite but unspecified maximum speed that the sum of individual relative speeds cannot exceed."</w:t>
      </w:r>
      <w:r w:rsidRPr="00BE14F9">
        <w:rPr>
          <w:rFonts w:ascii="Book Antiqua" w:hAnsi="Book Antiqua"/>
          <w:sz w:val="20"/>
        </w:rPr>
        <w:t xml:space="preserve"> Feigenbaum goes on to show that the current speed of light may not be that maximum [44].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usual way to derive Maxwell’s equations today is to begin with Relativity.  For this reason, the criticism has been made that standard equations (7) and (9) were derived using a constant speed of light.  But these equations, are readily derived without any initial assumptions about the behavior of </w:t>
      </w:r>
      <m:oMath>
        <m:r>
          <w:rPr>
            <w:rFonts w:ascii="Cambria Math" w:hAnsi="Cambria Math"/>
            <w:sz w:val="18"/>
            <w:szCs w:val="18"/>
          </w:rPr>
          <m:t>c</m:t>
        </m:r>
      </m:oMath>
      <w:r w:rsidRPr="00BE14F9">
        <w:rPr>
          <w:rFonts w:ascii="Book Antiqua" w:hAnsi="Book Antiqua"/>
          <w:sz w:val="20"/>
        </w:rPr>
        <w:t xml:space="preserve">, </w:t>
      </w:r>
      <m:oMath>
        <m:r>
          <w:rPr>
            <w:rFonts w:ascii="Cambria Math" w:hAnsi="Cambria Math"/>
            <w:sz w:val="18"/>
            <w:szCs w:val="18"/>
          </w:rPr>
          <m:t>ε</m:t>
        </m:r>
      </m:oMath>
      <w:r w:rsidRPr="00BE14F9">
        <w:rPr>
          <w:rFonts w:ascii="Book Antiqua" w:hAnsi="Book Antiqua"/>
          <w:sz w:val="20"/>
        </w:rPr>
        <w:t xml:space="preserve">, or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iCs/>
          <w:sz w:val="20"/>
        </w:rPr>
        <w:t xml:space="preserve">This is </w:t>
      </w:r>
      <w:r w:rsidRPr="00BE14F9">
        <w:rPr>
          <w:rFonts w:ascii="Book Antiqua" w:hAnsi="Book Antiqua"/>
          <w:sz w:val="20"/>
        </w:rPr>
        <w:t xml:space="preserve">precisely what Maxwell did originally. (This is treated in more detail in Chapter 7 on the ZPE and Relativity)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Meanwhile, Maxwell’s equations have recently been shown to support very large cosmological variations in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with time, provided both the permittivity and permeability of free space varied, as shown in equations (6) and (7), [37]. Maxwell used the CGS (centimeter/gram/second) system of units where this variation is permitted.  However, the introduction of SI (international system) units has created a problem because </w:t>
      </w:r>
      <m:oMath>
        <m:r>
          <w:rPr>
            <w:rFonts w:ascii="Cambria Math" w:hAnsi="Cambria Math"/>
            <w:sz w:val="18"/>
            <w:szCs w:val="18"/>
          </w:rPr>
          <m:t>μ</m:t>
        </m:r>
      </m:oMath>
      <w:r w:rsidRPr="00BE14F9">
        <w:rPr>
          <w:rFonts w:ascii="Book Antiqua" w:hAnsi="Book Antiqua"/>
          <w:sz w:val="20"/>
        </w:rPr>
        <w:t xml:space="preserve"> (permeability) is considered to be invariant. This problem arose because </w:t>
      </w:r>
      <m:oMath>
        <m:r>
          <w:rPr>
            <w:rFonts w:ascii="Cambria Math" w:hAnsi="Cambria Math"/>
            <w:sz w:val="18"/>
            <w:szCs w:val="18"/>
          </w:rPr>
          <m:t>c</m:t>
        </m:r>
      </m:oMath>
      <w:r w:rsidRPr="00BE14F9">
        <w:rPr>
          <w:rFonts w:ascii="Book Antiqua" w:hAnsi="Book Antiqua"/>
          <w:iCs/>
          <w:sz w:val="20"/>
        </w:rPr>
        <w:t xml:space="preserve"> itself (the speed of light) was </w:t>
      </w:r>
      <w:r w:rsidRPr="00BE14F9">
        <w:rPr>
          <w:rFonts w:ascii="Book Antiqua" w:hAnsi="Book Antiqua"/>
          <w:sz w:val="20"/>
        </w:rPr>
        <w:t xml:space="preserve">assumed to be invariant when those units were formulated. It was on this basis that </w:t>
      </w:r>
      <m:oMath>
        <m:r>
          <w:rPr>
            <w:rFonts w:ascii="Cambria Math" w:hAnsi="Cambria Math"/>
            <w:sz w:val="18"/>
            <w:szCs w:val="18"/>
          </w:rPr>
          <m:t>μ</m:t>
        </m:r>
      </m:oMath>
      <w:r w:rsidRPr="00BE14F9">
        <w:rPr>
          <w:rFonts w:ascii="Book Antiqua" w:hAnsi="Book Antiqua"/>
          <w:i/>
          <w:iCs/>
          <w:sz w:val="20"/>
        </w:rPr>
        <w:t xml:space="preserve"> </w:t>
      </w:r>
      <w:r w:rsidRPr="00BE14F9">
        <w:rPr>
          <w:rFonts w:ascii="Book Antiqua" w:hAnsi="Book Antiqua"/>
          <w:sz w:val="20"/>
        </w:rPr>
        <w:t xml:space="preserve">was designated as having a constant value. The old CGS units did not have this problem, as they did not presume constancy where it might not exist. It is very easy to see light change its speed.  Put a </w:t>
      </w:r>
      <w:r w:rsidRPr="00BE14F9">
        <w:rPr>
          <w:rFonts w:ascii="Book Antiqua" w:hAnsi="Book Antiqua"/>
          <w:sz w:val="20"/>
        </w:rPr>
        <w:lastRenderedPageBreak/>
        <w:t xml:space="preserve">straw into a glass of water and note how the straw seems ‘broken’ at the water’s surface.  This is because light slows down going through the denser medium of water.  Thus, Relativity is not dependent upon a constant </w:t>
      </w:r>
      <w:r w:rsidRPr="00BE14F9">
        <w:rPr>
          <w:rFonts w:ascii="Book Antiqua" w:hAnsi="Book Antiqua"/>
          <w:i/>
          <w:sz w:val="20"/>
        </w:rPr>
        <w:t>c</w:t>
      </w:r>
      <w:r w:rsidRPr="00BE14F9">
        <w:rPr>
          <w:rFonts w:ascii="Book Antiqua" w:hAnsi="Book Antiqua"/>
          <w:sz w:val="20"/>
        </w:rPr>
        <w:t xml:space="preserve">.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If the Zero Point Energy has changed through time, then we also have a change in the medium through which light has passed, and this means light must have changed its speed.  Currently, the upper limit to the speed of light is considered to be what we see in the ‘vacuum’ of space.  When it travels through air or water, the velocity slows, as there are more particles with which the light must interact.  However, knowing what we now know about the ‘vacuum’ of space, and how it is jammed with virtual particles, we cannot consider the upper limit to the speed of light to be what we are currently seeing there. There are an enormous number of particles it must interact with on its journey to its final point of absorption. Originally, when the ZPE was much lower, there were significantly fewer virtual particles, so light-speed was significantly higher. </w:t>
      </w:r>
      <w:r w:rsidR="0089357C">
        <w:rPr>
          <w:rFonts w:ascii="Book Antiqua" w:hAnsi="Book Antiqua"/>
          <w:sz w:val="20"/>
        </w:rPr>
        <w:t>This occurred since space has effectively become “thicker” with virtual particles over time.</w:t>
      </w:r>
    </w:p>
    <w:p w:rsidR="00EE348C" w:rsidRPr="00BE14F9" w:rsidRDefault="00EE348C" w:rsidP="00EE348C">
      <w:pPr>
        <w:pStyle w:val="NoSpacing"/>
        <w:ind w:firstLine="720"/>
        <w:jc w:val="both"/>
        <w:rPr>
          <w:rFonts w:ascii="Book Antiqua" w:hAnsi="Book Antiqua"/>
          <w:sz w:val="20"/>
        </w:rPr>
      </w:pPr>
    </w:p>
    <w:p w:rsidR="00EE348C" w:rsidRDefault="0089357C" w:rsidP="00EE348C">
      <w:pPr>
        <w:pStyle w:val="NoSpacing"/>
        <w:ind w:firstLine="720"/>
        <w:jc w:val="both"/>
        <w:rPr>
          <w:rFonts w:ascii="Book Antiqua" w:hAnsi="Book Antiqua"/>
          <w:sz w:val="20"/>
        </w:rPr>
      </w:pPr>
      <w:r>
        <w:rPr>
          <w:rFonts w:ascii="Book Antiqua" w:hAnsi="Book Antiqua"/>
          <w:sz w:val="20"/>
        </w:rPr>
        <w:t>Therefore, s</w:t>
      </w:r>
      <w:r w:rsidR="00EE348C" w:rsidRPr="00BE14F9">
        <w:rPr>
          <w:rFonts w:ascii="Book Antiqua" w:hAnsi="Book Antiqua"/>
          <w:sz w:val="20"/>
        </w:rPr>
        <w:t>ince the slowing of light through air or water is not a problem for Relativity, then the slowing of light through space as the ZPE built up should not be a problem either</w:t>
      </w:r>
      <w:r w:rsidR="00400EA0">
        <w:rPr>
          <w:rFonts w:ascii="Book Antiqua" w:hAnsi="Book Antiqua"/>
          <w:sz w:val="20"/>
        </w:rPr>
        <w:t>,</w:t>
      </w:r>
      <w:r>
        <w:rPr>
          <w:rFonts w:ascii="Book Antiqua" w:hAnsi="Book Antiqua"/>
          <w:sz w:val="20"/>
        </w:rPr>
        <w:t xml:space="preserve"> </w:t>
      </w:r>
      <w:r w:rsidR="004657CA">
        <w:rPr>
          <w:rFonts w:ascii="Book Antiqua" w:hAnsi="Book Antiqua"/>
          <w:sz w:val="20"/>
        </w:rPr>
        <w:t xml:space="preserve">as </w:t>
      </w:r>
      <w:r>
        <w:rPr>
          <w:rFonts w:ascii="Book Antiqua" w:hAnsi="Book Antiqua"/>
          <w:sz w:val="20"/>
        </w:rPr>
        <w:t xml:space="preserve">space </w:t>
      </w:r>
      <w:r w:rsidR="004657CA">
        <w:rPr>
          <w:rFonts w:ascii="Book Antiqua" w:hAnsi="Book Antiqua"/>
          <w:sz w:val="20"/>
        </w:rPr>
        <w:t xml:space="preserve">effectively </w:t>
      </w:r>
      <w:r>
        <w:rPr>
          <w:rFonts w:ascii="Book Antiqua" w:hAnsi="Book Antiqua"/>
          <w:sz w:val="20"/>
        </w:rPr>
        <w:t>bec</w:t>
      </w:r>
      <w:r w:rsidR="004657CA">
        <w:rPr>
          <w:rFonts w:ascii="Book Antiqua" w:hAnsi="Book Antiqua"/>
          <w:sz w:val="20"/>
        </w:rPr>
        <w:t>a</w:t>
      </w:r>
      <w:r>
        <w:rPr>
          <w:rFonts w:ascii="Book Antiqua" w:hAnsi="Book Antiqua"/>
          <w:sz w:val="20"/>
        </w:rPr>
        <w:t>me “thicker” over time</w:t>
      </w:r>
      <w:r w:rsidR="00EE348C" w:rsidRPr="00BE14F9">
        <w:rPr>
          <w:rFonts w:ascii="Book Antiqua" w:hAnsi="Book Antiqua"/>
          <w:sz w:val="20"/>
        </w:rPr>
        <w:t xml:space="preserve">. </w:t>
      </w:r>
      <w:r w:rsidR="007D4DE6">
        <w:rPr>
          <w:rFonts w:ascii="Book Antiqua" w:hAnsi="Book Antiqua"/>
          <w:sz w:val="20"/>
        </w:rPr>
        <w:t>O</w:t>
      </w:r>
      <w:r w:rsidR="00EE348C" w:rsidRPr="00BE14F9">
        <w:rPr>
          <w:rFonts w:ascii="Book Antiqua" w:hAnsi="Book Antiqua"/>
          <w:sz w:val="20"/>
        </w:rPr>
        <w:t xml:space="preserve">ther options for Relativity apart from a constant </w:t>
      </w:r>
      <w:r w:rsidR="00EE348C" w:rsidRPr="00BE14F9">
        <w:rPr>
          <w:rFonts w:ascii="Book Antiqua" w:hAnsi="Book Antiqua"/>
          <w:i/>
          <w:sz w:val="20"/>
        </w:rPr>
        <w:t>c</w:t>
      </w:r>
      <w:r w:rsidR="00EE348C" w:rsidRPr="00BE14F9">
        <w:rPr>
          <w:rFonts w:ascii="Book Antiqua" w:hAnsi="Book Antiqua"/>
          <w:sz w:val="20"/>
        </w:rPr>
        <w:t xml:space="preserve"> are discussed in other articles as well [45].</w:t>
      </w:r>
    </w:p>
    <w:p w:rsidR="00164B49" w:rsidRPr="00BE14F9" w:rsidRDefault="00164B49" w:rsidP="00EE348C">
      <w:pPr>
        <w:pStyle w:val="NoSpacing"/>
        <w:ind w:firstLine="720"/>
        <w:jc w:val="both"/>
        <w:rPr>
          <w:rFonts w:ascii="Book Antiqua" w:hAnsi="Book Antiqua"/>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2.11 Varying c Cosmologies</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The idea that the speed of light might not be a constant has been considered in the past decades by a number of authors who have demonstrated that serious problems facing cosmologists could be solved by a very high value for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at the inception of the cosmos. Thus in 1987, V.S. Troitskii proposed that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 xml:space="preserve">was initially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10</m:t>
            </m:r>
          </m:sup>
        </m:sSup>
      </m:oMath>
      <w:r w:rsidRPr="00BE14F9">
        <w:rPr>
          <w:rFonts w:ascii="Book Antiqua" w:hAnsi="Book Antiqua"/>
          <w:position w:val="8"/>
          <w:sz w:val="20"/>
          <w:vertAlign w:val="superscript"/>
        </w:rPr>
        <w:t xml:space="preserve"> </w:t>
      </w:r>
      <w:r w:rsidRPr="00BE14F9">
        <w:rPr>
          <w:rFonts w:ascii="Book Antiqua" w:hAnsi="Book Antiqua"/>
          <w:sz w:val="20"/>
        </w:rPr>
        <w:t xml:space="preserve">times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 xml:space="preserve">now, and it then declined to its present value as the universe aged, along with synchronous variations in several atomic constants [46]. In 1993, Moffat published two articles that suggested a high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value during the earliest moments of the universe with an immediate drop to its present value [45]. Albrecht and Magueijo agreed with that concept, and proposed in 1999 that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was </w:t>
      </w:r>
      <m:oMath>
        <m:r>
          <w:rPr>
            <w:rFonts w:ascii="Cambria Math" w:hAnsi="Book Antiqua"/>
            <w:sz w:val="18"/>
            <w:szCs w:val="18"/>
          </w:rPr>
          <m:t>1</m:t>
        </m:r>
        <m:sSup>
          <m:sSupPr>
            <m:ctrlPr>
              <w:rPr>
                <w:rFonts w:ascii="Cambria Math" w:hAnsi="Book Antiqua"/>
                <w:i/>
                <w:sz w:val="18"/>
                <w:szCs w:val="18"/>
              </w:rPr>
            </m:ctrlPr>
          </m:sSupPr>
          <m:e>
            <m:r>
              <w:rPr>
                <w:rFonts w:ascii="Cambria Math" w:hAnsi="Book Antiqua"/>
                <w:sz w:val="18"/>
                <w:szCs w:val="18"/>
              </w:rPr>
              <m:t>0</m:t>
            </m:r>
          </m:e>
          <m:sup>
            <m:r>
              <w:rPr>
                <w:rFonts w:ascii="Cambria Math" w:hAnsi="Book Antiqua"/>
                <w:sz w:val="18"/>
                <w:szCs w:val="18"/>
              </w:rPr>
              <m:t>60</m:t>
            </m:r>
          </m:sup>
        </m:sSup>
      </m:oMath>
      <w:r w:rsidRPr="00BE14F9">
        <w:rPr>
          <w:rFonts w:ascii="Book Antiqua" w:hAnsi="Book Antiqua"/>
          <w:position w:val="8"/>
          <w:sz w:val="20"/>
          <w:vertAlign w:val="superscript"/>
        </w:rPr>
        <w:t xml:space="preserve"> </w:t>
      </w:r>
      <w:r w:rsidRPr="00BE14F9">
        <w:rPr>
          <w:rFonts w:ascii="Book Antiqua" w:hAnsi="Book Antiqua"/>
          <w:sz w:val="20"/>
        </w:rPr>
        <w:t>times the current speed of light at the origin of the cosmos [47]. John Barrow agreed with the initial value proposed, but suggested it dropped over the lifetime of the cosmos rather than soon after its inception [48]. Unlike Troitskii, the other authors adopted a minimalist position in which only the speed of light varied, and did not consider synchronous changes in related atomic constants</w:t>
      </w:r>
      <w:r w:rsidR="00EC68C1">
        <w:rPr>
          <w:rFonts w:ascii="Book Antiqua" w:hAnsi="Book Antiqua"/>
          <w:sz w:val="20"/>
        </w:rPr>
        <w:t xml:space="preserve"> (or any reason the speed of light might have varied)</w:t>
      </w:r>
      <w:r w:rsidRPr="00BE14F9">
        <w:rPr>
          <w:rFonts w:ascii="Book Antiqua" w:hAnsi="Book Antiqua"/>
          <w:sz w:val="20"/>
        </w:rPr>
        <w:t xml:space="preserve">. Without this synchronism, based on the ZPE, deep space data demand that any </w:t>
      </w:r>
      <w:r w:rsidRPr="00BE14F9">
        <w:rPr>
          <w:rFonts w:ascii="Book Antiqua" w:hAnsi="Book Antiqua"/>
          <w:i/>
          <w:iCs/>
          <w:sz w:val="20"/>
        </w:rPr>
        <w:t xml:space="preserve">c </w:t>
      </w:r>
      <w:r w:rsidRPr="00BE14F9">
        <w:rPr>
          <w:rFonts w:ascii="Book Antiqua" w:hAnsi="Book Antiqua"/>
          <w:sz w:val="20"/>
        </w:rPr>
        <w:t xml:space="preserve">changes be very limited.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The authors mentioned above were all dealing theoretically with problems cosmologists face if all the atomic ‘constants’ are truly constant.  In the meantime, there are over a hundred years of specific and exact measurements which show the speed of light</w:t>
      </w:r>
      <w:r w:rsidR="00EC68C1">
        <w:rPr>
          <w:rFonts w:ascii="Book Antiqua" w:hAnsi="Book Antiqua"/>
          <w:sz w:val="20"/>
        </w:rPr>
        <w:t>,</w:t>
      </w:r>
      <w:r w:rsidRPr="00BE14F9">
        <w:rPr>
          <w:rFonts w:ascii="Book Antiqua" w:hAnsi="Book Antiqua"/>
          <w:sz w:val="20"/>
        </w:rPr>
        <w:t xml:space="preserve"> </w:t>
      </w:r>
      <w:r w:rsidR="00EC68C1">
        <w:rPr>
          <w:rFonts w:ascii="Book Antiqua" w:hAnsi="Book Antiqua"/>
          <w:sz w:val="20"/>
        </w:rPr>
        <w:t xml:space="preserve">and other “constants,” have </w:t>
      </w:r>
      <w:r w:rsidRPr="00BE14F9">
        <w:rPr>
          <w:rFonts w:ascii="Book Antiqua" w:hAnsi="Book Antiqua"/>
          <w:sz w:val="20"/>
        </w:rPr>
        <w:t>changed.  This was a major topic in a number of peer reviewed journals until 1941 when Birge, the “keeper of the constants” simply declared the speed of light to be constant, and this despite his own tally of changing measurements.  This is dealt with in detail later. At the very least, then, we need to have a more open approach regarding the data and the speed of light.  Putting relativity on hold until Chapter 7, let us look at some comments in the scientific literature about the speed of light data.</w:t>
      </w:r>
    </w:p>
    <w:p w:rsidR="00EE348C" w:rsidRPr="00BE14F9" w:rsidRDefault="00EE348C" w:rsidP="00EE348C">
      <w:pPr>
        <w:pStyle w:val="NoSpacing"/>
        <w:jc w:val="both"/>
        <w:rPr>
          <w:rFonts w:ascii="Book Antiqua" w:hAnsi="Book Antiqua"/>
          <w:sz w:val="20"/>
        </w:rPr>
      </w:pPr>
    </w:p>
    <w:p w:rsidR="00EE348C" w:rsidRPr="00BE14F9" w:rsidRDefault="00EE348C" w:rsidP="00AA4A30">
      <w:pPr>
        <w:pStyle w:val="Heading1"/>
        <w:numPr>
          <w:ilvl w:val="0"/>
          <w:numId w:val="8"/>
        </w:numPr>
        <w:spacing w:before="0" w:line="240" w:lineRule="atLeast"/>
        <w:rPr>
          <w:rFonts w:ascii="Book Antiqua" w:hAnsi="Book Antiqua" w:cs="Times New Roman"/>
          <w:sz w:val="20"/>
          <w:szCs w:val="20"/>
        </w:rPr>
      </w:pPr>
      <w:r w:rsidRPr="00BE14F9">
        <w:rPr>
          <w:rFonts w:ascii="Book Antiqua" w:hAnsi="Book Antiqua" w:cs="Times New Roman"/>
          <w:sz w:val="20"/>
          <w:szCs w:val="20"/>
        </w:rPr>
        <w:t>Overview of Discussion on c Variation.</w:t>
      </w: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3.1 Introduction.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From the mid 1800’s until the 1940’s, there was ongoing, and sometimes passionate, discussion in scientific journals regarding the fact that the speed of light had been measured as changing. The data indicating this progressive change were the result of </w:t>
      </w:r>
      <w:r w:rsidR="00EC68C1">
        <w:rPr>
          <w:rFonts w:ascii="Book Antiqua" w:hAnsi="Book Antiqua"/>
          <w:sz w:val="20"/>
        </w:rPr>
        <w:t xml:space="preserve">many </w:t>
      </w:r>
      <w:r w:rsidRPr="00BE14F9">
        <w:rPr>
          <w:rFonts w:ascii="Book Antiqua" w:hAnsi="Book Antiqua"/>
          <w:sz w:val="20"/>
        </w:rPr>
        <w:t xml:space="preserve">hundreds of experiments by </w:t>
      </w:r>
      <w:r w:rsidR="00185FDF">
        <w:rPr>
          <w:rFonts w:ascii="Book Antiqua" w:hAnsi="Book Antiqua"/>
          <w:sz w:val="20"/>
        </w:rPr>
        <w:t>more than a dozen</w:t>
      </w:r>
      <w:r w:rsidRPr="00BE14F9">
        <w:rPr>
          <w:rFonts w:ascii="Book Antiqua" w:hAnsi="Book Antiqua"/>
          <w:sz w:val="20"/>
        </w:rPr>
        <w:t xml:space="preserve"> methods over many years</w:t>
      </w:r>
      <w:r w:rsidR="00EC68C1">
        <w:rPr>
          <w:rFonts w:ascii="Book Antiqua" w:hAnsi="Book Antiqua"/>
          <w:sz w:val="20"/>
        </w:rPr>
        <w:t xml:space="preserve"> (see chapter 3)</w:t>
      </w:r>
      <w:r w:rsidRPr="00BE14F9">
        <w:rPr>
          <w:rFonts w:ascii="Book Antiqua" w:hAnsi="Book Antiqua"/>
          <w:sz w:val="20"/>
        </w:rPr>
        <w:t xml:space="preserve">. Physicists, who had a strong preference for the constancy of atomic quantities, were forced to agree with Dorsey's admission: </w:t>
      </w:r>
      <w:r w:rsidRPr="00BE14F9">
        <w:rPr>
          <w:rFonts w:ascii="Book Antiqua" w:hAnsi="Book Antiqua"/>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BE14F9">
        <w:rPr>
          <w:rFonts w:ascii="Book Antiqua" w:hAnsi="Book Antiqua"/>
          <w:sz w:val="20"/>
        </w:rPr>
        <w:t xml:space="preserve">[49] Even Dorsey's re-working of the data could not avoid that conclusion. </w:t>
      </w:r>
    </w:p>
    <w:p w:rsidR="00EE348C" w:rsidRPr="00BE14F9" w:rsidRDefault="00EE348C" w:rsidP="00EE348C">
      <w:pPr>
        <w:pStyle w:val="NoSpacing"/>
        <w:jc w:val="both"/>
        <w:rPr>
          <w:rFonts w:ascii="Book Antiqua" w:hAnsi="Book Antiqua"/>
          <w:sz w:val="20"/>
        </w:rPr>
      </w:pPr>
      <w:r w:rsidRPr="00BE14F9">
        <w:rPr>
          <w:rFonts w:ascii="Book Antiqua" w:hAnsi="Book Antiqua"/>
          <w:sz w:val="20"/>
        </w:rPr>
        <w:t xml:space="preserve"> </w:t>
      </w:r>
    </w:p>
    <w:p w:rsidR="008F4EE0" w:rsidRDefault="00EE348C" w:rsidP="008F4EE0">
      <w:pPr>
        <w:pStyle w:val="NoSpacing"/>
        <w:jc w:val="both"/>
        <w:rPr>
          <w:rFonts w:ascii="Book Antiqua" w:hAnsi="Book Antiqua"/>
          <w:sz w:val="20"/>
        </w:rPr>
      </w:pPr>
      <w:r w:rsidRPr="00BE14F9">
        <w:rPr>
          <w:rFonts w:ascii="Book Antiqua" w:hAnsi="Book Antiqua"/>
          <w:sz w:val="20"/>
        </w:rPr>
        <w:lastRenderedPageBreak/>
        <w:tab/>
        <w:t xml:space="preserve">In 1886, Newcomb reluctantly concluded that the values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 xml:space="preserve">obtained around 1740 were in agreement with each other, but were about 1% higher than in his own time [50]. In 1941, Raymond Birge, physics professor at the University of California, Berkeley, made a parallel statement while writing about the </w:t>
      </w:r>
      <w:r w:rsidRPr="00BE14F9">
        <w:rPr>
          <w:rFonts w:ascii="Book Antiqua" w:hAnsi="Book Antiqua"/>
          <w:i/>
          <w:iCs/>
          <w:sz w:val="20"/>
        </w:rPr>
        <w:t xml:space="preserve">c </w:t>
      </w:r>
      <w:r w:rsidRPr="00BE14F9">
        <w:rPr>
          <w:rFonts w:ascii="Book Antiqua" w:hAnsi="Book Antiqua"/>
          <w:sz w:val="20"/>
        </w:rPr>
        <w:t xml:space="preserve">values obtained by Newcomb, Michelson and others around 1880. Birge conceded that: </w:t>
      </w:r>
      <w:r w:rsidRPr="00BE14F9">
        <w:rPr>
          <w:rFonts w:ascii="Book Antiqua" w:hAnsi="Book Antiqua"/>
          <w:i/>
          <w:iCs/>
          <w:sz w:val="20"/>
        </w:rPr>
        <w:t xml:space="preserve">“…these older results are entirely consistent among themselves, but their average is nearly 100 km/s greater than that given by the eight more recent results.” </w:t>
      </w:r>
      <w:r w:rsidRPr="00BE14F9">
        <w:rPr>
          <w:rFonts w:ascii="Book Antiqua" w:hAnsi="Book Antiqua"/>
          <w:sz w:val="20"/>
        </w:rPr>
        <w:t xml:space="preserve">[51] The fact these scientists wanted to hold </w:t>
      </w:r>
      <m:oMath>
        <m:r>
          <w:rPr>
            <w:rFonts w:ascii="Cambria Math" w:hAnsi="Cambria Math"/>
            <w:sz w:val="18"/>
            <w:szCs w:val="18"/>
          </w:rPr>
          <m:t>c</m:t>
        </m:r>
      </m:oMath>
      <w:r w:rsidRPr="00BE14F9">
        <w:rPr>
          <w:rFonts w:ascii="Book Antiqua" w:hAnsi="Book Antiqua"/>
          <w:sz w:val="20"/>
        </w:rPr>
        <w:t xml:space="preserve"> as unchanging makes their admission of declining experimental values significant. </w:t>
      </w:r>
      <w:r w:rsidR="008F4EE0">
        <w:rPr>
          <w:rFonts w:ascii="Book Antiqua" w:hAnsi="Book Antiqua"/>
          <w:sz w:val="20"/>
        </w:rPr>
        <w:t xml:space="preserve"> </w:t>
      </w:r>
    </w:p>
    <w:p w:rsidR="008F4EE0" w:rsidRDefault="008F4EE0" w:rsidP="008F4EE0">
      <w:pPr>
        <w:pStyle w:val="NoSpacing"/>
        <w:jc w:val="both"/>
        <w:rPr>
          <w:rFonts w:ascii="Book Antiqua" w:hAnsi="Book Antiqua"/>
          <w:sz w:val="20"/>
        </w:rPr>
      </w:pPr>
    </w:p>
    <w:p w:rsidR="00EE348C" w:rsidRPr="00BE14F9" w:rsidRDefault="00EE348C" w:rsidP="008F4EE0">
      <w:pPr>
        <w:pStyle w:val="NoSpacing"/>
        <w:ind w:firstLine="720"/>
        <w:jc w:val="both"/>
        <w:rPr>
          <w:rFonts w:ascii="Book Antiqua" w:hAnsi="Book Antiqua"/>
          <w:sz w:val="20"/>
        </w:rPr>
      </w:pPr>
      <w:r w:rsidRPr="00BE14F9">
        <w:rPr>
          <w:rFonts w:ascii="Book Antiqua" w:hAnsi="Book Antiqua"/>
          <w:sz w:val="20"/>
        </w:rPr>
        <w:t xml:space="preserve">This consistency </w:t>
      </w:r>
      <w:r w:rsidRPr="00BE14F9">
        <w:rPr>
          <w:rFonts w:ascii="Book Antiqua" w:hAnsi="Book Antiqua"/>
          <w:i/>
          <w:sz w:val="20"/>
        </w:rPr>
        <w:t>"among themselves,"</w:t>
      </w:r>
      <w:r w:rsidRPr="00BE14F9">
        <w:rPr>
          <w:rFonts w:ascii="Book Antiqua" w:hAnsi="Book Antiqua"/>
          <w:sz w:val="20"/>
        </w:rPr>
        <w:t xml:space="preserve"> that is, among </w:t>
      </w:r>
      <m:oMath>
        <m:r>
          <w:rPr>
            <w:rFonts w:ascii="Cambria Math" w:hAnsi="Cambria Math"/>
            <w:sz w:val="18"/>
            <w:szCs w:val="18"/>
          </w:rPr>
          <m:t>c</m:t>
        </m:r>
      </m:oMath>
      <w:r w:rsidRPr="00BE14F9">
        <w:rPr>
          <w:rFonts w:ascii="Book Antiqua" w:hAnsi="Book Antiqua"/>
          <w:i/>
          <w:sz w:val="20"/>
        </w:rPr>
        <w:t xml:space="preserve"> </w:t>
      </w:r>
      <w:r w:rsidRPr="00BE14F9">
        <w:rPr>
          <w:rFonts w:ascii="Book Antiqua" w:hAnsi="Book Antiqua"/>
          <w:sz w:val="20"/>
        </w:rPr>
        <w:t>values obtained by various methods at any given time, is apparent in the data. For example, in the period of one year from 1882-1883, three separate determinations were made by different experimenters using different methods as in Table 2.</w:t>
      </w:r>
    </w:p>
    <w:p w:rsidR="00EE348C" w:rsidRPr="000E5755" w:rsidRDefault="00EE348C" w:rsidP="00EE348C">
      <w:pPr>
        <w:pStyle w:val="NoSpacing"/>
        <w:ind w:firstLine="720"/>
        <w:jc w:val="both"/>
        <w:rPr>
          <w:rFonts w:ascii="Book Antiqua" w:hAnsi="Book Antiqua"/>
          <w:b/>
          <w:sz w:val="20"/>
        </w:rPr>
      </w:pPr>
    </w:p>
    <w:p w:rsidR="00EE348C" w:rsidRPr="000E5755" w:rsidRDefault="00EE348C" w:rsidP="00061E9B">
      <w:pPr>
        <w:pStyle w:val="NoSpacing"/>
        <w:jc w:val="center"/>
        <w:rPr>
          <w:rFonts w:ascii="Book Antiqua" w:hAnsi="Book Antiqua"/>
          <w:b/>
          <w:i/>
          <w:sz w:val="18"/>
          <w:szCs w:val="18"/>
        </w:rPr>
      </w:pPr>
      <w:r w:rsidRPr="000E5755">
        <w:rPr>
          <w:rFonts w:ascii="Book Antiqua" w:hAnsi="Book Antiqua"/>
          <w:b/>
          <w:sz w:val="18"/>
          <w:szCs w:val="18"/>
        </w:rPr>
        <w:t xml:space="preserve">Table 2: </w:t>
      </w:r>
      <w:r w:rsidRPr="000E5755">
        <w:rPr>
          <w:rFonts w:ascii="Book Antiqua" w:hAnsi="Book Antiqua"/>
          <w:b/>
          <w:i/>
          <w:sz w:val="18"/>
          <w:szCs w:val="18"/>
        </w:rPr>
        <w:t>Consistent Results At A Given Time.</w:t>
      </w:r>
    </w:p>
    <w:p w:rsidR="00EE348C" w:rsidRPr="00BE14F9" w:rsidRDefault="00EE348C" w:rsidP="00EE348C">
      <w:pPr>
        <w:pStyle w:val="NoSpacing"/>
        <w:jc w:val="both"/>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59"/>
        <w:gridCol w:w="1575"/>
        <w:gridCol w:w="1687"/>
        <w:gridCol w:w="2699"/>
      </w:tblGrid>
      <w:tr w:rsidR="00EE348C" w:rsidRPr="00BE14F9" w:rsidTr="00061E9B">
        <w:trPr>
          <w:trHeight w:val="305"/>
          <w:jc w:val="center"/>
        </w:trPr>
        <w:tc>
          <w:tcPr>
            <w:tcW w:w="125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DATE</w:t>
            </w:r>
          </w:p>
        </w:tc>
        <w:tc>
          <w:tcPr>
            <w:tcW w:w="1575"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PERSON</w:t>
            </w:r>
          </w:p>
        </w:tc>
        <w:tc>
          <w:tcPr>
            <w:tcW w:w="1687"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c-VALUE</w:t>
            </w:r>
          </w:p>
        </w:tc>
        <w:tc>
          <w:tcPr>
            <w:tcW w:w="2699" w:type="dxa"/>
          </w:tcPr>
          <w:p w:rsidR="00EE348C" w:rsidRPr="00E366A5" w:rsidRDefault="00EE348C" w:rsidP="00400B4E">
            <w:pPr>
              <w:pStyle w:val="NoSpacing"/>
              <w:jc w:val="both"/>
              <w:rPr>
                <w:rFonts w:ascii="Book Antiqua" w:hAnsi="Book Antiqua"/>
                <w:b/>
                <w:i/>
                <w:sz w:val="18"/>
                <w:szCs w:val="18"/>
              </w:rPr>
            </w:pPr>
            <w:r w:rsidRPr="00E366A5">
              <w:rPr>
                <w:rFonts w:ascii="Book Antiqua" w:hAnsi="Book Antiqua"/>
                <w:b/>
                <w:i/>
                <w:sz w:val="18"/>
                <w:szCs w:val="18"/>
              </w:rPr>
              <w:t xml:space="preserve">METHOD           </w:t>
            </w:r>
            <w:r w:rsidR="00E6145A">
              <w:rPr>
                <w:rFonts w:ascii="Book Antiqua" w:hAnsi="Book Antiqua"/>
                <w:b/>
                <w:i/>
                <w:sz w:val="18"/>
                <w:szCs w:val="18"/>
              </w:rPr>
              <w:t xml:space="preserve">   </w:t>
            </w:r>
            <w:r w:rsidRPr="00E366A5">
              <w:rPr>
                <w:rFonts w:ascii="Book Antiqua" w:hAnsi="Book Antiqua"/>
                <w:b/>
                <w:i/>
                <w:sz w:val="18"/>
                <w:szCs w:val="18"/>
              </w:rPr>
              <w:t xml:space="preserve">  </w:t>
            </w:r>
            <w:r w:rsidR="00E6145A">
              <w:rPr>
                <w:rFonts w:ascii="Book Antiqua" w:hAnsi="Book Antiqua"/>
                <w:b/>
                <w:i/>
                <w:sz w:val="18"/>
                <w:szCs w:val="18"/>
              </w:rPr>
              <w:t xml:space="preserve">   </w:t>
            </w:r>
            <w:r w:rsidRPr="00E366A5">
              <w:rPr>
                <w:rFonts w:ascii="Book Antiqua" w:hAnsi="Book Antiqua"/>
                <w:b/>
                <w:i/>
                <w:sz w:val="18"/>
                <w:szCs w:val="18"/>
              </w:rPr>
              <w:t xml:space="preserve">  No.</w:t>
            </w:r>
          </w:p>
        </w:tc>
      </w:tr>
      <w:tr w:rsidR="00EE348C" w:rsidRPr="00BE14F9" w:rsidTr="00061E9B">
        <w:trPr>
          <w:trHeight w:val="287"/>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1882.7</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Newcomb</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299,860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Polygonal Mirror  </w:t>
            </w:r>
            <w:r w:rsidR="00E6145A">
              <w:rPr>
                <w:rFonts w:ascii="Book Antiqua" w:hAnsi="Book Antiqua"/>
                <w:b/>
                <w:sz w:val="18"/>
                <w:szCs w:val="18"/>
              </w:rPr>
              <w:t xml:space="preserve">   </w:t>
            </w:r>
            <w:r w:rsidRPr="00E366A5">
              <w:rPr>
                <w:rFonts w:ascii="Book Antiqua" w:hAnsi="Book Antiqua"/>
                <w:b/>
                <w:sz w:val="18"/>
                <w:szCs w:val="18"/>
              </w:rPr>
              <w:t xml:space="preserve">  255</w:t>
            </w:r>
          </w:p>
        </w:tc>
      </w:tr>
      <w:tr w:rsidR="00EE348C" w:rsidRPr="00BE14F9" w:rsidTr="00061E9B">
        <w:trPr>
          <w:trHeight w:val="260"/>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1882.8</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Michelson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299,853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Rotating Mirrors   </w:t>
            </w:r>
            <w:r w:rsidR="00E6145A">
              <w:rPr>
                <w:rFonts w:ascii="Book Antiqua" w:hAnsi="Book Antiqua"/>
                <w:b/>
                <w:sz w:val="18"/>
                <w:szCs w:val="18"/>
              </w:rPr>
              <w:t xml:space="preserve">   </w:t>
            </w:r>
            <w:r w:rsidRPr="00E366A5">
              <w:rPr>
                <w:rFonts w:ascii="Book Antiqua" w:hAnsi="Book Antiqua"/>
                <w:b/>
                <w:sz w:val="18"/>
                <w:szCs w:val="18"/>
              </w:rPr>
              <w:t xml:space="preserve">  563</w:t>
            </w:r>
          </w:p>
        </w:tc>
      </w:tr>
      <w:tr w:rsidR="00EE348C" w:rsidRPr="00BE14F9" w:rsidTr="00061E9B">
        <w:trPr>
          <w:trHeight w:val="242"/>
          <w:jc w:val="center"/>
        </w:trPr>
        <w:tc>
          <w:tcPr>
            <w:tcW w:w="125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1883.0</w:t>
            </w:r>
          </w:p>
        </w:tc>
        <w:tc>
          <w:tcPr>
            <w:tcW w:w="1575"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Nyren</w:t>
            </w:r>
          </w:p>
        </w:tc>
        <w:tc>
          <w:tcPr>
            <w:tcW w:w="1687"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299,850 km/s</w:t>
            </w:r>
          </w:p>
        </w:tc>
        <w:tc>
          <w:tcPr>
            <w:tcW w:w="2699" w:type="dxa"/>
          </w:tcPr>
          <w:p w:rsidR="00EE348C" w:rsidRPr="00E366A5" w:rsidRDefault="00EE348C" w:rsidP="00400B4E">
            <w:pPr>
              <w:pStyle w:val="NoSpacing"/>
              <w:jc w:val="both"/>
              <w:rPr>
                <w:rFonts w:ascii="Book Antiqua" w:hAnsi="Book Antiqua"/>
                <w:b/>
                <w:sz w:val="18"/>
                <w:szCs w:val="18"/>
              </w:rPr>
            </w:pPr>
            <w:r w:rsidRPr="00E366A5">
              <w:rPr>
                <w:rFonts w:ascii="Book Antiqua" w:hAnsi="Book Antiqua"/>
                <w:b/>
                <w:sz w:val="18"/>
                <w:szCs w:val="18"/>
              </w:rPr>
              <w:t xml:space="preserve">Aberration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w:t>
            </w:r>
            <w:r w:rsidR="00E6145A">
              <w:rPr>
                <w:rFonts w:ascii="Book Antiqua" w:hAnsi="Book Antiqua"/>
                <w:b/>
                <w:sz w:val="18"/>
                <w:szCs w:val="18"/>
              </w:rPr>
              <w:t xml:space="preserve">   </w:t>
            </w:r>
            <w:r w:rsidRPr="00E366A5">
              <w:rPr>
                <w:rFonts w:ascii="Book Antiqua" w:hAnsi="Book Antiqua"/>
                <w:b/>
                <w:sz w:val="18"/>
                <w:szCs w:val="18"/>
              </w:rPr>
              <w:t xml:space="preserve"> 1780</w:t>
            </w:r>
          </w:p>
        </w:tc>
      </w:tr>
    </w:tbl>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These results were obtained within five months of each other, and are in very close agreement. Their mean is 299,854 km/s, which is 61.8 km/s above today's value. Yet the standard deviation of these three values is only </w:t>
      </w:r>
      <m:oMath>
        <m:r>
          <w:rPr>
            <w:rFonts w:ascii="Book Antiqua" w:hAnsi="Book Antiqua"/>
            <w:sz w:val="18"/>
            <w:szCs w:val="18"/>
          </w:rPr>
          <m:t>±</m:t>
        </m:r>
        <m:r>
          <w:rPr>
            <w:rFonts w:ascii="Cambria Math" w:hAnsi="Book Antiqua"/>
            <w:sz w:val="18"/>
            <w:szCs w:val="18"/>
          </w:rPr>
          <m:t xml:space="preserve"> 5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BE14F9">
        <w:rPr>
          <w:rFonts w:ascii="Book Antiqua" w:hAnsi="Book Antiqua"/>
          <w:sz w:val="20"/>
        </w:rPr>
        <w:t xml:space="preserve">; a result which is backed up by the 2500 individual observations which led to these published results. </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 In 1927, M.E.J. Gheury de Bray was responsible for an initial analysis of the </w:t>
      </w:r>
      <w:r w:rsidRPr="00BE14F9">
        <w:rPr>
          <w:rFonts w:ascii="Book Antiqua" w:hAnsi="Book Antiqua"/>
          <w:iCs/>
          <w:sz w:val="20"/>
        </w:rPr>
        <w:t>speed of light</w:t>
      </w:r>
      <w:r w:rsidRPr="00BE14F9">
        <w:rPr>
          <w:rFonts w:ascii="Book Antiqua" w:hAnsi="Book Antiqua"/>
          <w:i/>
          <w:iCs/>
          <w:sz w:val="20"/>
        </w:rPr>
        <w:t xml:space="preserve"> </w:t>
      </w:r>
      <w:r w:rsidRPr="00BE14F9">
        <w:rPr>
          <w:rFonts w:ascii="Book Antiqua" w:hAnsi="Book Antiqua"/>
          <w:sz w:val="20"/>
        </w:rPr>
        <w:t xml:space="preserve">data [52]. After four new determinations by April of 1931, he said </w:t>
      </w:r>
      <w:r w:rsidRPr="00BE14F9">
        <w:rPr>
          <w:rFonts w:ascii="Book Antiqua" w:hAnsi="Book Antiqua"/>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BE14F9">
        <w:rPr>
          <w:rFonts w:ascii="Book Antiqua" w:hAnsi="Book Antiqua"/>
          <w:sz w:val="20"/>
        </w:rPr>
        <w:t xml:space="preserve">[52] Later in 1931 he said, </w:t>
      </w:r>
      <w:r w:rsidRPr="00BE14F9">
        <w:rPr>
          <w:rFonts w:ascii="Book Antiqua" w:hAnsi="Book Antiqua"/>
          <w:i/>
          <w:iCs/>
          <w:sz w:val="20"/>
        </w:rPr>
        <w:t xml:space="preserve">“I believe that in any other field of inquiry such a discrepancy between observation and theory would be felt intolerable.” </w:t>
      </w:r>
      <w:r w:rsidRPr="00BE14F9">
        <w:rPr>
          <w:rFonts w:ascii="Book Antiqua" w:hAnsi="Book Antiqua"/>
          <w:sz w:val="20"/>
        </w:rPr>
        <w:t xml:space="preserve">[52] The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sz w:val="20"/>
        </w:rPr>
        <w:t>values that Birge recommended be accepted in 1941 [51] are given in Table 3 &amp; plotted in Figure 2.</w:t>
      </w:r>
    </w:p>
    <w:p w:rsidR="00EE348C" w:rsidRPr="00BE14F9" w:rsidRDefault="00EE348C" w:rsidP="00EE348C">
      <w:pPr>
        <w:pStyle w:val="NoSpacing"/>
        <w:jc w:val="both"/>
        <w:rPr>
          <w:rFonts w:ascii="Book Antiqua" w:hAnsi="Book Antiqua"/>
          <w:sz w:val="20"/>
        </w:rPr>
      </w:pPr>
    </w:p>
    <w:p w:rsidR="00EE348C" w:rsidRPr="000E5755" w:rsidRDefault="00EE348C" w:rsidP="00061E9B">
      <w:pPr>
        <w:pStyle w:val="NoSpacing"/>
        <w:jc w:val="center"/>
        <w:rPr>
          <w:rFonts w:ascii="Book Antiqua" w:hAnsi="Book Antiqua"/>
          <w:i/>
          <w:sz w:val="18"/>
          <w:szCs w:val="18"/>
        </w:rPr>
      </w:pPr>
      <w:r w:rsidRPr="000E5755">
        <w:rPr>
          <w:rFonts w:ascii="Book Antiqua" w:hAnsi="Book Antiqua"/>
          <w:b/>
          <w:sz w:val="18"/>
          <w:szCs w:val="18"/>
        </w:rPr>
        <w:t>Table 3:</w:t>
      </w:r>
      <w:r w:rsidRPr="000E5755">
        <w:rPr>
          <w:rFonts w:ascii="Book Antiqua" w:hAnsi="Book Antiqua"/>
          <w:i/>
          <w:sz w:val="18"/>
          <w:szCs w:val="18"/>
        </w:rPr>
        <w:t xml:space="preserve"> </w:t>
      </w:r>
      <w:r w:rsidR="00E366A5" w:rsidRPr="000E5755">
        <w:rPr>
          <w:rFonts w:ascii="Book Antiqua" w:hAnsi="Book Antiqua"/>
          <w:i/>
          <w:sz w:val="18"/>
          <w:szCs w:val="18"/>
        </w:rPr>
        <w:t>L</w:t>
      </w:r>
      <w:r w:rsidRPr="000E5755">
        <w:rPr>
          <w:rFonts w:ascii="Book Antiqua" w:hAnsi="Book Antiqua"/>
          <w:i/>
          <w:sz w:val="18"/>
          <w:szCs w:val="18"/>
        </w:rPr>
        <w:t>ight speed values accepted by Birge</w:t>
      </w:r>
    </w:p>
    <w:p w:rsidR="00EE348C" w:rsidRPr="00BE14F9" w:rsidRDefault="00EE348C" w:rsidP="00EE348C">
      <w:pPr>
        <w:pStyle w:val="NoSpacing"/>
        <w:jc w:val="center"/>
        <w:rPr>
          <w:rFonts w:ascii="Book Antiqua" w:hAnsi="Book Antiqua"/>
          <w:b/>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89"/>
        <w:gridCol w:w="2989"/>
      </w:tblGrid>
      <w:tr w:rsidR="00EE348C" w:rsidRPr="00BE14F9" w:rsidTr="00061E9B">
        <w:trPr>
          <w:trHeight w:val="253"/>
          <w:jc w:val="center"/>
        </w:trPr>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YEAR</w:t>
            </w:r>
          </w:p>
        </w:tc>
        <w:tc>
          <w:tcPr>
            <w:tcW w:w="2989" w:type="dxa"/>
          </w:tcPr>
          <w:p w:rsidR="00EE348C" w:rsidRPr="00252CC0" w:rsidRDefault="00EE348C" w:rsidP="00400B4E">
            <w:pPr>
              <w:pStyle w:val="NoSpacing"/>
              <w:jc w:val="center"/>
              <w:rPr>
                <w:rFonts w:ascii="Book Antiqua" w:hAnsi="Book Antiqua"/>
                <w:b/>
                <w:i/>
                <w:sz w:val="18"/>
                <w:szCs w:val="18"/>
              </w:rPr>
            </w:pPr>
            <w:r w:rsidRPr="00252CC0">
              <w:rPr>
                <w:rFonts w:ascii="Book Antiqua" w:hAnsi="Book Antiqua"/>
                <w:b/>
                <w:i/>
                <w:sz w:val="18"/>
                <w:szCs w:val="18"/>
              </w:rPr>
              <w:t>km/sec</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1874.8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299990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1879.5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299910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299860</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1882.8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299853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1902.4</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299901</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1906</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299803</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1923</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299795</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1926.5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299798</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1928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299786</w:t>
            </w:r>
          </w:p>
        </w:tc>
      </w:tr>
      <w:tr w:rsidR="00EE348C" w:rsidRPr="00BE14F9" w:rsidTr="00061E9B">
        <w:trPr>
          <w:trHeight w:val="253"/>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1932.5</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299774</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1936.8</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r w:rsidR="00EE348C" w:rsidRPr="00BE14F9" w:rsidTr="00061E9B">
        <w:trPr>
          <w:trHeight w:val="270"/>
          <w:jc w:val="center"/>
        </w:trPr>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1937</w:t>
            </w:r>
          </w:p>
        </w:tc>
        <w:tc>
          <w:tcPr>
            <w:tcW w:w="2989" w:type="dxa"/>
          </w:tcPr>
          <w:p w:rsidR="00EE348C" w:rsidRPr="00E366A5" w:rsidRDefault="00EE348C" w:rsidP="00400B4E">
            <w:pPr>
              <w:pStyle w:val="NoSpacing"/>
              <w:jc w:val="center"/>
              <w:rPr>
                <w:rFonts w:ascii="Book Antiqua" w:hAnsi="Book Antiqua"/>
                <w:b/>
                <w:sz w:val="18"/>
                <w:szCs w:val="18"/>
              </w:rPr>
            </w:pPr>
            <w:r w:rsidRPr="00E366A5">
              <w:rPr>
                <w:rFonts w:ascii="Book Antiqua" w:hAnsi="Book Antiqua"/>
                <w:b/>
                <w:sz w:val="18"/>
                <w:szCs w:val="18"/>
              </w:rPr>
              <w:t>299771</w:t>
            </w:r>
          </w:p>
        </w:tc>
      </w:tr>
    </w:tbl>
    <w:p w:rsidR="00EE348C" w:rsidRDefault="00EE348C" w:rsidP="00EE348C">
      <w:pPr>
        <w:pStyle w:val="NoSpacing"/>
        <w:jc w:val="both"/>
        <w:rPr>
          <w:rFonts w:ascii="Book Antiqua" w:hAnsi="Book Antiqua"/>
          <w:sz w:val="20"/>
        </w:rPr>
      </w:pPr>
    </w:p>
    <w:p w:rsidR="00904D33" w:rsidRDefault="00904D33" w:rsidP="00904D33">
      <w:pPr>
        <w:pStyle w:val="NoSpacing"/>
        <w:ind w:firstLine="720"/>
        <w:jc w:val="both"/>
        <w:rPr>
          <w:rFonts w:ascii="Book Antiqua" w:hAnsi="Book Antiqua"/>
          <w:bCs/>
          <w:iCs/>
          <w:sz w:val="20"/>
        </w:rPr>
      </w:pPr>
    </w:p>
    <w:p w:rsidR="00904D33" w:rsidRPr="00BE14F9" w:rsidRDefault="00904D33" w:rsidP="00904D33">
      <w:pPr>
        <w:pStyle w:val="NoSpacing"/>
        <w:ind w:firstLine="720"/>
        <w:jc w:val="both"/>
        <w:rPr>
          <w:rFonts w:ascii="Book Antiqua" w:hAnsi="Book Antiqua"/>
          <w:bCs/>
          <w:iCs/>
          <w:sz w:val="20"/>
        </w:rPr>
      </w:pPr>
      <w:r w:rsidRPr="00BE14F9">
        <w:rPr>
          <w:rFonts w:ascii="Book Antiqua" w:hAnsi="Book Antiqua"/>
          <w:bCs/>
          <w:iCs/>
          <w:sz w:val="20"/>
        </w:rPr>
        <w:t xml:space="preserve">It has been suggested that the measured drop in the speed of light was due to an improvement in equipment and the elimination of instrumental errors. Dorsey used that argument as the basis for his analysis in the early 1940’s [49]. However, all he could do in the end was to suggest that error bars be extended as a result of his desire to support a </w:t>
      </w:r>
      <w:r w:rsidRPr="00BE14F9">
        <w:rPr>
          <w:rFonts w:ascii="Book Antiqua" w:hAnsi="Book Antiqua"/>
          <w:bCs/>
          <w:iCs/>
          <w:sz w:val="20"/>
        </w:rPr>
        <w:lastRenderedPageBreak/>
        <w:t xml:space="preserve">constant speed of light, regardless of the data. His analysis produced no significant changes in the measured values of </w:t>
      </w:r>
      <m:oMath>
        <m:r>
          <w:rPr>
            <w:rFonts w:ascii="Cambria Math" w:hAnsi="Cambria Math"/>
            <w:sz w:val="18"/>
            <w:szCs w:val="18"/>
          </w:rPr>
          <m:t>c</m:t>
        </m:r>
      </m:oMath>
      <w:r w:rsidRPr="00BE14F9">
        <w:rPr>
          <w:rFonts w:ascii="Book Antiqua" w:hAnsi="Book Antiqua"/>
          <w:bCs/>
          <w:iCs/>
          <w:sz w:val="20"/>
        </w:rPr>
        <w:t xml:space="preserve">, despite concerted efforts on his part to find reasons for changes. </w:t>
      </w:r>
    </w:p>
    <w:p w:rsidR="00904D33" w:rsidRPr="00BE14F9" w:rsidRDefault="00904D33"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b/>
          <w:bCs/>
          <w:i/>
          <w:iCs/>
          <w:sz w:val="20"/>
        </w:rPr>
      </w:pPr>
      <w:r w:rsidRPr="00BE14F9">
        <w:rPr>
          <w:rFonts w:ascii="Book Antiqua" w:hAnsi="Book Antiqua"/>
          <w:noProof/>
          <w:sz w:val="20"/>
        </w:rPr>
        <w:drawing>
          <wp:inline distT="0" distB="0" distL="0" distR="0">
            <wp:extent cx="4427559" cy="5038725"/>
            <wp:effectExtent l="19050" t="0" r="0" b="0"/>
            <wp:docPr id="1523"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4432646" cy="5044514"/>
                    </a:xfrm>
                    <a:prstGeom prst="rect">
                      <a:avLst/>
                    </a:prstGeom>
                    <a:noFill/>
                    <a:ln w="9525">
                      <a:noFill/>
                      <a:miter lim="800000"/>
                      <a:headEnd/>
                      <a:tailEnd/>
                    </a:ln>
                  </pic:spPr>
                </pic:pic>
              </a:graphicData>
            </a:graphic>
          </wp:inline>
        </w:drawing>
      </w:r>
    </w:p>
    <w:p w:rsidR="00EE348C" w:rsidRPr="00BE14F9" w:rsidRDefault="00EE348C" w:rsidP="00EE348C">
      <w:pPr>
        <w:pStyle w:val="NoSpacing"/>
        <w:jc w:val="both"/>
        <w:rPr>
          <w:rFonts w:ascii="Book Antiqua" w:hAnsi="Book Antiqua"/>
          <w:bCs/>
          <w:iCs/>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2:</w:t>
      </w:r>
      <w:r w:rsidRPr="00644C81">
        <w:rPr>
          <w:rFonts w:ascii="Book Antiqua" w:hAnsi="Book Antiqua"/>
          <w:bCs/>
          <w:i/>
          <w:iCs/>
          <w:sz w:val="18"/>
          <w:szCs w:val="18"/>
        </w:rPr>
        <w:t xml:space="preserve"> Experimental</w:t>
      </w:r>
      <w:r w:rsidR="00644C81">
        <w:rPr>
          <w:rFonts w:ascii="Book Antiqua" w:hAnsi="Book Antiqua"/>
          <w:bCs/>
          <w:i/>
          <w:iCs/>
          <w:sz w:val="18"/>
          <w:szCs w:val="18"/>
        </w:rPr>
        <w:t xml:space="preserve"> values of the speed of light,</w:t>
      </w:r>
      <w:r w:rsidRPr="00644C81">
        <w:rPr>
          <w:rFonts w:ascii="Book Antiqua" w:hAnsi="Book Antiqua"/>
          <w:bCs/>
          <w:i/>
          <w:iCs/>
          <w:sz w:val="18"/>
          <w:szCs w:val="18"/>
        </w:rPr>
        <w:t xml:space="preserve"> </w:t>
      </w:r>
      <m:oMath>
        <m:r>
          <w:rPr>
            <w:rFonts w:ascii="Cambria Math" w:hAnsi="Book Antiqua"/>
            <w:sz w:val="18"/>
            <w:szCs w:val="18"/>
          </w:rPr>
          <m:t>c</m:t>
        </m:r>
      </m:oMath>
      <w:r w:rsidR="00644C81">
        <w:rPr>
          <w:rFonts w:ascii="Book Antiqua" w:hAnsi="Book Antiqua"/>
          <w:bCs/>
          <w:i/>
          <w:iCs/>
          <w:sz w:val="18"/>
          <w:szCs w:val="18"/>
        </w:rPr>
        <w:t>,</w:t>
      </w:r>
      <w:r w:rsidRPr="00644C81">
        <w:rPr>
          <w:rFonts w:ascii="Book Antiqua" w:hAnsi="Book Antiqua"/>
          <w:bCs/>
          <w:i/>
          <w:iCs/>
          <w:sz w:val="18"/>
          <w:szCs w:val="18"/>
        </w:rPr>
        <w:t xml:space="preserve"> accepted by Birge</w:t>
      </w:r>
    </w:p>
    <w:p w:rsidR="00EE348C" w:rsidRPr="00BE14F9" w:rsidRDefault="00EE348C" w:rsidP="00EE348C">
      <w:pPr>
        <w:pStyle w:val="NoSpacing"/>
        <w:ind w:firstLine="720"/>
        <w:jc w:val="both"/>
        <w:rPr>
          <w:rFonts w:ascii="Book Antiqua" w:hAnsi="Book Antiqua"/>
          <w:bCs/>
          <w:iCs/>
          <w:sz w:val="20"/>
        </w:rPr>
      </w:pPr>
    </w:p>
    <w:p w:rsidR="00EE348C" w:rsidRPr="00BE14F9" w:rsidRDefault="00EE348C" w:rsidP="00EE348C">
      <w:pPr>
        <w:pStyle w:val="Heading2"/>
        <w:spacing w:before="80" w:after="80" w:line="240" w:lineRule="atLeast"/>
        <w:rPr>
          <w:rFonts w:ascii="Book Antiqua" w:hAnsi="Book Antiqua" w:cs="Times New Roman"/>
          <w:b w:val="0"/>
          <w:sz w:val="20"/>
          <w:szCs w:val="20"/>
        </w:rPr>
      </w:pPr>
      <w:r w:rsidRPr="00BE14F9">
        <w:rPr>
          <w:rFonts w:ascii="Book Antiqua" w:hAnsi="Book Antiqua" w:cs="Times New Roman"/>
          <w:b w:val="0"/>
          <w:sz w:val="20"/>
          <w:szCs w:val="20"/>
        </w:rPr>
        <w:t xml:space="preserve">3.2 Results from Pulkovo Observatory </w:t>
      </w:r>
    </w:p>
    <w:p w:rsidR="00EE348C" w:rsidRPr="00BE14F9" w:rsidRDefault="00EE348C" w:rsidP="00EE348C">
      <w:pPr>
        <w:rPr>
          <w:rFonts w:ascii="Book Antiqua" w:hAnsi="Book Antiqua"/>
        </w:rPr>
      </w:pPr>
    </w:p>
    <w:p w:rsidR="00EE348C" w:rsidRPr="00BE14F9" w:rsidRDefault="00EE348C" w:rsidP="00EE348C">
      <w:pPr>
        <w:pStyle w:val="NoSpacing"/>
        <w:jc w:val="both"/>
        <w:rPr>
          <w:rFonts w:ascii="Book Antiqua" w:hAnsi="Book Antiqua"/>
          <w:noProof/>
          <w:sz w:val="20"/>
        </w:rPr>
      </w:pPr>
      <w:r w:rsidRPr="00BE14F9">
        <w:rPr>
          <w:rFonts w:ascii="Book Antiqua" w:hAnsi="Book Antiqua"/>
          <w:bCs/>
          <w:iCs/>
          <w:sz w:val="20"/>
        </w:rPr>
        <w:tab/>
        <w:t>That Dorsey's argument regarding instrumental error is not viable is shown by the aberration measurements taken at Pulkovo Observatory in Russia. There, the same observers used the same equipment over a period of about 100 years and a decline in c was apparent. Thus equipment and personal errors are effectively eliminated. This negates Dorsey’s argument. Although they are discussed more fully in Chapter 3, the graph of the Pulkovo observations appears in Figure 3.</w:t>
      </w:r>
      <w:r w:rsidRPr="00BE14F9">
        <w:rPr>
          <w:rFonts w:ascii="Book Antiqua" w:hAnsi="Book Antiqua"/>
          <w:noProof/>
          <w:sz w:val="20"/>
        </w:rPr>
        <w:t xml:space="preserve">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jc w:val="center"/>
        <w:rPr>
          <w:rFonts w:ascii="Book Antiqua" w:hAnsi="Book Antiqua"/>
          <w:noProof/>
          <w:sz w:val="20"/>
        </w:rPr>
      </w:pPr>
      <w:r w:rsidRPr="00BE14F9">
        <w:rPr>
          <w:rFonts w:ascii="Book Antiqua" w:hAnsi="Book Antiqua"/>
          <w:noProof/>
          <w:sz w:val="20"/>
        </w:rPr>
        <w:lastRenderedPageBreak/>
        <w:drawing>
          <wp:inline distT="0" distB="0" distL="0" distR="0">
            <wp:extent cx="4638675" cy="3724275"/>
            <wp:effectExtent l="19050" t="0" r="9525" b="0"/>
            <wp:docPr id="15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E348C" w:rsidRPr="00BE14F9" w:rsidRDefault="00EE348C" w:rsidP="00EE348C">
      <w:pPr>
        <w:pStyle w:val="NoSpacing"/>
        <w:ind w:firstLine="720"/>
        <w:rPr>
          <w:rFonts w:ascii="Book Antiqua" w:hAnsi="Book Antiqua"/>
          <w:noProof/>
          <w:sz w:val="18"/>
          <w:szCs w:val="18"/>
        </w:rPr>
      </w:pPr>
    </w:p>
    <w:p w:rsidR="00EE348C" w:rsidRPr="00644C81" w:rsidRDefault="00EE348C" w:rsidP="00EE348C">
      <w:pPr>
        <w:pStyle w:val="NoSpacing"/>
        <w:rPr>
          <w:rFonts w:ascii="Book Antiqua" w:hAnsi="Book Antiqua"/>
          <w:i/>
          <w:noProof/>
          <w:sz w:val="18"/>
          <w:szCs w:val="18"/>
        </w:rPr>
      </w:pPr>
      <w:r w:rsidRPr="00644C81">
        <w:rPr>
          <w:rFonts w:ascii="Book Antiqua" w:hAnsi="Book Antiqua"/>
          <w:b/>
          <w:bCs/>
          <w:i/>
          <w:iCs/>
          <w:sz w:val="18"/>
          <w:szCs w:val="18"/>
        </w:rPr>
        <w:t>Figure 3:</w:t>
      </w:r>
      <w:r w:rsidRPr="00644C81">
        <w:rPr>
          <w:rFonts w:ascii="Book Antiqua" w:hAnsi="Book Antiqua"/>
          <w:bCs/>
          <w:i/>
          <w:iCs/>
          <w:sz w:val="18"/>
          <w:szCs w:val="18"/>
        </w:rPr>
        <w:t xml:space="preserve"> Speed of light data from Pulkovo Observatory above their 1935 datum line (the zero line). Values are in km/s above that value. The least squares linear fit to the data gives a decline in c of 6.15 km/s per year.</w:t>
      </w:r>
    </w:p>
    <w:p w:rsidR="00EE348C" w:rsidRDefault="00EE348C" w:rsidP="00EE348C">
      <w:pPr>
        <w:pStyle w:val="NoSpacing"/>
        <w:jc w:val="both"/>
        <w:rPr>
          <w:rFonts w:ascii="Book Antiqua" w:hAnsi="Book Antiqua"/>
          <w:noProof/>
          <w:sz w:val="20"/>
        </w:rPr>
      </w:pPr>
    </w:p>
    <w:p w:rsidR="001D2317" w:rsidRPr="00BE14F9" w:rsidRDefault="001D2317" w:rsidP="001D2317">
      <w:pPr>
        <w:pStyle w:val="NoSpacing"/>
        <w:ind w:firstLine="720"/>
        <w:jc w:val="both"/>
        <w:rPr>
          <w:rFonts w:ascii="Book Antiqua" w:hAnsi="Book Antiqua"/>
          <w:noProof/>
          <w:sz w:val="20"/>
        </w:rPr>
      </w:pPr>
      <w:r w:rsidRPr="00BE14F9">
        <w:rPr>
          <w:rFonts w:ascii="Book Antiqua" w:hAnsi="Book Antiqua"/>
          <w:noProof/>
          <w:sz w:val="20"/>
        </w:rPr>
        <w:t xml:space="preserve">Because most aberration measurements register a systematically low value for </w:t>
      </w:r>
      <m:oMath>
        <m:r>
          <w:rPr>
            <w:rFonts w:ascii="Cambria Math" w:hAnsi="Cambria Math"/>
            <w:noProof/>
            <w:sz w:val="18"/>
            <w:szCs w:val="18"/>
          </w:rPr>
          <m:t>c</m:t>
        </m:r>
      </m:oMath>
      <w:r w:rsidRPr="00BE14F9">
        <w:rPr>
          <w:rFonts w:ascii="Book Antiqua" w:hAnsi="Book Antiqua"/>
          <w:noProof/>
          <w:sz w:val="20"/>
        </w:rPr>
        <w:t>, the graph shows the values above the local Pulkovo datum for 1935. The declining trend is immediately apparent. The first two values on the graph were obtained by Bradley and Lindenau using the aberration method before Pulkovo was opened. They are given for comparison to show that the trend was consistent when extended back in time.</w:t>
      </w:r>
    </w:p>
    <w:p w:rsidR="001D2317" w:rsidRPr="00BE14F9" w:rsidRDefault="001D2317" w:rsidP="00EE348C">
      <w:pPr>
        <w:pStyle w:val="NoSpacing"/>
        <w:jc w:val="both"/>
        <w:rPr>
          <w:rFonts w:ascii="Book Antiqua" w:hAnsi="Book Antiqua"/>
          <w:noProof/>
          <w:sz w:val="20"/>
        </w:rPr>
      </w:pPr>
    </w:p>
    <w:p w:rsidR="00EE348C" w:rsidRPr="00BE14F9" w:rsidRDefault="00EE348C" w:rsidP="00EE348C">
      <w:pPr>
        <w:pStyle w:val="Heading2"/>
        <w:spacing w:before="80" w:after="80" w:line="240" w:lineRule="atLeast"/>
        <w:rPr>
          <w:rFonts w:ascii="Book Antiqua" w:hAnsi="Book Antiqua" w:cs="Times New Roman"/>
          <w:b w:val="0"/>
          <w:bCs w:val="0"/>
          <w:iCs w:val="0"/>
          <w:sz w:val="20"/>
          <w:szCs w:val="20"/>
        </w:rPr>
      </w:pPr>
      <w:r w:rsidRPr="00BE14F9">
        <w:rPr>
          <w:rFonts w:ascii="Book Antiqua" w:hAnsi="Book Antiqua" w:cs="Times New Roman"/>
          <w:b w:val="0"/>
          <w:sz w:val="20"/>
          <w:szCs w:val="20"/>
        </w:rPr>
        <w:t>3.3 Analyses of the Speed of Light Data</w:t>
      </w:r>
      <w:r w:rsidRPr="00BE14F9">
        <w:rPr>
          <w:rFonts w:ascii="Book Antiqua" w:hAnsi="Book Antiqua" w:cs="Times New Roman"/>
          <w:b w:val="0"/>
          <w:bCs w:val="0"/>
          <w:iCs w:val="0"/>
          <w:sz w:val="20"/>
          <w:szCs w:val="20"/>
        </w:rPr>
        <w:t xml:space="preserve"> </w:t>
      </w:r>
    </w:p>
    <w:p w:rsidR="00EE348C" w:rsidRPr="00BE14F9" w:rsidRDefault="00EE348C" w:rsidP="00EE348C">
      <w:pPr>
        <w:rPr>
          <w:rFonts w:ascii="Book Antiqua" w:hAnsi="Book Antiqua"/>
        </w:rPr>
      </w:pPr>
    </w:p>
    <w:p w:rsidR="00EE348C" w:rsidRPr="00BE14F9" w:rsidRDefault="00EE348C" w:rsidP="00EE348C">
      <w:pPr>
        <w:pStyle w:val="NoSpacing"/>
        <w:ind w:firstLine="720"/>
        <w:jc w:val="both"/>
        <w:rPr>
          <w:rFonts w:ascii="Book Antiqua" w:hAnsi="Book Antiqua"/>
          <w:noProof/>
          <w:sz w:val="20"/>
        </w:rPr>
      </w:pPr>
      <w:r w:rsidRPr="00BE14F9">
        <w:rPr>
          <w:rFonts w:ascii="Book Antiqua" w:hAnsi="Book Antiqua"/>
          <w:sz w:val="20"/>
        </w:rPr>
        <w:t xml:space="preserve">In all, thousands of individual experiments, using 16 methods over 330 years resulted in the 163 determinations of </w:t>
      </w:r>
      <m:oMath>
        <m:r>
          <w:rPr>
            <w:rFonts w:ascii="Cambria Math" w:hAnsi="Cambria Math"/>
            <w:sz w:val="18"/>
            <w:szCs w:val="18"/>
          </w:rPr>
          <m:t>c</m:t>
        </m:r>
      </m:oMath>
      <w:r w:rsidRPr="00BE14F9">
        <w:rPr>
          <w:rFonts w:ascii="Book Antiqua" w:hAnsi="Book Antiqua"/>
          <w:i/>
          <w:iCs/>
          <w:sz w:val="20"/>
        </w:rPr>
        <w:t xml:space="preserve"> </w:t>
      </w:r>
      <w:r w:rsidRPr="00BE14F9">
        <w:rPr>
          <w:rFonts w:ascii="Book Antiqua" w:hAnsi="Book Antiqua"/>
          <w:iCs/>
          <w:sz w:val="20"/>
        </w:rPr>
        <w:t>as published in science journals</w:t>
      </w:r>
      <w:r w:rsidRPr="00BE14F9">
        <w:rPr>
          <w:rFonts w:ascii="Book Antiqua" w:hAnsi="Book Antiqua"/>
          <w:i/>
          <w:iCs/>
          <w:sz w:val="20"/>
        </w:rPr>
        <w:t xml:space="preserve">.  </w:t>
      </w:r>
      <w:r w:rsidRPr="00BE14F9">
        <w:rPr>
          <w:rFonts w:ascii="Book Antiqua" w:hAnsi="Book Antiqua"/>
          <w:sz w:val="20"/>
        </w:rPr>
        <w:t>These data were documented along with the synchronously changing atomic constants in the 1987 Report done for Stanford Research Institute (SRI) International and Flinders University [2]</w:t>
      </w:r>
      <w:r w:rsidR="00EC68C1">
        <w:rPr>
          <w:rFonts w:ascii="Book Antiqua" w:hAnsi="Book Antiqua"/>
          <w:sz w:val="20"/>
        </w:rPr>
        <w:t>, h</w:t>
      </w:r>
      <w:r w:rsidRPr="00BE14F9">
        <w:rPr>
          <w:rFonts w:ascii="Book Antiqua" w:hAnsi="Book Antiqua"/>
          <w:bCs/>
          <w:iCs/>
          <w:sz w:val="20"/>
        </w:rPr>
        <w:t>ereafter called “The Report”. The statistical treatment of these data is extensive in the 1987 Report, and a</w:t>
      </w:r>
      <w:r w:rsidRPr="00BE14F9">
        <w:rPr>
          <w:rFonts w:ascii="Book Antiqua" w:hAnsi="Book Antiqua"/>
          <w:noProof/>
          <w:sz w:val="20"/>
        </w:rPr>
        <w:t xml:space="preserve">nalysis there showed that the results from each individual method statistically supported a decline in the measured value of the speed of light.  Additionally, all data taken together collectively also revealed that decline. </w:t>
      </w:r>
      <w:r w:rsidR="00185FDF">
        <w:rPr>
          <w:rFonts w:ascii="Book Antiqua" w:hAnsi="Book Antiqua"/>
          <w:noProof/>
          <w:sz w:val="20"/>
        </w:rPr>
        <w:t xml:space="preserve">In 1993, </w:t>
      </w:r>
      <w:r w:rsidRPr="00BE14F9">
        <w:rPr>
          <w:rFonts w:ascii="Book Antiqua" w:hAnsi="Book Antiqua"/>
          <w:noProof/>
          <w:sz w:val="20"/>
        </w:rPr>
        <w:t xml:space="preserve">Montgomery and Dolphin did an independent analysis of lightspeed data in reference [53]. If the best values with errors less than 0.1% are graphed, then Figure 4 results. </w:t>
      </w:r>
    </w:p>
    <w:p w:rsidR="00EE348C" w:rsidRPr="00BE14F9" w:rsidRDefault="00EE348C" w:rsidP="00EE348C">
      <w:pPr>
        <w:pStyle w:val="NoSpacing"/>
        <w:jc w:val="both"/>
        <w:rPr>
          <w:rFonts w:ascii="Book Antiqua" w:hAnsi="Book Antiqua"/>
          <w:noProof/>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What we see in Figures 2, 3 and 4 is not what would be seen if the only cause for change was apparatus whose precision and accuracy were increasing. Should increasing accuracy have been the cause, there should be a scatter of data points around the true value, not the one-sided approach that is apparent in these three Figures. If a constant quantity were involved, the data graph should appear rather like that for the recommended value of the Rydberg constant in references [4 - 15], which is graphed in Figure 5.</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lastRenderedPageBreak/>
        <w:drawing>
          <wp:inline distT="0" distB="0" distL="0" distR="0">
            <wp:extent cx="5514975" cy="3801908"/>
            <wp:effectExtent l="19050" t="0" r="9525" b="0"/>
            <wp:docPr id="1521"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458" b="7625"/>
                    <a:stretch>
                      <a:fillRect/>
                    </a:stretch>
                  </pic:blipFill>
                  <pic:spPr bwMode="auto">
                    <a:xfrm>
                      <a:off x="0" y="0"/>
                      <a:ext cx="5526938" cy="3810155"/>
                    </a:xfrm>
                    <a:prstGeom prst="rect">
                      <a:avLst/>
                    </a:prstGeom>
                    <a:noFill/>
                    <a:ln w="9525">
                      <a:noFill/>
                      <a:miter lim="800000"/>
                      <a:headEnd/>
                      <a:tailEnd/>
                    </a:ln>
                  </pic:spPr>
                </pic:pic>
              </a:graphicData>
            </a:graphic>
          </wp:inline>
        </w:drawing>
      </w:r>
    </w:p>
    <w:p w:rsidR="00EE348C" w:rsidRPr="00BE14F9" w:rsidRDefault="00EE348C" w:rsidP="00644C81">
      <w:pPr>
        <w:pStyle w:val="NoSpacing"/>
        <w:rPr>
          <w:rFonts w:ascii="Book Antiqua" w:hAnsi="Book Antiqua"/>
          <w:sz w:val="20"/>
        </w:rPr>
      </w:pPr>
    </w:p>
    <w:p w:rsidR="00EE348C" w:rsidRPr="00644C81" w:rsidRDefault="00EE348C" w:rsidP="00061E9B">
      <w:pPr>
        <w:pStyle w:val="NoSpacing"/>
        <w:jc w:val="center"/>
        <w:rPr>
          <w:rFonts w:ascii="Book Antiqua" w:hAnsi="Book Antiqua"/>
          <w:bCs/>
          <w:i/>
          <w:iCs/>
          <w:sz w:val="18"/>
          <w:szCs w:val="18"/>
        </w:rPr>
      </w:pPr>
      <w:r w:rsidRPr="00644C81">
        <w:rPr>
          <w:rFonts w:ascii="Book Antiqua" w:hAnsi="Book Antiqua"/>
          <w:b/>
          <w:bCs/>
          <w:i/>
          <w:iCs/>
          <w:sz w:val="18"/>
          <w:szCs w:val="18"/>
        </w:rPr>
        <w:t>Figure 4:</w:t>
      </w:r>
      <w:r w:rsidRPr="00644C81">
        <w:rPr>
          <w:rFonts w:ascii="Book Antiqua" w:hAnsi="Book Antiqua"/>
          <w:bCs/>
          <w:i/>
          <w:iCs/>
          <w:sz w:val="18"/>
          <w:szCs w:val="18"/>
        </w:rPr>
        <w:t xml:space="preserve"> Speed of light data from reference [53] with errors less than 0.1%</w:t>
      </w:r>
    </w:p>
    <w:p w:rsidR="00904D33" w:rsidRPr="00BE14F9" w:rsidRDefault="00904D33" w:rsidP="00EE348C">
      <w:pPr>
        <w:pStyle w:val="NoSpacing"/>
        <w:jc w:val="both"/>
        <w:rPr>
          <w:rFonts w:ascii="Book Antiqua" w:hAnsi="Book Antiqua"/>
          <w:bCs/>
          <w:iCs/>
          <w:sz w:val="18"/>
          <w:szCs w:val="18"/>
        </w:rPr>
      </w:pP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4095750" cy="3028745"/>
            <wp:effectExtent l="19050" t="0" r="0" b="0"/>
            <wp:docPr id="1520" name="Picture 8" descr="E:\RydbergCons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ydbergConstant.jpg"/>
                    <pic:cNvPicPr>
                      <a:picLocks noChangeAspect="1" noChangeArrowheads="1"/>
                    </pic:cNvPicPr>
                  </pic:nvPicPr>
                  <pic:blipFill>
                    <a:blip r:embed="rId76" cstate="print">
                      <a:lum contrast="20000"/>
                    </a:blip>
                    <a:srcRect/>
                    <a:stretch>
                      <a:fillRect/>
                    </a:stretch>
                  </pic:blipFill>
                  <pic:spPr bwMode="auto">
                    <a:xfrm>
                      <a:off x="0" y="0"/>
                      <a:ext cx="4095750" cy="3028745"/>
                    </a:xfrm>
                    <a:prstGeom prst="rect">
                      <a:avLst/>
                    </a:prstGeom>
                    <a:noFill/>
                    <a:ln w="9525">
                      <a:noFill/>
                      <a:miter lim="800000"/>
                      <a:headEnd/>
                      <a:tailEnd/>
                    </a:ln>
                  </pic:spPr>
                </pic:pic>
              </a:graphicData>
            </a:graphic>
          </wp:inline>
        </w:drawing>
      </w:r>
    </w:p>
    <w:p w:rsidR="00EE348C" w:rsidRPr="00BE14F9" w:rsidRDefault="00EE348C" w:rsidP="00EE348C">
      <w:pPr>
        <w:pStyle w:val="NoSpacing"/>
        <w:jc w:val="center"/>
        <w:rPr>
          <w:rFonts w:ascii="Book Antiqua" w:hAnsi="Book Antiqua"/>
          <w:b/>
          <w:i/>
          <w:sz w:val="20"/>
        </w:rPr>
      </w:pPr>
    </w:p>
    <w:p w:rsidR="00EE348C" w:rsidRPr="00644C81" w:rsidRDefault="00EE348C" w:rsidP="00061E9B">
      <w:pPr>
        <w:pStyle w:val="NoSpacing"/>
        <w:jc w:val="center"/>
        <w:rPr>
          <w:rFonts w:ascii="Book Antiqua" w:hAnsi="Book Antiqua"/>
          <w:i/>
          <w:sz w:val="18"/>
          <w:szCs w:val="18"/>
        </w:rPr>
      </w:pPr>
      <w:r w:rsidRPr="00644C81">
        <w:rPr>
          <w:rFonts w:ascii="Book Antiqua" w:hAnsi="Book Antiqua"/>
          <w:b/>
          <w:i/>
          <w:sz w:val="18"/>
          <w:szCs w:val="18"/>
        </w:rPr>
        <w:t>Figure 5:</w:t>
      </w:r>
      <w:r w:rsidRPr="00644C81">
        <w:rPr>
          <w:rFonts w:ascii="Book Antiqua" w:hAnsi="Book Antiqua"/>
          <w:i/>
          <w:sz w:val="18"/>
          <w:szCs w:val="18"/>
        </w:rPr>
        <w:t xml:space="preserve">  Recommended values of the Rydberg Constant</w:t>
      </w:r>
    </w:p>
    <w:p w:rsidR="00904D33" w:rsidRPr="00BE14F9" w:rsidRDefault="00904D33" w:rsidP="00EE348C">
      <w:pPr>
        <w:pStyle w:val="NoSpacing"/>
        <w:rPr>
          <w:rFonts w:ascii="Book Antiqua" w:hAnsi="Book Antiqua"/>
          <w:sz w:val="18"/>
          <w:szCs w:val="18"/>
        </w:rPr>
      </w:pPr>
    </w:p>
    <w:p w:rsidR="001D2317" w:rsidRDefault="001D2317" w:rsidP="001D2317">
      <w:pPr>
        <w:pStyle w:val="NoSpacing"/>
        <w:ind w:firstLine="720"/>
        <w:jc w:val="both"/>
        <w:rPr>
          <w:rFonts w:ascii="Book Antiqua" w:hAnsi="Book Antiqua"/>
          <w:sz w:val="20"/>
        </w:rPr>
      </w:pPr>
    </w:p>
    <w:p w:rsidR="001D2317" w:rsidRPr="00BE14F9" w:rsidRDefault="001D2317" w:rsidP="001D2317">
      <w:pPr>
        <w:pStyle w:val="NoSpacing"/>
        <w:ind w:firstLine="720"/>
        <w:jc w:val="both"/>
        <w:rPr>
          <w:rFonts w:ascii="Book Antiqua" w:hAnsi="Book Antiqua"/>
          <w:b/>
          <w:bCs/>
          <w:i/>
          <w:iCs/>
          <w:sz w:val="20"/>
        </w:rPr>
      </w:pPr>
      <w:r w:rsidRPr="00BE14F9">
        <w:rPr>
          <w:rFonts w:ascii="Book Antiqua" w:hAnsi="Book Antiqua"/>
          <w:sz w:val="20"/>
        </w:rPr>
        <w:t>In Figure 5, the evidence is that, whether above or below the final value, the measurements were gradually zeroing in on it.  The difference between Figure 5 and Figures 2, 3, and 4 is remarkable. It strongly implies the speed of light was a declining quantity. This may be expressed in another way</w:t>
      </w:r>
      <w:r>
        <w:rPr>
          <w:rFonts w:ascii="Book Antiqua" w:hAnsi="Book Antiqua"/>
          <w:sz w:val="20"/>
        </w:rPr>
        <w:t>, which is discussed in the next paragraph</w:t>
      </w:r>
      <w:r w:rsidRPr="00BE14F9">
        <w:rPr>
          <w:rFonts w:ascii="Book Antiqua" w:hAnsi="Book Antiqua"/>
          <w:sz w:val="20"/>
        </w:rPr>
        <w:t>.</w:t>
      </w:r>
    </w:p>
    <w:p w:rsidR="001D2317" w:rsidRDefault="001D2317" w:rsidP="00EE348C">
      <w:pPr>
        <w:pStyle w:val="Heading2"/>
        <w:spacing w:before="80" w:after="80" w:line="240" w:lineRule="atLeast"/>
        <w:rPr>
          <w:rFonts w:ascii="Book Antiqua" w:hAnsi="Book Antiqua" w:cs="Times New Roman"/>
          <w:i w:val="0"/>
          <w:sz w:val="20"/>
          <w:szCs w:val="20"/>
        </w:rPr>
      </w:pPr>
    </w:p>
    <w:p w:rsidR="00EE348C" w:rsidRPr="00373858" w:rsidRDefault="00373858" w:rsidP="00EE348C">
      <w:pPr>
        <w:pStyle w:val="Heading2"/>
        <w:spacing w:before="80" w:after="80" w:line="240" w:lineRule="atLeast"/>
        <w:rPr>
          <w:rFonts w:ascii="Book Antiqua" w:hAnsi="Book Antiqua" w:cs="Times New Roman"/>
          <w:i w:val="0"/>
          <w:sz w:val="20"/>
          <w:szCs w:val="20"/>
        </w:rPr>
      </w:pPr>
      <w:r w:rsidRPr="00373858">
        <w:rPr>
          <w:rFonts w:ascii="Book Antiqua" w:hAnsi="Book Antiqua" w:cs="Times New Roman"/>
          <w:i w:val="0"/>
          <w:sz w:val="20"/>
          <w:szCs w:val="20"/>
        </w:rPr>
        <w:t>4.</w:t>
      </w:r>
      <w:r w:rsidR="00EE348C" w:rsidRPr="00373858">
        <w:rPr>
          <w:rFonts w:ascii="Book Antiqua" w:hAnsi="Book Antiqua" w:cs="Times New Roman"/>
          <w:i w:val="0"/>
          <w:sz w:val="20"/>
          <w:szCs w:val="20"/>
        </w:rPr>
        <w:t xml:space="preserve"> </w:t>
      </w:r>
      <w:r w:rsidRPr="00373858">
        <w:rPr>
          <w:rFonts w:ascii="Book Antiqua" w:hAnsi="Book Antiqua" w:cs="Times New Roman"/>
          <w:i w:val="0"/>
          <w:sz w:val="20"/>
          <w:szCs w:val="20"/>
        </w:rPr>
        <w:t>Closing the Data Discussion and Universal Oscillation</w:t>
      </w:r>
    </w:p>
    <w:p w:rsidR="00EE348C" w:rsidRPr="00BE14F9" w:rsidRDefault="00EE348C" w:rsidP="00EE348C">
      <w:pPr>
        <w:pStyle w:val="Heading2"/>
        <w:spacing w:before="80" w:after="80" w:line="240" w:lineRule="atLeast"/>
        <w:rPr>
          <w:rFonts w:ascii="Book Antiqua" w:hAnsi="Book Antiqua" w:cs="Times New Roman"/>
          <w:sz w:val="20"/>
          <w:szCs w:val="20"/>
        </w:rPr>
      </w:pPr>
      <w:r w:rsidRPr="00BE14F9">
        <w:rPr>
          <w:rFonts w:ascii="Book Antiqua" w:hAnsi="Book Antiqua" w:cs="Times New Roman"/>
          <w:i w:val="0"/>
          <w:sz w:val="20"/>
          <w:szCs w:val="20"/>
        </w:rPr>
        <w:t xml:space="preserve"> </w:t>
      </w: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color w:val="000000"/>
          <w:sz w:val="20"/>
        </w:rPr>
        <w:t>In any given series of measurements, some equipment will register systematically above the true value, and some will register systematically below. In other words, when these results are plotted on a graph, there is a scatter above and below the true value. When improved instrumentation and equipment are used the measured values approach more closely to the true value. In other words, the scatter is still there but is getting less</w:t>
      </w:r>
      <w:r w:rsidR="00EC68C1">
        <w:rPr>
          <w:rFonts w:ascii="Book Antiqua" w:hAnsi="Book Antiqua"/>
          <w:color w:val="000000"/>
          <w:sz w:val="20"/>
        </w:rPr>
        <w:t>, as seen in Figure 5.</w:t>
      </w:r>
      <w:r w:rsidRPr="00BE14F9">
        <w:rPr>
          <w:rFonts w:ascii="Book Antiqua" w:hAnsi="Book Antiqua"/>
          <w:color w:val="000000"/>
          <w:sz w:val="20"/>
        </w:rPr>
        <w:t xml:space="preserve"> </w:t>
      </w:r>
    </w:p>
    <w:p w:rsidR="00EE348C" w:rsidRPr="00BE14F9" w:rsidRDefault="00EE348C" w:rsidP="00EE348C">
      <w:pPr>
        <w:shd w:val="clear" w:color="auto" w:fill="FFFFFF"/>
        <w:jc w:val="both"/>
        <w:rPr>
          <w:rFonts w:ascii="Book Antiqua" w:hAnsi="Book Antiqua"/>
          <w:color w:val="000000"/>
        </w:rPr>
      </w:pPr>
    </w:p>
    <w:p w:rsidR="00EE348C" w:rsidRPr="00BE14F9" w:rsidRDefault="00EC68C1" w:rsidP="00EE348C">
      <w:pPr>
        <w:shd w:val="clear" w:color="auto" w:fill="FFFFFF"/>
        <w:ind w:firstLine="720"/>
        <w:jc w:val="both"/>
        <w:rPr>
          <w:rFonts w:ascii="Book Antiqua" w:hAnsi="Book Antiqua"/>
          <w:color w:val="000000"/>
        </w:rPr>
      </w:pPr>
      <w:r>
        <w:rPr>
          <w:rFonts w:ascii="Book Antiqua" w:hAnsi="Book Antiqua"/>
          <w:color w:val="000000"/>
        </w:rPr>
        <w:t>However, although w</w:t>
      </w:r>
      <w:r w:rsidR="00EE348C" w:rsidRPr="00BE14F9">
        <w:rPr>
          <w:rFonts w:ascii="Book Antiqua" w:hAnsi="Book Antiqua"/>
          <w:color w:val="000000"/>
        </w:rPr>
        <w:t xml:space="preserve">hat we are seeing with the lightspeed measurements includes a scatter, the key point is that the scatter is about a line that is dropping with time. </w:t>
      </w:r>
      <w:r>
        <w:rPr>
          <w:rFonts w:ascii="Book Antiqua" w:hAnsi="Book Antiqua"/>
          <w:color w:val="000000"/>
        </w:rPr>
        <w:t>This makes</w:t>
      </w:r>
      <w:r w:rsidR="00EE348C" w:rsidRPr="00BE14F9">
        <w:rPr>
          <w:rFonts w:ascii="Book Antiqua" w:hAnsi="Book Antiqua"/>
          <w:color w:val="000000"/>
        </w:rPr>
        <w:t xml:space="preserve"> the instrumental improvement apparent in the data, but the overall trend is still the same - downwards. As the graph of the best 144 lightspeed values in Figure </w:t>
      </w:r>
      <w:r>
        <w:rPr>
          <w:rFonts w:ascii="Book Antiqua" w:hAnsi="Book Antiqua"/>
          <w:color w:val="000000"/>
        </w:rPr>
        <w:t>4</w:t>
      </w:r>
      <w:r w:rsidR="00EE348C" w:rsidRPr="00BE14F9">
        <w:rPr>
          <w:rFonts w:ascii="Book Antiqua" w:hAnsi="Book Antiqua"/>
          <w:color w:val="000000"/>
        </w:rPr>
        <w:t xml:space="preserve"> is inspected, it can be seen that the scatter in the data point values increases as we go back in time. However, the same trend, a decline in </w:t>
      </w:r>
      <w:r w:rsidR="00EE348C" w:rsidRPr="00BE14F9">
        <w:rPr>
          <w:rFonts w:ascii="Book Antiqua" w:hAnsi="Book Antiqua"/>
          <w:i/>
          <w:color w:val="000000"/>
        </w:rPr>
        <w:t>c</w:t>
      </w:r>
      <w:r w:rsidR="00EE348C" w:rsidRPr="00BE14F9">
        <w:rPr>
          <w:rFonts w:ascii="Book Antiqua" w:hAnsi="Book Antiqua"/>
          <w:color w:val="000000"/>
        </w:rPr>
        <w:t>, is apparent in all the data; the scatter merely gets greater</w:t>
      </w:r>
      <w:r>
        <w:rPr>
          <w:rFonts w:ascii="Book Antiqua" w:hAnsi="Book Antiqua"/>
          <w:color w:val="000000"/>
        </w:rPr>
        <w:t xml:space="preserve"> with the earlier measurements</w:t>
      </w:r>
      <w:r w:rsidR="00EE348C" w:rsidRPr="00BE14F9">
        <w:rPr>
          <w:rFonts w:ascii="Book Antiqua" w:hAnsi="Book Antiqua"/>
          <w:color w:val="000000"/>
        </w:rPr>
        <w:t xml:space="preserve">. If it were a constant quantity, the scatter would be about a horizontal line. </w:t>
      </w:r>
    </w:p>
    <w:p w:rsidR="00EE348C" w:rsidRPr="00BE14F9" w:rsidRDefault="000310D5" w:rsidP="00EE348C">
      <w:pPr>
        <w:pStyle w:val="NoSpacing"/>
        <w:jc w:val="center"/>
        <w:rPr>
          <w:rFonts w:ascii="Book Antiqua" w:hAnsi="Book Antiqua"/>
          <w:i/>
          <w:sz w:val="20"/>
        </w:rPr>
      </w:pPr>
      <w:r w:rsidRPr="00BE14F9">
        <w:rPr>
          <w:rFonts w:ascii="Book Antiqua" w:hAnsi="Book Antiqua"/>
          <w:sz w:val="20"/>
        </w:rPr>
        <w:object w:dxaOrig="7188" w:dyaOrig="5388">
          <v:shape id="_x0000_i1027" type="#_x0000_t75" style="width:471.35pt;height:334pt" o:ole="">
            <v:imagedata r:id="rId77" o:title="" cropbottom="8757f"/>
          </v:shape>
          <o:OLEObject Type="Embed" ProgID="PowerPoint.Slide.12" ShapeID="_x0000_i1027" DrawAspect="Content" ObjectID="_1433920179" r:id="rId78"/>
        </w:object>
      </w:r>
    </w:p>
    <w:p w:rsidR="00EE348C" w:rsidRPr="00BE14F9" w:rsidRDefault="00EE348C" w:rsidP="00EE348C">
      <w:pPr>
        <w:pStyle w:val="NoSpacing"/>
        <w:rPr>
          <w:rFonts w:ascii="Book Antiqua" w:hAnsi="Book Antiqua"/>
          <w:b/>
          <w:i/>
          <w:sz w:val="20"/>
        </w:rPr>
      </w:pPr>
    </w:p>
    <w:p w:rsidR="00EE348C" w:rsidRPr="00644C81" w:rsidRDefault="00EE348C" w:rsidP="000310D5">
      <w:pPr>
        <w:pStyle w:val="NoSpacing"/>
        <w:rPr>
          <w:rFonts w:ascii="Book Antiqua" w:hAnsi="Book Antiqua"/>
          <w:i/>
          <w:sz w:val="18"/>
          <w:szCs w:val="18"/>
        </w:rPr>
      </w:pPr>
      <w:r w:rsidRPr="00644C81">
        <w:rPr>
          <w:rFonts w:ascii="Book Antiqua" w:hAnsi="Book Antiqua"/>
          <w:b/>
          <w:i/>
          <w:sz w:val="18"/>
          <w:szCs w:val="18"/>
        </w:rPr>
        <w:t>Figure 6:</w:t>
      </w:r>
      <w:r w:rsidRPr="00644C81">
        <w:rPr>
          <w:rFonts w:ascii="Book Antiqua" w:hAnsi="Book Antiqua"/>
          <w:i/>
          <w:sz w:val="18"/>
          <w:szCs w:val="18"/>
        </w:rPr>
        <w:t xml:space="preserve"> Speed of light data 1947 - 1983. [2]</w:t>
      </w:r>
      <w:r w:rsidRPr="00644C81">
        <w:rPr>
          <w:rFonts w:ascii="Book Antiqua" w:hAnsi="Book Antiqua"/>
          <w:i/>
          <w:color w:val="FF0000"/>
          <w:sz w:val="18"/>
          <w:szCs w:val="18"/>
        </w:rPr>
        <w:t xml:space="preserve"> </w:t>
      </w:r>
      <w:r w:rsidRPr="00644C81">
        <w:rPr>
          <w:rFonts w:ascii="Book Antiqua" w:hAnsi="Book Antiqua"/>
          <w:i/>
          <w:sz w:val="18"/>
          <w:szCs w:val="18"/>
        </w:rPr>
        <w:t>The “flat-point” is in evidence here. Note the trend in the curve since the mid-1940’s.</w:t>
      </w:r>
      <w:r w:rsidR="000310D5">
        <w:rPr>
          <w:rFonts w:ascii="Book Antiqua" w:hAnsi="Book Antiqua"/>
          <w:i/>
          <w:sz w:val="18"/>
          <w:szCs w:val="18"/>
        </w:rPr>
        <w:t xml:space="preserve"> This Flat-point is delineated in greater detail by the data in Figure 3 of Chapter 4.</w:t>
      </w:r>
    </w:p>
    <w:p w:rsidR="00164B49" w:rsidRDefault="00164B49" w:rsidP="00EE348C">
      <w:pPr>
        <w:pStyle w:val="NoSpacing"/>
        <w:ind w:firstLine="720"/>
        <w:jc w:val="both"/>
        <w:rPr>
          <w:rFonts w:ascii="Book Antiqua" w:hAnsi="Book Antiqua"/>
          <w:sz w:val="20"/>
        </w:rPr>
      </w:pPr>
    </w:p>
    <w:p w:rsidR="000824FD" w:rsidRPr="00BE14F9" w:rsidRDefault="000824FD" w:rsidP="000824FD">
      <w:pPr>
        <w:pStyle w:val="NoSpacing"/>
        <w:ind w:firstLine="720"/>
        <w:jc w:val="both"/>
        <w:rPr>
          <w:rFonts w:ascii="Book Antiqua" w:hAnsi="Book Antiqua"/>
          <w:noProof/>
          <w:sz w:val="20"/>
        </w:rPr>
      </w:pPr>
      <w:r w:rsidRPr="00BE14F9">
        <w:rPr>
          <w:rFonts w:ascii="Book Antiqua" w:hAnsi="Book Antiqua"/>
          <w:sz w:val="20"/>
        </w:rPr>
        <w:lastRenderedPageBreak/>
        <w:t xml:space="preserve">In 1993, Montgomery and Dolphin performed a thorough statistical analysis of all the speed of light data and confirmed the declining trend was significant, but had flattened out in the period 1970 to 1980 [53]. This flattening, as seen in Figure 6, influenced a decision to declare </w:t>
      </w:r>
      <w:r w:rsidRPr="00BE14F9">
        <w:rPr>
          <w:rFonts w:ascii="Book Antiqua" w:hAnsi="Book Antiqua"/>
          <w:i/>
          <w:iCs/>
          <w:sz w:val="20"/>
        </w:rPr>
        <w:t xml:space="preserve">c </w:t>
      </w:r>
      <w:r w:rsidRPr="00BE14F9">
        <w:rPr>
          <w:rFonts w:ascii="Book Antiqua" w:hAnsi="Book Antiqua"/>
          <w:sz w:val="20"/>
        </w:rPr>
        <w:t xml:space="preserve">a universal constant in 1983. Since then, it has only been possible to detect changes in </w:t>
      </w:r>
      <w:r w:rsidRPr="00BE14F9">
        <w:rPr>
          <w:rFonts w:ascii="Book Antiqua" w:hAnsi="Book Antiqua"/>
          <w:i/>
          <w:iCs/>
          <w:sz w:val="20"/>
        </w:rPr>
        <w:t xml:space="preserve">c </w:t>
      </w:r>
      <w:r w:rsidRPr="00BE14F9">
        <w:rPr>
          <w:rFonts w:ascii="Book Antiqua" w:hAnsi="Book Antiqua"/>
          <w:sz w:val="20"/>
        </w:rPr>
        <w:t>indirectly; for example, by comparing orbital phenomena with atomic phenomena</w:t>
      </w:r>
      <w:r w:rsidR="00FE226D">
        <w:rPr>
          <w:rFonts w:ascii="Book Antiqua" w:hAnsi="Book Antiqua"/>
          <w:sz w:val="20"/>
        </w:rPr>
        <w:t xml:space="preserve"> (see Chapter 4)</w:t>
      </w:r>
      <w:r w:rsidRPr="00BE14F9">
        <w:rPr>
          <w:rFonts w:ascii="Book Antiqua" w:hAnsi="Book Antiqua"/>
          <w:sz w:val="20"/>
        </w:rPr>
        <w:t xml:space="preserve">. </w:t>
      </w:r>
    </w:p>
    <w:p w:rsidR="000824FD" w:rsidRDefault="000824FD" w:rsidP="00EE348C">
      <w:pPr>
        <w:pStyle w:val="NoSpacing"/>
        <w:ind w:firstLine="720"/>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It is possible that the 1970 data minimum may simply be a "flat point" due to the change in the oscillation mode of the cosmos suggested by Narlikar and Arp [54] and </w:t>
      </w:r>
      <w:r w:rsidR="00FE226D">
        <w:rPr>
          <w:rFonts w:ascii="Book Antiqua" w:hAnsi="Book Antiqua"/>
          <w:sz w:val="20"/>
        </w:rPr>
        <w:t xml:space="preserve">is </w:t>
      </w:r>
      <w:r w:rsidRPr="00BE14F9">
        <w:rPr>
          <w:rFonts w:ascii="Book Antiqua" w:hAnsi="Book Antiqua"/>
          <w:sz w:val="20"/>
        </w:rPr>
        <w:t xml:space="preserve">following the pattern of interacting oscillation modes shown by Karlow in the </w:t>
      </w:r>
      <w:r w:rsidRPr="00BE14F9">
        <w:rPr>
          <w:rFonts w:ascii="Book Antiqua" w:hAnsi="Book Antiqua"/>
          <w:i/>
          <w:sz w:val="20"/>
        </w:rPr>
        <w:t>American Journal of Physics</w:t>
      </w:r>
      <w:r w:rsidRPr="00BE14F9">
        <w:rPr>
          <w:rFonts w:ascii="Book Antiqua" w:hAnsi="Book Antiqua"/>
          <w:sz w:val="20"/>
        </w:rPr>
        <w:t xml:space="preserve"> [55]. A similar pattern is shown in Figure 7. </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center"/>
        <w:rPr>
          <w:rFonts w:ascii="Book Antiqua" w:hAnsi="Book Antiqua"/>
          <w:sz w:val="20"/>
        </w:rPr>
      </w:pPr>
      <w:r w:rsidRPr="00BE14F9">
        <w:rPr>
          <w:rFonts w:ascii="Book Antiqua" w:hAnsi="Book Antiqua"/>
          <w:noProof/>
          <w:sz w:val="20"/>
        </w:rPr>
        <w:drawing>
          <wp:inline distT="0" distB="0" distL="0" distR="0">
            <wp:extent cx="5081764" cy="2047875"/>
            <wp:effectExtent l="19050" t="0" r="4586" b="0"/>
            <wp:docPr id="1519"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5081764" cy="2047875"/>
                    </a:xfrm>
                    <a:prstGeom prst="rect">
                      <a:avLst/>
                    </a:prstGeom>
                    <a:noFill/>
                    <a:ln w="9525">
                      <a:noFill/>
                      <a:miter lim="800000"/>
                      <a:headEnd/>
                      <a:tailEnd/>
                    </a:ln>
                  </pic:spPr>
                </pic:pic>
              </a:graphicData>
            </a:graphic>
          </wp:inline>
        </w:drawing>
      </w:r>
    </w:p>
    <w:p w:rsidR="00EE348C" w:rsidRPr="00BE14F9" w:rsidRDefault="00EE348C" w:rsidP="00EE348C">
      <w:pPr>
        <w:pStyle w:val="NoSpacing"/>
        <w:rPr>
          <w:rFonts w:ascii="Book Antiqua" w:hAnsi="Book Antiqua"/>
          <w:b/>
          <w:i/>
          <w:sz w:val="20"/>
        </w:rPr>
      </w:pPr>
    </w:p>
    <w:p w:rsidR="00EE348C" w:rsidRPr="00644C81" w:rsidRDefault="00EE348C" w:rsidP="00EE348C">
      <w:pPr>
        <w:pStyle w:val="NoSpacing"/>
        <w:rPr>
          <w:rFonts w:ascii="Book Antiqua" w:hAnsi="Book Antiqua"/>
          <w:i/>
          <w:sz w:val="18"/>
          <w:szCs w:val="18"/>
        </w:rPr>
      </w:pPr>
      <w:r w:rsidRPr="00644C81">
        <w:rPr>
          <w:rFonts w:ascii="Book Antiqua" w:hAnsi="Book Antiqua"/>
          <w:b/>
          <w:i/>
          <w:sz w:val="18"/>
          <w:szCs w:val="18"/>
        </w:rPr>
        <w:t>Figure 7:</w:t>
      </w:r>
      <w:r w:rsidRPr="00644C81">
        <w:rPr>
          <w:rFonts w:ascii="Book Antiqua" w:hAnsi="Book Antiqua"/>
          <w:i/>
          <w:sz w:val="18"/>
          <w:szCs w:val="18"/>
        </w:rPr>
        <w:t xml:space="preserve"> Oscillation modes – adding the red and dark blue waves give the overall oscillation shown by the </w:t>
      </w:r>
      <w:r w:rsidR="00EF1EF8">
        <w:rPr>
          <w:rFonts w:ascii="Book Antiqua" w:hAnsi="Book Antiqua"/>
          <w:i/>
          <w:sz w:val="18"/>
          <w:szCs w:val="18"/>
        </w:rPr>
        <w:t xml:space="preserve">broad, </w:t>
      </w:r>
      <w:r w:rsidRPr="00644C81">
        <w:rPr>
          <w:rFonts w:ascii="Book Antiqua" w:hAnsi="Book Antiqua"/>
          <w:i/>
          <w:sz w:val="18"/>
          <w:szCs w:val="18"/>
        </w:rPr>
        <w:t>sky-blue line which contains “flat-points.”</w:t>
      </w:r>
    </w:p>
    <w:p w:rsidR="00EE348C" w:rsidRPr="00BE14F9" w:rsidRDefault="00EE348C" w:rsidP="00EE348C">
      <w:pPr>
        <w:pStyle w:val="NoSpacing"/>
        <w:rPr>
          <w:rFonts w:ascii="Book Antiqua" w:hAnsi="Book Antiqua"/>
          <w:i/>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In Figure 7, just two modes of oscillation are shown, represented by the red and dark blue lines. However, since oscillation modes are additive, the combined overall oscillation, shown by the</w:t>
      </w:r>
      <w:r w:rsidR="00AF1206">
        <w:rPr>
          <w:rFonts w:ascii="Book Antiqua" w:hAnsi="Book Antiqua"/>
          <w:sz w:val="20"/>
        </w:rPr>
        <w:t xml:space="preserve"> broader</w:t>
      </w:r>
      <w:r w:rsidRPr="00BE14F9">
        <w:rPr>
          <w:rFonts w:ascii="Book Antiqua" w:hAnsi="Book Antiqua"/>
          <w:sz w:val="20"/>
        </w:rPr>
        <w:t xml:space="preserve"> light blue line, reveals resultant flat regions. The modes of oscillation of the cosmos are most likely more complex than this</w:t>
      </w:r>
      <w:r w:rsidR="00AF1206">
        <w:rPr>
          <w:rFonts w:ascii="Book Antiqua" w:hAnsi="Book Antiqua"/>
          <w:sz w:val="20"/>
        </w:rPr>
        <w:t xml:space="preserve"> simple</w:t>
      </w:r>
      <w:r w:rsidRPr="00BE14F9">
        <w:rPr>
          <w:rFonts w:ascii="Book Antiqua" w:hAnsi="Book Antiqua"/>
          <w:sz w:val="20"/>
        </w:rPr>
        <w:t xml:space="preserve"> illustration. The actual curve could go up after the flat region, not just down as shown here. More data and time are needed to determine this. As will be discussed later, other ZPE-dependent “constants” also show related oscillation patterns.</w:t>
      </w:r>
    </w:p>
    <w:p w:rsidR="00EE348C" w:rsidRPr="00BE14F9" w:rsidRDefault="00EE348C" w:rsidP="00EE348C">
      <w:pPr>
        <w:pStyle w:val="NoSpacing"/>
        <w:ind w:firstLine="720"/>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 xml:space="preserve">The whole scientific journal discussion about the change in the speed of light was brought to a strange conclusion in 1941 by Birge, the so-called 'Keeper of the Constants.' The article in question was entitled </w:t>
      </w:r>
      <w:r w:rsidRPr="00BE14F9">
        <w:rPr>
          <w:rFonts w:ascii="Book Antiqua" w:hAnsi="Book Antiqua"/>
          <w:i/>
          <w:sz w:val="20"/>
        </w:rPr>
        <w:t>"</w:t>
      </w:r>
      <w:r w:rsidRPr="00BE14F9">
        <w:rPr>
          <w:rFonts w:ascii="Book Antiqua" w:hAnsi="Book Antiqua"/>
          <w:sz w:val="20"/>
        </w:rPr>
        <w:t xml:space="preserve">The General Physical Constants as of August 1941 With Details on the Velocity of Light Only" and appeared in </w:t>
      </w:r>
      <w:r w:rsidRPr="00BE14F9">
        <w:rPr>
          <w:rFonts w:ascii="Book Antiqua" w:hAnsi="Book Antiqua"/>
          <w:i/>
          <w:sz w:val="20"/>
        </w:rPr>
        <w:t>Reports on Progress in Physics</w:t>
      </w:r>
      <w:r w:rsidRPr="00BE14F9">
        <w:rPr>
          <w:rFonts w:ascii="Book Antiqua" w:hAnsi="Book Antiqua"/>
          <w:sz w:val="20"/>
        </w:rPr>
        <w:t xml:space="preserve"> Volume 8 (1941) page 90 ff. The article began by saying</w:t>
      </w:r>
      <w:r w:rsidRPr="00BE14F9">
        <w:rPr>
          <w:rFonts w:ascii="Book Antiqua" w:hAnsi="Book Antiqua"/>
          <w:color w:val="0070C0"/>
          <w:sz w:val="20"/>
        </w:rPr>
        <w:t xml:space="preserve">: </w:t>
      </w:r>
    </w:p>
    <w:p w:rsidR="00EE348C" w:rsidRPr="00BE14F9" w:rsidRDefault="00EE348C" w:rsidP="00EE348C">
      <w:pPr>
        <w:pStyle w:val="NoSpacing"/>
        <w:jc w:val="both"/>
        <w:rPr>
          <w:rFonts w:ascii="Book Antiqua" w:hAnsi="Book Antiqua"/>
          <w:i/>
          <w:sz w:val="20"/>
        </w:rPr>
      </w:pPr>
    </w:p>
    <w:p w:rsidR="00EE348C" w:rsidRPr="00BE14F9" w:rsidRDefault="00EE348C" w:rsidP="00EE348C">
      <w:pPr>
        <w:pStyle w:val="NoSpacing"/>
        <w:ind w:firstLine="720"/>
        <w:jc w:val="both"/>
        <w:rPr>
          <w:rFonts w:ascii="Book Antiqua" w:hAnsi="Book Antiqua"/>
          <w:i/>
          <w:sz w:val="20"/>
        </w:rPr>
      </w:pPr>
      <w:r w:rsidRPr="00BE14F9">
        <w:rPr>
          <w:rFonts w:ascii="Book Antiqua" w:hAnsi="Book Antiqua"/>
          <w:i/>
          <w:sz w:val="20"/>
        </w:rPr>
        <w:t xml:space="preserve">“This paper is being written </w:t>
      </w:r>
      <w:r w:rsidRPr="00BE14F9">
        <w:rPr>
          <w:rFonts w:ascii="Book Antiqua" w:hAnsi="Book Antiqua"/>
          <w:i/>
          <w:sz w:val="20"/>
          <w:u w:val="single"/>
        </w:rPr>
        <w:t>on request</w:t>
      </w:r>
      <w:r w:rsidRPr="00BE14F9">
        <w:rPr>
          <w:rFonts w:ascii="Book Antiqua" w:hAnsi="Book Antiqua"/>
          <w:i/>
          <w:sz w:val="20"/>
        </w:rPr>
        <w:t xml:space="preserve"> and at </w:t>
      </w:r>
      <w:r w:rsidRPr="00BE14F9">
        <w:rPr>
          <w:rFonts w:ascii="Book Antiqua" w:hAnsi="Book Antiqua"/>
          <w:i/>
          <w:sz w:val="20"/>
          <w:u w:val="single"/>
        </w:rPr>
        <w:t>this time</w:t>
      </w:r>
      <w:r w:rsidRPr="00BE14F9">
        <w:rPr>
          <w:rFonts w:ascii="Book Antiqua" w:hAnsi="Book Antiqua"/>
          <w:i/>
          <w:sz w:val="20"/>
        </w:rPr>
        <w:t xml:space="preserve"> on request.  In spite of the delusive word “Constant” appearing in the title, it is the continual variation in the values of these quantities that furnishes most of the interest in the subject.  It would indeed be disheartening to any real scientist to feel that an accepted value of any physical constant would never again be changed.  The most characteristic feature of science – in general and in particular – is its never-ending change.  But what one must not overlook is the fact that it is the </w:t>
      </w:r>
      <w:r w:rsidRPr="00BE14F9">
        <w:rPr>
          <w:rFonts w:ascii="Book Antiqua" w:hAnsi="Book Antiqua"/>
          <w:i/>
          <w:sz w:val="20"/>
          <w:u w:val="single"/>
        </w:rPr>
        <w:t>probable</w:t>
      </w:r>
      <w:r w:rsidRPr="00BE14F9">
        <w:rPr>
          <w:rFonts w:ascii="Book Antiqua" w:hAnsi="Book Antiqua"/>
          <w:i/>
          <w:sz w:val="20"/>
        </w:rPr>
        <w:t xml:space="preserve"> value of any given constant that changes, not its </w:t>
      </w:r>
      <w:r w:rsidRPr="00BE14F9">
        <w:rPr>
          <w:rFonts w:ascii="Book Antiqua" w:hAnsi="Book Antiqua"/>
          <w:i/>
          <w:sz w:val="20"/>
          <w:u w:val="single"/>
        </w:rPr>
        <w:t>actual</w:t>
      </w:r>
      <w:r w:rsidRPr="00BE14F9">
        <w:rPr>
          <w:rFonts w:ascii="Book Antiqua" w:hAnsi="Book Antiqua"/>
          <w:i/>
          <w:sz w:val="20"/>
        </w:rPr>
        <w:t xml:space="preserve"> value.  A belief in any significant variability of the constants of nature is fatal to the spirit of science, as science is now understood." </w:t>
      </w:r>
      <w:r w:rsidRPr="00BE14F9">
        <w:rPr>
          <w:rFonts w:ascii="Book Antiqua" w:hAnsi="Book Antiqua"/>
          <w:sz w:val="20"/>
        </w:rPr>
        <w:t>[56]  (author’s emphases retained)</w:t>
      </w:r>
    </w:p>
    <w:p w:rsidR="00EE348C" w:rsidRPr="00BE14F9" w:rsidRDefault="00EE348C" w:rsidP="00EE348C">
      <w:pPr>
        <w:pStyle w:val="NoSpacing"/>
        <w:jc w:val="both"/>
        <w:rPr>
          <w:rFonts w:ascii="Book Antiqua" w:hAnsi="Book Antiqua"/>
          <w:sz w:val="20"/>
        </w:rPr>
      </w:pPr>
    </w:p>
    <w:p w:rsidR="00EE348C" w:rsidRDefault="00EE348C" w:rsidP="00EE348C">
      <w:pPr>
        <w:pStyle w:val="NoSpacing"/>
        <w:jc w:val="both"/>
        <w:rPr>
          <w:rFonts w:ascii="Book Antiqua" w:hAnsi="Book Antiqua"/>
          <w:sz w:val="20"/>
        </w:rPr>
      </w:pPr>
      <w:r w:rsidRPr="00BE14F9">
        <w:rPr>
          <w:rFonts w:ascii="Book Antiqua" w:hAnsi="Book Antiqua"/>
          <w:sz w:val="20"/>
        </w:rPr>
        <w:tab/>
        <w:t>Birge effectively contradicts himself in this opening paragraph.  He first mentions “</w:t>
      </w:r>
      <w:r w:rsidRPr="00BE14F9">
        <w:rPr>
          <w:rFonts w:ascii="Book Antiqua" w:hAnsi="Book Antiqua"/>
          <w:i/>
          <w:sz w:val="20"/>
        </w:rPr>
        <w:t>continual variation</w:t>
      </w:r>
      <w:r w:rsidRPr="00BE14F9">
        <w:rPr>
          <w:rFonts w:ascii="Book Antiqua" w:hAnsi="Book Antiqua"/>
          <w:sz w:val="20"/>
        </w:rPr>
        <w:t>” evidenced by the data, and then states that any significant variability in the physical constants “</w:t>
      </w:r>
      <w:r w:rsidRPr="00BE14F9">
        <w:rPr>
          <w:rFonts w:ascii="Book Antiqua" w:hAnsi="Book Antiqua"/>
          <w:i/>
          <w:sz w:val="20"/>
        </w:rPr>
        <w:t>is fatal to the spirit of science, as science is now understood.</w:t>
      </w:r>
      <w:r w:rsidRPr="00BE14F9">
        <w:rPr>
          <w:rFonts w:ascii="Book Antiqua" w:hAnsi="Book Antiqua"/>
          <w:sz w:val="20"/>
        </w:rPr>
        <w:t>”  The outcome of this highly unusual statement was that Birge's article effectively closed the light-speed debate historically.  But, at that same time, discussions were going on about Dirac's Large Numbers Hypothesis [57 - 60]. This involved the potential variability of some constants associated with Dirac's concepts, such as the Newtonian gravitational constant,</w:t>
      </w:r>
      <w:r w:rsidRPr="00BE14F9">
        <w:rPr>
          <w:rFonts w:ascii="Book Antiqua" w:hAnsi="Book Antiqua"/>
          <w:i/>
          <w:sz w:val="20"/>
        </w:rPr>
        <w:t xml:space="preserve"> </w:t>
      </w:r>
      <m:oMath>
        <m:r>
          <w:rPr>
            <w:rFonts w:ascii="Cambria Math" w:hAnsi="Cambria Math"/>
            <w:sz w:val="18"/>
            <w:szCs w:val="18"/>
          </w:rPr>
          <m:t>G</m:t>
        </m:r>
      </m:oMath>
      <w:r w:rsidRPr="00BE14F9">
        <w:rPr>
          <w:rFonts w:ascii="Book Antiqua" w:hAnsi="Book Antiqua"/>
          <w:sz w:val="20"/>
        </w:rPr>
        <w:t xml:space="preserve">, the mass of the universe, and others.  Aspects of this discussion continue to this day.  However </w:t>
      </w:r>
      <w:r w:rsidRPr="00BE14F9">
        <w:rPr>
          <w:rFonts w:ascii="Book Antiqua" w:hAnsi="Book Antiqua"/>
          <w:sz w:val="20"/>
        </w:rPr>
        <w:lastRenderedPageBreak/>
        <w:t>the speed of light was declared a constant due to Birge’s statement, and that was, apparently, final.  Even ideas about a possible changing speed of light in the early universe in the last 10 – 15 years have been fueled by Dirac’s works and not by the actual measurements of the speed of light.</w:t>
      </w:r>
    </w:p>
    <w:p w:rsidR="000824FD" w:rsidRPr="00BE14F9" w:rsidRDefault="000824FD" w:rsidP="00EE348C">
      <w:pPr>
        <w:pStyle w:val="NoSpacing"/>
        <w:jc w:val="both"/>
        <w:rPr>
          <w:rFonts w:ascii="Book Antiqua" w:hAnsi="Book Antiqua"/>
          <w:sz w:val="20"/>
        </w:rPr>
      </w:pPr>
    </w:p>
    <w:p w:rsidR="00EE348C" w:rsidRPr="00BE14F9" w:rsidRDefault="00EE348C" w:rsidP="00EE348C">
      <w:pPr>
        <w:pStyle w:val="NoSpacing"/>
        <w:ind w:firstLine="720"/>
        <w:jc w:val="both"/>
        <w:rPr>
          <w:rFonts w:ascii="Book Antiqua" w:hAnsi="Book Antiqua"/>
          <w:sz w:val="20"/>
        </w:rPr>
      </w:pPr>
      <w:r w:rsidRPr="00BE14F9">
        <w:rPr>
          <w:rFonts w:ascii="Book Antiqua" w:hAnsi="Book Antiqua"/>
          <w:sz w:val="20"/>
        </w:rPr>
        <w:t xml:space="preserve">One way of overcoming the problem of checking if the speed of light is currently changing may be to use aberration-type measurements. There, an angle is measured rather than measuring meters or seconds or other units which are influenced by the 1983 decision to declare the speed of light as being invariant at 299,792,458 km/s. This at least offers the possibility of checking the behavior of </w:t>
      </w:r>
      <m:oMath>
        <m:r>
          <w:rPr>
            <w:rFonts w:ascii="Cambria Math" w:hAnsi="Cambria Math"/>
            <w:sz w:val="18"/>
            <w:szCs w:val="18"/>
          </w:rPr>
          <m:t>c</m:t>
        </m:r>
        <m:r>
          <w:rPr>
            <w:rFonts w:ascii="Cambria Math" w:hAnsi="Book Antiqua"/>
            <w:sz w:val="18"/>
            <w:szCs w:val="18"/>
          </w:rPr>
          <m:t xml:space="preserve"> </m:t>
        </m:r>
      </m:oMath>
      <w:r w:rsidRPr="00BE14F9">
        <w:rPr>
          <w:rFonts w:ascii="Book Antiqua" w:hAnsi="Book Antiqua"/>
          <w:sz w:val="20"/>
        </w:rPr>
        <w:t>in a manner independent of current definition restrictions</w:t>
      </w:r>
      <w:r w:rsidR="00FE226D">
        <w:rPr>
          <w:rFonts w:ascii="Book Antiqua" w:hAnsi="Book Antiqua"/>
          <w:sz w:val="20"/>
        </w:rPr>
        <w:t>, and other, possibly synchronous, atomic processes</w:t>
      </w:r>
      <w:r w:rsidRPr="00BE14F9">
        <w:rPr>
          <w:rFonts w:ascii="Book Antiqua" w:hAnsi="Book Antiqua"/>
          <w:sz w:val="20"/>
        </w:rPr>
        <w:t xml:space="preserve">. Measurements of angles have become much more precise with the space-age, so this may be one option worth following up. Alternately, minute changes </w:t>
      </w:r>
      <w:r w:rsidR="0078542E">
        <w:rPr>
          <w:rFonts w:ascii="Book Antiqua" w:hAnsi="Book Antiqua"/>
          <w:sz w:val="20"/>
        </w:rPr>
        <w:t>over</w:t>
      </w:r>
      <w:r w:rsidRPr="00BE14F9">
        <w:rPr>
          <w:rFonts w:ascii="Book Antiqua" w:hAnsi="Book Antiqua"/>
          <w:sz w:val="20"/>
        </w:rPr>
        <w:t xml:space="preserve"> time in the length of the official meter when compared with earlier versions would also indicate changes in c [61].</w:t>
      </w:r>
    </w:p>
    <w:p w:rsidR="00EE348C" w:rsidRPr="00BE14F9" w:rsidRDefault="00EE348C" w:rsidP="00EE348C">
      <w:pPr>
        <w:pStyle w:val="NoSpacing"/>
        <w:jc w:val="both"/>
        <w:rPr>
          <w:rFonts w:ascii="Book Antiqua" w:hAnsi="Book Antiqua"/>
          <w:sz w:val="20"/>
        </w:rPr>
      </w:pPr>
    </w:p>
    <w:p w:rsidR="00EE348C" w:rsidRPr="00BE14F9" w:rsidRDefault="00EE348C" w:rsidP="00EE348C">
      <w:pPr>
        <w:pStyle w:val="NoSpacing"/>
        <w:jc w:val="both"/>
        <w:rPr>
          <w:rFonts w:ascii="Book Antiqua" w:hAnsi="Book Antiqua"/>
          <w:sz w:val="20"/>
        </w:rPr>
      </w:pPr>
      <w:r w:rsidRPr="00BE14F9">
        <w:rPr>
          <w:rFonts w:ascii="Book Antiqua" w:hAnsi="Book Antiqua"/>
          <w:sz w:val="20"/>
        </w:rPr>
        <w:tab/>
        <w:t>Finally, in the 1987 Report</w:t>
      </w:r>
      <w:r w:rsidR="00FE226D">
        <w:rPr>
          <w:rFonts w:ascii="Book Antiqua" w:hAnsi="Book Antiqua"/>
          <w:sz w:val="20"/>
        </w:rPr>
        <w:t>,</w:t>
      </w:r>
      <w:r w:rsidRPr="00BE14F9">
        <w:rPr>
          <w:rFonts w:ascii="Book Antiqua" w:hAnsi="Book Antiqua"/>
          <w:sz w:val="20"/>
        </w:rPr>
        <w:t xml:space="preserve"> we suggested the decline in </w:t>
      </w:r>
      <w:r w:rsidRPr="00BE14F9">
        <w:rPr>
          <w:rFonts w:ascii="Book Antiqua" w:hAnsi="Book Antiqua"/>
          <w:iCs/>
          <w:sz w:val="20"/>
        </w:rPr>
        <w:t>the speed of light</w:t>
      </w:r>
      <w:r w:rsidRPr="00BE14F9">
        <w:rPr>
          <w:rFonts w:ascii="Book Antiqua" w:hAnsi="Book Antiqua"/>
          <w:i/>
          <w:iCs/>
          <w:sz w:val="20"/>
        </w:rPr>
        <w:t xml:space="preserve"> </w:t>
      </w:r>
      <w:r w:rsidRPr="00BE14F9">
        <w:rPr>
          <w:rFonts w:ascii="Book Antiqua" w:hAnsi="Book Antiqua"/>
          <w:sz w:val="20"/>
        </w:rPr>
        <w:t xml:space="preserve">implied it had a high initial value at the inception of the cosmos, in synchrony with other atomic ‘constants’, even though the basic cause of a changing ZPE strength had not been dealt with at that time. </w:t>
      </w:r>
      <w:r w:rsidR="00FE226D">
        <w:rPr>
          <w:rFonts w:ascii="Book Antiqua" w:hAnsi="Book Antiqua"/>
          <w:sz w:val="20"/>
        </w:rPr>
        <w:t>That</w:t>
      </w:r>
      <w:r w:rsidRPr="00BE14F9">
        <w:rPr>
          <w:rFonts w:ascii="Book Antiqua" w:hAnsi="Book Antiqua"/>
          <w:sz w:val="20"/>
        </w:rPr>
        <w:t xml:space="preserve"> analysis indicated that energy was being conserved in any process involving variation in the value of constants. With the further developments outlined here, it emerges that an increasing ZPE strength causes changes in the value of associated atomic constants. In addition, it holds the possibility of answering some of the astronomical problems associated with the origin of the universe</w:t>
      </w:r>
      <w:r w:rsidR="005428B2">
        <w:rPr>
          <w:rFonts w:ascii="Book Antiqua" w:hAnsi="Book Antiqua"/>
          <w:sz w:val="20"/>
        </w:rPr>
        <w:t xml:space="preserve"> and the formation and subsequent history of the solar system</w:t>
      </w:r>
      <w:r w:rsidRPr="00BE14F9">
        <w:rPr>
          <w:rFonts w:ascii="Book Antiqua" w:hAnsi="Book Antiqua"/>
          <w:sz w:val="20"/>
        </w:rPr>
        <w:t xml:space="preserve">. </w:t>
      </w:r>
    </w:p>
    <w:p w:rsidR="00904D33" w:rsidRDefault="00904D33" w:rsidP="00EE348C">
      <w:pPr>
        <w:pStyle w:val="NoSpacing"/>
        <w:rPr>
          <w:rFonts w:ascii="Book Antiqua" w:hAnsi="Book Antiqua"/>
          <w:b/>
          <w:color w:val="000000"/>
          <w:sz w:val="20"/>
        </w:rPr>
      </w:pPr>
    </w:p>
    <w:p w:rsidR="00EE348C" w:rsidRPr="00BE14F9" w:rsidRDefault="00EE348C" w:rsidP="00EE348C">
      <w:pPr>
        <w:pStyle w:val="NoSpacing"/>
        <w:rPr>
          <w:rFonts w:ascii="Book Antiqua" w:hAnsi="Book Antiqua"/>
          <w:b/>
          <w:color w:val="000000"/>
          <w:sz w:val="20"/>
        </w:rPr>
      </w:pPr>
      <w:r w:rsidRPr="00BE14F9">
        <w:rPr>
          <w:rFonts w:ascii="Book Antiqua" w:hAnsi="Book Antiqua"/>
          <w:b/>
          <w:color w:val="000000"/>
          <w:sz w:val="20"/>
        </w:rPr>
        <w:t xml:space="preserve">References </w:t>
      </w:r>
      <w:r w:rsidRPr="00BE14F9">
        <w:rPr>
          <w:rFonts w:ascii="Book Antiqua" w:hAnsi="Book Antiqua"/>
          <w:color w:val="000000"/>
          <w:sz w:val="20"/>
        </w:rPr>
        <w:t xml:space="preserve">– </w:t>
      </w:r>
      <w:r w:rsidRPr="00BE14F9">
        <w:rPr>
          <w:rFonts w:ascii="Book Antiqua" w:hAnsi="Book Antiqua"/>
          <w:i/>
          <w:color w:val="000000"/>
          <w:sz w:val="20"/>
        </w:rPr>
        <w:t>All URL’s retrieved 9/13/12</w:t>
      </w:r>
    </w:p>
    <w:p w:rsidR="00EE348C" w:rsidRPr="00BE14F9" w:rsidRDefault="00EE348C" w:rsidP="00EE348C">
      <w:pPr>
        <w:pStyle w:val="NoSpacing"/>
        <w:rPr>
          <w:rFonts w:ascii="Book Antiqua" w:hAnsi="Book Antiqua"/>
          <w:color w:val="000000"/>
          <w:sz w:val="20"/>
        </w:rPr>
      </w:pP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[1] J. H. Sanders, </w:t>
      </w:r>
      <w:r w:rsidRPr="00BE14F9">
        <w:rPr>
          <w:rFonts w:ascii="Book Antiqua" w:hAnsi="Book Antiqua"/>
          <w:i/>
          <w:iCs/>
          <w:color w:val="000000"/>
          <w:sz w:val="16"/>
          <w:szCs w:val="16"/>
        </w:rPr>
        <w:t xml:space="preserve">The Fundamental Atomic Constants, </w:t>
      </w:r>
      <w:r w:rsidRPr="00BE14F9">
        <w:rPr>
          <w:rFonts w:ascii="Book Antiqua" w:hAnsi="Book Antiqua"/>
          <w:iCs/>
          <w:color w:val="000000"/>
          <w:sz w:val="16"/>
          <w:szCs w:val="16"/>
        </w:rPr>
        <w:t>p.13,</w:t>
      </w:r>
      <w:r w:rsidRPr="00BE14F9">
        <w:rPr>
          <w:rFonts w:ascii="Book Antiqua" w:hAnsi="Book Antiqua"/>
          <w:i/>
          <w:iCs/>
          <w:color w:val="000000"/>
          <w:sz w:val="16"/>
          <w:szCs w:val="16"/>
        </w:rPr>
        <w:t xml:space="preserve"> </w:t>
      </w:r>
      <w:r w:rsidRPr="00BE14F9">
        <w:rPr>
          <w:rFonts w:ascii="Book Antiqua" w:hAnsi="Book Antiqua"/>
          <w:color w:val="000000"/>
          <w:sz w:val="16"/>
          <w:szCs w:val="16"/>
        </w:rPr>
        <w:t>Oxford University Press, Oxford,(1965).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[2]</w:t>
      </w:r>
      <w:r w:rsidRPr="00BE14F9">
        <w:rPr>
          <w:rFonts w:ascii="Book Antiqua" w:hAnsi="Book Antiqua"/>
          <w:sz w:val="16"/>
          <w:szCs w:val="16"/>
        </w:rPr>
        <w:t xml:space="preserve"> </w:t>
      </w:r>
      <w:r w:rsidRPr="00BE14F9">
        <w:rPr>
          <w:rFonts w:ascii="Book Antiqua" w:hAnsi="Book Antiqua"/>
          <w:color w:val="000000"/>
          <w:sz w:val="16"/>
          <w:szCs w:val="16"/>
        </w:rPr>
        <w:t>T. Norman, B. Setterfield,</w:t>
      </w:r>
      <w:r w:rsidRPr="00BE14F9">
        <w:rPr>
          <w:rFonts w:ascii="Book Antiqua" w:hAnsi="Book Antiqua"/>
          <w:b/>
          <w:iCs/>
          <w:color w:val="000000"/>
          <w:sz w:val="16"/>
          <w:szCs w:val="16"/>
        </w:rPr>
        <w:t xml:space="preserve"> </w:t>
      </w:r>
      <w:r w:rsidRPr="00BE14F9">
        <w:rPr>
          <w:rFonts w:ascii="Book Antiqua" w:hAnsi="Book Antiqua"/>
          <w:i/>
          <w:iCs/>
          <w:color w:val="000000"/>
          <w:sz w:val="16"/>
          <w:szCs w:val="16"/>
        </w:rPr>
        <w:t>Atomic Constants, Light, and Time</w:t>
      </w:r>
      <w:r w:rsidRPr="00BE14F9">
        <w:rPr>
          <w:rFonts w:ascii="Book Antiqua" w:hAnsi="Book Antiqua"/>
          <w:color w:val="000000"/>
          <w:sz w:val="16"/>
          <w:szCs w:val="16"/>
        </w:rPr>
        <w:t>,  Research Report, Stanford Research Institute (</w:t>
      </w:r>
      <w:smartTag w:uri="urn:schemas-microsoft-com:office:smarttags" w:element="stockticker">
        <w:r w:rsidRPr="00BE14F9">
          <w:rPr>
            <w:rFonts w:ascii="Book Antiqua" w:hAnsi="Book Antiqua"/>
            <w:color w:val="000000"/>
            <w:sz w:val="16"/>
            <w:szCs w:val="16"/>
          </w:rPr>
          <w:t>SRI</w:t>
        </w:r>
      </w:smartTag>
      <w:r w:rsidRPr="00BE14F9">
        <w:rPr>
          <w:rFonts w:ascii="Book Antiqua" w:hAnsi="Book Antiqua"/>
          <w:color w:val="000000"/>
          <w:sz w:val="16"/>
          <w:szCs w:val="16"/>
        </w:rPr>
        <w:t>) International &amp;  Flinders University, South Australia, August (1987) , p.35.</w:t>
      </w:r>
    </w:p>
    <w:p w:rsidR="00EE348C" w:rsidRPr="00BE14F9" w:rsidRDefault="00EE348C" w:rsidP="00EE348C">
      <w:pPr>
        <w:pStyle w:val="NoSpacing"/>
        <w:rPr>
          <w:rFonts w:ascii="Book Antiqua" w:hAnsi="Book Antiqua"/>
          <w:color w:val="000000"/>
          <w:sz w:val="16"/>
          <w:szCs w:val="16"/>
        </w:rPr>
      </w:pPr>
      <w:r w:rsidRPr="00BE14F9">
        <w:rPr>
          <w:rFonts w:ascii="Book Antiqua" w:hAnsi="Book Antiqua"/>
          <w:color w:val="000000"/>
          <w:sz w:val="16"/>
          <w:szCs w:val="16"/>
        </w:rPr>
        <w:t xml:space="preserve">[3] F. G. </w:t>
      </w:r>
      <w:r w:rsidRPr="00BE14F9">
        <w:rPr>
          <w:rFonts w:ascii="Book Antiqua" w:hAnsi="Book Antiqua"/>
          <w:sz w:val="16"/>
          <w:szCs w:val="16"/>
        </w:rPr>
        <w:t xml:space="preserve">Dunnington, “The Atomic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11</w:t>
      </w:r>
      <w:r w:rsidRPr="00BE14F9">
        <w:rPr>
          <w:rFonts w:ascii="Book Antiqua" w:hAnsi="Book Antiqua"/>
          <w:sz w:val="16"/>
          <w:szCs w:val="16"/>
        </w:rPr>
        <w:t xml:space="preserve"> (2), 65-83, Apr. 1939</w:t>
      </w:r>
      <w:r w:rsidRPr="00BE14F9">
        <w:rPr>
          <w:rFonts w:ascii="Book Antiqua" w:hAnsi="Book Antiqua"/>
          <w:color w:val="000000"/>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 R. T. Birge, “A New Table of Values of the General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13</w:t>
      </w:r>
      <w:r w:rsidRPr="00BE14F9">
        <w:rPr>
          <w:rFonts w:ascii="Book Antiqua" w:hAnsi="Book Antiqua"/>
          <w:sz w:val="16"/>
          <w:szCs w:val="16"/>
        </w:rPr>
        <w:t xml:space="preserve"> (4), 233-239, Oct. 1941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 J. W. M. DuMond and E. R. Cohen, “Our Knowledge of the Atomic Constants F, N, m and h in 1947, and of Other Constants Derivable Therefrom,”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20</w:t>
      </w:r>
      <w:r w:rsidRPr="00BE14F9">
        <w:rPr>
          <w:rFonts w:ascii="Book Antiqua" w:hAnsi="Book Antiqua"/>
          <w:sz w:val="16"/>
          <w:szCs w:val="16"/>
        </w:rPr>
        <w:t xml:space="preserve"> (1), 82-108, Jan. 1948.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 J. A. Bearden and H. M. Watts, “A Re-Evaluation of the Fundamental Atomic Constants,” </w:t>
      </w:r>
      <w:r w:rsidRPr="00BE14F9">
        <w:rPr>
          <w:rFonts w:ascii="Book Antiqua" w:hAnsi="Book Antiqua"/>
          <w:i/>
          <w:iCs/>
          <w:sz w:val="16"/>
          <w:szCs w:val="16"/>
        </w:rPr>
        <w:t>Physical Review</w:t>
      </w:r>
      <w:r w:rsidRPr="00BE14F9">
        <w:rPr>
          <w:rFonts w:ascii="Book Antiqua" w:hAnsi="Book Antiqua"/>
          <w:sz w:val="16"/>
          <w:szCs w:val="16"/>
        </w:rPr>
        <w:t>, 81, 73-81, Jan. 1, 1951.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[7] J. W. M. DuMond and E. R. Cohen, “Least Squares Adjustment of the Atomic Constants, 1952,”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25</w:t>
      </w:r>
      <w:r w:rsidRPr="00BE14F9">
        <w:rPr>
          <w:rFonts w:ascii="Book Antiqua" w:hAnsi="Book Antiqua"/>
          <w:sz w:val="16"/>
          <w:szCs w:val="16"/>
        </w:rPr>
        <w:t xml:space="preserve"> (3), 691-708, Jul. 1953.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[8] E. R. Cohen, et al., “Analysis of Variance of the 1952 Data on the Atomic Constants and a New Adjustment, 1955,”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27</w:t>
      </w:r>
      <w:r w:rsidRPr="00BE14F9">
        <w:rPr>
          <w:rFonts w:ascii="Book Antiqua" w:hAnsi="Book Antiqua"/>
          <w:sz w:val="16"/>
          <w:szCs w:val="16"/>
        </w:rPr>
        <w:t xml:space="preserve"> (4), 363-380, Oct. 1955.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[9] E. R. Cohen and J. W. M. DuMond, “Present Status of our Knowledge of the Numerical Values of the Fundamental Constants,” p.152-186, </w:t>
      </w:r>
      <w:r w:rsidRPr="00BE14F9">
        <w:rPr>
          <w:rFonts w:ascii="Book Antiqua" w:hAnsi="Book Antiqua"/>
          <w:i/>
          <w:iCs/>
          <w:sz w:val="16"/>
          <w:szCs w:val="16"/>
        </w:rPr>
        <w:t>Proceedings of the Second International Conference on Nuclidic Masses</w:t>
      </w:r>
      <w:r w:rsidRPr="00BE14F9">
        <w:rPr>
          <w:rFonts w:ascii="Book Antiqua" w:hAnsi="Book Antiqua"/>
          <w:sz w:val="16"/>
          <w:szCs w:val="16"/>
        </w:rPr>
        <w:t>, Vienna, Austria, July 15-19, 1963, W.H. Johnson, Jr., editor, Springer-Verlag, Wien, 1964.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[10] E. R. Cohen and J. W. M. DuMond, “Our Knowledge of the Fundamental Constants of Physics and Chemistry in 1965,”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37</w:t>
      </w:r>
      <w:r w:rsidRPr="00BE14F9">
        <w:rPr>
          <w:rFonts w:ascii="Book Antiqua" w:hAnsi="Book Antiqua"/>
          <w:sz w:val="16"/>
          <w:szCs w:val="16"/>
        </w:rPr>
        <w:t xml:space="preserve"> (4), 537-594, Oct. 1965.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[11] B. N. Taylor, W. H. Parker, D. N. Langenberg, “Determination of e/h Using Macroscopic Quantum Phase Coherence in Superconductors: Implications for Quantum Electrodynamics and the Fundamental Physical Constants,” </w:t>
      </w:r>
      <w:r w:rsidRPr="00BE14F9">
        <w:rPr>
          <w:rFonts w:ascii="Book Antiqua" w:hAnsi="Book Antiqua"/>
          <w:i/>
          <w:iCs/>
          <w:sz w:val="16"/>
          <w:szCs w:val="16"/>
        </w:rPr>
        <w:t>Reviews of Modern Physics</w:t>
      </w:r>
      <w:r w:rsidRPr="00BE14F9">
        <w:rPr>
          <w:rFonts w:ascii="Book Antiqua" w:hAnsi="Book Antiqua"/>
          <w:sz w:val="16"/>
          <w:szCs w:val="16"/>
        </w:rPr>
        <w:t xml:space="preserve">, </w:t>
      </w:r>
      <w:r w:rsidRPr="00BE14F9">
        <w:rPr>
          <w:rFonts w:ascii="Book Antiqua" w:hAnsi="Book Antiqua"/>
          <w:b/>
          <w:bCs/>
          <w:sz w:val="16"/>
          <w:szCs w:val="16"/>
        </w:rPr>
        <w:t>41</w:t>
      </w:r>
      <w:r w:rsidRPr="00BE14F9">
        <w:rPr>
          <w:rFonts w:ascii="Book Antiqua" w:hAnsi="Book Antiqua"/>
          <w:sz w:val="16"/>
          <w:szCs w:val="16"/>
        </w:rPr>
        <w:t xml:space="preserve"> (3), 375-496, Jul. 1969.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[12] E. R. Cohen and B. N. Taylor, “The 1973 Least-Squares Adjustment of the Fundamental Constants,” </w:t>
      </w:r>
      <w:r w:rsidRPr="00BE14F9">
        <w:rPr>
          <w:rFonts w:ascii="Book Antiqua" w:hAnsi="Book Antiqua"/>
          <w:i/>
          <w:iCs/>
          <w:sz w:val="16"/>
          <w:szCs w:val="16"/>
        </w:rPr>
        <w:t>Journal of Physical and Chemical Reference Data</w:t>
      </w:r>
      <w:r w:rsidRPr="00BE14F9">
        <w:rPr>
          <w:rFonts w:ascii="Book Antiqua" w:hAnsi="Book Antiqua"/>
          <w:sz w:val="16"/>
          <w:szCs w:val="16"/>
        </w:rPr>
        <w:t xml:space="preserve">, </w:t>
      </w:r>
      <w:r w:rsidRPr="00BE14F9">
        <w:rPr>
          <w:rFonts w:ascii="Book Antiqua" w:hAnsi="Book Antiqua"/>
          <w:b/>
          <w:bCs/>
          <w:sz w:val="16"/>
          <w:szCs w:val="16"/>
        </w:rPr>
        <w:t>2</w:t>
      </w:r>
      <w:r w:rsidRPr="00BE14F9">
        <w:rPr>
          <w:rFonts w:ascii="Book Antiqua" w:hAnsi="Book Antiqua"/>
          <w:sz w:val="16"/>
          <w:szCs w:val="16"/>
        </w:rPr>
        <w:t xml:space="preserve"> (4), 663-718, 1973.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[13] E. R. Cohen , B. M. Taylor, “The 1986 Adjustment of the Fundamental Physical Constants,” </w:t>
      </w:r>
      <w:r w:rsidRPr="00BE14F9">
        <w:rPr>
          <w:rFonts w:ascii="Book Antiqua" w:hAnsi="Book Antiqua"/>
          <w:i/>
          <w:sz w:val="16"/>
          <w:szCs w:val="16"/>
        </w:rPr>
        <w:t xml:space="preserve">Codata Bulletin </w:t>
      </w:r>
      <w:r w:rsidRPr="00BE14F9">
        <w:rPr>
          <w:rFonts w:ascii="Book Antiqua" w:hAnsi="Book Antiqua"/>
          <w:sz w:val="16"/>
          <w:szCs w:val="16"/>
        </w:rPr>
        <w:t>#</w:t>
      </w:r>
      <w:r w:rsidRPr="00BE14F9">
        <w:rPr>
          <w:rFonts w:ascii="Book Antiqua" w:hAnsi="Book Antiqua"/>
          <w:b/>
          <w:sz w:val="16"/>
          <w:szCs w:val="16"/>
        </w:rPr>
        <w:t>63</w:t>
      </w:r>
      <w:r w:rsidRPr="00BE14F9">
        <w:rPr>
          <w:rFonts w:ascii="Book Antiqua" w:hAnsi="Book Antiqua"/>
          <w:sz w:val="16"/>
          <w:szCs w:val="16"/>
        </w:rPr>
        <w:t xml:space="preserve">, Pergamum Press, Nov. 1986.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[14] P. J. Mohr and B. N. Taylor, “Codata Recommended Values of the Fundamental Physical Constants, 1998,”  </w:t>
      </w:r>
      <w:r w:rsidRPr="00BE14F9">
        <w:rPr>
          <w:rFonts w:ascii="Book Antiqua" w:hAnsi="Book Antiqua"/>
          <w:i/>
          <w:iCs/>
          <w:sz w:val="16"/>
          <w:szCs w:val="16"/>
        </w:rPr>
        <w:t>Reviews of Modern Physics</w:t>
      </w:r>
      <w:r w:rsidRPr="00BE14F9">
        <w:rPr>
          <w:rFonts w:ascii="Book Antiqua" w:hAnsi="Book Antiqua"/>
          <w:sz w:val="16"/>
          <w:szCs w:val="16"/>
        </w:rPr>
        <w:t>, April, 2000. </w:t>
      </w:r>
    </w:p>
    <w:p w:rsidR="00EE348C" w:rsidRPr="00BE14F9" w:rsidRDefault="00EE348C" w:rsidP="00EE348C">
      <w:pPr>
        <w:pStyle w:val="NoSpacing"/>
        <w:rPr>
          <w:rFonts w:ascii="Book Antiqua" w:hAnsi="Book Antiqua"/>
          <w:i/>
          <w:sz w:val="16"/>
          <w:szCs w:val="16"/>
        </w:rPr>
      </w:pPr>
      <w:r w:rsidRPr="00BE14F9">
        <w:rPr>
          <w:rFonts w:ascii="Book Antiqua" w:hAnsi="Book Antiqua"/>
          <w:sz w:val="16"/>
          <w:szCs w:val="16"/>
        </w:rPr>
        <w:t xml:space="preserve">[15] From </w:t>
      </w:r>
      <w:hyperlink r:id="rId80" w:history="1">
        <w:r w:rsidRPr="00BE14F9">
          <w:rPr>
            <w:rStyle w:val="Hyperlink"/>
            <w:rFonts w:ascii="Book Antiqua" w:hAnsi="Book Antiqua"/>
            <w:i/>
            <w:szCs w:val="16"/>
          </w:rPr>
          <w:t>http://physics.nist.gov/cuu/Constants/index.html</w:t>
        </w:r>
      </w:hyperlink>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[16] J. N. Bahcall, E. E. Salpeter,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142</w:t>
      </w:r>
      <w:r w:rsidRPr="00BE14F9">
        <w:rPr>
          <w:rFonts w:ascii="Book Antiqua" w:hAnsi="Book Antiqua"/>
          <w:sz w:val="16"/>
          <w:szCs w:val="16"/>
        </w:rPr>
        <w:t xml:space="preserve"> (1965), 1677-1681.</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[17] W. A. Baum, R. Florentin-Nielsen,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319-329.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[18] J. E. Solheim, T. G. Barnes III, H. J. Smith, </w:t>
      </w:r>
      <w:r w:rsidRPr="00BE14F9">
        <w:rPr>
          <w:rFonts w:ascii="Book Antiqua" w:hAnsi="Book Antiqua"/>
          <w:i/>
          <w:sz w:val="16"/>
          <w:szCs w:val="16"/>
        </w:rPr>
        <w:t>Astrophys. J.</w:t>
      </w:r>
      <w:r w:rsidRPr="00BE14F9">
        <w:rPr>
          <w:rFonts w:ascii="Book Antiqua" w:hAnsi="Book Antiqua"/>
          <w:sz w:val="16"/>
          <w:szCs w:val="16"/>
        </w:rPr>
        <w:t xml:space="preserve"> </w:t>
      </w:r>
      <w:r w:rsidRPr="00BE14F9">
        <w:rPr>
          <w:rFonts w:ascii="Book Antiqua" w:hAnsi="Book Antiqua"/>
          <w:b/>
          <w:sz w:val="16"/>
          <w:szCs w:val="16"/>
        </w:rPr>
        <w:t>209</w:t>
      </w:r>
      <w:r w:rsidRPr="00BE14F9">
        <w:rPr>
          <w:rFonts w:ascii="Book Antiqua" w:hAnsi="Book Antiqua"/>
          <w:sz w:val="16"/>
          <w:szCs w:val="16"/>
        </w:rPr>
        <w:t xml:space="preserve"> (1976), 330-334.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[19] P. D. Noerdlinger,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30</w:t>
      </w:r>
      <w:r w:rsidRPr="00BE14F9">
        <w:rPr>
          <w:rFonts w:ascii="Book Antiqua" w:hAnsi="Book Antiqua"/>
          <w:sz w:val="16"/>
          <w:szCs w:val="16"/>
        </w:rPr>
        <w:t xml:space="preserve"> (1973), pp. 761-762.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[20] R. Srianand et al. also D. Monroe,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92</w:t>
      </w:r>
      <w:r w:rsidRPr="00BE14F9">
        <w:rPr>
          <w:rFonts w:ascii="Book Antiqua" w:hAnsi="Book Antiqua"/>
          <w:sz w:val="16"/>
          <w:szCs w:val="16"/>
        </w:rPr>
        <w:t xml:space="preserve"> (2004) 121302.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[21] L. L. Cowie, A. Songaila,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428</w:t>
      </w:r>
      <w:r w:rsidRPr="00BE14F9">
        <w:rPr>
          <w:rFonts w:ascii="Book Antiqua" w:hAnsi="Book Antiqua"/>
          <w:sz w:val="16"/>
          <w:szCs w:val="16"/>
        </w:rPr>
        <w:t xml:space="preserve"> (2004), p.132.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[22] F. J. Dyson,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19</w:t>
      </w:r>
      <w:r w:rsidRPr="00BE14F9">
        <w:rPr>
          <w:rFonts w:ascii="Book Antiqua" w:hAnsi="Book Antiqua"/>
          <w:sz w:val="16"/>
          <w:szCs w:val="16"/>
        </w:rPr>
        <w:t xml:space="preserve"> (1967), 1291-1293.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[23] A. Peres,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1293-1294.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[24] J. N. Bahcall, M. Schmidt, </w:t>
      </w:r>
      <w:r w:rsidRPr="00BE14F9">
        <w:rPr>
          <w:rFonts w:ascii="Book Antiqua" w:hAnsi="Book Antiqua"/>
          <w:i/>
          <w:sz w:val="16"/>
          <w:szCs w:val="16"/>
        </w:rPr>
        <w:t>Phys. Rev. Lett.</w:t>
      </w:r>
      <w:r w:rsidRPr="00BE14F9">
        <w:rPr>
          <w:rFonts w:ascii="Book Antiqua" w:hAnsi="Book Antiqua"/>
          <w:sz w:val="16"/>
          <w:szCs w:val="16"/>
        </w:rPr>
        <w:t xml:space="preserve">, </w:t>
      </w:r>
      <w:r w:rsidRPr="00BE14F9">
        <w:rPr>
          <w:rFonts w:ascii="Book Antiqua" w:hAnsi="Book Antiqua"/>
          <w:b/>
          <w:sz w:val="16"/>
          <w:szCs w:val="16"/>
        </w:rPr>
        <w:t xml:space="preserve">19 </w:t>
      </w:r>
      <w:r w:rsidRPr="00BE14F9">
        <w:rPr>
          <w:rFonts w:ascii="Book Antiqua" w:hAnsi="Book Antiqua"/>
          <w:sz w:val="16"/>
          <w:szCs w:val="16"/>
        </w:rPr>
        <w:t>(1967), 1294-1295.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[25] P. S. Wesson, </w:t>
      </w:r>
      <w:r w:rsidRPr="00BE14F9">
        <w:rPr>
          <w:rFonts w:ascii="Book Antiqua" w:hAnsi="Book Antiqua"/>
          <w:i/>
          <w:sz w:val="16"/>
          <w:szCs w:val="16"/>
        </w:rPr>
        <w:t>Cosmology and Geophysics,</w:t>
      </w:r>
      <w:r w:rsidRPr="00BE14F9">
        <w:rPr>
          <w:rFonts w:ascii="Book Antiqua" w:hAnsi="Book Antiqua"/>
          <w:sz w:val="16"/>
          <w:szCs w:val="16"/>
        </w:rPr>
        <w:t xml:space="preserve"> Monographs on Astronomical Subjects:3. pp.65-66, 88-89, 115-122, 207-208, Adam Hilger Ltd, Bristol (1978).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[26] B. Setterfield, </w:t>
      </w:r>
      <w:r w:rsidRPr="00BE14F9">
        <w:rPr>
          <w:rFonts w:ascii="Book Antiqua" w:hAnsi="Book Antiqua"/>
          <w:i/>
          <w:iCs/>
          <w:sz w:val="16"/>
          <w:szCs w:val="16"/>
        </w:rPr>
        <w:t>Journal of Theoretics</w:t>
      </w:r>
      <w:r w:rsidRPr="00BE14F9">
        <w:rPr>
          <w:rFonts w:ascii="Book Antiqua" w:hAnsi="Book Antiqua"/>
          <w:sz w:val="16"/>
          <w:szCs w:val="16"/>
        </w:rPr>
        <w:t>, extensive papers (15 Oct. 2003).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[27] M. Brooks, 'Operation Alpha', </w:t>
      </w:r>
      <w:r w:rsidRPr="00BE14F9">
        <w:rPr>
          <w:rFonts w:ascii="Book Antiqua" w:hAnsi="Book Antiqua"/>
          <w:i/>
          <w:sz w:val="16"/>
          <w:szCs w:val="16"/>
        </w:rPr>
        <w:t>New Scientist</w:t>
      </w:r>
      <w:r w:rsidRPr="00BE14F9">
        <w:rPr>
          <w:rFonts w:ascii="Book Antiqua" w:hAnsi="Book Antiqua"/>
          <w:sz w:val="16"/>
          <w:szCs w:val="16"/>
        </w:rPr>
        <w:t>, 23 Oct. 2010, p33-35.</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[28] M. Harwit, </w:t>
      </w:r>
      <w:r w:rsidRPr="00BE14F9">
        <w:rPr>
          <w:rFonts w:ascii="Book Antiqua" w:hAnsi="Book Antiqua"/>
          <w:i/>
          <w:sz w:val="16"/>
          <w:szCs w:val="16"/>
        </w:rPr>
        <w:t>Bull. Astron. Inst. Czech</w:t>
      </w:r>
      <w:r w:rsidRPr="00BE14F9">
        <w:rPr>
          <w:rFonts w:ascii="Book Antiqua" w:hAnsi="Book Antiqua"/>
          <w:sz w:val="16"/>
          <w:szCs w:val="16"/>
        </w:rPr>
        <w:t>., 22 (1971): 22-29.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[29] K. Scharnhorst,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236</w:t>
      </w:r>
      <w:r w:rsidRPr="00BE14F9">
        <w:rPr>
          <w:rFonts w:ascii="Book Antiqua" w:hAnsi="Book Antiqua"/>
          <w:sz w:val="16"/>
          <w:szCs w:val="16"/>
        </w:rPr>
        <w:t xml:space="preserve"> (1990), p.354.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lastRenderedPageBreak/>
        <w:t xml:space="preserve">[30] Science Editor, </w:t>
      </w:r>
      <w:r w:rsidRPr="00BE14F9">
        <w:rPr>
          <w:rFonts w:ascii="Book Antiqua" w:hAnsi="Book Antiqua"/>
          <w:i/>
          <w:sz w:val="16"/>
          <w:szCs w:val="16"/>
        </w:rPr>
        <w:t>Science News</w:t>
      </w:r>
      <w:r w:rsidRPr="00BE14F9">
        <w:rPr>
          <w:rFonts w:ascii="Book Antiqua" w:hAnsi="Book Antiqua"/>
          <w:sz w:val="16"/>
          <w:szCs w:val="16"/>
        </w:rPr>
        <w:t xml:space="preserve">, </w:t>
      </w:r>
      <w:r w:rsidRPr="00BE14F9">
        <w:rPr>
          <w:rFonts w:ascii="Book Antiqua" w:hAnsi="Book Antiqua"/>
          <w:b/>
          <w:sz w:val="16"/>
          <w:szCs w:val="16"/>
        </w:rPr>
        <w:t>137</w:t>
      </w:r>
      <w:r w:rsidRPr="00BE14F9">
        <w:rPr>
          <w:rFonts w:ascii="Book Antiqua" w:hAnsi="Book Antiqua"/>
          <w:sz w:val="16"/>
          <w:szCs w:val="16"/>
        </w:rPr>
        <w:t>, 12th May 1990, p.303.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[31] G. Barton, </w:t>
      </w:r>
      <w:r w:rsidRPr="00BE14F9">
        <w:rPr>
          <w:rFonts w:ascii="Book Antiqua" w:hAnsi="Book Antiqua"/>
          <w:i/>
          <w:sz w:val="16"/>
          <w:szCs w:val="16"/>
        </w:rPr>
        <w:t>Phys Lett B</w:t>
      </w:r>
      <w:r w:rsidRPr="00BE14F9">
        <w:rPr>
          <w:rFonts w:ascii="Book Antiqua" w:hAnsi="Book Antiqua"/>
          <w:sz w:val="16"/>
          <w:szCs w:val="16"/>
        </w:rPr>
        <w:t xml:space="preserve">, </w:t>
      </w:r>
      <w:r w:rsidRPr="00BE14F9">
        <w:rPr>
          <w:rFonts w:ascii="Book Antiqua" w:hAnsi="Book Antiqua"/>
          <w:b/>
          <w:sz w:val="16"/>
          <w:szCs w:val="16"/>
        </w:rPr>
        <w:t>237</w:t>
      </w:r>
      <w:r w:rsidRPr="00BE14F9">
        <w:rPr>
          <w:rFonts w:ascii="Book Antiqua" w:hAnsi="Book Antiqua"/>
          <w:sz w:val="16"/>
          <w:szCs w:val="16"/>
        </w:rPr>
        <w:t xml:space="preserve"> (1990), p.559.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[32] S. Barnett, </w:t>
      </w:r>
      <w:r w:rsidRPr="00BE14F9">
        <w:rPr>
          <w:rFonts w:ascii="Book Antiqua" w:hAnsi="Book Antiqua"/>
          <w:i/>
          <w:sz w:val="16"/>
          <w:szCs w:val="16"/>
        </w:rPr>
        <w:t>Nature</w:t>
      </w:r>
      <w:r w:rsidRPr="00BE14F9">
        <w:rPr>
          <w:rFonts w:ascii="Book Antiqua" w:hAnsi="Book Antiqua"/>
          <w:sz w:val="16"/>
          <w:szCs w:val="16"/>
        </w:rPr>
        <w:t xml:space="preserve"> 344 (1990), p.289.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[33] J. I. Latorre, P. Pascual, R. Tarrach, </w:t>
      </w:r>
      <w:r w:rsidRPr="00BE14F9">
        <w:rPr>
          <w:rFonts w:ascii="Book Antiqua" w:hAnsi="Book Antiqua"/>
          <w:i/>
          <w:sz w:val="16"/>
          <w:szCs w:val="16"/>
        </w:rPr>
        <w:t>Nuclear Physics</w:t>
      </w:r>
      <w:r w:rsidRPr="00BE14F9">
        <w:rPr>
          <w:rFonts w:ascii="Book Antiqua" w:hAnsi="Book Antiqua"/>
          <w:sz w:val="16"/>
          <w:szCs w:val="16"/>
        </w:rPr>
        <w:t xml:space="preserve"> B 437 (1995), p.60-82.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[34] B. I. Bleany, B. Bleany, </w:t>
      </w:r>
      <w:r w:rsidRPr="00BE14F9">
        <w:rPr>
          <w:rFonts w:ascii="Book Antiqua" w:hAnsi="Book Antiqua"/>
          <w:i/>
          <w:sz w:val="16"/>
          <w:szCs w:val="16"/>
        </w:rPr>
        <w:t>Electricity and Magnetism</w:t>
      </w:r>
      <w:r w:rsidRPr="00BE14F9">
        <w:rPr>
          <w:rFonts w:ascii="Book Antiqua" w:hAnsi="Book Antiqua"/>
          <w:sz w:val="16"/>
          <w:szCs w:val="16"/>
        </w:rPr>
        <w:t>, pp.242-243, Oxford at the Clarendon Press, 1962.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[35] C. Barnet, R. Davis and W.L. Sanders, </w:t>
      </w:r>
      <w:r w:rsidRPr="00BE14F9">
        <w:rPr>
          <w:rFonts w:ascii="Book Antiqua" w:hAnsi="Book Antiqua"/>
          <w:i/>
          <w:sz w:val="16"/>
          <w:szCs w:val="16"/>
        </w:rPr>
        <w:t>Astrophysical Journal</w:t>
      </w:r>
      <w:r w:rsidRPr="00BE14F9">
        <w:rPr>
          <w:rFonts w:ascii="Book Antiqua" w:hAnsi="Book Antiqua"/>
          <w:sz w:val="16"/>
          <w:szCs w:val="16"/>
        </w:rPr>
        <w:t xml:space="preserve"> </w:t>
      </w:r>
      <w:r w:rsidRPr="00BE14F9">
        <w:rPr>
          <w:rFonts w:ascii="Book Antiqua" w:hAnsi="Book Antiqua"/>
          <w:b/>
          <w:sz w:val="16"/>
          <w:szCs w:val="16"/>
        </w:rPr>
        <w:t>295</w:t>
      </w:r>
      <w:r w:rsidRPr="00BE14F9">
        <w:rPr>
          <w:rFonts w:ascii="Book Antiqua" w:hAnsi="Book Antiqua"/>
          <w:sz w:val="16"/>
          <w:szCs w:val="16"/>
        </w:rPr>
        <w:t xml:space="preserve"> (1985), pp. 24-27.</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[36] S. G. Starling and A. J. Woodall, </w:t>
      </w:r>
      <w:r w:rsidRPr="00BE14F9">
        <w:rPr>
          <w:rFonts w:ascii="Book Antiqua" w:hAnsi="Book Antiqua"/>
          <w:b/>
          <w:sz w:val="16"/>
          <w:szCs w:val="16"/>
        </w:rPr>
        <w:t>Physics</w:t>
      </w:r>
      <w:r w:rsidRPr="00BE14F9">
        <w:rPr>
          <w:rFonts w:ascii="Book Antiqua" w:hAnsi="Book Antiqua"/>
          <w:sz w:val="16"/>
          <w:szCs w:val="16"/>
        </w:rPr>
        <w:t>, p.1129, Longmans, London, 1958.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[37] K. Wanser, Dept. Physics, Fullerton University, private communication about his article in press.</w:t>
      </w:r>
    </w:p>
    <w:p w:rsidR="00EE348C" w:rsidRPr="00BE14F9" w:rsidRDefault="00EE348C" w:rsidP="00EE348C">
      <w:pPr>
        <w:pStyle w:val="NoSpacing"/>
        <w:rPr>
          <w:rFonts w:ascii="Book Antiqua" w:hAnsi="Book Antiqua"/>
          <w:b/>
          <w:bCs/>
          <w:iCs/>
          <w:color w:val="000000"/>
          <w:sz w:val="16"/>
          <w:szCs w:val="16"/>
        </w:rPr>
      </w:pPr>
      <w:r w:rsidRPr="00BE14F9">
        <w:rPr>
          <w:rFonts w:ascii="Book Antiqua" w:hAnsi="Book Antiqua"/>
          <w:sz w:val="16"/>
          <w:szCs w:val="16"/>
        </w:rPr>
        <w:t xml:space="preserve">[38] R. T. Birge,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134</w:t>
      </w:r>
      <w:r w:rsidRPr="00BE14F9">
        <w:rPr>
          <w:rFonts w:ascii="Book Antiqua" w:hAnsi="Book Antiqua"/>
          <w:sz w:val="16"/>
          <w:szCs w:val="16"/>
        </w:rPr>
        <w:t xml:space="preserve"> (1934): pp.771-772.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[39] For example, J. A. Franco et al., </w:t>
      </w:r>
      <w:r w:rsidRPr="00BE14F9">
        <w:rPr>
          <w:rFonts w:ascii="Book Antiqua" w:hAnsi="Book Antiqua"/>
          <w:i/>
          <w:sz w:val="16"/>
          <w:szCs w:val="16"/>
        </w:rPr>
        <w:t>Journal of Vectorial Relativity</w:t>
      </w:r>
      <w:r w:rsidRPr="00BE14F9">
        <w:rPr>
          <w:rFonts w:ascii="Book Antiqua" w:hAnsi="Book Antiqua"/>
          <w:sz w:val="16"/>
          <w:szCs w:val="16"/>
        </w:rPr>
        <w:t xml:space="preserve">, </w:t>
      </w:r>
      <w:r w:rsidRPr="00BE14F9">
        <w:rPr>
          <w:rFonts w:ascii="Book Antiqua" w:hAnsi="Book Antiqua"/>
          <w:b/>
          <w:sz w:val="16"/>
          <w:szCs w:val="16"/>
        </w:rPr>
        <w:t xml:space="preserve">1 </w:t>
      </w:r>
      <w:r w:rsidRPr="00BE14F9">
        <w:rPr>
          <w:rFonts w:ascii="Book Antiqua" w:hAnsi="Book Antiqua"/>
          <w:sz w:val="16"/>
          <w:szCs w:val="16"/>
        </w:rPr>
        <w:t>(2006), 1-16.</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[40] M. Harwit,</w:t>
      </w:r>
      <w:r w:rsidRPr="00BE14F9">
        <w:rPr>
          <w:rFonts w:ascii="Book Antiqua" w:hAnsi="Book Antiqua"/>
          <w:b/>
          <w:iCs/>
          <w:sz w:val="16"/>
          <w:szCs w:val="16"/>
        </w:rPr>
        <w:t xml:space="preserve"> </w:t>
      </w:r>
      <w:r w:rsidRPr="00BE14F9">
        <w:rPr>
          <w:rFonts w:ascii="Book Antiqua" w:hAnsi="Book Antiqua"/>
          <w:i/>
          <w:iCs/>
          <w:sz w:val="16"/>
          <w:szCs w:val="16"/>
        </w:rPr>
        <w:t xml:space="preserve">Astrophysical Concepts, </w:t>
      </w:r>
      <w:r w:rsidRPr="00BE14F9">
        <w:rPr>
          <w:rFonts w:ascii="Book Antiqua" w:hAnsi="Book Antiqua"/>
          <w:sz w:val="16"/>
          <w:szCs w:val="16"/>
        </w:rPr>
        <w:t>second Edition, p. 178, (Springer-Verlag, New York, 1988).</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[41] T. C. Van Flandern, </w:t>
      </w:r>
      <w:r w:rsidRPr="00BE14F9">
        <w:rPr>
          <w:rFonts w:ascii="Book Antiqua" w:hAnsi="Book Antiqua"/>
          <w:i/>
          <w:sz w:val="16"/>
          <w:szCs w:val="16"/>
        </w:rPr>
        <w:t>Precision Measurements and Fundamental Constants II,</w:t>
      </w:r>
      <w:r w:rsidRPr="00BE14F9">
        <w:rPr>
          <w:rFonts w:ascii="Book Antiqua" w:hAnsi="Book Antiqua"/>
          <w:sz w:val="16"/>
          <w:szCs w:val="16"/>
        </w:rPr>
        <w:t xml:space="preserve"> pp.625-627. B.N. Taylor and W.D. Phillips (Eds.), National Bureau of Standards (U.S.) Special Publication 617 (1984).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[42] J. Magueijo, “Plan B for the Cosmos,” </w:t>
      </w:r>
      <w:r w:rsidRPr="00BE14F9">
        <w:rPr>
          <w:rFonts w:ascii="Book Antiqua" w:hAnsi="Book Antiqua"/>
          <w:i/>
          <w:sz w:val="16"/>
          <w:szCs w:val="16"/>
        </w:rPr>
        <w:t>Scientific American</w:t>
      </w:r>
      <w:r w:rsidRPr="00BE14F9">
        <w:rPr>
          <w:rFonts w:ascii="Book Antiqua" w:hAnsi="Book Antiqua"/>
          <w:sz w:val="16"/>
          <w:szCs w:val="16"/>
        </w:rPr>
        <w:t xml:space="preserve">, p. 47 (January 2001). </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[43] R. T. Cahill, </w:t>
      </w:r>
      <w:r w:rsidRPr="00BE14F9">
        <w:rPr>
          <w:rFonts w:ascii="Book Antiqua" w:hAnsi="Book Antiqua"/>
          <w:i/>
          <w:sz w:val="16"/>
          <w:szCs w:val="16"/>
        </w:rPr>
        <w:t>Progress in Physics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 pp.73-92 (2006).</w:t>
      </w:r>
    </w:p>
    <w:p w:rsidR="00EE348C" w:rsidRPr="00BE14F9" w:rsidRDefault="00EE348C" w:rsidP="00EE348C">
      <w:pPr>
        <w:pStyle w:val="NoSpacing"/>
        <w:jc w:val="both"/>
        <w:rPr>
          <w:rFonts w:ascii="Book Antiqua" w:hAnsi="Book Antiqua"/>
          <w:sz w:val="16"/>
          <w:szCs w:val="16"/>
        </w:rPr>
      </w:pPr>
      <w:r w:rsidRPr="00BE14F9">
        <w:rPr>
          <w:rFonts w:ascii="Book Antiqua" w:hAnsi="Book Antiqua"/>
          <w:sz w:val="16"/>
          <w:szCs w:val="16"/>
        </w:rPr>
        <w:t xml:space="preserve">[44] M. Feigenbaum, quoted by science editor in </w:t>
      </w:r>
      <w:r w:rsidRPr="00BE14F9">
        <w:rPr>
          <w:rFonts w:ascii="Book Antiqua" w:hAnsi="Book Antiqua"/>
          <w:i/>
          <w:sz w:val="16"/>
          <w:szCs w:val="16"/>
        </w:rPr>
        <w:t>New Scientist</w:t>
      </w:r>
      <w:r w:rsidRPr="00BE14F9">
        <w:rPr>
          <w:rFonts w:ascii="Book Antiqua" w:hAnsi="Book Antiqua"/>
          <w:sz w:val="16"/>
          <w:szCs w:val="16"/>
        </w:rPr>
        <w:t xml:space="preserve">, pp.28-31 (1st November 2008).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[45] J. Moffat,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w:t>
      </w:r>
      <w:r w:rsidRPr="00BE14F9">
        <w:rPr>
          <w:rFonts w:ascii="Book Antiqua" w:hAnsi="Book Antiqua"/>
          <w:sz w:val="16"/>
          <w:szCs w:val="16"/>
        </w:rPr>
        <w:t xml:space="preserve"> (1993) 351 and </w:t>
      </w:r>
      <w:r w:rsidRPr="00BE14F9">
        <w:rPr>
          <w:rFonts w:ascii="Book Antiqua" w:hAnsi="Book Antiqua"/>
          <w:i/>
          <w:sz w:val="16"/>
          <w:szCs w:val="16"/>
        </w:rPr>
        <w:t>Int. J. Mod. Phys. D</w:t>
      </w:r>
      <w:r w:rsidRPr="00BE14F9">
        <w:rPr>
          <w:rFonts w:ascii="Book Antiqua" w:hAnsi="Book Antiqua"/>
          <w:sz w:val="16"/>
          <w:szCs w:val="16"/>
        </w:rPr>
        <w:t xml:space="preserve"> </w:t>
      </w:r>
      <w:r w:rsidRPr="00BE14F9">
        <w:rPr>
          <w:rFonts w:ascii="Book Antiqua" w:hAnsi="Book Antiqua"/>
          <w:b/>
          <w:sz w:val="16"/>
          <w:szCs w:val="16"/>
        </w:rPr>
        <w:t>23</w:t>
      </w:r>
      <w:r w:rsidRPr="00BE14F9">
        <w:rPr>
          <w:rFonts w:ascii="Book Antiqua" w:hAnsi="Book Antiqua"/>
          <w:sz w:val="16"/>
          <w:szCs w:val="16"/>
        </w:rPr>
        <w:t xml:space="preserve"> (1993) 411.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[46] V. S. Troitskii, </w:t>
      </w:r>
      <w:r w:rsidRPr="00BE14F9">
        <w:rPr>
          <w:rFonts w:ascii="Book Antiqua" w:hAnsi="Book Antiqua"/>
          <w:i/>
          <w:sz w:val="16"/>
          <w:szCs w:val="16"/>
        </w:rPr>
        <w:t>Astrophys. &amp; Space Science</w:t>
      </w:r>
      <w:r w:rsidRPr="00BE14F9">
        <w:rPr>
          <w:rFonts w:ascii="Book Antiqua" w:hAnsi="Book Antiqua"/>
          <w:sz w:val="16"/>
          <w:szCs w:val="16"/>
        </w:rPr>
        <w:t xml:space="preserve"> </w:t>
      </w:r>
      <w:r w:rsidRPr="00BE14F9">
        <w:rPr>
          <w:rFonts w:ascii="Book Antiqua" w:hAnsi="Book Antiqua"/>
          <w:b/>
          <w:sz w:val="16"/>
          <w:szCs w:val="16"/>
        </w:rPr>
        <w:t>139</w:t>
      </w:r>
      <w:r w:rsidRPr="00BE14F9">
        <w:rPr>
          <w:rFonts w:ascii="Book Antiqua" w:hAnsi="Book Antiqua"/>
          <w:sz w:val="16"/>
          <w:szCs w:val="16"/>
        </w:rPr>
        <w:t xml:space="preserve"> (1987) 389.</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[47] A. Albrecht, J. Magueijo, </w:t>
      </w:r>
      <w:r w:rsidRPr="00BE14F9">
        <w:rPr>
          <w:rFonts w:ascii="Book Antiqua" w:hAnsi="Book Antiqua"/>
          <w:i/>
          <w:sz w:val="16"/>
          <w:szCs w:val="16"/>
        </w:rPr>
        <w:t>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 xml:space="preserve">:4 (1999) 3515 .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[48] J. D. Barrow,</w:t>
      </w:r>
      <w:r w:rsidRPr="00BE14F9">
        <w:rPr>
          <w:rFonts w:ascii="Book Antiqua" w:hAnsi="Book Antiqua"/>
          <w:i/>
          <w:sz w:val="16"/>
          <w:szCs w:val="16"/>
        </w:rPr>
        <w:t xml:space="preserve"> Phys. Rev. D</w:t>
      </w:r>
      <w:r w:rsidRPr="00BE14F9">
        <w:rPr>
          <w:rFonts w:ascii="Book Antiqua" w:hAnsi="Book Antiqua"/>
          <w:sz w:val="16"/>
          <w:szCs w:val="16"/>
        </w:rPr>
        <w:t xml:space="preserve"> </w:t>
      </w:r>
      <w:r w:rsidRPr="00BE14F9">
        <w:rPr>
          <w:rFonts w:ascii="Book Antiqua" w:hAnsi="Book Antiqua"/>
          <w:b/>
          <w:sz w:val="16"/>
          <w:szCs w:val="16"/>
        </w:rPr>
        <w:t>59</w:t>
      </w:r>
      <w:r w:rsidRPr="00BE14F9">
        <w:rPr>
          <w:rFonts w:ascii="Book Antiqua" w:hAnsi="Book Antiqua"/>
          <w:sz w:val="16"/>
          <w:szCs w:val="16"/>
        </w:rPr>
        <w:t>:4 (1999) 043515-1.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[49] N. E. Dorsey, </w:t>
      </w:r>
      <w:r w:rsidRPr="00BE14F9">
        <w:rPr>
          <w:rFonts w:ascii="Book Antiqua" w:hAnsi="Book Antiqua"/>
          <w:i/>
          <w:sz w:val="16"/>
          <w:szCs w:val="16"/>
        </w:rPr>
        <w:t>Trans. Am. Phil. Soc.</w:t>
      </w:r>
      <w:r w:rsidRPr="00BE14F9">
        <w:rPr>
          <w:rFonts w:ascii="Book Antiqua" w:hAnsi="Book Antiqua"/>
          <w:sz w:val="16"/>
          <w:szCs w:val="16"/>
        </w:rPr>
        <w:t xml:space="preserve"> </w:t>
      </w:r>
      <w:r w:rsidRPr="00BE14F9">
        <w:rPr>
          <w:rFonts w:ascii="Book Antiqua" w:hAnsi="Book Antiqua"/>
          <w:b/>
          <w:sz w:val="16"/>
          <w:szCs w:val="16"/>
        </w:rPr>
        <w:t>34</w:t>
      </w:r>
      <w:r w:rsidRPr="00BE14F9">
        <w:rPr>
          <w:rFonts w:ascii="Book Antiqua" w:hAnsi="Book Antiqua"/>
          <w:sz w:val="16"/>
          <w:szCs w:val="16"/>
        </w:rPr>
        <w:t xml:space="preserve">:1 (1944) 1.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[50] S. Newcomb, </w:t>
      </w:r>
      <w:r w:rsidRPr="00BE14F9">
        <w:rPr>
          <w:rFonts w:ascii="Book Antiqua" w:hAnsi="Book Antiqua"/>
          <w:i/>
          <w:sz w:val="16"/>
          <w:szCs w:val="16"/>
        </w:rPr>
        <w:t>Nature</w:t>
      </w:r>
      <w:r w:rsidRPr="00BE14F9">
        <w:rPr>
          <w:rFonts w:ascii="Book Antiqua" w:hAnsi="Book Antiqua"/>
          <w:sz w:val="16"/>
          <w:szCs w:val="16"/>
        </w:rPr>
        <w:t xml:space="preserve">, May 13 (1886) 29.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[51] R. T. Birge, </w:t>
      </w:r>
      <w:r w:rsidRPr="00BE14F9">
        <w:rPr>
          <w:rFonts w:ascii="Book Antiqua" w:hAnsi="Book Antiqua"/>
          <w:i/>
          <w:sz w:val="16"/>
          <w:szCs w:val="16"/>
        </w:rPr>
        <w:t>Rep. Prog. Phys</w:t>
      </w:r>
      <w:r w:rsidRPr="00BE14F9">
        <w:rPr>
          <w:rFonts w:ascii="Book Antiqua" w:hAnsi="Book Antiqua"/>
          <w:sz w:val="16"/>
          <w:szCs w:val="16"/>
        </w:rPr>
        <w:t>.</w:t>
      </w:r>
      <w:r w:rsidRPr="00BE14F9">
        <w:rPr>
          <w:rFonts w:ascii="Book Antiqua" w:hAnsi="Book Antiqua"/>
          <w:b/>
          <w:sz w:val="16"/>
          <w:szCs w:val="16"/>
        </w:rPr>
        <w:t xml:space="preserve"> 8</w:t>
      </w:r>
      <w:r w:rsidRPr="00BE14F9">
        <w:rPr>
          <w:rFonts w:ascii="Book Antiqua" w:hAnsi="Book Antiqua"/>
          <w:sz w:val="16"/>
          <w:szCs w:val="16"/>
        </w:rPr>
        <w:t xml:space="preserve"> (1941) 90.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[52] M. E. J. Gheury de Bray, </w:t>
      </w:r>
      <w:r w:rsidRPr="00BE14F9">
        <w:rPr>
          <w:rFonts w:ascii="Book Antiqua" w:hAnsi="Book Antiqua"/>
          <w:i/>
          <w:sz w:val="16"/>
          <w:szCs w:val="16"/>
        </w:rPr>
        <w:t>Nature</w:t>
      </w:r>
      <w:r w:rsidRPr="00BE14F9">
        <w:rPr>
          <w:rFonts w:ascii="Book Antiqua" w:hAnsi="Book Antiqua"/>
          <w:sz w:val="16"/>
          <w:szCs w:val="16"/>
        </w:rPr>
        <w:t xml:space="preserve">, </w:t>
      </w:r>
      <w:r w:rsidRPr="00BE14F9">
        <w:rPr>
          <w:rFonts w:ascii="Book Antiqua" w:hAnsi="Book Antiqua"/>
          <w:b/>
          <w:sz w:val="16"/>
          <w:szCs w:val="16"/>
        </w:rPr>
        <w:t>120</w:t>
      </w:r>
      <w:r w:rsidRPr="00BE14F9">
        <w:rPr>
          <w:rFonts w:ascii="Book Antiqua" w:hAnsi="Book Antiqua"/>
          <w:sz w:val="16"/>
          <w:szCs w:val="16"/>
        </w:rPr>
        <w:t xml:space="preserve"> (1927) 602; </w:t>
      </w:r>
      <w:r w:rsidRPr="00BE14F9">
        <w:rPr>
          <w:rFonts w:ascii="Book Antiqua" w:hAnsi="Book Antiqua"/>
          <w:b/>
          <w:sz w:val="16"/>
          <w:szCs w:val="16"/>
        </w:rPr>
        <w:t>127</w:t>
      </w:r>
      <w:r w:rsidRPr="00BE14F9">
        <w:rPr>
          <w:rFonts w:ascii="Book Antiqua" w:hAnsi="Book Antiqua"/>
          <w:sz w:val="16"/>
          <w:szCs w:val="16"/>
        </w:rPr>
        <w:t xml:space="preserve"> (1931) 522; and </w:t>
      </w:r>
      <w:r w:rsidRPr="00BE14F9">
        <w:rPr>
          <w:rFonts w:ascii="Book Antiqua" w:hAnsi="Book Antiqua"/>
          <w:b/>
          <w:sz w:val="16"/>
          <w:szCs w:val="16"/>
        </w:rPr>
        <w:t>127</w:t>
      </w:r>
      <w:r w:rsidRPr="00BE14F9">
        <w:rPr>
          <w:rFonts w:ascii="Book Antiqua" w:hAnsi="Book Antiqua"/>
          <w:sz w:val="16"/>
          <w:szCs w:val="16"/>
        </w:rPr>
        <w:t xml:space="preserve"> (1931) 892.</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[53] A. Montgomery, L. Dolphin, </w:t>
      </w:r>
      <w:r w:rsidRPr="00BE14F9">
        <w:rPr>
          <w:rFonts w:ascii="Book Antiqua" w:hAnsi="Book Antiqua"/>
          <w:i/>
          <w:sz w:val="16"/>
          <w:szCs w:val="16"/>
        </w:rPr>
        <w:t>Galilean Electrodynamics</w:t>
      </w:r>
      <w:r w:rsidRPr="00BE14F9">
        <w:rPr>
          <w:rFonts w:ascii="Book Antiqua" w:hAnsi="Book Antiqua"/>
          <w:sz w:val="16"/>
          <w:szCs w:val="16"/>
        </w:rPr>
        <w:t xml:space="preserve"> </w:t>
      </w:r>
      <w:r w:rsidRPr="00BE14F9">
        <w:rPr>
          <w:rFonts w:ascii="Book Antiqua" w:hAnsi="Book Antiqua"/>
          <w:b/>
          <w:sz w:val="16"/>
          <w:szCs w:val="16"/>
        </w:rPr>
        <w:t>4</w:t>
      </w:r>
      <w:r w:rsidRPr="00BE14F9">
        <w:rPr>
          <w:rFonts w:ascii="Book Antiqua" w:hAnsi="Book Antiqua"/>
          <w:sz w:val="16"/>
          <w:szCs w:val="16"/>
        </w:rPr>
        <w:t>:5 (1993) 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[54] J. Narlikar &amp; H. Arp, </w:t>
      </w:r>
      <w:r w:rsidRPr="00BE14F9">
        <w:rPr>
          <w:rFonts w:ascii="Book Antiqua" w:hAnsi="Book Antiqua"/>
          <w:i/>
          <w:iCs/>
          <w:sz w:val="16"/>
          <w:szCs w:val="16"/>
        </w:rPr>
        <w:t xml:space="preserve">Astrophysical Journal </w:t>
      </w:r>
      <w:r w:rsidRPr="00BE14F9">
        <w:rPr>
          <w:rFonts w:ascii="Book Antiqua" w:hAnsi="Book Antiqua"/>
          <w:b/>
          <w:bCs/>
          <w:sz w:val="16"/>
          <w:szCs w:val="16"/>
        </w:rPr>
        <w:t>405</w:t>
      </w:r>
      <w:r w:rsidRPr="00BE14F9">
        <w:rPr>
          <w:rFonts w:ascii="Book Antiqua" w:hAnsi="Book Antiqua"/>
          <w:sz w:val="16"/>
          <w:szCs w:val="16"/>
        </w:rPr>
        <w:t>:51 (1993).</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[55] E. A. Karlow, </w:t>
      </w:r>
      <w:r w:rsidRPr="00BE14F9">
        <w:rPr>
          <w:rFonts w:ascii="Book Antiqua" w:hAnsi="Book Antiqua"/>
          <w:i/>
          <w:sz w:val="16"/>
          <w:szCs w:val="16"/>
        </w:rPr>
        <w:t>American Journal of Physics</w:t>
      </w:r>
      <w:r w:rsidRPr="00BE14F9">
        <w:rPr>
          <w:rFonts w:ascii="Book Antiqua" w:hAnsi="Book Antiqua"/>
          <w:sz w:val="16"/>
          <w:szCs w:val="16"/>
        </w:rPr>
        <w:t xml:space="preserve">, </w:t>
      </w:r>
      <w:r w:rsidRPr="00BE14F9">
        <w:rPr>
          <w:rFonts w:ascii="Book Antiqua" w:hAnsi="Book Antiqua"/>
          <w:b/>
          <w:sz w:val="16"/>
          <w:szCs w:val="16"/>
        </w:rPr>
        <w:t>62</w:t>
      </w:r>
      <w:r w:rsidRPr="00BE14F9">
        <w:rPr>
          <w:rFonts w:ascii="Book Antiqua" w:hAnsi="Book Antiqua"/>
          <w:sz w:val="16"/>
          <w:szCs w:val="16"/>
        </w:rPr>
        <w:t>:7 (1994), 634.</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[56] R. T. Birge, </w:t>
      </w:r>
      <w:r w:rsidRPr="00BE14F9">
        <w:rPr>
          <w:rFonts w:ascii="Book Antiqua" w:hAnsi="Book Antiqua"/>
          <w:i/>
          <w:sz w:val="16"/>
          <w:szCs w:val="16"/>
        </w:rPr>
        <w:t>Reports on Progress in Physics</w:t>
      </w:r>
      <w:r w:rsidRPr="00BE14F9">
        <w:rPr>
          <w:rFonts w:ascii="Book Antiqua" w:hAnsi="Book Antiqua"/>
          <w:sz w:val="16"/>
          <w:szCs w:val="16"/>
        </w:rPr>
        <w:t xml:space="preserve">, </w:t>
      </w:r>
      <w:r w:rsidRPr="00BE14F9">
        <w:rPr>
          <w:rFonts w:ascii="Book Antiqua" w:hAnsi="Book Antiqua"/>
          <w:b/>
          <w:sz w:val="16"/>
          <w:szCs w:val="16"/>
        </w:rPr>
        <w:t>8</w:t>
      </w:r>
      <w:r w:rsidRPr="00BE14F9">
        <w:rPr>
          <w:rFonts w:ascii="Book Antiqua" w:hAnsi="Book Antiqua"/>
          <w:sz w:val="16"/>
          <w:szCs w:val="16"/>
        </w:rPr>
        <w:t xml:space="preserve"> (1941), p.90.</w:t>
      </w:r>
    </w:p>
    <w:p w:rsidR="00EE348C" w:rsidRPr="00BE14F9" w:rsidRDefault="00EE348C" w:rsidP="00EE348C">
      <w:pPr>
        <w:pStyle w:val="NoSpacing"/>
        <w:rPr>
          <w:rStyle w:val="citation"/>
          <w:rFonts w:ascii="Book Antiqua" w:hAnsi="Book Antiqua"/>
          <w:sz w:val="16"/>
          <w:szCs w:val="16"/>
        </w:rPr>
      </w:pPr>
      <w:r w:rsidRPr="00BE14F9">
        <w:rPr>
          <w:rFonts w:ascii="Book Antiqua" w:hAnsi="Book Antiqua"/>
          <w:sz w:val="16"/>
          <w:szCs w:val="16"/>
        </w:rPr>
        <w:t xml:space="preserve">[57] </w:t>
      </w:r>
      <w:r w:rsidRPr="00BE14F9">
        <w:rPr>
          <w:rStyle w:val="citation"/>
          <w:rFonts w:ascii="Book Antiqua" w:hAnsi="Book Antiqua"/>
          <w:sz w:val="16"/>
          <w:szCs w:val="16"/>
        </w:rPr>
        <w:t xml:space="preserve">P. A. M. Dirac, "The Cosmological Constants,” </w:t>
      </w:r>
      <w:r w:rsidRPr="00BE14F9">
        <w:rPr>
          <w:rStyle w:val="citation"/>
          <w:rFonts w:ascii="Book Antiqua" w:hAnsi="Book Antiqua"/>
          <w:i/>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139</w:t>
      </w:r>
      <w:r w:rsidRPr="00BE14F9">
        <w:rPr>
          <w:rStyle w:val="citation"/>
          <w:rFonts w:ascii="Book Antiqua" w:hAnsi="Book Antiqua"/>
          <w:sz w:val="16"/>
          <w:szCs w:val="16"/>
        </w:rPr>
        <w:t xml:space="preserve"> #3512: (1937), p. 323.</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[58] P. A. M. Dirac, "A New Basis for Cosmology,"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165</w:t>
      </w:r>
      <w:r w:rsidRPr="00BE14F9">
        <w:rPr>
          <w:rStyle w:val="citation"/>
          <w:rFonts w:ascii="Book Antiqua" w:hAnsi="Book Antiqua"/>
          <w:sz w:val="16"/>
          <w:szCs w:val="16"/>
        </w:rPr>
        <w:t xml:space="preserve"> #921: (1938), pp. 199–208.</w:t>
      </w:r>
    </w:p>
    <w:p w:rsidR="00EE348C" w:rsidRPr="00BE14F9" w:rsidRDefault="00EE348C" w:rsidP="00EE348C">
      <w:pPr>
        <w:pStyle w:val="NoSpacing"/>
        <w:rPr>
          <w:rStyle w:val="citation"/>
          <w:rFonts w:ascii="Book Antiqua" w:hAnsi="Book Antiqua"/>
          <w:sz w:val="16"/>
          <w:szCs w:val="16"/>
        </w:rPr>
      </w:pPr>
      <w:r w:rsidRPr="00BE14F9">
        <w:rPr>
          <w:rStyle w:val="citation"/>
          <w:rFonts w:ascii="Book Antiqua" w:hAnsi="Book Antiqua"/>
          <w:sz w:val="16"/>
          <w:szCs w:val="16"/>
        </w:rPr>
        <w:t xml:space="preserve">[59] </w:t>
      </w:r>
      <w:r w:rsidRPr="00BE14F9">
        <w:rPr>
          <w:rStyle w:val="z3988"/>
          <w:rFonts w:ascii="Book Antiqua" w:hAnsi="Book Antiqua"/>
          <w:vanish/>
          <w:sz w:val="16"/>
          <w:szCs w:val="16"/>
        </w:rPr>
        <w:t xml:space="preserve"> </w:t>
      </w:r>
      <w:r w:rsidRPr="00BE14F9">
        <w:rPr>
          <w:rStyle w:val="z3988"/>
          <w:rFonts w:ascii="Book Antiqua" w:hAnsi="Book Antiqua"/>
          <w:sz w:val="16"/>
          <w:szCs w:val="16"/>
        </w:rPr>
        <w:t xml:space="preserve">P. </w:t>
      </w:r>
      <w:r w:rsidRPr="00BE14F9">
        <w:rPr>
          <w:rStyle w:val="citation"/>
          <w:rFonts w:ascii="Book Antiqua" w:hAnsi="Book Antiqua"/>
          <w:sz w:val="16"/>
          <w:szCs w:val="16"/>
        </w:rPr>
        <w:t xml:space="preserve">A. M. Dirac, "Cosmological Models and the Large Numbers Hypothesis,” </w:t>
      </w:r>
      <w:r w:rsidRPr="00BE14F9">
        <w:rPr>
          <w:rStyle w:val="citation"/>
          <w:rFonts w:ascii="Book Antiqua" w:hAnsi="Book Antiqua"/>
          <w:i/>
          <w:sz w:val="16"/>
          <w:szCs w:val="16"/>
        </w:rPr>
        <w:t>Proceedings of the Royal Society of London A</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338</w:t>
      </w:r>
      <w:r w:rsidRPr="00BE14F9">
        <w:rPr>
          <w:rStyle w:val="citation"/>
          <w:rFonts w:ascii="Book Antiqua" w:hAnsi="Book Antiqua"/>
          <w:sz w:val="16"/>
          <w:szCs w:val="16"/>
        </w:rPr>
        <w:t xml:space="preserve"> #1615: (1974), pp. 439–446.</w:t>
      </w:r>
    </w:p>
    <w:p w:rsidR="00EE348C" w:rsidRPr="00BE14F9" w:rsidRDefault="00EE348C" w:rsidP="00EE348C">
      <w:pPr>
        <w:pStyle w:val="NoSpacing"/>
        <w:rPr>
          <w:rFonts w:ascii="Book Antiqua" w:hAnsi="Book Antiqua"/>
          <w:sz w:val="16"/>
          <w:szCs w:val="16"/>
        </w:rPr>
      </w:pPr>
      <w:r w:rsidRPr="00BE14F9">
        <w:rPr>
          <w:rStyle w:val="citation"/>
          <w:rFonts w:ascii="Book Antiqua" w:hAnsi="Book Antiqua"/>
          <w:sz w:val="16"/>
          <w:szCs w:val="16"/>
        </w:rPr>
        <w:t xml:space="preserve">[60] R. H. Dicke, R. H. (1961). "Dirac's Cosmology and Mach's Principle," </w:t>
      </w:r>
      <w:r w:rsidRPr="00BE14F9">
        <w:rPr>
          <w:rStyle w:val="citation"/>
          <w:rFonts w:ascii="Book Antiqua" w:hAnsi="Book Antiqua"/>
          <w:i/>
          <w:iCs/>
          <w:sz w:val="16"/>
          <w:szCs w:val="16"/>
        </w:rPr>
        <w:t>Nature</w:t>
      </w:r>
      <w:r w:rsidRPr="00BE14F9">
        <w:rPr>
          <w:rStyle w:val="citation"/>
          <w:rFonts w:ascii="Book Antiqua" w:hAnsi="Book Antiqua"/>
          <w:sz w:val="16"/>
          <w:szCs w:val="16"/>
        </w:rPr>
        <w:t xml:space="preserve"> </w:t>
      </w:r>
      <w:r w:rsidRPr="00BE14F9">
        <w:rPr>
          <w:rStyle w:val="citation"/>
          <w:rFonts w:ascii="Book Antiqua" w:hAnsi="Book Antiqua"/>
          <w:b/>
          <w:bCs/>
          <w:sz w:val="16"/>
          <w:szCs w:val="16"/>
        </w:rPr>
        <w:t>192</w:t>
      </w:r>
      <w:r w:rsidRPr="00BE14F9">
        <w:rPr>
          <w:rStyle w:val="citation"/>
          <w:rFonts w:ascii="Book Antiqua" w:hAnsi="Book Antiqua"/>
          <w:sz w:val="16"/>
          <w:szCs w:val="16"/>
        </w:rPr>
        <w:t xml:space="preserve"> #4801: (1961), pp. 440–441.</w:t>
      </w:r>
      <w:r w:rsidRPr="00BE14F9">
        <w:rPr>
          <w:rStyle w:val="z3988"/>
          <w:rFonts w:ascii="Book Antiqua" w:hAnsi="Book Antiqua"/>
          <w:vanish/>
          <w:sz w:val="16"/>
          <w:szCs w:val="16"/>
        </w:rPr>
        <w:t xml:space="preserve"> </w:t>
      </w:r>
    </w:p>
    <w:p w:rsidR="00EE348C" w:rsidRPr="00BE14F9" w:rsidRDefault="00EE348C" w:rsidP="00EE348C">
      <w:pPr>
        <w:pStyle w:val="NoSpacing"/>
        <w:rPr>
          <w:rFonts w:ascii="Book Antiqua" w:hAnsi="Book Antiqua"/>
          <w:sz w:val="16"/>
          <w:szCs w:val="16"/>
        </w:rPr>
      </w:pPr>
      <w:r w:rsidRPr="00BE14F9">
        <w:rPr>
          <w:rFonts w:ascii="Book Antiqua" w:hAnsi="Book Antiqua"/>
          <w:sz w:val="16"/>
          <w:szCs w:val="16"/>
        </w:rPr>
        <w:t xml:space="preserve">[61] T. Wilkie, “Time to Remeasure the Metre,” </w:t>
      </w:r>
      <w:r w:rsidRPr="00BE14F9">
        <w:rPr>
          <w:rFonts w:ascii="Book Antiqua" w:hAnsi="Book Antiqua"/>
          <w:i/>
          <w:sz w:val="16"/>
          <w:szCs w:val="16"/>
        </w:rPr>
        <w:t>New Scientist</w:t>
      </w:r>
      <w:r w:rsidRPr="00BE14F9">
        <w:rPr>
          <w:rFonts w:ascii="Book Antiqua" w:hAnsi="Book Antiqua"/>
          <w:sz w:val="16"/>
          <w:szCs w:val="16"/>
        </w:rPr>
        <w:t xml:space="preserve">, </w:t>
      </w:r>
      <w:r w:rsidRPr="00BE14F9">
        <w:rPr>
          <w:rFonts w:ascii="Book Antiqua" w:hAnsi="Book Antiqua"/>
          <w:b/>
          <w:sz w:val="16"/>
          <w:szCs w:val="16"/>
        </w:rPr>
        <w:t>100</w:t>
      </w:r>
      <w:r w:rsidRPr="00BE14F9">
        <w:rPr>
          <w:rFonts w:ascii="Book Antiqua" w:hAnsi="Book Antiqua"/>
          <w:sz w:val="16"/>
          <w:szCs w:val="16"/>
        </w:rPr>
        <w:t>, #1381, pp. 258-263, Oct. 27, 1983.</w:t>
      </w:r>
    </w:p>
    <w:p w:rsidR="00EE348C" w:rsidRPr="00BE14F9" w:rsidRDefault="00EE348C" w:rsidP="00EE348C">
      <w:pPr>
        <w:pStyle w:val="NoSpacing"/>
        <w:rPr>
          <w:rFonts w:ascii="Book Antiqua" w:hAnsi="Book Antiqua"/>
          <w:bCs/>
          <w:iCs/>
          <w:color w:val="000000"/>
          <w:sz w:val="16"/>
          <w:szCs w:val="16"/>
        </w:rPr>
      </w:pPr>
    </w:p>
    <w:p w:rsidR="00EE348C" w:rsidRPr="00BE14F9" w:rsidRDefault="00EE348C" w:rsidP="00EE348C">
      <w:pPr>
        <w:pStyle w:val="NoSpacing"/>
        <w:jc w:val="center"/>
        <w:rPr>
          <w:rFonts w:ascii="Book Antiqua" w:hAnsi="Book Antiqua" w:cs="Arial"/>
          <w:b/>
          <w:bCs/>
          <w:iCs/>
          <w:color w:val="000000"/>
          <w:sz w:val="28"/>
          <w:szCs w:val="28"/>
        </w:rPr>
      </w:pPr>
      <w:r w:rsidRPr="00BE14F9">
        <w:rPr>
          <w:rFonts w:ascii="Book Antiqua" w:hAnsi="Book Antiqua" w:cs="Arial"/>
          <w:b/>
          <w:bCs/>
          <w:iCs/>
          <w:color w:val="000000"/>
          <w:sz w:val="28"/>
          <w:szCs w:val="28"/>
        </w:rPr>
        <w:t>*  *  *  *  *  *  *</w:t>
      </w:r>
    </w:p>
    <w:p w:rsidR="008F4EE0" w:rsidRDefault="008F4EE0">
      <w:pPr>
        <w:widowControl/>
        <w:spacing w:after="200" w:line="276" w:lineRule="auto"/>
      </w:pPr>
      <w:r>
        <w:br w:type="page"/>
      </w:r>
    </w:p>
    <w:p w:rsidR="00821A88" w:rsidRPr="007F536A" w:rsidRDefault="00821A88" w:rsidP="00821A88">
      <w:pPr>
        <w:pStyle w:val="NoSpacing"/>
        <w:jc w:val="center"/>
        <w:rPr>
          <w:rFonts w:ascii="Book Antiqua" w:hAnsi="Book Antiqua"/>
          <w:b/>
          <w:bCs/>
          <w:iCs/>
          <w:color w:val="000000"/>
          <w:szCs w:val="24"/>
        </w:rPr>
      </w:pPr>
      <w:r w:rsidRPr="007F536A">
        <w:rPr>
          <w:rFonts w:ascii="Book Antiqua" w:hAnsi="Book Antiqua"/>
          <w:b/>
          <w:bCs/>
          <w:iCs/>
          <w:color w:val="000000"/>
          <w:szCs w:val="24"/>
        </w:rPr>
        <w:lastRenderedPageBreak/>
        <w:t xml:space="preserve">Chapter 3: </w:t>
      </w:r>
      <w:r w:rsidR="00FF3454" w:rsidRPr="00FF3454">
        <w:rPr>
          <w:rFonts w:ascii="Book Antiqua" w:hAnsi="Book Antiqua"/>
          <w:b/>
          <w:bCs/>
          <w:i/>
          <w:iCs/>
          <w:color w:val="000000"/>
          <w:szCs w:val="24"/>
        </w:rPr>
        <w:t xml:space="preserve">The </w:t>
      </w:r>
      <w:r w:rsidRPr="00FF3454">
        <w:rPr>
          <w:rFonts w:ascii="Book Antiqua" w:hAnsi="Book Antiqua"/>
          <w:b/>
          <w:bCs/>
          <w:i/>
          <w:iCs/>
          <w:color w:val="000000"/>
          <w:szCs w:val="24"/>
        </w:rPr>
        <w:t>Speed of Light Measurements</w:t>
      </w:r>
      <w:r w:rsidRPr="007F536A">
        <w:rPr>
          <w:rFonts w:ascii="Book Antiqua" w:hAnsi="Book Antiqua"/>
          <w:b/>
          <w:bCs/>
          <w:iCs/>
          <w:color w:val="000000"/>
          <w:szCs w:val="24"/>
        </w:rPr>
        <w:t>.</w:t>
      </w:r>
    </w:p>
    <w:p w:rsidR="00821A88" w:rsidRPr="007F536A" w:rsidRDefault="00821A88" w:rsidP="00821A88">
      <w:pPr>
        <w:pStyle w:val="NoSpacing"/>
        <w:rPr>
          <w:rFonts w:ascii="Book Antiqua" w:hAnsi="Book Antiqua"/>
          <w:b/>
          <w:bCs/>
          <w:iCs/>
          <w:color w:val="000000"/>
          <w:sz w:val="20"/>
          <w:u w:val="single"/>
        </w:rPr>
      </w:pPr>
    </w:p>
    <w:p w:rsidR="00821A88" w:rsidRPr="007F536A" w:rsidRDefault="00821A88" w:rsidP="00821A88">
      <w:pPr>
        <w:pStyle w:val="NoSpacing"/>
        <w:rPr>
          <w:rFonts w:ascii="Book Antiqua" w:hAnsi="Book Antiqua"/>
          <w:b/>
          <w:bCs/>
          <w:iCs/>
          <w:color w:val="000000"/>
          <w:sz w:val="20"/>
        </w:rPr>
      </w:pPr>
      <w:r w:rsidRPr="00F64A8E">
        <w:rPr>
          <w:rFonts w:ascii="Book Antiqua" w:hAnsi="Book Antiqua"/>
          <w:b/>
          <w:bCs/>
          <w:iCs/>
          <w:color w:val="000000"/>
          <w:sz w:val="20"/>
        </w:rPr>
        <w:t>Section One: Early Work on Light Speed</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0"/>
          <w:numId w:val="20"/>
        </w:numPr>
        <w:jc w:val="both"/>
        <w:rPr>
          <w:rStyle w:val="Strong"/>
          <w:rFonts w:ascii="Book Antiqua" w:hAnsi="Book Antiqua"/>
          <w:b w:val="0"/>
          <w:i/>
          <w:sz w:val="20"/>
        </w:rPr>
      </w:pPr>
      <w:bookmarkStart w:id="0" w:name="infinite"/>
      <w:bookmarkEnd w:id="0"/>
      <w:r w:rsidRPr="007F536A">
        <w:rPr>
          <w:rStyle w:val="Strong"/>
          <w:rFonts w:ascii="Book Antiqua" w:hAnsi="Book Antiqua"/>
          <w:b w:val="0"/>
          <w:i/>
          <w:sz w:val="20"/>
        </w:rPr>
        <w:t>1. An Infinite Speed of Light?</w:t>
      </w:r>
    </w:p>
    <w:p w:rsidR="00821A88" w:rsidRPr="007F536A" w:rsidRDefault="00821A88" w:rsidP="00821A88">
      <w:pPr>
        <w:pStyle w:val="NoSpacing"/>
        <w:rPr>
          <w:rStyle w:val="Strong"/>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many ages, men thought that light had no speed. It simply was. It was instantaneous. If speed was referred to, it was referred to as infinite. Greek philosophers generally followed Aristotle's belief that the speed of light was infinite. However, there were exceptions such as Empedocles of Acragas (c. 450 B.C.) who spoke of light, </w:t>
      </w:r>
      <w:r w:rsidRPr="007F536A">
        <w:rPr>
          <w:rFonts w:ascii="Book Antiqua" w:hAnsi="Book Antiqua"/>
          <w:i/>
          <w:sz w:val="20"/>
        </w:rPr>
        <w:t>"traveling or being at any given moment between the earth and its envelope, its movement being unobservable to us."</w:t>
      </w:r>
      <w:r w:rsidRPr="007F536A">
        <w:rPr>
          <w:rFonts w:ascii="Book Antiqua" w:hAnsi="Book Antiqua"/>
          <w:sz w:val="20"/>
        </w:rPr>
        <w:t xml:space="preserve">[1] Around 1000 A.D., the Moslem scientists Avicenna and Alhazen both believed in a finite speed for light [2].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Roger Bacon (1250 A.D.) and Francis Bacon (1600 A.D.) both accepted that the speed of light was finite though very rapid. The latter wrote</w:t>
      </w:r>
      <w:r w:rsidRPr="007F536A">
        <w:rPr>
          <w:rFonts w:ascii="Book Antiqua" w:hAnsi="Book Antiqua"/>
          <w:i/>
          <w:sz w:val="20"/>
        </w:rPr>
        <w:t xml:space="preserve">, "Even in sight, whereof the action is most rapid, it appears that there are required certain moments of time for its accomplishment...things which by reason of the velocity of their motion cannot be seen-as when a ball is discharged from a musket." </w:t>
      </w:r>
      <w:r w:rsidRPr="007F536A">
        <w:rPr>
          <w:rFonts w:ascii="Book Antiqua" w:hAnsi="Book Antiqua"/>
          <w:sz w:val="20"/>
        </w:rPr>
        <w:t>[3]</w:t>
      </w:r>
      <w:r w:rsidRPr="007F536A">
        <w:rPr>
          <w:rFonts w:ascii="Book Antiqua" w:hAnsi="Book Antiqua"/>
          <w:i/>
          <w:sz w:val="20"/>
        </w:rPr>
        <w:t xml:space="preserve"> </w:t>
      </w:r>
      <w:r w:rsidRPr="007F536A">
        <w:rPr>
          <w:rFonts w:ascii="Book Antiqua" w:hAnsi="Book Antiqua"/>
          <w:sz w:val="20"/>
        </w:rPr>
        <w:t>Nevertheless, in 1600 A.D., Kepler maintained the majority view that light speed was instantaneous, since space could offer no resistance to its motion [4].</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t xml:space="preserve"> </w:t>
      </w:r>
      <w:r w:rsidRPr="007F536A">
        <w:rPr>
          <w:rFonts w:ascii="Book Antiqua" w:hAnsi="Book Antiqua"/>
          <w:sz w:val="20"/>
        </w:rPr>
        <w:tab/>
        <w:t xml:space="preserve">It was Galileo in his </w:t>
      </w:r>
      <w:r w:rsidRPr="00F64A8E">
        <w:rPr>
          <w:rFonts w:ascii="Book Antiqua" w:hAnsi="Book Antiqua"/>
          <w:i/>
          <w:sz w:val="20"/>
        </w:rPr>
        <w:t>Discorsi</w:t>
      </w:r>
      <w:r w:rsidRPr="00F64A8E">
        <w:rPr>
          <w:rFonts w:ascii="Book Antiqua" w:hAnsi="Book Antiqua"/>
          <w:sz w:val="20"/>
        </w:rPr>
        <w:t>...,</w:t>
      </w:r>
      <w:r w:rsidRPr="007F536A">
        <w:rPr>
          <w:rFonts w:ascii="Book Antiqua" w:hAnsi="Book Antiqua"/>
          <w:sz w:val="20"/>
        </w:rPr>
        <w:t xml:space="preserve"> published in Leyden in 1638, who proposed that the question might be settled in true scientific fashion by an experiment over a number of miles using lanterns, telescopes, and shutters. The Accademia del Cimento of Florence reported in 1667 that such an experiment over a distance of one mile was tried</w:t>
      </w:r>
      <w:r w:rsidRPr="007F536A">
        <w:rPr>
          <w:rFonts w:ascii="Book Antiqua" w:hAnsi="Book Antiqua"/>
          <w:i/>
          <w:sz w:val="20"/>
        </w:rPr>
        <w:t xml:space="preserve">, "without any observable delay." </w:t>
      </w:r>
      <w:r w:rsidRPr="007F536A">
        <w:rPr>
          <w:rFonts w:ascii="Book Antiqua" w:hAnsi="Book Antiqua"/>
          <w:sz w:val="20"/>
        </w:rPr>
        <w:t>[5] However, after reporting the experimental results, Salviati, by analogy with the rapid spread of light from lightning, maintained that light velocity was fast but finite.</w:t>
      </w:r>
    </w:p>
    <w:p w:rsidR="00821A88" w:rsidRPr="007F536A" w:rsidRDefault="00821A88" w:rsidP="00821A88">
      <w:pPr>
        <w:pStyle w:val="NoSpacing"/>
        <w:jc w:val="both"/>
        <w:rPr>
          <w:rFonts w:ascii="Book Antiqua" w:hAnsi="Book Antiqua"/>
          <w:sz w:val="20"/>
        </w:rPr>
      </w:pPr>
    </w:p>
    <w:p w:rsidR="00821A88" w:rsidRPr="007F536A" w:rsidRDefault="00F64A8E" w:rsidP="00821A88">
      <w:pPr>
        <w:pStyle w:val="NoSpacing"/>
        <w:ind w:firstLine="720"/>
        <w:jc w:val="both"/>
        <w:rPr>
          <w:rFonts w:ascii="Book Antiqua" w:hAnsi="Book Antiqua"/>
          <w:sz w:val="20"/>
        </w:rPr>
      </w:pPr>
      <w:r>
        <w:rPr>
          <w:rFonts w:ascii="Book Antiqua" w:hAnsi="Book Antiqua"/>
          <w:sz w:val="20"/>
        </w:rPr>
        <w:t>At this time</w:t>
      </w:r>
      <w:r w:rsidR="00821A88" w:rsidRPr="007F536A">
        <w:rPr>
          <w:rFonts w:ascii="Book Antiqua" w:hAnsi="Book Antiqua"/>
          <w:sz w:val="20"/>
        </w:rPr>
        <w:t xml:space="preserve"> some things were coming together which would allow the speed of light to be measured. Galileo had discovered the first four satellites of the planet Jupiter in January of 1610 [6]. This would provide a source of measurement, as it was discovered later that the moons would eclipse behind Jupiter at regular intervals.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not until almost fifty years later, however, that a sufficiently accurate timing device was invented. In 1657, Huygens had invented a clock with a free-swinging pendulum, capable of counting seconds [7]. </w:t>
      </w:r>
      <w:r w:rsidR="00F64A8E">
        <w:rPr>
          <w:rFonts w:ascii="Book Antiqua" w:hAnsi="Book Antiqua"/>
          <w:sz w:val="20"/>
        </w:rPr>
        <w:t>In 1673 he improved in his earlier version</w:t>
      </w:r>
      <w:r w:rsidRPr="007F536A">
        <w:rPr>
          <w:rFonts w:ascii="Book Antiqua" w:hAnsi="Book Antiqua"/>
          <w:sz w:val="20"/>
        </w:rPr>
        <w:t xml:space="preserve"> [8].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Descartes (who died in 1650) strongly held to a belief in the instantaneous propagation of light and, accordingly, influenced the following generation of scientists.  </w:t>
      </w:r>
      <w:r w:rsidR="00F64A8E">
        <w:rPr>
          <w:rFonts w:ascii="Book Antiqua" w:hAnsi="Book Antiqua"/>
          <w:sz w:val="20"/>
        </w:rPr>
        <w:t>(</w:t>
      </w:r>
      <w:r w:rsidRPr="00F64A8E">
        <w:rPr>
          <w:rFonts w:ascii="Book Antiqua" w:hAnsi="Book Antiqua"/>
          <w:sz w:val="20"/>
        </w:rPr>
        <w:t>This, despite Ole Roemer’s 1675 experiments which showed light speed was not only finite but measureable.</w:t>
      </w:r>
      <w:r w:rsidR="00F64A8E">
        <w:rPr>
          <w:rFonts w:ascii="Book Antiqua" w:hAnsi="Book Antiqua"/>
          <w:sz w:val="20"/>
        </w:rPr>
        <w:t>)</w:t>
      </w:r>
      <w:r w:rsidRPr="007F536A">
        <w:rPr>
          <w:rFonts w:ascii="Book Antiqua" w:hAnsi="Book Antiqua"/>
          <w:sz w:val="20"/>
        </w:rPr>
        <w:t xml:space="preserve">  These scientists usually accepted Descartes arguments. He had pointed out that if light took, say, one hour to travel from earth to moon, we would be able to see the sun and at least part of the eclipsed moon simultaneously, as the moon would have started to move out of the umbra of  the earth’s shadow in one hour.  The straight line between sun, earth and moon which results in an eclipse would no longer be a straight line.  As it is, we never see the sun and the eclipsed moon simultaneously [9].  In 1678 Christiaan Huygens demolished Descartes' argument by pointing out, using Roemer's measurements, that light took (of the order of) seconds to get from moon to earth, maintaining both the co-linearity and a finite speed [9].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January 1, 1729, Bradley's independent confirmation ended the opposition to a finite value for the speed of light. Roemer's work, which had split the scientific community, was at last vindicated. After 53 years of struggle, science accepted the observational fact that light traveled at a finite speed. Since the early 20</w:t>
      </w:r>
      <w:r w:rsidRPr="007F536A">
        <w:rPr>
          <w:rFonts w:ascii="Book Antiqua" w:hAnsi="Book Antiqua"/>
          <w:sz w:val="20"/>
          <w:vertAlign w:val="superscript"/>
        </w:rPr>
        <w:t>th</w:t>
      </w:r>
      <w:r w:rsidRPr="007F536A">
        <w:rPr>
          <w:rFonts w:ascii="Book Antiqua" w:hAnsi="Book Antiqua"/>
          <w:sz w:val="20"/>
        </w:rPr>
        <w:t xml:space="preserve"> century, the proposition that light had a fixed speed became popular.  However evidence both before and after that time (much of which was discussed in peer-reviewed journals up until 1941) suggests that this assumption should be questioned.</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br/>
      </w:r>
      <w:r w:rsidRPr="007F536A">
        <w:rPr>
          <w:rFonts w:ascii="Book Antiqua" w:hAnsi="Book Antiqua"/>
          <w:sz w:val="20"/>
        </w:rPr>
        <w:tab/>
        <w:t xml:space="preserve">Scientifically speaking, the velocity of light, </w:t>
      </w:r>
      <m:oMath>
        <m:r>
          <w:rPr>
            <w:rFonts w:ascii="Cambria Math" w:hAnsi="Cambria Math"/>
            <w:sz w:val="20"/>
          </w:rPr>
          <m:t>c</m:t>
        </m:r>
      </m:oMath>
      <w:r w:rsidRPr="007F536A">
        <w:rPr>
          <w:rFonts w:ascii="Book Antiqua" w:hAnsi="Book Antiqua"/>
          <w:sz w:val="20"/>
        </w:rPr>
        <w:t xml:space="preserve">, is the highest known velocity in the physical universe. The present value has been fixed (by definition) since 1983 and declared to be an absolute constant at 299,792.458 kilometers per second. Almost everyone rounds this off to </w:t>
      </w:r>
      <m:oMath>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meters/second, or 186,000 miles/second. Electronics technicians often </w:t>
      </w:r>
      <w:r w:rsidRPr="007F536A">
        <w:rPr>
          <w:rFonts w:ascii="Book Antiqua" w:hAnsi="Book Antiqua"/>
          <w:sz w:val="20"/>
        </w:rPr>
        <w:lastRenderedPageBreak/>
        <w:t>prefer to remember the approximate speed of light as one foot per nanosecond in air or vacuum-the distance light travels in one-billionth of a second. In dielectric media the velocity of light (electromagnetic waves) is slower than in the vacuum of space.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sz w:val="20"/>
        </w:rPr>
      </w:pPr>
      <w:r w:rsidRPr="007F536A">
        <w:rPr>
          <w:rStyle w:val="Strong"/>
          <w:rFonts w:ascii="Book Antiqua" w:hAnsi="Book Antiqua"/>
          <w:b w:val="0"/>
          <w:sz w:val="20"/>
        </w:rPr>
        <w:t>Let us now start a detailed examination of the speed of light experiments themselves beginning with Ole Roemer.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1" w:name="Roemer"/>
      <w:bookmarkEnd w:id="1"/>
      <w:r w:rsidRPr="007F536A">
        <w:rPr>
          <w:rStyle w:val="Strong"/>
          <w:rFonts w:ascii="Book Antiqua" w:hAnsi="Book Antiqua"/>
          <w:b w:val="0"/>
          <w:i/>
          <w:sz w:val="20"/>
        </w:rPr>
        <w:t>1.2 Ole Christensen Rømer</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5406"/>
        <w:gridCol w:w="5196"/>
      </w:tblGrid>
      <w:tr w:rsidR="00821A88" w:rsidRPr="007F536A" w:rsidTr="00061E9B">
        <w:trPr>
          <w:trHeight w:val="3750"/>
          <w:jc w:val="center"/>
        </w:trPr>
        <w:tc>
          <w:tcPr>
            <w:tcW w:w="3221"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276600" cy="3705225"/>
                  <wp:effectExtent l="19050" t="0" r="0" b="0"/>
                  <wp:docPr id="2" name="Picture 1" descr="File:Ole Rømer (Coning painting).jpg"/>
                  <wp:cNvGraphicFramePr/>
                  <a:graphic xmlns:a="http://schemas.openxmlformats.org/drawingml/2006/main">
                    <a:graphicData uri="http://schemas.openxmlformats.org/drawingml/2006/picture">
                      <pic:pic xmlns:pic="http://schemas.openxmlformats.org/drawingml/2006/picture">
                        <pic:nvPicPr>
                          <pic:cNvPr id="4" name="Picture 3" descr="File:Ole Rømer (Coning painting).jpg"/>
                          <pic:cNvPicPr/>
                        </pic:nvPicPr>
                        <pic:blipFill>
                          <a:blip r:embed="rId81" cstate="print"/>
                          <a:srcRect/>
                          <a:stretch>
                            <a:fillRect/>
                          </a:stretch>
                        </pic:blipFill>
                        <pic:spPr bwMode="auto">
                          <a:xfrm>
                            <a:off x="0" y="0"/>
                            <a:ext cx="3276600" cy="3705225"/>
                          </a:xfrm>
                          <a:prstGeom prst="rect">
                            <a:avLst/>
                          </a:prstGeom>
                          <a:noFill/>
                          <a:ln w="9525">
                            <a:noFill/>
                            <a:miter lim="800000"/>
                            <a:headEnd/>
                            <a:tailEnd/>
                          </a:ln>
                        </pic:spPr>
                      </pic:pic>
                    </a:graphicData>
                  </a:graphic>
                </wp:inline>
              </w:drawing>
            </w:r>
          </w:p>
        </w:tc>
        <w:tc>
          <w:tcPr>
            <w:tcW w:w="3367" w:type="dxa"/>
          </w:tcPr>
          <w:p w:rsidR="00821A88" w:rsidRPr="007F536A" w:rsidRDefault="005777E5" w:rsidP="00400B4E">
            <w:pPr>
              <w:pStyle w:val="NoSpacing"/>
              <w:jc w:val="center"/>
              <w:rPr>
                <w:rFonts w:ascii="Book Antiqua" w:hAnsi="Book Antiqua"/>
                <w:sz w:val="20"/>
              </w:rPr>
            </w:pPr>
            <w:r w:rsidRPr="005777E5">
              <w:rPr>
                <w:rFonts w:ascii="Book Antiqua" w:hAnsi="Book Antiqua"/>
                <w:noProof/>
                <w:sz w:val="20"/>
              </w:rPr>
              <w:drawing>
                <wp:inline distT="0" distB="0" distL="0" distR="0">
                  <wp:extent cx="3143209" cy="3657600"/>
                  <wp:effectExtent l="19050" t="0" r="41" b="0"/>
                  <wp:docPr id="4" name="Picture 2" descr="File:Ole Rømer at work.jpg"/>
                  <wp:cNvGraphicFramePr/>
                  <a:graphic xmlns:a="http://schemas.openxmlformats.org/drawingml/2006/main">
                    <a:graphicData uri="http://schemas.openxmlformats.org/drawingml/2006/picture">
                      <pic:pic xmlns:pic="http://schemas.openxmlformats.org/drawingml/2006/picture">
                        <pic:nvPicPr>
                          <pic:cNvPr id="4" name="Picture 3" descr="File:Ole Rømer at work.jpg"/>
                          <pic:cNvPicPr/>
                        </pic:nvPicPr>
                        <pic:blipFill>
                          <a:blip r:embed="rId82" cstate="print"/>
                          <a:srcRect/>
                          <a:stretch>
                            <a:fillRect/>
                          </a:stretch>
                        </pic:blipFill>
                        <pic:spPr bwMode="auto">
                          <a:xfrm>
                            <a:off x="0" y="0"/>
                            <a:ext cx="3143209" cy="36576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1:</w:t>
      </w:r>
      <w:r w:rsidRPr="0041498D">
        <w:rPr>
          <w:rFonts w:ascii="Book Antiqua" w:hAnsi="Book Antiqua"/>
          <w:i/>
          <w:sz w:val="18"/>
          <w:szCs w:val="18"/>
        </w:rPr>
        <w:t xml:space="preserve"> Left - Ole Rømer 1644-1710. Painting by Jacob Coning about 1700. Right - Ole Rømer at work in his home observatory in Copenhagen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Ole Roemer, born in Denmark on September 25, 1644, had begun studies in mathematics and astronomy at Copenhagen University in 1662. Ten years later, in 1672, he was appointed to the newly constructed observatory in Paris. In 1675, he discovered that the epicycloid was the best shape for teeth in gears and communicated to Huygens that such gears would be advisable in his clocks</w:t>
      </w:r>
      <w:bookmarkStart w:id="2" w:name="_ednref4"/>
      <w:r w:rsidRPr="007F536A">
        <w:rPr>
          <w:rFonts w:ascii="Book Antiqua" w:hAnsi="Book Antiqua"/>
          <w:sz w:val="20"/>
        </w:rPr>
        <w:t xml:space="preserve"> [10</w:t>
      </w:r>
      <w:bookmarkEnd w:id="2"/>
      <w:r w:rsidRPr="007F536A">
        <w:rPr>
          <w:rFonts w:ascii="Book Antiqua" w:hAnsi="Book Antiqua"/>
          <w:sz w:val="20"/>
        </w:rPr>
        <w:t xml:space="preserve">]. This resulted in an improvement so significant that clocks of this caliber made the determination of longitude possible.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With such accurate clocks and the knowledge that Jupiter’s moons eclipsed regularly, it was possible for ships to use observations of Jupiter’s moons to get an absolute time, which allowed them to calculate their longitude.  The eclipses provided a regular astronomical phenomenon that was visible from both a standard observatory and the place whose longitude was to be determined. The Paris Observatory was chosen as the standard.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as the earth moved in its orbit around the sun, there was a realization that the times of the eclipses were progressively changing.  They were changing in a manner which seemed to depend on the distance of the earth from Jupiter.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Accurate tables were needed to predict these eclipse times, and to check if these suspected changes were real. Picard, then later Cassini and Roemer, made a series of observations so that the tables could be prepared. Cassini published the first reliable times for these astronomical events</w:t>
      </w:r>
      <w:bookmarkStart w:id="3" w:name="_ednref5"/>
      <w:r w:rsidRPr="007F536A">
        <w:rPr>
          <w:rFonts w:ascii="Book Antiqua" w:hAnsi="Book Antiqua"/>
          <w:sz w:val="20"/>
        </w:rPr>
        <w:t xml:space="preserve"> [11</w:t>
      </w:r>
      <w:bookmarkEnd w:id="3"/>
      <w:r w:rsidRPr="007F536A">
        <w:rPr>
          <w:rFonts w:ascii="Book Antiqua" w:hAnsi="Book Antiqua"/>
          <w:sz w:val="20"/>
        </w:rPr>
        <w:t xml:space="preserve">]. Roemer collected more than seventy observations by Picard and himself of Jupiter’s inner moon, Io, from 1668 to 1677. Of these, half came from the period 1671-1673, when Jupiter was at the most distant point in its orbit and consequently moving the most slowly as seen from earth.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any given time, Jupiter’s moon Io would take approximately one day, 18 hours, and 28.5 minutes to complete one revolution around its giant parent planet. The times when it either went into eclipse behind Jupiter, or emerged from eclipse could thus be accurately predicted. The giant planet itself takes about </w:t>
      </w:r>
      <w:r w:rsidRPr="00F64A8E">
        <w:rPr>
          <w:rFonts w:ascii="Book Antiqua" w:hAnsi="Book Antiqua"/>
          <w:sz w:val="20"/>
        </w:rPr>
        <w:t xml:space="preserve">12 </w:t>
      </w:r>
      <w:r w:rsidR="00F64A8E">
        <w:rPr>
          <w:rFonts w:ascii="Book Antiqua" w:hAnsi="Book Antiqua"/>
          <w:sz w:val="20"/>
        </w:rPr>
        <w:t xml:space="preserve">Earth </w:t>
      </w:r>
      <w:r w:rsidRPr="00F64A8E">
        <w:rPr>
          <w:rFonts w:ascii="Book Antiqua" w:hAnsi="Book Antiqua"/>
          <w:sz w:val="20"/>
        </w:rPr>
        <w:t>years</w:t>
      </w:r>
      <w:r w:rsidRPr="007F536A">
        <w:rPr>
          <w:rFonts w:ascii="Book Antiqua" w:hAnsi="Book Antiqua"/>
          <w:sz w:val="20"/>
        </w:rPr>
        <w:t xml:space="preserve"> to go around the sun once.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course of these observations, Roemer noticed something: as the earth drew away from Jupiter, the eclipse times of Io fell further and further behind schedule. However, once the furthest point in our orbit was passed, and the earth began to approach Jupiter, the eclipse times began to catch up again.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 could the position of the earth in its orbit affect the time it took Io to go around Jupiter once and be eclipsed? It didn’t, said Roemer. What is happening is that the light carrying the information from the Jupiter-Io system is taking time to travel across the diameter of the earth’s orbit, so the eclipse information takes longer to get to the earth when it is at the furthest point in its orbit.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noProof/>
          <w:sz w:val="20"/>
        </w:rPr>
      </w:pPr>
      <w:r w:rsidRPr="007F536A">
        <w:rPr>
          <w:rFonts w:ascii="Book Antiqua" w:hAnsi="Book Antiqua"/>
          <w:noProof/>
          <w:sz w:val="20"/>
        </w:rPr>
        <w:drawing>
          <wp:inline distT="0" distB="0" distL="0" distR="0">
            <wp:extent cx="4838700" cy="3314240"/>
            <wp:effectExtent l="19050" t="0" r="0" b="0"/>
            <wp:docPr id="17" name="Picture 4" descr="http://www.olympusmicro.com/primer/lightandcolor/images/lightspeed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lympusmicro.com/primer/lightandcolor/images/lightspeedfigure3.jpg"/>
                    <pic:cNvPicPr>
                      <a:picLocks noChangeAspect="1" noChangeArrowheads="1"/>
                    </pic:cNvPicPr>
                  </pic:nvPicPr>
                  <pic:blipFill rotWithShape="1">
                    <a:blip r:embed="rId83" cstate="print">
                      <a:lum contrast="4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658" r="1190" b="9969"/>
                    <a:stretch/>
                  </pic:blipFill>
                  <pic:spPr bwMode="auto">
                    <a:xfrm>
                      <a:off x="0" y="0"/>
                      <a:ext cx="4840275" cy="3315319"/>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21A88" w:rsidRPr="0041498D" w:rsidRDefault="00821A88" w:rsidP="0041498D">
      <w:pPr>
        <w:pStyle w:val="NoSpacing"/>
        <w:rPr>
          <w:rFonts w:ascii="Book Antiqua" w:hAnsi="Book Antiqua"/>
          <w:i/>
          <w:sz w:val="20"/>
        </w:rPr>
      </w:pPr>
    </w:p>
    <w:p w:rsidR="00821A88" w:rsidRPr="0041498D" w:rsidRDefault="00821A88" w:rsidP="00061E9B">
      <w:pPr>
        <w:pStyle w:val="NoSpacing"/>
        <w:jc w:val="center"/>
        <w:rPr>
          <w:rFonts w:ascii="Book Antiqua" w:hAnsi="Book Antiqua"/>
          <w:i/>
          <w:sz w:val="18"/>
          <w:szCs w:val="18"/>
        </w:rPr>
      </w:pPr>
      <w:r w:rsidRPr="0041498D">
        <w:rPr>
          <w:rFonts w:ascii="Book Antiqua" w:hAnsi="Book Antiqua"/>
          <w:b/>
          <w:i/>
          <w:sz w:val="18"/>
          <w:szCs w:val="18"/>
        </w:rPr>
        <w:t>Figure 2:</w:t>
      </w:r>
      <w:r w:rsidRPr="0041498D">
        <w:rPr>
          <w:rFonts w:ascii="Book Antiqua" w:hAnsi="Book Antiqua"/>
          <w:i/>
          <w:sz w:val="18"/>
          <w:szCs w:val="18"/>
        </w:rPr>
        <w:t xml:space="preserve"> Roemer’s Drawing of Io’s Jupiter Eclipse.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was the discovery that Roemer announced to the Paris Academie des Sciences in September of 1676. He then predicted to them that the eclipse of Io that was due on November 9 of 1676 at 05 hours, </w:t>
      </w:r>
      <w:r w:rsidRPr="00F64A8E">
        <w:rPr>
          <w:rFonts w:ascii="Book Antiqua" w:hAnsi="Book Antiqua"/>
          <w:sz w:val="20"/>
        </w:rPr>
        <w:t>25</w:t>
      </w:r>
      <w:r w:rsidRPr="007F536A">
        <w:rPr>
          <w:rFonts w:ascii="Book Antiqua" w:hAnsi="Book Antiqua"/>
          <w:sz w:val="20"/>
        </w:rPr>
        <w:t xml:space="preserve"> minutes and 45 seconds would, in fact, be ten minutes late. They listened. They doubted. Then they watched.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November 9, 1676, the eclipse was observed at the Observatoire Royale at precisely 05 hours, </w:t>
      </w:r>
      <w:r w:rsidRPr="00F64A8E">
        <w:rPr>
          <w:rFonts w:ascii="Book Antiqua" w:hAnsi="Book Antiqua"/>
          <w:sz w:val="20"/>
        </w:rPr>
        <w:t>35</w:t>
      </w:r>
      <w:r w:rsidRPr="007F536A">
        <w:rPr>
          <w:rFonts w:ascii="Book Antiqua" w:hAnsi="Book Antiqua"/>
          <w:sz w:val="20"/>
        </w:rPr>
        <w:t xml:space="preserve"> minutes, and 45 seconds, exactly as Roemer had predicted, evidently because of the time it took the light to travel across the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5188032" cy="4438650"/>
            <wp:effectExtent l="19050" t="0" r="0" b="0"/>
            <wp:docPr id="18" name="il_fi" descr="http://www.wikinoticia.com/images/espaciociencia.com/espaciociencia.com.wp-content.uploads.2010.11.image_thum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ikinoticia.com/images/espaciociencia.com/espaciociencia.com.wp-content.uploads.2010.11.image_thumb18.png"/>
                    <pic:cNvPicPr>
                      <a:picLocks noChangeAspect="1" noChangeArrowheads="1"/>
                    </pic:cNvPicPr>
                  </pic:nvPicPr>
                  <pic:blipFill>
                    <a:blip r:embed="rId84" cstate="print"/>
                    <a:srcRect/>
                    <a:stretch>
                      <a:fillRect/>
                    </a:stretch>
                  </pic:blipFill>
                  <pic:spPr bwMode="auto">
                    <a:xfrm>
                      <a:off x="0" y="0"/>
                      <a:ext cx="5188032" cy="443865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18"/>
          <w:szCs w:val="18"/>
        </w:rPr>
      </w:pPr>
      <w:r w:rsidRPr="0041498D">
        <w:rPr>
          <w:rFonts w:ascii="Book Antiqua" w:hAnsi="Book Antiqua"/>
          <w:b/>
          <w:i/>
          <w:sz w:val="18"/>
          <w:szCs w:val="18"/>
        </w:rPr>
        <w:t>Figure 3:</w:t>
      </w:r>
      <w:r w:rsidRPr="0041498D">
        <w:rPr>
          <w:rFonts w:ascii="Book Antiqua" w:hAnsi="Book Antiqua"/>
          <w:i/>
          <w:sz w:val="18"/>
          <w:szCs w:val="18"/>
        </w:rPr>
        <w:t xml:space="preserve"> Explanation of the light travel time across earth’s orbit.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be expected that, with the above information, Roemer would pronounce a definitive value for the speed of light (or </w:t>
      </w:r>
      <w:r w:rsidRPr="007F536A">
        <w:rPr>
          <w:rFonts w:ascii="Book Antiqua" w:hAnsi="Book Antiqua"/>
          <w:i/>
          <w:sz w:val="20"/>
        </w:rPr>
        <w:t>“</w:t>
      </w:r>
      <m:oMath>
        <m:r>
          <w:rPr>
            <w:rStyle w:val="Emphasis"/>
            <w:rFonts w:ascii="Cambria Math" w:hAnsi="Cambria Math"/>
            <w:sz w:val="20"/>
          </w:rPr>
          <m:t>c</m:t>
        </m:r>
      </m:oMath>
      <w:r w:rsidRPr="007F536A">
        <w:rPr>
          <w:rFonts w:ascii="Book Antiqua" w:hAnsi="Book Antiqua"/>
          <w:i/>
          <w:sz w:val="20"/>
        </w:rPr>
        <w:t>”</w:t>
      </w:r>
      <w:r w:rsidRPr="007F536A">
        <w:rPr>
          <w:rFonts w:ascii="Book Antiqua" w:hAnsi="Book Antiqua"/>
          <w:sz w:val="20"/>
        </w:rPr>
        <w:t xml:space="preserve">), but this was not his main purpose. His prime concern was to demonstrate that light was not transmitted instantaneously, but had instead a definite velocity, as evidenced by the observations. In this he eventually succeeded. The main factor that was unknown to Roemer, and that prevented accurate calculation of the speed of light was the radius of the earth’s orbit. Without that knowledge it was impossible to know exactly how far the light had traveled and therefore also impossible to determine its speed.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Today we know the radius of the earth’s orbit to be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w:t>
      </w:r>
      <w:bookmarkStart w:id="4" w:name="_ednref6"/>
      <w:r w:rsidRPr="007F536A">
        <w:rPr>
          <w:rFonts w:ascii="Book Antiqua" w:hAnsi="Book Antiqua"/>
          <w:sz w:val="20"/>
        </w:rPr>
        <w:t>[12</w:t>
      </w:r>
      <w:bookmarkEnd w:id="4"/>
      <w:r w:rsidRPr="007F536A">
        <w:rPr>
          <w:rFonts w:ascii="Book Antiqua" w:hAnsi="Book Antiqua"/>
          <w:sz w:val="20"/>
        </w:rPr>
        <w:t>] a value that is adopted in all the following calculations.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Due to the precision needed in the measuring devices, there would have been further problems for Roemer if he had tried to calculate the speed of light. First of all, though Huygenian clocks could count seconds, the metal in the pendulum rod was temperature sensitive. A rise of </w:t>
      </w:r>
      <m:oMath>
        <m:sSup>
          <m:sSupPr>
            <m:ctrlPr>
              <w:rPr>
                <w:rFonts w:ascii="Cambria Math" w:hAnsi="Book Antiqua"/>
                <w:i/>
                <w:sz w:val="20"/>
              </w:rPr>
            </m:ctrlPr>
          </m:sSupPr>
          <m:e>
            <m:r>
              <w:rPr>
                <w:rFonts w:ascii="Cambria Math" w:hAnsi="Book Antiqua"/>
                <w:sz w:val="20"/>
              </w:rPr>
              <m:t>5</m:t>
            </m:r>
          </m:e>
          <m:sup>
            <m:r>
              <w:rPr>
                <w:rFonts w:ascii="Cambria Math" w:hAnsi="Book Antiqua"/>
                <w:sz w:val="20"/>
              </w:rPr>
              <m:t>0</m:t>
            </m:r>
          </m:sup>
        </m:sSup>
      </m:oMath>
      <w:r w:rsidRPr="007F536A">
        <w:rPr>
          <w:rFonts w:ascii="Book Antiqua" w:hAnsi="Book Antiqua"/>
          <w:sz w:val="20"/>
        </w:rPr>
        <w:t xml:space="preserve"> C caused a loss of 2.5 seconds per day</w:t>
      </w:r>
      <w:bookmarkStart w:id="5" w:name="_ednref7"/>
      <w:r w:rsidRPr="007F536A">
        <w:rPr>
          <w:rFonts w:ascii="Book Antiqua" w:hAnsi="Book Antiqua"/>
          <w:sz w:val="20"/>
        </w:rPr>
        <w:t xml:space="preserve"> [13</w:t>
      </w:r>
      <w:bookmarkEnd w:id="5"/>
      <w:r w:rsidRPr="007F536A">
        <w:rPr>
          <w:rFonts w:ascii="Book Antiqua" w:hAnsi="Book Antiqua"/>
          <w:sz w:val="20"/>
        </w:rPr>
        <w:t xml:space="preserve">]. With temperature variation on a daily scale, it is possible that Roemer’s clocks were accurate only to five seconds. While this accuracy was quite sufficient to pick up a ten minute time difference in the observations, it was not until 1869, about 200 years later, that temperature effect was corrected for by making only evening transit timings for Jupiter’s moons. </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The other major problem Roemer would have faced had to do with human error in observation. Io is about 3632 kilometers in diameter, and it goes into or emerges from its total eclipse in a period of 3.5 minutes. During the time that it goes into eclipse, it becomes progressively fainter until the observer times the disappearance of the last speck of light from the fast-fading satellite. When Io is emerging from Jupiter’s shadow, the first speck of light is timed. With a small telescope, this timing can be accurate </w:t>
      </w:r>
      <w:r w:rsidRPr="001633A4">
        <w:rPr>
          <w:rFonts w:ascii="Book Antiqua" w:hAnsi="Book Antiqua"/>
          <w:sz w:val="20"/>
        </w:rPr>
        <w:t>to within ten seconds,</w:t>
      </w:r>
      <w:bookmarkStart w:id="6" w:name="_ednref8"/>
      <w:r w:rsidRPr="001633A4">
        <w:rPr>
          <w:rFonts w:ascii="Book Antiqua" w:hAnsi="Book Antiqua"/>
          <w:sz w:val="20"/>
        </w:rPr>
        <w:t xml:space="preserve"> [14</w:t>
      </w:r>
      <w:bookmarkEnd w:id="6"/>
      <w:r w:rsidRPr="001633A4">
        <w:rPr>
          <w:rFonts w:ascii="Book Antiqua" w:hAnsi="Book Antiqua"/>
          <w:sz w:val="20"/>
        </w:rPr>
        <w:t>], which would</w:t>
      </w:r>
      <w:r w:rsidRPr="007F536A">
        <w:rPr>
          <w:rFonts w:ascii="Book Antiqua" w:hAnsi="Book Antiqua"/>
          <w:sz w:val="20"/>
        </w:rPr>
        <w:t xml:space="preserve"> approximate what Roemer achieved with his equipment. </w:t>
      </w:r>
    </w:p>
    <w:p w:rsidR="003D5E13" w:rsidRPr="007F536A" w:rsidRDefault="003D5E13"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Obviously, an exact timing of the moment of extinction of the disappearing Io is going to be easier than the exact timing of its re-emergence out of darkness. Consequently, it comes as no surprise that Roemer’s value for the period of Io in its orbit as timed by its emergence from Jupiter’s shadow varied from 8 seconds up to 29 seconds longer than the timing of its disappearance. The average variation was about 20.7 seconds. As the November 9 eclipse timing in 1676 was one of a re-emergence, it is inevitable that it would be timed late. Roemer’s period for Io’s orbit in November was 27 seco</w:t>
      </w:r>
      <w:bookmarkStart w:id="7" w:name="_ednref9"/>
      <w:r w:rsidRPr="007F536A">
        <w:rPr>
          <w:rFonts w:ascii="Book Antiqua" w:hAnsi="Book Antiqua"/>
          <w:sz w:val="20"/>
        </w:rPr>
        <w:t>nds longer than in June of 1676 [15</w:t>
      </w:r>
      <w:bookmarkEnd w:id="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8" w:name="Roemeranalysis"/>
      <w:bookmarkEnd w:id="8"/>
      <w:r w:rsidRPr="007F536A">
        <w:rPr>
          <w:rStyle w:val="Strong"/>
          <w:rFonts w:ascii="Book Antiqua" w:hAnsi="Book Antiqua"/>
          <w:b w:val="0"/>
          <w:i/>
          <w:sz w:val="20"/>
        </w:rPr>
        <w:t>Analysis of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Contrary to some misinformation, Roemer himself never calculated, or tried to calculate, the speed of light. A variety of values for the speed of light have been extracted from Roemer’s figures. They range from 193,120 km/s up to 327,000 km/s</w:t>
      </w:r>
      <w:bookmarkStart w:id="9" w:name="_ednref10"/>
      <w:r w:rsidRPr="007F536A">
        <w:rPr>
          <w:rFonts w:ascii="Book Antiqua" w:hAnsi="Book Antiqua"/>
          <w:sz w:val="20"/>
        </w:rPr>
        <w:t xml:space="preserve"> [16</w:t>
      </w:r>
      <w:bookmarkEnd w:id="9"/>
      <w:r w:rsidRPr="007F536A">
        <w:rPr>
          <w:rFonts w:ascii="Book Antiqua" w:hAnsi="Book Antiqua"/>
          <w:sz w:val="20"/>
        </w:rPr>
        <w:t>]. If we take Roemer’s delay as being the ten minutes that he quoted, less the 27 seconds due to the late emergence timing for November, less a further 5 seconds for the clock running fast in the cold November weather, we end up with a delay of the order of 568 seconds.</w:t>
      </w: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1915, Danish mathematician K. Meyer rediscovered Roemer’s own observations in an original notebook. Meyer’s calculations show that “</w:t>
      </w:r>
      <w:r w:rsidRPr="007F536A">
        <w:rPr>
          <w:rStyle w:val="Emphasis"/>
          <w:rFonts w:ascii="Book Antiqua" w:hAnsi="Book Antiqua"/>
          <w:sz w:val="20"/>
        </w:rPr>
        <w:t>the increment in the distance from Jupiter to the earth between August 23 (the last eclipse of Roemer’s list before that of November 9, and the one on which it is probable he based his startling prediction) and November 9 of 1676 was 1.14 r</w:t>
      </w:r>
      <w:r w:rsidRPr="007F536A">
        <w:rPr>
          <w:rFonts w:ascii="Book Antiqua" w:hAnsi="Book Antiqua"/>
          <w:sz w:val="20"/>
        </w:rPr>
        <w:t xml:space="preserve">” where </w:t>
      </w:r>
      <w:r w:rsidRPr="007F536A">
        <w:rPr>
          <w:rStyle w:val="Emphasis"/>
          <w:rFonts w:ascii="Book Antiqua" w:hAnsi="Book Antiqua"/>
          <w:sz w:val="20"/>
        </w:rPr>
        <w:t>r</w:t>
      </w:r>
      <w:r w:rsidRPr="007F536A">
        <w:rPr>
          <w:rFonts w:ascii="Book Antiqua" w:hAnsi="Book Antiqua"/>
          <w:sz w:val="20"/>
        </w:rPr>
        <w:t xml:space="preserve"> is the radius of the earth’s orbit</w:t>
      </w:r>
      <w:bookmarkStart w:id="10" w:name="_ednref11"/>
      <w:r w:rsidRPr="007F536A">
        <w:rPr>
          <w:rFonts w:ascii="Book Antiqua" w:hAnsi="Book Antiqua"/>
          <w:sz w:val="20"/>
        </w:rPr>
        <w:t xml:space="preserve"> [17</w:t>
      </w:r>
      <w:bookmarkEnd w:id="10"/>
      <w:r w:rsidRPr="007F536A">
        <w:rPr>
          <w:rFonts w:ascii="Book Antiqua" w:hAnsi="Book Antiqua"/>
          <w:sz w:val="20"/>
        </w:rPr>
        <w:t>].</w:t>
      </w:r>
      <w:r w:rsidRPr="007F536A">
        <w:rPr>
          <w:rStyle w:val="Strong"/>
          <w:rFonts w:ascii="Book Antiqua" w:hAnsi="Book Antiqua"/>
          <w:sz w:val="20"/>
        </w:rPr>
        <w:t xml:space="preserve"> </w:t>
      </w:r>
      <w:r w:rsidRPr="007F536A">
        <w:rPr>
          <w:rFonts w:ascii="Book Antiqua" w:hAnsi="Book Antiqua"/>
          <w:sz w:val="20"/>
        </w:rPr>
        <w:t xml:space="preserve">We thus divide 568 seconds by 1.14, giving us 498.2 second for the delay across the radius of the earth’s orbit of </w:t>
      </w:r>
      <m:oMath>
        <m:r>
          <w:rPr>
            <w:rFonts w:ascii="Cambria Math" w:hAnsi="Book Antiqua"/>
            <w:sz w:val="20"/>
          </w:rPr>
          <m:t xml:space="preserve">1.4959787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7F536A">
        <w:rPr>
          <w:rFonts w:ascii="Book Antiqua" w:hAnsi="Book Antiqua"/>
          <w:sz w:val="20"/>
        </w:rPr>
        <w:t xml:space="preserve"> km. This results in a value for</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of 300,280 km/s -- but this is little more than a ‘guesstimate’.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Roemer estimated the delay across the diameter of the earth’s orbit as about 22 minutes, a result that he obtained by averaging what he considered his best figures</w:t>
      </w:r>
      <w:bookmarkStart w:id="11" w:name="_ednref12"/>
      <w:r w:rsidRPr="007F536A">
        <w:rPr>
          <w:rFonts w:ascii="Book Antiqua" w:hAnsi="Book Antiqua"/>
          <w:sz w:val="20"/>
        </w:rPr>
        <w:t xml:space="preserve"> [18</w:t>
      </w:r>
      <w:bookmarkEnd w:id="11"/>
      <w:r w:rsidRPr="007F536A">
        <w:rPr>
          <w:rFonts w:ascii="Book Antiqua" w:hAnsi="Book Antiqua"/>
          <w:sz w:val="20"/>
        </w:rPr>
        <w:t>]. In 1686, in his first edition of “Principia”, Newton quoted the radius delay discovered by Roemer as ten minutes, [19] but in his own revision in the second edition, he quotes it as seven or eight minutes [20]. By contrast, in 1693 Cassini, from his own observations, gave the delay for the orbit radius as 7 minutes and 5 seconds</w:t>
      </w:r>
      <w:bookmarkStart w:id="12" w:name="_ednref13"/>
      <w:r w:rsidRPr="007F536A">
        <w:rPr>
          <w:rFonts w:ascii="Book Antiqua" w:hAnsi="Book Antiqua"/>
          <w:sz w:val="20"/>
        </w:rPr>
        <w:t xml:space="preserve"> [21</w:t>
      </w:r>
      <w:bookmarkEnd w:id="12"/>
      <w:r w:rsidRPr="007F536A">
        <w:rPr>
          <w:rFonts w:ascii="Book Antiqua" w:hAnsi="Book Antiqua"/>
          <w:sz w:val="20"/>
        </w:rPr>
        <w:t>]. Halley noted that Roemer’s figure of 11 minutes for the time delay across the radius was too large, while that of Cassini was too small</w:t>
      </w:r>
      <w:bookmarkStart w:id="13" w:name="_ednref14"/>
      <w:r w:rsidRPr="007F536A">
        <w:rPr>
          <w:rFonts w:ascii="Book Antiqua" w:hAnsi="Book Antiqua"/>
          <w:sz w:val="20"/>
        </w:rPr>
        <w:t xml:space="preserve"> [22</w:t>
      </w:r>
      <w:bookmarkEnd w:id="13"/>
      <w:r w:rsidRPr="007F536A">
        <w:rPr>
          <w:rFonts w:ascii="Book Antiqua" w:hAnsi="Book Antiqua"/>
          <w:sz w:val="20"/>
        </w:rPr>
        <w:t xml:space="preserve">]. Cassini agreed about the delay but debated its cause. Newton noted the orbit radius delay in 1704 in these words: </w:t>
      </w:r>
      <w:r w:rsidRPr="007F536A">
        <w:rPr>
          <w:rStyle w:val="Emphasis"/>
          <w:rFonts w:ascii="Book Antiqua" w:hAnsi="Book Antiqua"/>
          <w:sz w:val="20"/>
        </w:rPr>
        <w:t>“Light is propagated from luminous bodies in time, and spends about seven or eight minutes of an hour in passing from the sun to the Earth.”</w:t>
      </w:r>
      <w:bookmarkStart w:id="14" w:name="_ednref15"/>
      <w:r w:rsidRPr="007F536A">
        <w:rPr>
          <w:rStyle w:val="Emphasis"/>
          <w:rFonts w:ascii="Book Antiqua" w:hAnsi="Book Antiqua"/>
          <w:i w:val="0"/>
          <w:sz w:val="20"/>
        </w:rPr>
        <w:t>[23</w:t>
      </w:r>
      <w:bookmarkEnd w:id="14"/>
      <w:r w:rsidRPr="007F536A">
        <w:rPr>
          <w:rStyle w:val="Emphasis"/>
          <w:rFonts w:ascii="Book Antiqua" w:hAnsi="Book Antiqua"/>
          <w:i w:val="0"/>
          <w:sz w:val="20"/>
        </w:rPr>
        <w:t>]</w:t>
      </w:r>
      <w:r w:rsidRPr="007F536A">
        <w:rPr>
          <w:rFonts w:ascii="Book Antiqua" w:hAnsi="Book Antiqua"/>
          <w:i/>
          <w:sz w:val="20"/>
        </w:rPr>
        <w:t xml:space="preserve"> </w:t>
      </w:r>
      <w:r w:rsidRPr="007F536A">
        <w:rPr>
          <w:rFonts w:ascii="Book Antiqua" w:hAnsi="Book Antiqua"/>
          <w:sz w:val="20"/>
        </w:rPr>
        <w:t xml:space="preserve">In May of 1706, a translation of sections of Newton’s </w:t>
      </w:r>
      <w:r w:rsidRPr="007F536A">
        <w:rPr>
          <w:rFonts w:ascii="Book Antiqua" w:hAnsi="Book Antiqua"/>
          <w:i/>
          <w:sz w:val="20"/>
        </w:rPr>
        <w:t>“Opticks”</w:t>
      </w:r>
      <w:r w:rsidRPr="007F536A">
        <w:rPr>
          <w:rFonts w:ascii="Book Antiqua" w:hAnsi="Book Antiqua"/>
          <w:sz w:val="20"/>
        </w:rPr>
        <w:t xml:space="preserve"> appeared in French quoting the figure as eight minutes</w:t>
      </w:r>
      <w:bookmarkStart w:id="15" w:name="_ednref18"/>
      <w:r w:rsidRPr="007F536A">
        <w:rPr>
          <w:rFonts w:ascii="Book Antiqua" w:hAnsi="Book Antiqua"/>
          <w:sz w:val="20"/>
        </w:rPr>
        <w:t xml:space="preserve"> [24</w:t>
      </w:r>
      <w:bookmarkEnd w:id="15"/>
      <w:r w:rsidRPr="007F536A">
        <w:rPr>
          <w:rFonts w:ascii="Book Antiqua" w:hAnsi="Book Antiqua"/>
          <w:sz w:val="20"/>
        </w:rPr>
        <w:t>]. This gives a speed of light equal to 311,660 km/s.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describing Roemer’s method in the section on Astronomy in the Encyclopedia Britannica for 1711, the conclusion is presented from the latest observations that “</w:t>
      </w:r>
      <w:r w:rsidRPr="007F536A">
        <w:rPr>
          <w:rStyle w:val="Emphasis"/>
          <w:rFonts w:ascii="Book Antiqua" w:hAnsi="Book Antiqua"/>
          <w:sz w:val="20"/>
        </w:rPr>
        <w:t>it is undeniably certain that the motion of light is not instantaneous since it takes about 16.5 minutes of time to go through a space equal to the diameter of the earth’s orbit…And…it must be 8.25 minutes coming from the sun to us.</w:t>
      </w:r>
      <w:r w:rsidRPr="007F536A">
        <w:rPr>
          <w:rFonts w:ascii="Book Antiqua" w:hAnsi="Book Antiqua"/>
          <w:sz w:val="20"/>
        </w:rPr>
        <w:t>”</w:t>
      </w:r>
      <w:bookmarkStart w:id="16" w:name="_ednref19"/>
      <w:r w:rsidRPr="007F536A">
        <w:rPr>
          <w:rFonts w:ascii="Book Antiqua" w:hAnsi="Book Antiqua"/>
          <w:sz w:val="20"/>
        </w:rPr>
        <w:t>[25</w:t>
      </w:r>
      <w:bookmarkEnd w:id="16"/>
      <w:r w:rsidRPr="007F536A">
        <w:rPr>
          <w:rFonts w:ascii="Book Antiqua" w:hAnsi="Book Antiqua"/>
          <w:sz w:val="20"/>
        </w:rPr>
        <w:t xml:space="preserve">] This then gives a 1710 value of </w:t>
      </w:r>
      <m:oMath>
        <m:r>
          <w:rPr>
            <w:rStyle w:val="Emphasis"/>
            <w:rFonts w:ascii="Cambria Math" w:hAnsi="Cambria Math"/>
            <w:sz w:val="20"/>
          </w:rPr>
          <m:t>c</m:t>
        </m:r>
      </m:oMath>
      <w:r w:rsidRPr="007F536A">
        <w:rPr>
          <w:rFonts w:ascii="Book Antiqua" w:hAnsi="Book Antiqua"/>
          <w:sz w:val="20"/>
        </w:rPr>
        <w:t xml:space="preserve"> of 302,220 km/s.</w:t>
      </w:r>
    </w:p>
    <w:p w:rsidR="00A02F8C" w:rsidRPr="007F536A" w:rsidRDefault="00A02F8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Apart from Roemer’s statement about the 11 minutes, it seems that Cassini, Halley, Flamstead, and Newton quote figures that suggest that the speed of light prior to 1700 may have been higher than now. The orbit delay quoted in the Encyclopedia Britannica tends to confirm this, as does Bradley’s later comment about his own method. Roemer’s statement thus leaves an element of ambiguity that is in contrast with the other observers of his day. This suggests that a closer examination of Roemer’s figures is needed.</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By 1729, Bradley had published his findings on the aberration of light and wrote that “…</w:t>
      </w:r>
      <w:r w:rsidRPr="007F536A">
        <w:rPr>
          <w:rStyle w:val="Emphasis"/>
          <w:rFonts w:ascii="Book Antiqua" w:hAnsi="Book Antiqua"/>
          <w:sz w:val="20"/>
        </w:rPr>
        <w:t>from when it would follow, that Light moves, or is propagated as far as from the Sun to the Earth in 8 minutes 12 seconds</w:t>
      </w:r>
      <w:r w:rsidRPr="007F536A">
        <w:rPr>
          <w:rFonts w:ascii="Book Antiqua" w:hAnsi="Book Antiqua"/>
          <w:sz w:val="20"/>
        </w:rPr>
        <w:t xml:space="preserve">…”. This gives the result that </w:t>
      </w:r>
      <m:oMath>
        <m:r>
          <w:rPr>
            <w:rStyle w:val="Emphasis"/>
            <w:rFonts w:ascii="Cambria Math" w:hAnsi="Cambria Math"/>
            <w:sz w:val="20"/>
          </w:rPr>
          <m:t>c</m:t>
        </m:r>
      </m:oMath>
      <w:r w:rsidRPr="007F536A">
        <w:rPr>
          <w:rFonts w:ascii="Book Antiqua" w:hAnsi="Book Antiqua"/>
          <w:sz w:val="20"/>
        </w:rPr>
        <w:t xml:space="preserve"> was equal to 304,060 ± 310 km/s. Bradley then commented that his result was “…</w:t>
      </w:r>
      <w:r w:rsidRPr="007F536A">
        <w:rPr>
          <w:rStyle w:val="Emphasis"/>
          <w:rFonts w:ascii="Book Antiqua" w:hAnsi="Book Antiqua"/>
          <w:sz w:val="20"/>
        </w:rPr>
        <w:t>as it were a Mean betwixt what had at different times been determined from the Eclipses of Jupiter’s satellites</w:t>
      </w:r>
      <w:r w:rsidRPr="007F536A">
        <w:rPr>
          <w:rFonts w:ascii="Book Antiqua" w:hAnsi="Book Antiqua"/>
          <w:sz w:val="20"/>
        </w:rPr>
        <w:t>.”</w:t>
      </w:r>
      <w:bookmarkStart w:id="17" w:name="_ednref20"/>
      <w:r w:rsidRPr="007F536A">
        <w:rPr>
          <w:rFonts w:ascii="Book Antiqua" w:hAnsi="Book Antiqua"/>
          <w:sz w:val="20"/>
        </w:rPr>
        <w:t>[26</w:t>
      </w:r>
      <w:bookmarkEnd w:id="17"/>
      <w:r w:rsidRPr="007F536A">
        <w:rPr>
          <w:rFonts w:ascii="Book Antiqua" w:hAnsi="Book Antiqua"/>
          <w:sz w:val="20"/>
        </w:rPr>
        <w:t>]</w:t>
      </w:r>
    </w:p>
    <w:p w:rsidR="00FF4BDC" w:rsidRPr="007F536A" w:rsidRDefault="00FF4BDC"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0"/>
        </w:numPr>
        <w:jc w:val="both"/>
        <w:rPr>
          <w:rFonts w:ascii="Book Antiqua" w:hAnsi="Book Antiqua"/>
          <w:b/>
          <w:i/>
          <w:sz w:val="20"/>
        </w:rPr>
      </w:pPr>
      <w:bookmarkStart w:id="18" w:name="Roemermodern"/>
      <w:bookmarkEnd w:id="18"/>
      <w:r w:rsidRPr="007F536A">
        <w:rPr>
          <w:rStyle w:val="Strong"/>
          <w:rFonts w:ascii="Book Antiqua" w:hAnsi="Book Antiqua"/>
          <w:b w:val="0"/>
          <w:i/>
          <w:sz w:val="20"/>
        </w:rPr>
        <w:t>A Modern Look at Roemer’s Work</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1973, an attempt was made by Goldstein et al. to reanalyze 40 of Roemer’s original observations to come to some definite conclusions. What Goldstein and his team did was to adopt a model for the Jupiter-Io system and calculate the eclipse times for any given position of the earth. They chose the forty most reliable eclipse times from Roemer’s diary which were then compared with times from their model. They concluded that “</w:t>
      </w:r>
      <w:r w:rsidRPr="007F536A">
        <w:rPr>
          <w:rStyle w:val="Emphasis"/>
          <w:rFonts w:ascii="Book Antiqua" w:hAnsi="Book Antiqua"/>
          <w:sz w:val="20"/>
        </w:rPr>
        <w:t>The best fitting value for the light travel time across one astronomical unit [the radius of the earth’s orbit] does not differ from the currently accepted value by one part in 200</w:t>
      </w:r>
      <w:r w:rsidRPr="007F536A">
        <w:rPr>
          <w:rFonts w:ascii="Book Antiqua" w:hAnsi="Book Antiqua"/>
          <w:sz w:val="20"/>
        </w:rPr>
        <w:t>.” Their final statement was that “</w:t>
      </w:r>
      <w:r w:rsidRPr="007F536A">
        <w:rPr>
          <w:rStyle w:val="Emphasis"/>
          <w:rFonts w:ascii="Book Antiqua" w:hAnsi="Book Antiqua"/>
          <w:sz w:val="20"/>
        </w:rPr>
        <w:t>the velocity of light did not differ by 0.5% in 1668 to 1678 from the current value</w:t>
      </w:r>
      <w:r w:rsidRPr="007F536A">
        <w:rPr>
          <w:rFonts w:ascii="Book Antiqua" w:hAnsi="Book Antiqua"/>
          <w:sz w:val="20"/>
        </w:rPr>
        <w:t>.”</w:t>
      </w:r>
      <w:bookmarkStart w:id="19" w:name="_ednref21"/>
      <w:r w:rsidRPr="007F536A">
        <w:rPr>
          <w:rFonts w:ascii="Book Antiqua" w:hAnsi="Book Antiqua"/>
          <w:sz w:val="20"/>
        </w:rPr>
        <w:t>[27</w:t>
      </w:r>
      <w:bookmarkEnd w:id="19"/>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This apparently negates the idea of any variation in </w:t>
      </w:r>
      <m:oMath>
        <m:r>
          <w:rPr>
            <w:rStyle w:val="Emphasis"/>
            <w:rFonts w:ascii="Cambria Math" w:hAnsi="Cambria Math"/>
            <w:sz w:val="20"/>
          </w:rPr>
          <m:t>c</m:t>
        </m:r>
      </m:oMath>
      <w:r w:rsidRPr="007F536A">
        <w:rPr>
          <w:rFonts w:ascii="Book Antiqua" w:hAnsi="Book Antiqua"/>
          <w:sz w:val="20"/>
        </w:rPr>
        <w:t xml:space="preserve">. However, an immediate problem with the analysis surfaces when we look at what was done in 1973. As Goldstein and his co-workers point out, their method results in what is known as a “root mean square” (rms) deviation of observed times of 118 seconds when compared with the model. In other words, the predicted times from their model disagreed with Roemer’s observations by an average of almost two minutes! The claim that </w:t>
      </w:r>
      <m:oMath>
        <m:r>
          <w:rPr>
            <w:rStyle w:val="Emphasis"/>
            <w:rFonts w:ascii="Cambria Math" w:hAnsi="Cambria Math"/>
            <w:sz w:val="20"/>
          </w:rPr>
          <m:t>c</m:t>
        </m:r>
      </m:oMath>
      <w:r w:rsidRPr="007F536A">
        <w:rPr>
          <w:rStyle w:val="Emphasis"/>
          <w:rFonts w:ascii="Book Antiqua" w:hAnsi="Book Antiqua"/>
          <w:sz w:val="20"/>
        </w:rPr>
        <w:t xml:space="preserve"> </w:t>
      </w:r>
      <w:r w:rsidRPr="007F536A">
        <w:rPr>
          <w:rFonts w:ascii="Book Antiqua" w:hAnsi="Book Antiqua"/>
          <w:sz w:val="20"/>
        </w:rPr>
        <w:t xml:space="preserve">did not differ by 0.5% about 1675 is therefore meaningless. An rms error of 118 seconds in about 1000 seconds for the observed delay across the diameter of the earth’s orbit is an 11.8% error, which is equivalent to ± 35,000 km/s in the value of </w:t>
      </w:r>
      <m:oMath>
        <m:r>
          <w:rPr>
            <w:rStyle w:val="Emphasis"/>
            <w:rFonts w:ascii="Cambria Math" w:hAnsi="Cambria Math"/>
            <w:sz w:val="20"/>
          </w:rPr>
          <m:t>c</m:t>
        </m:r>
      </m:oMath>
      <w:r w:rsidRPr="007F536A">
        <w:rPr>
          <w:rFonts w:ascii="Book Antiqua" w:hAnsi="Book Antiqua"/>
          <w:sz w:val="20"/>
        </w:rPr>
        <w:t>. An 11.8% error margin is literally unheard of in statistical analyses.  Of course any suggested variation in</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is very liberally covered by this error margin!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Mammel noted another, ev</w:t>
      </w:r>
      <w:bookmarkStart w:id="20" w:name="_ednref22"/>
      <w:r w:rsidRPr="007F536A">
        <w:rPr>
          <w:rFonts w:ascii="Book Antiqua" w:hAnsi="Book Antiqua"/>
          <w:sz w:val="20"/>
        </w:rPr>
        <w:t>en more interesting, difficulty [28</w:t>
      </w:r>
      <w:bookmarkEnd w:id="20"/>
      <w:r w:rsidRPr="007F536A">
        <w:rPr>
          <w:rFonts w:ascii="Book Antiqua" w:hAnsi="Book Antiqua"/>
          <w:sz w:val="20"/>
        </w:rPr>
        <w:t xml:space="preserve">]. In 1973, the actual visible phase of Io was not projected back over a period of 300 years to get the exact times of eclipses from the model. To do this would have involved knowing the orbital period of the satellite to an accuracy of better than one part per billion. So instead, Golstein et al. calculated via an adjustment made on what was seen now, or the empirical initial point. To get this initial point they used the current value of the speed of light to adjust the average time of observation to get the best agreement with the average predicted time. Consequently, their answer gave them back the same value of </w:t>
      </w:r>
      <m:oMath>
        <m:r>
          <w:rPr>
            <w:rStyle w:val="Emphasis"/>
            <w:rFonts w:ascii="Cambria Math" w:hAnsi="Cambria Math"/>
            <w:sz w:val="20"/>
          </w:rPr>
          <m:t>c</m:t>
        </m:r>
      </m:oMath>
      <w:r w:rsidRPr="007F536A">
        <w:rPr>
          <w:rFonts w:ascii="Book Antiqua" w:hAnsi="Book Antiqua"/>
          <w:sz w:val="20"/>
        </w:rPr>
        <w:t xml:space="preserve"> that they started with! Instead they should have been adjusting </w:t>
      </w:r>
      <m:oMath>
        <m:r>
          <w:rPr>
            <w:rStyle w:val="Emphasis"/>
            <w:rFonts w:ascii="Cambria Math" w:hAnsi="Cambria Math"/>
            <w:sz w:val="20"/>
          </w:rPr>
          <m:t>c</m:t>
        </m:r>
      </m:oMath>
      <w:r w:rsidRPr="007F536A">
        <w:rPr>
          <w:rFonts w:ascii="Book Antiqua" w:hAnsi="Book Antiqua"/>
          <w:sz w:val="20"/>
        </w:rPr>
        <w:t xml:space="preserve"> to account for the variation in the apparent period of Io. In other words, because they started with an assumption that the speed of light was constant, their conclusions included that assumption.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pointing out this problem, Lew Mammel Jr. went on to correct the conceptual error and do his own calculation from the data used by Goldstein et al. As he is not a supporter of any variation in the speed of light, his results are the more interesting. He found that he had to subtract 6% of the nominal delay time for each datum to get the best fit. The predicted delay times were therefore being reduced by 6%, meaning that the value of </w:t>
      </w:r>
      <m:oMath>
        <m:r>
          <w:rPr>
            <w:rStyle w:val="Emphasis"/>
            <w:rFonts w:ascii="Cambria Math" w:hAnsi="Cambria Math"/>
            <w:sz w:val="20"/>
          </w:rPr>
          <m:t>c</m:t>
        </m:r>
      </m:oMath>
      <w:r w:rsidRPr="007F536A">
        <w:rPr>
          <w:rFonts w:ascii="Book Antiqua" w:hAnsi="Book Antiqua"/>
          <w:sz w:val="20"/>
        </w:rPr>
        <w:t xml:space="preserve"> was 6% higher than now. This places Roemer’s value for the speed of light at 317,700 km/s, with an expected error of 8.6%. The conclusion is that when Roemer’s data is re-worked by the current Goldstein method, it suggests that </w:t>
      </w:r>
      <m:oMath>
        <m:r>
          <w:rPr>
            <w:rStyle w:val="Emphasis"/>
            <w:rFonts w:ascii="Cambria Math" w:hAnsi="Cambria Math"/>
            <w:sz w:val="20"/>
          </w:rPr>
          <m:t>c</m:t>
        </m:r>
        <m:r>
          <m:rPr>
            <m:sty m:val="p"/>
          </m:rPr>
          <w:rPr>
            <w:rFonts w:ascii="Cambria Math" w:hAnsi="Book Antiqua"/>
            <w:sz w:val="20"/>
          </w:rPr>
          <m:t xml:space="preserve"> </m:t>
        </m:r>
      </m:oMath>
      <w:r w:rsidRPr="007F536A">
        <w:rPr>
          <w:rFonts w:ascii="Book Antiqua" w:hAnsi="Book Antiqua"/>
          <w:sz w:val="20"/>
        </w:rPr>
        <w:t>was somewhat above its current value, in good accord with the statements by Cassini, Halley, Flamstead and Newton, who were contemporary observers with Roemer.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might also be noted here that since about 1995 or so, observations of Io, the moon that was used for the Roemer data, has shown that its orbit is continually evolving. Part of the problem is that Io lies well within the magnetosphere of Jupiter and is magnetically coupled to this giant planet. In June 2002, A. Bhardwaj and M. Michael wrote the following [29]: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i/>
          <w:sz w:val="20"/>
        </w:rPr>
      </w:pPr>
      <w:r w:rsidRPr="007F536A">
        <w:rPr>
          <w:rFonts w:ascii="Book Antiqua" w:hAnsi="Book Antiqua"/>
          <w:i/>
          <w:sz w:val="20"/>
        </w:rPr>
        <w:t xml:space="preserve"> “Io and Jupiter constitute a moon-planet system that is unique in our solar system. Io is the most volcanically active planetary body, while Jupiter is the first among the planets in terms of size, mass, magnetic field strength, spin rate and volume of the magnetosphere. That Io is electrodynamically linked to Jupiter is known for nearly four decades from radio emissions. Io influences </w:t>
      </w:r>
      <w:r w:rsidRPr="007F536A">
        <w:rPr>
          <w:rFonts w:ascii="Book Antiqua" w:hAnsi="Book Antiqua"/>
          <w:i/>
          <w:sz w:val="20"/>
        </w:rPr>
        <w:lastRenderedPageBreak/>
        <w:t>Jupiter by supplying heavy ions to its magnetosphere, which dominates it energetic and dynamics. Jupiter influences Io by tidally heating its interior, which in turn drives the volcanic activity on Io….The interaction of magnetospheric particles with the Io’s atmosphere and surface causes sputtering and the sputtered ions …[become] the Io plasma torus….Recent Galileo [spacecraft] instruments detected strongly perturbed fields, beams of energetic electrons and ions, and a dense, cold decelerated plasma flow in Io’s wake.</w:t>
      </w:r>
      <w:r w:rsidRPr="007F536A">
        <w:rPr>
          <w:rFonts w:ascii="Book Antiqua" w:hAnsi="Book Antiqua"/>
          <w:sz w:val="20"/>
        </w:rPr>
        <w:t xml:space="preserve"> …</w:t>
      </w:r>
      <w:r w:rsidRPr="007F536A">
        <w:rPr>
          <w:rFonts w:ascii="Book Antiqua" w:hAnsi="Book Antiqua"/>
          <w:color w:val="FF0000"/>
          <w:sz w:val="20"/>
        </w:rPr>
        <w:t xml:space="preserve"> </w:t>
      </w:r>
      <w:r w:rsidRPr="007F536A">
        <w:rPr>
          <w:rFonts w:ascii="Book Antiqua" w:hAnsi="Book Antiqua"/>
          <w:i/>
          <w:sz w:val="20"/>
        </w:rPr>
        <w:t xml:space="preserve">An analogy of the Io-Jupiter system is now being applied to astrophysical and cosmic objects. A conducting body traversing a magnetic field produces an induced electric field. When the circuit is closed, a current will be set up, resulting in resistive dissipation. The Jupiter-Io system therefore operates as a unipolar inductor.” </w:t>
      </w:r>
      <w:r w:rsidRPr="007F536A">
        <w:rPr>
          <w:rFonts w:ascii="Book Antiqua" w:hAnsi="Book Antiqua"/>
          <w:sz w:val="20"/>
        </w:rPr>
        <w:t>[29]</w:t>
      </w:r>
    </w:p>
    <w:p w:rsidR="00AE13DC" w:rsidRDefault="00AE13D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Therefore, the resistive dissipation, the electro-magnetic coupling and the intense tidal braking that Jupiter exerts on Io results in ongoing changes in Io’s orbital characteristics. This process makes it virtually impossible to go back in time and determine the exact eclipse times Roemer and his colleagues were observing.</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0"/>
        </w:numPr>
        <w:jc w:val="both"/>
        <w:rPr>
          <w:rStyle w:val="Strong"/>
          <w:rFonts w:ascii="Book Antiqua" w:hAnsi="Book Antiqua"/>
          <w:b w:val="0"/>
          <w:bCs w:val="0"/>
          <w:i/>
          <w:sz w:val="20"/>
        </w:rPr>
      </w:pPr>
      <w:bookmarkStart w:id="21" w:name="Delambre"/>
      <w:bookmarkEnd w:id="21"/>
      <w:r w:rsidRPr="007F536A">
        <w:rPr>
          <w:rStyle w:val="Strong"/>
          <w:rFonts w:ascii="Book Antiqua" w:hAnsi="Book Antiqua"/>
          <w:b w:val="0"/>
          <w:i/>
          <w:sz w:val="20"/>
        </w:rPr>
        <w:t>Jean Baptiste Joseph Delambre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1792 the Paris Academie des Sciences decided to compile a definitive set of tables of the motions of Jupiter’s satellites. This was accomplished by Delambr</w:t>
      </w:r>
      <w:bookmarkStart w:id="22" w:name="_ednref23"/>
      <w:r w:rsidRPr="007F536A">
        <w:rPr>
          <w:rFonts w:ascii="Book Antiqua" w:hAnsi="Book Antiqua"/>
          <w:sz w:val="20"/>
        </w:rPr>
        <w:t>e in 1809 and published in 1817 [30</w:t>
      </w:r>
      <w:bookmarkEnd w:id="22"/>
      <w:r w:rsidRPr="007F536A">
        <w:rPr>
          <w:rFonts w:ascii="Book Antiqua" w:hAnsi="Book Antiqua"/>
          <w:sz w:val="20"/>
        </w:rPr>
        <w:t>]. To do this, Delambre processed all observations of Io and the other satellites in the 150 years since 1667. In all, nearly one thousand observations of those moons were processed. Unfortunately, Delambre’s manuscripts containing his calculations have been lost, so that it is impossible to cross-check his results. Irksome though this may be, all are forced to admit that Delambre’s final result of 8 minutes 13.2 seconds for the earth orbit radius delay was generally received as definitive for the median date of 1738 ± 71 years. Even Newcomb admitted this and at the same time acknowledged that it was “</w:t>
      </w:r>
      <w:r w:rsidRPr="007F536A">
        <w:rPr>
          <w:rStyle w:val="Emphasis"/>
          <w:rFonts w:ascii="Book Antiqua" w:hAnsi="Book Antiqua"/>
          <w:sz w:val="20"/>
        </w:rPr>
        <w:t>remarkable that the early determinations of the constant of aberration agreed with Delambre’s determination</w:t>
      </w:r>
      <w:r w:rsidRPr="007F536A">
        <w:rPr>
          <w:rFonts w:ascii="Book Antiqua" w:hAnsi="Book Antiqua"/>
          <w:sz w:val="20"/>
        </w:rPr>
        <w:t>,” even though “</w:t>
      </w:r>
      <w:r w:rsidRPr="007F536A">
        <w:rPr>
          <w:rStyle w:val="Emphasis"/>
          <w:rFonts w:ascii="Book Antiqua" w:hAnsi="Book Antiqua"/>
          <w:sz w:val="20"/>
        </w:rPr>
        <w:t>there was an apparent difference of 1 per cent</w:t>
      </w:r>
      <w:r w:rsidRPr="007F536A">
        <w:rPr>
          <w:rFonts w:ascii="Book Antiqua" w:hAnsi="Book Antiqua"/>
          <w:sz w:val="20"/>
        </w:rPr>
        <w:t xml:space="preserve">” when they were compared to the </w:t>
      </w:r>
      <m:oMath>
        <m:r>
          <w:rPr>
            <w:rStyle w:val="Emphasis"/>
            <w:rFonts w:ascii="Cambria Math" w:hAnsi="Cambria Math"/>
            <w:sz w:val="20"/>
          </w:rPr>
          <m:t>c</m:t>
        </m:r>
      </m:oMath>
      <w:r w:rsidRPr="007F536A">
        <w:rPr>
          <w:rFonts w:ascii="Book Antiqua" w:hAnsi="Book Antiqua"/>
          <w:sz w:val="20"/>
        </w:rPr>
        <w:t xml:space="preserve"> values of the mid-1800’s</w:t>
      </w:r>
      <w:bookmarkStart w:id="23" w:name="_ednref24"/>
      <w:r w:rsidRPr="007F536A">
        <w:rPr>
          <w:rFonts w:ascii="Book Antiqua" w:hAnsi="Book Antiqua"/>
          <w:sz w:val="20"/>
        </w:rPr>
        <w:t xml:space="preserve"> </w:t>
      </w:r>
      <w:r w:rsidRPr="007F536A">
        <w:rPr>
          <w:rFonts w:ascii="Book Antiqua" w:hAnsi="Book Antiqua"/>
          <w:color w:val="FF0000"/>
          <w:sz w:val="20"/>
        </w:rPr>
        <w:t>[31</w:t>
      </w:r>
      <w:bookmarkEnd w:id="23"/>
      <w:r w:rsidRPr="007F536A">
        <w:rPr>
          <w:rFonts w:ascii="Book Antiqua" w:hAnsi="Book Antiqua"/>
          <w:color w:val="FF0000"/>
          <w:sz w:val="20"/>
        </w:rPr>
        <w:t>]</w:t>
      </w:r>
      <w:r w:rsidRPr="007F536A">
        <w:rPr>
          <w:rFonts w:ascii="Book Antiqua" w:hAnsi="Book Antiqua"/>
          <w:sz w:val="20"/>
        </w:rPr>
        <w:t xml:space="preserve">. Bradley’s highest value from the aberration constant as mentioned above [26] was 304,060 km/s, with a mean of 303,400, while Delambre’s result was 303,320 </w:t>
      </w:r>
      <m:oMath>
        <m:r>
          <w:rPr>
            <w:rFonts w:ascii="Book Antiqua" w:hAnsi="Book Antiqua"/>
            <w:sz w:val="20"/>
          </w:rPr>
          <m:t>±</m:t>
        </m:r>
        <m:r>
          <w:rPr>
            <w:rFonts w:ascii="Cambria Math" w:hAnsi="Book Antiqua"/>
            <w:sz w:val="20"/>
          </w:rPr>
          <m:t xml:space="preserve"> 65</m:t>
        </m:r>
      </m:oMath>
      <w:r w:rsidRPr="007F536A">
        <w:rPr>
          <w:rFonts w:ascii="Book Antiqua" w:hAnsi="Book Antiqua"/>
          <w:sz w:val="20"/>
        </w:rPr>
        <w:t xml:space="preserve"> km/s. (The quoted error comes from his statistical treatment of almost 1000 observations) The close agreement between these two figures in the mid-eighteenth century was 1% higher than Newcomb’s measurements about a hundred years later (299,860 ± 30 km/s).  In that hundred year span, the difference in measurements was about 3000 km/s.  </w:t>
      </w:r>
    </w:p>
    <w:p w:rsidR="006839AA" w:rsidRDefault="006839AA" w:rsidP="00821A88">
      <w:pPr>
        <w:pStyle w:val="NoSpacing"/>
        <w:ind w:firstLine="720"/>
        <w:jc w:val="both"/>
        <w:rPr>
          <w:rFonts w:ascii="Book Antiqua" w:hAnsi="Book Antiqua"/>
          <w:sz w:val="20"/>
        </w:rPr>
      </w:pPr>
    </w:p>
    <w:p w:rsidR="00D15928" w:rsidRPr="007F536A" w:rsidRDefault="00D15928" w:rsidP="00821A88">
      <w:pPr>
        <w:pStyle w:val="NoSpacing"/>
        <w:ind w:firstLine="720"/>
        <w:jc w:val="both"/>
        <w:rPr>
          <w:rFonts w:ascii="Book Antiqua" w:hAnsi="Book Antiqua"/>
          <w:sz w:val="20"/>
        </w:rPr>
      </w:pPr>
    </w:p>
    <w:tbl>
      <w:tblPr>
        <w:tblStyle w:val="TableGrid"/>
        <w:tblW w:w="0" w:type="auto"/>
        <w:jc w:val="center"/>
        <w:tblLook w:val="04A0"/>
      </w:tblPr>
      <w:tblGrid>
        <w:gridCol w:w="4686"/>
        <w:gridCol w:w="5346"/>
      </w:tblGrid>
      <w:tr w:rsidR="00821A88" w:rsidRPr="007F536A" w:rsidTr="006839AA">
        <w:trPr>
          <w:trHeight w:val="4643"/>
          <w:jc w:val="center"/>
        </w:trPr>
        <w:tc>
          <w:tcPr>
            <w:tcW w:w="4686" w:type="dxa"/>
          </w:tcPr>
          <w:p w:rsidR="00821A88" w:rsidRDefault="00821A88" w:rsidP="00400B4E">
            <w:pPr>
              <w:pStyle w:val="NoSpacing"/>
              <w:jc w:val="center"/>
              <w:rPr>
                <w:rFonts w:ascii="Book Antiqua" w:hAnsi="Book Antiqua"/>
                <w:sz w:val="20"/>
              </w:rPr>
            </w:pPr>
            <w:r w:rsidRPr="007F536A">
              <w:rPr>
                <w:rFonts w:ascii="Book Antiqua" w:hAnsi="Book Antiqua"/>
                <w:noProof/>
                <w:sz w:val="20"/>
              </w:rPr>
              <w:drawing>
                <wp:inline distT="0" distB="0" distL="0" distR="0">
                  <wp:extent cx="2063323" cy="2875336"/>
                  <wp:effectExtent l="19050" t="0" r="0" b="0"/>
                  <wp:docPr id="19" name="Picture 40" descr="http://lh4.ggpht.com/_4EUOY1185UQ/TPldQPsmasI/AAAAAAAAA9k/LN0qHcqvNe0/s144/delambre%20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h4.ggpht.com/_4EUOY1185UQ/TPldQPsmasI/AAAAAAAAA9k/LN0qHcqvNe0/s144/delambre%20big.jpg"/>
                          <pic:cNvPicPr>
                            <a:picLocks noChangeAspect="1" noChangeArrowheads="1"/>
                          </pic:cNvPicPr>
                        </pic:nvPicPr>
                        <pic:blipFill>
                          <a:blip r:embed="rId85" cstate="print"/>
                          <a:srcRect/>
                          <a:stretch>
                            <a:fillRect/>
                          </a:stretch>
                        </pic:blipFill>
                        <pic:spPr bwMode="auto">
                          <a:xfrm>
                            <a:off x="0" y="0"/>
                            <a:ext cx="2073728" cy="2889836"/>
                          </a:xfrm>
                          <a:prstGeom prst="rect">
                            <a:avLst/>
                          </a:prstGeom>
                          <a:noFill/>
                          <a:ln w="9525">
                            <a:noFill/>
                            <a:miter lim="800000"/>
                            <a:headEnd/>
                            <a:tailEnd/>
                          </a:ln>
                        </pic:spPr>
                      </pic:pic>
                    </a:graphicData>
                  </a:graphic>
                </wp:inline>
              </w:drawing>
            </w:r>
          </w:p>
          <w:p w:rsidR="00A02F8C" w:rsidRPr="007F536A" w:rsidRDefault="00A02F8C" w:rsidP="00400B4E">
            <w:pPr>
              <w:pStyle w:val="NoSpacing"/>
              <w:jc w:val="center"/>
              <w:rPr>
                <w:rFonts w:ascii="Book Antiqua" w:hAnsi="Book Antiqua"/>
                <w:sz w:val="20"/>
              </w:rPr>
            </w:pPr>
          </w:p>
        </w:tc>
        <w:tc>
          <w:tcPr>
            <w:tcW w:w="534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335947" cy="2832567"/>
                  <wp:effectExtent l="0" t="0" r="0" b="0"/>
                  <wp:docPr id="20" name="il_fi" descr="http://images.astronet.ru/pubd/2001/09/29/0001170951/glaz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s.astronet.ru/pubd/2001/09/29/0001170951/glazen.gif"/>
                          <pic:cNvPicPr>
                            <a:picLocks noChangeAspect="1" noChangeArrowheads="1"/>
                          </pic:cNvPicPr>
                        </pic:nvPicPr>
                        <pic:blipFill>
                          <a:blip r:embed="rId86" cstate="print">
                            <a:lum contrast="-20000"/>
                          </a:blip>
                          <a:srcRect/>
                          <a:stretch>
                            <a:fillRect/>
                          </a:stretch>
                        </pic:blipFill>
                        <pic:spPr bwMode="auto">
                          <a:xfrm>
                            <a:off x="0" y="0"/>
                            <a:ext cx="2352912" cy="285313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41498D" w:rsidRDefault="00821A88" w:rsidP="00C1021A">
      <w:pPr>
        <w:pStyle w:val="NoSpacing"/>
        <w:jc w:val="center"/>
        <w:rPr>
          <w:rFonts w:ascii="Book Antiqua" w:hAnsi="Book Antiqua"/>
          <w:i/>
          <w:sz w:val="20"/>
        </w:rPr>
      </w:pPr>
      <w:r w:rsidRPr="0041498D">
        <w:rPr>
          <w:rFonts w:ascii="Book Antiqua" w:hAnsi="Book Antiqua"/>
          <w:b/>
          <w:i/>
          <w:sz w:val="18"/>
          <w:szCs w:val="18"/>
        </w:rPr>
        <w:t>Figure. 4:</w:t>
      </w:r>
      <w:r w:rsidRPr="0041498D">
        <w:rPr>
          <w:rFonts w:ascii="Book Antiqua" w:hAnsi="Book Antiqua"/>
          <w:i/>
          <w:sz w:val="18"/>
          <w:szCs w:val="18"/>
        </w:rPr>
        <w:t xml:space="preserve"> </w:t>
      </w:r>
      <w:r w:rsidRPr="0041498D">
        <w:rPr>
          <w:rFonts w:ascii="Book Antiqua" w:hAnsi="Book Antiqua"/>
          <w:b/>
          <w:i/>
          <w:sz w:val="18"/>
          <w:szCs w:val="18"/>
        </w:rPr>
        <w:t xml:space="preserve">Left </w:t>
      </w:r>
      <w:r w:rsidRPr="0041498D">
        <w:rPr>
          <w:rFonts w:ascii="Book Antiqua" w:hAnsi="Book Antiqua"/>
          <w:i/>
          <w:sz w:val="18"/>
          <w:szCs w:val="18"/>
        </w:rPr>
        <w:t xml:space="preserve">– J.B.J. Delambre 1749-1822; </w:t>
      </w:r>
      <w:r w:rsidRPr="0041498D">
        <w:rPr>
          <w:rFonts w:ascii="Book Antiqua" w:hAnsi="Book Antiqua"/>
          <w:b/>
          <w:i/>
          <w:sz w:val="18"/>
          <w:szCs w:val="18"/>
        </w:rPr>
        <w:t>Right -</w:t>
      </w:r>
      <w:r w:rsidRPr="0041498D">
        <w:rPr>
          <w:rFonts w:ascii="Book Antiqua" w:hAnsi="Book Antiqua"/>
          <w:i/>
          <w:sz w:val="18"/>
          <w:szCs w:val="18"/>
        </w:rPr>
        <w:t xml:space="preserve"> S.P. Glazenapp 1848-1937</w:t>
      </w:r>
      <w:r w:rsidRPr="0041498D">
        <w:rPr>
          <w:rFonts w:ascii="Book Antiqua" w:hAnsi="Book Antiqua"/>
          <w:i/>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24" w:name="Glasenapp"/>
      <w:bookmarkEnd w:id="24"/>
      <w:r w:rsidRPr="007F536A">
        <w:rPr>
          <w:rStyle w:val="Strong"/>
          <w:rFonts w:ascii="Book Antiqua" w:hAnsi="Book Antiqua"/>
          <w:b w:val="0"/>
          <w:i/>
          <w:sz w:val="20"/>
        </w:rPr>
        <w:lastRenderedPageBreak/>
        <w:t>1.6   S. P. Glazenapp</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1874, S.P. Glazenapp of Pulkovo Observatory discussed the results from the observations of Io between 1848 and 1873, some 320 eclipses in all</w:t>
      </w:r>
      <w:bookmarkStart w:id="25" w:name="_ednref25"/>
      <w:r w:rsidRPr="007F536A">
        <w:rPr>
          <w:rFonts w:ascii="Book Antiqua" w:hAnsi="Book Antiqua"/>
          <w:sz w:val="20"/>
        </w:rPr>
        <w:t xml:space="preserve"> [32</w:t>
      </w:r>
      <w:bookmarkEnd w:id="25"/>
      <w:r w:rsidRPr="007F536A">
        <w:rPr>
          <w:rFonts w:ascii="Book Antiqua" w:hAnsi="Book Antiqua"/>
          <w:sz w:val="20"/>
        </w:rPr>
        <w:t>]. He analyzed each eclipse according to the following five correction procedures: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All eclipse observations were reduced to the center of the satellite. Variation in satellite brightness with apparent distance from Jupiter’s center was corrected for at the instant of eclipse. Another term we shall call </w:t>
      </w:r>
      <w:r w:rsidRPr="007F536A">
        <w:rPr>
          <w:rStyle w:val="Emphasis"/>
          <w:rFonts w:ascii="Book Antiqua" w:hAnsi="Book Antiqua"/>
          <w:sz w:val="20"/>
        </w:rPr>
        <w:t>z</w:t>
      </w:r>
      <w:r w:rsidRPr="007F536A">
        <w:rPr>
          <w:rFonts w:ascii="Book Antiqua" w:hAnsi="Book Antiqua"/>
          <w:sz w:val="20"/>
        </w:rPr>
        <w:t xml:space="preserve"> was added to give the exact dependence.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the reduction to Io’s center and without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Without reduction to the center of Io, but including the </w:t>
      </w:r>
      <w:r w:rsidRPr="007F536A">
        <w:rPr>
          <w:rStyle w:val="Emphasis"/>
          <w:rFonts w:ascii="Book Antiqua" w:hAnsi="Book Antiqua"/>
          <w:sz w:val="20"/>
        </w:rPr>
        <w:t>z</w:t>
      </w:r>
      <w:r w:rsidRPr="007F536A">
        <w:rPr>
          <w:rFonts w:ascii="Book Antiqua" w:hAnsi="Book Antiqua"/>
          <w:sz w:val="20"/>
        </w:rPr>
        <w:t xml:space="preserve"> term.</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 xml:space="preserve">Excluding the 50 Leiden observations. </w:t>
      </w:r>
    </w:p>
    <w:p w:rsidR="00821A88" w:rsidRPr="007F536A" w:rsidRDefault="00821A88" w:rsidP="00821A88">
      <w:pPr>
        <w:pStyle w:val="NoSpacing"/>
        <w:numPr>
          <w:ilvl w:val="0"/>
          <w:numId w:val="19"/>
        </w:numPr>
        <w:jc w:val="both"/>
        <w:rPr>
          <w:rFonts w:ascii="Book Antiqua" w:hAnsi="Book Antiqua"/>
          <w:sz w:val="20"/>
        </w:rPr>
      </w:pPr>
      <w:r w:rsidRPr="007F536A">
        <w:rPr>
          <w:rFonts w:ascii="Book Antiqua" w:hAnsi="Book Antiqua"/>
          <w:sz w:val="20"/>
        </w:rPr>
        <w:t>As for alternative 1, with an additional correction to the mean noon based on Newcomb’s assumption of periodic variations of earth’s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The 5 corrections resulted in the following 5 values for the orbit radius delay.</w:t>
      </w:r>
    </w:p>
    <w:p w:rsidR="00821A88" w:rsidRPr="007F536A" w:rsidRDefault="00821A88" w:rsidP="00C1021A">
      <w:pPr>
        <w:pStyle w:val="NoSpacing"/>
        <w:rPr>
          <w:rFonts w:ascii="Book Antiqua" w:hAnsi="Book Antiqua"/>
          <w:sz w:val="20"/>
        </w:rPr>
      </w:pP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500.84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497.43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494.67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497.15 sec.</w:t>
      </w:r>
    </w:p>
    <w:p w:rsidR="00821A88" w:rsidRPr="00F64A8E" w:rsidRDefault="00821A88" w:rsidP="00C1021A">
      <w:pPr>
        <w:pStyle w:val="NoSpacing"/>
        <w:jc w:val="center"/>
        <w:rPr>
          <w:rFonts w:ascii="Book Antiqua" w:hAnsi="Book Antiqua"/>
          <w:sz w:val="20"/>
        </w:rPr>
      </w:pPr>
      <w:r w:rsidRPr="00F64A8E">
        <w:rPr>
          <w:rFonts w:ascii="Book Antiqua" w:hAnsi="Book Antiqua"/>
          <w:sz w:val="20"/>
        </w:rPr>
        <w:t>505.03 sec.</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Glazenapp pointed out that the large variation in results was due to the impossibility of determining the exact apparent brightness of Io in absolute units at the moment of the eclipse. He did not indicate which results were to be preferred. However, as the first is included in the more comprehensive results of the fifth, it appears justifiable to take the mean of the second, third, fourth, and fifth, and omit the first. When this is done, the orbit radius delay becomes 498.57 ± 0.1 seconds. Although Glazenapp listed his measurements in hundredths of a second, the error margin of one-tenth of a second has been adopted.  This was the accuracy of the timepieces around 1800, and would be checked by daily star transit observations</w:t>
      </w:r>
      <w:bookmarkStart w:id="26" w:name="_ednref26"/>
      <w:r w:rsidRPr="007F536A">
        <w:rPr>
          <w:rFonts w:ascii="Book Antiqua" w:hAnsi="Book Antiqua"/>
          <w:sz w:val="20"/>
        </w:rPr>
        <w:t xml:space="preserve"> [33</w:t>
      </w:r>
      <w:bookmarkEnd w:id="26"/>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The median date for the data used by Glazenapp is 1861.  Using that date, the average speed of light was 300,050 ± 60 km/</w:t>
      </w:r>
      <w:bookmarkStart w:id="27" w:name="_ednref27"/>
      <w:r w:rsidRPr="007F536A">
        <w:rPr>
          <w:rFonts w:ascii="Book Antiqua" w:hAnsi="Book Antiqua"/>
          <w:sz w:val="20"/>
        </w:rPr>
        <w:t>s at that time [34</w:t>
      </w:r>
      <w:bookmarkEnd w:id="27"/>
      <w:r w:rsidRPr="007F536A">
        <w:rPr>
          <w:rFonts w:ascii="Book Antiqua" w:hAnsi="Book Antiqua"/>
          <w:sz w:val="20"/>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left="360"/>
        <w:jc w:val="both"/>
        <w:rPr>
          <w:rFonts w:ascii="Book Antiqua" w:hAnsi="Book Antiqua"/>
          <w:b/>
          <w:i/>
          <w:sz w:val="20"/>
        </w:rPr>
      </w:pPr>
      <w:bookmarkStart w:id="28" w:name="Sampson"/>
      <w:bookmarkEnd w:id="28"/>
      <w:r w:rsidRPr="007F536A">
        <w:rPr>
          <w:rStyle w:val="Strong"/>
          <w:rFonts w:ascii="Book Antiqua" w:hAnsi="Book Antiqua"/>
          <w:b w:val="0"/>
          <w:i/>
          <w:sz w:val="20"/>
        </w:rPr>
        <w:t>1.7 Sampson, Harvard and Various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Style w:val="Strong"/>
          <w:rFonts w:ascii="Book Antiqua" w:hAnsi="Book Antiqua"/>
          <w:b w:val="0"/>
          <w:bCs w:val="0"/>
          <w:sz w:val="20"/>
        </w:rPr>
      </w:pPr>
      <w:r w:rsidRPr="007F536A">
        <w:rPr>
          <w:rFonts w:ascii="Book Antiqua" w:hAnsi="Book Antiqua"/>
          <w:sz w:val="20"/>
        </w:rPr>
        <w:t xml:space="preserve">In 1909, using Harvard observations from 1844 to 1909, Sampson derived a value for the orbit radius delay of 498.64 seconds from his private reductions </w:t>
      </w:r>
      <w:bookmarkStart w:id="29" w:name="_ednref28"/>
      <w:r w:rsidRPr="007F536A">
        <w:rPr>
          <w:rFonts w:ascii="Book Antiqua" w:hAnsi="Book Antiqua"/>
          <w:sz w:val="20"/>
        </w:rPr>
        <w:t>[35</w:t>
      </w:r>
      <w:bookmarkEnd w:id="29"/>
      <w:r w:rsidRPr="007F536A">
        <w:rPr>
          <w:rFonts w:ascii="Book Antiqua" w:hAnsi="Book Antiqua"/>
          <w:sz w:val="20"/>
        </w:rPr>
        <w:t>]. However, the official Harvard readings themselves gave a result of 498.79 ± 0.02 seconds, the error margin being due to the inequalities in Jupiter’s surface. The Sampson result thus becomes 300,011 km/s for the speed of light, while the official Harvard reductions give 299,921 km/s for the same median date of 1876.5 ± 32 years.</w:t>
      </w:r>
      <w:bookmarkStart w:id="30" w:name="misc"/>
      <w:bookmarkEnd w:id="30"/>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In 1759, B. Martin deduced a time of 8 minutes 13 seconds for the orbit radius light delay</w:t>
      </w:r>
      <w:bookmarkStart w:id="31" w:name="_ednref29"/>
      <w:r w:rsidRPr="007F536A">
        <w:rPr>
          <w:rFonts w:ascii="Book Antiqua" w:hAnsi="Book Antiqua"/>
          <w:sz w:val="20"/>
        </w:rPr>
        <w:t xml:space="preserve"> [36</w:t>
      </w:r>
      <w:bookmarkEnd w:id="31"/>
      <w:r w:rsidRPr="007F536A">
        <w:rPr>
          <w:rFonts w:ascii="Book Antiqua" w:hAnsi="Book Antiqua"/>
          <w:sz w:val="20"/>
        </w:rPr>
        <w:t xml:space="preserve">].  This resulted in a light speed of 303,440 km/s. In 1770, Richard Price indicated that his research gave a value of 8.2 minutes or 492 seconds for the orbit radius delay, resulting in  </w:t>
      </w:r>
      <m:oMath>
        <m:r>
          <w:rPr>
            <w:rFonts w:ascii="Cambria Math" w:hAnsi="Cambria Math"/>
            <w:sz w:val="20"/>
          </w:rPr>
          <m:t>c</m:t>
        </m:r>
        <m:r>
          <w:rPr>
            <w:rFonts w:ascii="Cambria Math" w:hAnsi="Book Antiqua"/>
            <w:sz w:val="20"/>
          </w:rPr>
          <m:t xml:space="preserve"> = 304,060</m:t>
        </m:r>
      </m:oMath>
      <w:r w:rsidRPr="007F536A">
        <w:rPr>
          <w:rFonts w:ascii="Book Antiqua" w:hAnsi="Book Antiqua"/>
          <w:sz w:val="20"/>
        </w:rPr>
        <w:t xml:space="preserve"> km/s</w:t>
      </w:r>
      <w:bookmarkStart w:id="32" w:name="_ednref30"/>
      <w:r w:rsidRPr="007F536A">
        <w:rPr>
          <w:rFonts w:ascii="Book Antiqua" w:hAnsi="Book Antiqua"/>
          <w:sz w:val="20"/>
        </w:rPr>
        <w:t xml:space="preserve"> [37</w:t>
      </w:r>
      <w:bookmarkEnd w:id="32"/>
      <w:r w:rsidRPr="007F536A">
        <w:rPr>
          <w:rFonts w:ascii="Book Antiqua" w:hAnsi="Book Antiqua"/>
          <w:sz w:val="20"/>
        </w:rPr>
        <w:t xml:space="preserve">]. In 1778, J. Bode published a value of 8 minutes 7.5 seconds for the orbit light delay, giving </w:t>
      </w:r>
      <m:oMath>
        <m:r>
          <w:rPr>
            <w:rFonts w:ascii="Cambria Math" w:hAnsi="Cambria Math"/>
            <w:sz w:val="20"/>
          </w:rPr>
          <m:t>c</m:t>
        </m:r>
        <m:r>
          <w:rPr>
            <w:rFonts w:ascii="Cambria Math" w:hAnsi="Book Antiqua"/>
            <w:sz w:val="20"/>
          </w:rPr>
          <m:t xml:space="preserve"> = 306,870</m:t>
        </m:r>
      </m:oMath>
      <w:r w:rsidRPr="007F536A">
        <w:rPr>
          <w:rFonts w:ascii="Book Antiqua" w:hAnsi="Book Antiqua"/>
          <w:sz w:val="20"/>
        </w:rPr>
        <w:t xml:space="preserve"> k</w:t>
      </w:r>
      <w:bookmarkStart w:id="33" w:name="_ednref31"/>
      <w:r w:rsidRPr="007F536A">
        <w:rPr>
          <w:rFonts w:ascii="Book Antiqua" w:hAnsi="Book Antiqua"/>
          <w:sz w:val="20"/>
        </w:rPr>
        <w:t>m/s [38</w:t>
      </w:r>
      <w:bookmarkEnd w:id="33"/>
      <w:r w:rsidRPr="007F536A">
        <w:rPr>
          <w:rFonts w:ascii="Book Antiqua" w:hAnsi="Book Antiqua"/>
          <w:sz w:val="20"/>
        </w:rPr>
        <w:t>]. In 1785, Boscovich published a time of 486 seconds, with</w:t>
      </w:r>
      <m:oMath>
        <m:r>
          <w:rPr>
            <w:rFonts w:ascii="Cambria Math" w:hAnsi="Book Antiqua"/>
            <w:sz w:val="20"/>
          </w:rPr>
          <m:t xml:space="preserve"> </m:t>
        </m:r>
        <m:r>
          <w:rPr>
            <w:rFonts w:ascii="Cambria Math" w:hAnsi="Cambria Math"/>
            <w:sz w:val="20"/>
          </w:rPr>
          <m:t>c</m:t>
        </m:r>
        <m:r>
          <w:rPr>
            <w:rFonts w:ascii="Cambria Math" w:hAnsi="Book Antiqua"/>
            <w:sz w:val="20"/>
          </w:rPr>
          <m:t xml:space="preserve"> = 307,810</m:t>
        </m:r>
      </m:oMath>
      <w:r w:rsidRPr="007F536A">
        <w:rPr>
          <w:rFonts w:ascii="Book Antiqua" w:hAnsi="Book Antiqua"/>
          <w:sz w:val="20"/>
        </w:rPr>
        <w:t xml:space="preserve"> k</w:t>
      </w:r>
      <w:bookmarkStart w:id="34" w:name="_ednref32"/>
      <w:r w:rsidRPr="007F536A">
        <w:rPr>
          <w:rFonts w:ascii="Book Antiqua" w:hAnsi="Book Antiqua"/>
          <w:sz w:val="20"/>
        </w:rPr>
        <w:t>m/s [39</w:t>
      </w:r>
      <w:bookmarkEnd w:id="34"/>
      <w:r w:rsidRPr="007F536A">
        <w:rPr>
          <w:rFonts w:ascii="Book Antiqua" w:hAnsi="Book Antiqua"/>
          <w:sz w:val="20"/>
        </w:rPr>
        <w:t xml:space="preserve">]. These values appear to be the only other independent assessments of the orbit radius delay for light. Most others appear to take Cassini’s, Newton’s or Roemer’s figures and build upon them. As various estimates of the radius of the earth’s orbit existed, so did a variety of </w:t>
      </w:r>
      <m:oMath>
        <m:r>
          <w:rPr>
            <w:rFonts w:ascii="Cambria Math" w:hAnsi="Cambria Math"/>
            <w:sz w:val="20"/>
          </w:rPr>
          <m:t>c</m:t>
        </m:r>
      </m:oMath>
      <w:r w:rsidRPr="007F536A">
        <w:rPr>
          <w:rFonts w:ascii="Book Antiqua" w:hAnsi="Book Antiqua"/>
          <w:sz w:val="20"/>
        </w:rPr>
        <w:t xml:space="preserve"> values. </w:t>
      </w:r>
    </w:p>
    <w:p w:rsidR="0041498D" w:rsidRDefault="0041498D" w:rsidP="00821A88">
      <w:pPr>
        <w:pStyle w:val="NoSpacing"/>
        <w:ind w:firstLine="720"/>
        <w:jc w:val="both"/>
        <w:rPr>
          <w:rFonts w:ascii="Book Antiqua" w:hAnsi="Book Antiqua"/>
          <w:sz w:val="20"/>
        </w:rPr>
      </w:pPr>
    </w:p>
    <w:p w:rsidR="003D5E13" w:rsidRDefault="003D5E13" w:rsidP="00821A88">
      <w:pPr>
        <w:pStyle w:val="NoSpacing"/>
        <w:ind w:firstLine="720"/>
        <w:jc w:val="both"/>
        <w:rPr>
          <w:rFonts w:ascii="Book Antiqua" w:hAnsi="Book Antiqua"/>
          <w:sz w:val="20"/>
        </w:rPr>
      </w:pPr>
    </w:p>
    <w:p w:rsidR="00821A88" w:rsidRDefault="00821A88" w:rsidP="00821A88">
      <w:pPr>
        <w:pStyle w:val="NoSpacing"/>
        <w:numPr>
          <w:ilvl w:val="1"/>
          <w:numId w:val="9"/>
        </w:numPr>
        <w:rPr>
          <w:rFonts w:ascii="Book Antiqua" w:hAnsi="Book Antiqua"/>
          <w:i/>
          <w:sz w:val="20"/>
        </w:rPr>
      </w:pPr>
      <w:bookmarkStart w:id="35" w:name="conclusionstable1"/>
      <w:bookmarkEnd w:id="35"/>
      <w:r w:rsidRPr="007F536A">
        <w:rPr>
          <w:rFonts w:ascii="Book Antiqua" w:hAnsi="Book Antiqua"/>
          <w:i/>
          <w:sz w:val="20"/>
        </w:rPr>
        <w:t>Conclusions From Early Experiments</w:t>
      </w:r>
    </w:p>
    <w:p w:rsidR="007B12EC" w:rsidRDefault="007B12EC" w:rsidP="007B12EC">
      <w:pPr>
        <w:pStyle w:val="NoSpacing"/>
        <w:ind w:left="360"/>
        <w:rPr>
          <w:rFonts w:ascii="Book Antiqua" w:hAnsi="Book Antiqua"/>
          <w:i/>
          <w:sz w:val="20"/>
        </w:rPr>
      </w:pPr>
    </w:p>
    <w:p w:rsidR="007B12EC" w:rsidRPr="007B12EC" w:rsidRDefault="007B12EC" w:rsidP="00252CC0">
      <w:pPr>
        <w:pStyle w:val="NoSpacing"/>
        <w:rPr>
          <w:rFonts w:ascii="Book Antiqua" w:hAnsi="Book Antiqua"/>
          <w:sz w:val="20"/>
        </w:rPr>
      </w:pPr>
      <w:r w:rsidRPr="007B12EC">
        <w:rPr>
          <w:rFonts w:ascii="Book Antiqua" w:hAnsi="Book Antiqua"/>
          <w:sz w:val="20"/>
        </w:rPr>
        <w:t xml:space="preserve">The above </w:t>
      </w:r>
      <w:r>
        <w:rPr>
          <w:rFonts w:ascii="Book Antiqua" w:hAnsi="Book Antiqua"/>
          <w:sz w:val="20"/>
        </w:rPr>
        <w:t>r</w:t>
      </w:r>
      <w:r w:rsidRPr="007B12EC">
        <w:rPr>
          <w:rFonts w:ascii="Book Antiqua" w:hAnsi="Book Antiqua"/>
          <w:sz w:val="20"/>
        </w:rPr>
        <w:t>esults are best summarized in a table. This is done in Table 1 and Figures 5 and 6.</w:t>
      </w:r>
    </w:p>
    <w:tbl>
      <w:tblPr>
        <w:tblW w:w="7905" w:type="dxa"/>
        <w:jc w:val="center"/>
        <w:tblCellSpacing w:w="7" w:type="dxa"/>
        <w:tblLayout w:type="fixed"/>
        <w:tblCellMar>
          <w:top w:w="15" w:type="dxa"/>
          <w:left w:w="15" w:type="dxa"/>
          <w:bottom w:w="15" w:type="dxa"/>
          <w:right w:w="15" w:type="dxa"/>
        </w:tblCellMar>
        <w:tblLook w:val="04A0"/>
      </w:tblPr>
      <w:tblGrid>
        <w:gridCol w:w="79"/>
        <w:gridCol w:w="1364"/>
        <w:gridCol w:w="1046"/>
        <w:gridCol w:w="1996"/>
        <w:gridCol w:w="1667"/>
        <w:gridCol w:w="1753"/>
      </w:tblGrid>
      <w:tr w:rsidR="003D5E13" w:rsidRPr="007F536A" w:rsidTr="00EB4BA1">
        <w:trPr>
          <w:gridBefore w:val="1"/>
          <w:gridAfter w:val="1"/>
          <w:wBefore w:w="58" w:type="dxa"/>
          <w:wAfter w:w="1732" w:type="dxa"/>
          <w:trHeight w:val="299"/>
          <w:tblCellSpacing w:w="7" w:type="dxa"/>
          <w:jc w:val="center"/>
        </w:trPr>
        <w:tc>
          <w:tcPr>
            <w:tcW w:w="6059" w:type="dxa"/>
            <w:gridSpan w:val="4"/>
            <w:vAlign w:val="center"/>
            <w:hideMark/>
          </w:tcPr>
          <w:p w:rsidR="00EB4BA1" w:rsidRDefault="00EB4BA1" w:rsidP="00EB4BA1">
            <w:pPr>
              <w:jc w:val="center"/>
              <w:rPr>
                <w:rFonts w:ascii="Book Antiqua" w:hAnsi="Book Antiqua"/>
              </w:rPr>
            </w:pPr>
          </w:p>
          <w:p w:rsidR="00541F83" w:rsidRDefault="003D5E13" w:rsidP="00EB4BA1">
            <w:pPr>
              <w:jc w:val="center"/>
              <w:rPr>
                <w:rFonts w:ascii="Book Antiqua" w:hAnsi="Book Antiqua"/>
                <w:b/>
                <w:i/>
                <w:sz w:val="18"/>
                <w:szCs w:val="18"/>
              </w:rPr>
            </w:pPr>
            <w:r w:rsidRPr="00126DDE">
              <w:rPr>
                <w:rFonts w:ascii="Book Antiqua" w:hAnsi="Book Antiqua"/>
                <w:b/>
                <w:sz w:val="18"/>
                <w:szCs w:val="18"/>
              </w:rPr>
              <w:t>TABLE 1</w:t>
            </w:r>
            <w:r w:rsidRPr="00126DDE">
              <w:rPr>
                <w:rFonts w:ascii="Book Antiqua" w:hAnsi="Book Antiqua"/>
                <w:sz w:val="18"/>
                <w:szCs w:val="18"/>
              </w:rPr>
              <w:t xml:space="preserve">: </w:t>
            </w:r>
            <w:r w:rsidRPr="000E5755">
              <w:rPr>
                <w:rFonts w:ascii="Book Antiqua" w:hAnsi="Book Antiqua"/>
                <w:b/>
                <w:i/>
                <w:sz w:val="18"/>
                <w:szCs w:val="18"/>
              </w:rPr>
              <w:t>Results from the Roemer-type experiments</w:t>
            </w:r>
          </w:p>
          <w:p w:rsidR="00EB4BA1" w:rsidRPr="000E5755" w:rsidRDefault="00EB4BA1" w:rsidP="00541F83">
            <w:pPr>
              <w:rPr>
                <w:rFonts w:ascii="Book Antiqua" w:hAnsi="Book Antiqua"/>
                <w:b/>
                <w:i/>
                <w:sz w:val="18"/>
                <w:szCs w:val="18"/>
              </w:rPr>
            </w:pPr>
          </w:p>
          <w:p w:rsidR="003D5E13" w:rsidRPr="007B12EC" w:rsidRDefault="003D5E13" w:rsidP="003D5E13">
            <w:pPr>
              <w:rPr>
                <w:rFonts w:ascii="Book Antiqua" w:hAnsi="Book Antiqua"/>
                <w:b/>
              </w:rPr>
            </w:pP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464"/>
          <w:jc w:val="center"/>
        </w:trPr>
        <w:tc>
          <w:tcPr>
            <w:tcW w:w="1422"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Date</w:t>
            </w:r>
          </w:p>
        </w:tc>
        <w:tc>
          <w:tcPr>
            <w:tcW w:w="103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Seconds delay</w:t>
            </w:r>
          </w:p>
        </w:tc>
        <w:tc>
          <w:tcPr>
            <w:tcW w:w="1982" w:type="dxa"/>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value of c in km/sec</w:t>
            </w:r>
          </w:p>
        </w:tc>
        <w:tc>
          <w:tcPr>
            <w:tcW w:w="3399" w:type="dxa"/>
            <w:gridSpan w:val="2"/>
          </w:tcPr>
          <w:p w:rsidR="003D5E13" w:rsidRPr="00252CC0" w:rsidRDefault="003D5E13" w:rsidP="00AB0CD2">
            <w:pPr>
              <w:pStyle w:val="NoSpacing"/>
              <w:rPr>
                <w:rFonts w:ascii="Book Antiqua" w:hAnsi="Book Antiqua"/>
                <w:b/>
                <w:i/>
                <w:sz w:val="18"/>
                <w:szCs w:val="18"/>
              </w:rPr>
            </w:pPr>
            <w:r w:rsidRPr="00252CC0">
              <w:rPr>
                <w:rFonts w:ascii="Book Antiqua" w:hAnsi="Book Antiqua"/>
                <w:b/>
                <w:i/>
                <w:sz w:val="18"/>
                <w:szCs w:val="18"/>
              </w:rPr>
              <w:t>Comments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1673 ± 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317,700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Roemer method modern correction.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25"/>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1706</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480</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311,660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Newton’s approx. value “Opticks”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1738 ± 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493.2</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320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65</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1000 obs. Delamre’s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61"/>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1759</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493.0</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303</m:t>
                  </m:r>
                  <m:r>
                    <m:rPr>
                      <m:sty m:val="bi"/>
                    </m:rPr>
                    <w:rPr>
                      <w:rFonts w:ascii="Cambria Math" w:hAnsi="Book Antiqua"/>
                      <w:sz w:val="18"/>
                      <w:szCs w:val="18"/>
                    </w:rPr>
                    <m:t>,</m:t>
                  </m:r>
                  <m:r>
                    <m:rPr>
                      <m:sty m:val="bi"/>
                    </m:rPr>
                    <w:rPr>
                      <w:rFonts w:ascii="Cambria Math" w:hAnsi="Cambria Math"/>
                      <w:sz w:val="18"/>
                      <w:szCs w:val="18"/>
                    </w:rPr>
                    <m:t>440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Martin’s published deduction fr. Data</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1770</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492.0</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304</m:t>
                  </m:r>
                  <m:r>
                    <m:rPr>
                      <m:sty m:val="bi"/>
                    </m:rPr>
                    <w:rPr>
                      <w:rFonts w:ascii="Cambria Math" w:hAnsi="Book Antiqua"/>
                      <w:sz w:val="18"/>
                      <w:szCs w:val="18"/>
                    </w:rPr>
                    <m:t>,</m:t>
                  </m:r>
                  <m:r>
                    <m:rPr>
                      <m:sty m:val="bi"/>
                    </m:rPr>
                    <w:rPr>
                      <w:rFonts w:ascii="Cambria Math" w:hAnsi="Cambria Math"/>
                      <w:sz w:val="18"/>
                      <w:szCs w:val="18"/>
                    </w:rPr>
                    <m:t>060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Price’s published value from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1771</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495.0</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302</m:t>
                  </m:r>
                  <m:r>
                    <m:rPr>
                      <m:sty m:val="bi"/>
                    </m:rPr>
                    <w:rPr>
                      <w:rFonts w:ascii="Cambria Math" w:hAnsi="Book Antiqua"/>
                      <w:sz w:val="18"/>
                      <w:szCs w:val="18"/>
                    </w:rPr>
                    <m:t>,</m:t>
                  </m:r>
                  <m:r>
                    <m:rPr>
                      <m:sty m:val="bi"/>
                    </m:rPr>
                    <w:rPr>
                      <w:rFonts w:ascii="Cambria Math" w:hAnsi="Cambria Math"/>
                      <w:sz w:val="18"/>
                      <w:szCs w:val="18"/>
                    </w:rPr>
                    <m:t>220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310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Recommended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9"/>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1778</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487.5</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306,870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J. Bode’s published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52"/>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1785</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486</w:t>
            </w:r>
          </w:p>
        </w:tc>
        <w:tc>
          <w:tcPr>
            <w:tcW w:w="198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307,810 #</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Published value of Boscovich obs.</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7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1861 ± 13</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498.57</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050</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60</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Mean of  320 obs. Glazenapp’s value.</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40"/>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498.64</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300</m:t>
                  </m:r>
                  <m:r>
                    <m:rPr>
                      <m:sty m:val="bi"/>
                    </m:rPr>
                    <w:rPr>
                      <w:rFonts w:ascii="Cambria Math" w:hAnsi="Book Antiqua"/>
                      <w:sz w:val="18"/>
                      <w:szCs w:val="18"/>
                    </w:rPr>
                    <m:t>,</m:t>
                  </m:r>
                  <m:r>
                    <m:rPr>
                      <m:sty m:val="bi"/>
                    </m:rPr>
                    <w:rPr>
                      <w:rFonts w:ascii="Cambria Math" w:hAnsi="Cambria Math"/>
                      <w:sz w:val="18"/>
                      <w:szCs w:val="18"/>
                    </w:rPr>
                    <m:t>011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Sampson reduction</w:t>
            </w:r>
          </w:p>
        </w:tc>
      </w:tr>
      <w:tr w:rsidR="003D5E13" w:rsidRPr="007F536A" w:rsidTr="00EB4BA1">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217"/>
          <w:jc w:val="center"/>
        </w:trPr>
        <w:tc>
          <w:tcPr>
            <w:tcW w:w="1422"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1877 ± 32</w:t>
            </w:r>
          </w:p>
        </w:tc>
        <w:tc>
          <w:tcPr>
            <w:tcW w:w="1032" w:type="dxa"/>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498.79</w:t>
            </w:r>
          </w:p>
        </w:tc>
        <w:tc>
          <w:tcPr>
            <w:tcW w:w="1982" w:type="dxa"/>
          </w:tcPr>
          <w:p w:rsidR="003D5E13" w:rsidRPr="00E366A5" w:rsidRDefault="007B3EBC" w:rsidP="00AB0CD2">
            <w:pPr>
              <w:pStyle w:val="NoSpacing"/>
              <w:rPr>
                <w:rFonts w:ascii="Book Antiqua" w:hAnsi="Book Antiqua"/>
                <w:b/>
                <w:sz w:val="18"/>
                <w:szCs w:val="18"/>
              </w:rPr>
            </w:pPr>
            <m:oMath>
              <m:sSup>
                <m:sSupPr>
                  <m:ctrlPr>
                    <w:rPr>
                      <w:rFonts w:ascii="Cambria Math" w:hAnsi="Book Antiqua"/>
                      <w:b/>
                      <w:i/>
                      <w:sz w:val="18"/>
                      <w:szCs w:val="18"/>
                    </w:rPr>
                  </m:ctrlPr>
                </m:sSupPr>
                <m:e>
                  <m:r>
                    <m:rPr>
                      <m:sty m:val="bi"/>
                    </m:rPr>
                    <w:rPr>
                      <w:rFonts w:ascii="Cambria Math" w:hAnsi="Cambria Math"/>
                      <w:sz w:val="18"/>
                      <w:szCs w:val="18"/>
                    </w:rPr>
                    <m:t>299</m:t>
                  </m:r>
                  <m:r>
                    <m:rPr>
                      <m:sty m:val="bi"/>
                    </m:rPr>
                    <w:rPr>
                      <w:rFonts w:ascii="Cambria Math" w:hAnsi="Book Antiqua"/>
                      <w:sz w:val="18"/>
                      <w:szCs w:val="18"/>
                    </w:rPr>
                    <m:t>,</m:t>
                  </m:r>
                  <m:r>
                    <m:rPr>
                      <m:sty m:val="bi"/>
                    </m:rPr>
                    <w:rPr>
                      <w:rFonts w:ascii="Cambria Math" w:hAnsi="Cambria Math"/>
                      <w:sz w:val="18"/>
                      <w:szCs w:val="18"/>
                    </w:rPr>
                    <m:t>921</m:t>
                  </m:r>
                </m:e>
                <m:sup>
                  <m:r>
                    <m:rPr>
                      <m:sty m:val="bi"/>
                    </m:rPr>
                    <w:rPr>
                      <w:rFonts w:ascii="Cambria Math" w:hAnsi="Cambria Math"/>
                      <w:sz w:val="18"/>
                      <w:szCs w:val="18"/>
                    </w:rPr>
                    <m:t>A</m:t>
                  </m:r>
                </m:sup>
              </m:sSup>
            </m:oMath>
            <w:r w:rsidR="003D5E13" w:rsidRPr="00E366A5">
              <w:rPr>
                <w:rFonts w:ascii="Book Antiqua" w:hAnsi="Book Antiqua"/>
                <w:b/>
                <w:sz w:val="18"/>
                <w:szCs w:val="18"/>
              </w:rPr>
              <w:t xml:space="preserve"> ± 13</w:t>
            </w:r>
          </w:p>
        </w:tc>
        <w:tc>
          <w:tcPr>
            <w:tcW w:w="3399" w:type="dxa"/>
            <w:gridSpan w:val="2"/>
          </w:tcPr>
          <w:p w:rsidR="003D5E13" w:rsidRPr="00E366A5" w:rsidRDefault="003D5E13" w:rsidP="00AB0CD2">
            <w:pPr>
              <w:pStyle w:val="NoSpacing"/>
              <w:rPr>
                <w:rFonts w:ascii="Book Antiqua" w:hAnsi="Book Antiqua"/>
                <w:b/>
                <w:sz w:val="18"/>
                <w:szCs w:val="18"/>
              </w:rPr>
            </w:pPr>
            <w:r w:rsidRPr="00E366A5">
              <w:rPr>
                <w:rFonts w:ascii="Book Antiqua" w:hAnsi="Book Antiqua"/>
                <w:b/>
                <w:sz w:val="18"/>
                <w:szCs w:val="18"/>
              </w:rPr>
              <w:t>Harvard reduction</w:t>
            </w:r>
          </w:p>
        </w:tc>
      </w:tr>
    </w:tbl>
    <w:p w:rsidR="003D5E13" w:rsidRDefault="003D5E1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541F83" w:rsidRDefault="00541F83" w:rsidP="003D5E13">
      <w:pPr>
        <w:pStyle w:val="NoSpacing"/>
        <w:jc w:val="both"/>
        <w:rPr>
          <w:rFonts w:ascii="Book Antiqua" w:hAnsi="Book Antiqua"/>
          <w:sz w:val="20"/>
        </w:rPr>
      </w:pPr>
    </w:p>
    <w:p w:rsidR="00E366A5" w:rsidRDefault="00E366A5" w:rsidP="003D5E13">
      <w:pPr>
        <w:pStyle w:val="NoSpacing"/>
        <w:jc w:val="both"/>
        <w:rPr>
          <w:rFonts w:ascii="Book Antiqua" w:hAnsi="Book Antiqua"/>
          <w:sz w:val="20"/>
        </w:rPr>
      </w:pPr>
    </w:p>
    <w:p w:rsidR="003D5E13" w:rsidRPr="007F536A" w:rsidRDefault="003D5E13" w:rsidP="00541F83">
      <w:pPr>
        <w:pStyle w:val="NoSpacing"/>
        <w:jc w:val="center"/>
        <w:rPr>
          <w:rStyle w:val="Strong"/>
          <w:rFonts w:ascii="Book Antiqua" w:hAnsi="Book Antiqua"/>
          <w:sz w:val="20"/>
        </w:rPr>
      </w:pPr>
    </w:p>
    <w:p w:rsidR="003D5E13" w:rsidRPr="007F536A" w:rsidRDefault="00541F83" w:rsidP="00541F83">
      <w:pPr>
        <w:pStyle w:val="NoSpacing"/>
        <w:jc w:val="center"/>
        <w:rPr>
          <w:rStyle w:val="Strong"/>
          <w:rFonts w:ascii="Book Antiqua" w:hAnsi="Book Antiqua"/>
          <w:sz w:val="20"/>
        </w:rPr>
      </w:pPr>
      <w:r w:rsidRPr="007F536A">
        <w:rPr>
          <w:rStyle w:val="Strong"/>
          <w:rFonts w:ascii="Book Antiqua" w:hAnsi="Book Antiqua"/>
          <w:noProof/>
          <w:sz w:val="20"/>
        </w:rPr>
        <w:drawing>
          <wp:inline distT="0" distB="0" distL="0" distR="0">
            <wp:extent cx="5813132" cy="3396343"/>
            <wp:effectExtent l="19050" t="0" r="16168" b="0"/>
            <wp:docPr id="7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3D5E13" w:rsidRDefault="003D5E13" w:rsidP="003D5E13">
      <w:pPr>
        <w:pStyle w:val="NoSpacing"/>
        <w:rPr>
          <w:rStyle w:val="Strong"/>
          <w:rFonts w:ascii="Book Antiqua" w:hAnsi="Book Antiqua"/>
          <w:b w:val="0"/>
          <w:sz w:val="18"/>
          <w:szCs w:val="18"/>
        </w:rPr>
      </w:pPr>
    </w:p>
    <w:p w:rsidR="003D5E13" w:rsidRPr="0041498D" w:rsidRDefault="003D5E13" w:rsidP="003D5E13">
      <w:pPr>
        <w:pStyle w:val="NoSpacing"/>
        <w:rPr>
          <w:rStyle w:val="Strong"/>
          <w:rFonts w:ascii="Book Antiqua" w:hAnsi="Book Antiqua"/>
          <w:b w:val="0"/>
          <w:i/>
          <w:sz w:val="18"/>
          <w:szCs w:val="18"/>
        </w:rPr>
      </w:pPr>
      <w:r w:rsidRPr="0041498D">
        <w:rPr>
          <w:rStyle w:val="Strong"/>
          <w:rFonts w:ascii="Book Antiqua" w:hAnsi="Book Antiqua"/>
          <w:i/>
          <w:sz w:val="18"/>
          <w:szCs w:val="18"/>
        </w:rPr>
        <w:t>Figure 5:</w:t>
      </w:r>
      <w:r w:rsidRPr="0041498D">
        <w:rPr>
          <w:rStyle w:val="Strong"/>
          <w:rFonts w:ascii="Book Antiqua" w:hAnsi="Book Antiqua"/>
          <w:b w:val="0"/>
          <w:i/>
          <w:sz w:val="18"/>
          <w:szCs w:val="18"/>
        </w:rPr>
        <w:t xml:space="preserve"> Graph of all Roemer method data from Table 1 with a polynomial fit. The 11</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light-speed in km/s.</w:t>
      </w:r>
    </w:p>
    <w:p w:rsidR="008E1680" w:rsidRPr="007F536A" w:rsidRDefault="008E1680" w:rsidP="008E1680">
      <w:pPr>
        <w:pStyle w:val="NoSpacing"/>
        <w:jc w:val="center"/>
        <w:rPr>
          <w:rStyle w:val="Strong"/>
          <w:rFonts w:ascii="Book Antiqua" w:hAnsi="Book Antiqua"/>
          <w:b w:val="0"/>
          <w:i/>
          <w:sz w:val="20"/>
        </w:rPr>
      </w:pPr>
      <w:r w:rsidRPr="007F536A">
        <w:rPr>
          <w:rStyle w:val="Strong"/>
          <w:rFonts w:ascii="Book Antiqua" w:hAnsi="Book Antiqua"/>
          <w:b w:val="0"/>
          <w:i/>
          <w:noProof/>
          <w:sz w:val="20"/>
        </w:rPr>
        <w:lastRenderedPageBreak/>
        <w:drawing>
          <wp:inline distT="0" distB="0" distL="0" distR="0">
            <wp:extent cx="3752850" cy="3743325"/>
            <wp:effectExtent l="19050" t="0" r="19050" b="0"/>
            <wp:docPr id="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E1680" w:rsidRPr="007F536A" w:rsidRDefault="008E1680" w:rsidP="008E1680">
      <w:pPr>
        <w:pStyle w:val="NoSpacing"/>
        <w:rPr>
          <w:rStyle w:val="Strong"/>
          <w:rFonts w:ascii="Book Antiqua" w:hAnsi="Book Antiqua"/>
          <w:b w:val="0"/>
          <w:i/>
          <w:sz w:val="20"/>
        </w:rPr>
      </w:pPr>
    </w:p>
    <w:p w:rsidR="008E1680" w:rsidRPr="0041498D" w:rsidRDefault="008E1680" w:rsidP="008E1680">
      <w:pPr>
        <w:pStyle w:val="NoSpacing"/>
        <w:rPr>
          <w:rStyle w:val="Strong"/>
          <w:rFonts w:ascii="Book Antiqua" w:hAnsi="Book Antiqua"/>
          <w:b w:val="0"/>
          <w:i/>
          <w:sz w:val="18"/>
          <w:szCs w:val="18"/>
        </w:rPr>
      </w:pPr>
      <w:r w:rsidRPr="0041498D">
        <w:rPr>
          <w:rStyle w:val="Strong"/>
          <w:rFonts w:ascii="Book Antiqua" w:hAnsi="Book Antiqua"/>
          <w:i/>
          <w:sz w:val="18"/>
          <w:szCs w:val="18"/>
        </w:rPr>
        <w:t>Figure 6:</w:t>
      </w:r>
      <w:r w:rsidRPr="0041498D">
        <w:rPr>
          <w:rStyle w:val="Strong"/>
          <w:rFonts w:ascii="Book Antiqua" w:hAnsi="Book Antiqua"/>
          <w:b w:val="0"/>
          <w:i/>
          <w:sz w:val="18"/>
          <w:szCs w:val="18"/>
        </w:rPr>
        <w:t xml:space="preserve">  Graph of Roemer method data from Table 1 omitting the two aberrant values marked #. The 9</w:t>
      </w:r>
      <w:r w:rsidRPr="0041498D">
        <w:rPr>
          <w:rStyle w:val="Strong"/>
          <w:rFonts w:ascii="Book Antiqua" w:hAnsi="Book Antiqua"/>
          <w:b w:val="0"/>
          <w:i/>
          <w:sz w:val="18"/>
          <w:szCs w:val="18"/>
          <w:vertAlign w:val="superscript"/>
        </w:rPr>
        <w:t>th</w:t>
      </w:r>
      <w:r w:rsidRPr="0041498D">
        <w:rPr>
          <w:rStyle w:val="Strong"/>
          <w:rFonts w:ascii="Book Antiqua" w:hAnsi="Book Antiqua"/>
          <w:b w:val="0"/>
          <w:i/>
          <w:sz w:val="18"/>
          <w:szCs w:val="18"/>
        </w:rPr>
        <w:t xml:space="preserve"> point is included in the last datum of 1877. The horizontal axis is the date. The vertical axis is the number of km/s the speed of light was above its present value. A power curve is fitted to the data.</w:t>
      </w:r>
    </w:p>
    <w:p w:rsidR="008E1680" w:rsidRDefault="008E1680" w:rsidP="008E1680">
      <w:pPr>
        <w:pStyle w:val="NoSpacing"/>
        <w:jc w:val="both"/>
        <w:rPr>
          <w:rFonts w:ascii="Book Antiqua" w:hAnsi="Book Antiqua"/>
          <w:sz w:val="20"/>
        </w:rPr>
      </w:pPr>
    </w:p>
    <w:p w:rsidR="00D10A7A" w:rsidRPr="007F536A" w:rsidRDefault="00D10A7A" w:rsidP="00D10A7A">
      <w:pPr>
        <w:pStyle w:val="NoSpacing"/>
        <w:ind w:firstLine="720"/>
        <w:jc w:val="both"/>
        <w:rPr>
          <w:rFonts w:ascii="Book Antiqua" w:hAnsi="Book Antiqua"/>
          <w:sz w:val="20"/>
        </w:rPr>
      </w:pPr>
      <w:r w:rsidRPr="007F536A">
        <w:rPr>
          <w:rFonts w:ascii="Book Antiqua" w:hAnsi="Book Antiqua"/>
          <w:sz w:val="20"/>
        </w:rPr>
        <w:t xml:space="preserve">When treated statistically, the Table 1 values yield the following results: omitting the approximate values of Roemer and Newton, a least squares linear fit to the 9 data points gives a decay of 36.35 km/s per year. When the aberrant values marked # are omitted, the linear fit to the 7 remaining bolded values produces a decay of 28.3 km/s per year with r = -0.945, which is significant at a 99.93% confidence level. Furthermore, the mean of these 7 points is 301,860 km/s which is 2067 km/s above the current value of 299,792.458 km/s. The t-statistic indicates with a confidence of 98.48% that </w:t>
      </w:r>
      <m:oMath>
        <m:r>
          <w:rPr>
            <w:rFonts w:ascii="Cambria Math" w:hAnsi="Cambria Math"/>
            <w:sz w:val="20"/>
          </w:rPr>
          <m:t>c</m:t>
        </m:r>
      </m:oMath>
      <w:r w:rsidRPr="007F536A">
        <w:rPr>
          <w:rFonts w:ascii="Book Antiqua" w:hAnsi="Book Antiqua"/>
          <w:sz w:val="20"/>
        </w:rPr>
        <w:t xml:space="preserve"> has not been constant at the current value during the time covered by these data points. These data are consistent with a slowing trend. This is shown in Figs. 5 and 6 where data are fitted with a polynomial and a power curve. These 7 bolded data, with an A superscripted, have been accepted for the final Table 17.</w:t>
      </w:r>
    </w:p>
    <w:p w:rsidR="00965ABB" w:rsidRPr="007F536A" w:rsidRDefault="00965ABB" w:rsidP="00D10A7A">
      <w:pPr>
        <w:pStyle w:val="NoSpacing"/>
        <w:ind w:firstLine="720"/>
        <w:jc w:val="both"/>
        <w:rPr>
          <w:rFonts w:ascii="Book Antiqua" w:hAnsi="Book Antiqua"/>
          <w:sz w:val="20"/>
        </w:rPr>
      </w:pPr>
    </w:p>
    <w:p w:rsidR="00965ABB" w:rsidRPr="007F536A" w:rsidRDefault="00965ABB" w:rsidP="00965ABB">
      <w:pPr>
        <w:pStyle w:val="NoSpacing"/>
        <w:rPr>
          <w:rFonts w:ascii="Book Antiqua" w:hAnsi="Book Antiqua"/>
          <w:b/>
          <w:bCs/>
          <w:iCs/>
          <w:color w:val="000000"/>
          <w:sz w:val="20"/>
        </w:rPr>
      </w:pPr>
      <w:r w:rsidRPr="007F536A">
        <w:rPr>
          <w:rFonts w:ascii="Book Antiqua" w:hAnsi="Book Antiqua"/>
          <w:b/>
          <w:bCs/>
          <w:iCs/>
          <w:color w:val="000000"/>
          <w:sz w:val="20"/>
        </w:rPr>
        <w:t>Section 2: Bradley and the Aberration  Experiments.</w:t>
      </w:r>
    </w:p>
    <w:p w:rsidR="00965ABB" w:rsidRPr="007F536A" w:rsidRDefault="00965ABB" w:rsidP="00965ABB">
      <w:pPr>
        <w:pStyle w:val="NoSpacing"/>
        <w:jc w:val="center"/>
        <w:rPr>
          <w:rFonts w:ascii="Book Antiqua" w:hAnsi="Book Antiqua"/>
          <w:b/>
          <w:bCs/>
          <w:i/>
          <w:iCs/>
          <w:color w:val="000000"/>
          <w:sz w:val="20"/>
        </w:rPr>
      </w:pPr>
    </w:p>
    <w:p w:rsidR="00965ABB" w:rsidRPr="007F536A" w:rsidRDefault="00965ABB" w:rsidP="00965ABB">
      <w:pPr>
        <w:pStyle w:val="NoSpacing"/>
        <w:jc w:val="both"/>
        <w:rPr>
          <w:rFonts w:ascii="Book Antiqua" w:hAnsi="Book Antiqua"/>
          <w:i/>
          <w:sz w:val="20"/>
        </w:rPr>
      </w:pPr>
      <w:r w:rsidRPr="007F536A">
        <w:rPr>
          <w:rFonts w:ascii="Book Antiqua" w:hAnsi="Book Antiqua"/>
          <w:b/>
          <w:bCs/>
          <w:i/>
          <w:iCs/>
          <w:color w:val="000000"/>
          <w:sz w:val="20"/>
        </w:rPr>
        <w:t>2.1 Parallax and Aberration</w:t>
      </w:r>
    </w:p>
    <w:p w:rsidR="00965ABB" w:rsidRPr="007F536A" w:rsidRDefault="00965ABB" w:rsidP="00965ABB">
      <w:pPr>
        <w:pStyle w:val="NoSpacing"/>
        <w:ind w:left="1080"/>
        <w:rPr>
          <w:rFonts w:ascii="Book Antiqua" w:hAnsi="Book Antiqua"/>
          <w:sz w:val="20"/>
        </w:rPr>
      </w:pPr>
    </w:p>
    <w:p w:rsidR="00D426BC" w:rsidRDefault="00965ABB" w:rsidP="00965ABB">
      <w:pPr>
        <w:pStyle w:val="NoSpacing"/>
        <w:ind w:firstLine="720"/>
        <w:jc w:val="both"/>
        <w:rPr>
          <w:rFonts w:ascii="Book Antiqua" w:hAnsi="Book Antiqua"/>
          <w:sz w:val="20"/>
        </w:rPr>
      </w:pPr>
      <w:r w:rsidRPr="007F536A">
        <w:rPr>
          <w:rFonts w:ascii="Book Antiqua" w:hAnsi="Book Antiqua"/>
          <w:sz w:val="20"/>
        </w:rPr>
        <w:t>If you are looking past a tree, at another tree in the distance, and you move a few feet to the right or the left, it will appear that one of the trees has moved, for they are no longer in the same position relative to each other as they were before.</w:t>
      </w:r>
    </w:p>
    <w:p w:rsidR="00821A88" w:rsidRPr="007F536A" w:rsidRDefault="00821A88" w:rsidP="00965ABB">
      <w:pPr>
        <w:pStyle w:val="NoSpacing"/>
        <w:jc w:val="both"/>
        <w:rPr>
          <w:rFonts w:ascii="Book Antiqua" w:hAnsi="Book Antiqua"/>
          <w:sz w:val="20"/>
        </w:rPr>
      </w:pPr>
    </w:p>
    <w:p w:rsidR="00821A88" w:rsidRPr="007F536A" w:rsidRDefault="00965ABB" w:rsidP="00821A88">
      <w:pPr>
        <w:pStyle w:val="NoSpacing"/>
        <w:ind w:firstLine="720"/>
        <w:jc w:val="both"/>
        <w:rPr>
          <w:rFonts w:ascii="Book Antiqua" w:hAnsi="Book Antiqua"/>
          <w:b/>
          <w:sz w:val="20"/>
        </w:rPr>
      </w:pPr>
      <w:r w:rsidRPr="007F536A">
        <w:rPr>
          <w:rFonts w:ascii="Book Antiqua" w:hAnsi="Book Antiqua"/>
          <w:sz w:val="20"/>
        </w:rPr>
        <w:t>When this is done with stars, the farther star(s) are considered as the unmoving objects and the displacement in the relative position of the nearer object is what is measured.  When this is figured against how far the earth has moved in its orbit during the time of the two</w:t>
      </w:r>
      <w:r w:rsidRPr="007F536A">
        <w:rPr>
          <w:rFonts w:ascii="Book Antiqua" w:hAnsi="Book Antiqua"/>
          <w:b/>
          <w:sz w:val="20"/>
        </w:rPr>
        <w:t xml:space="preserve"> </w:t>
      </w:r>
      <w:r w:rsidRPr="007F536A">
        <w:rPr>
          <w:rFonts w:ascii="Book Antiqua" w:hAnsi="Book Antiqua"/>
          <w:sz w:val="20"/>
        </w:rPr>
        <w:t>measurements, it is mathematically</w:t>
      </w:r>
      <w:r w:rsidRPr="007F536A">
        <w:rPr>
          <w:rFonts w:ascii="Book Antiqua" w:hAnsi="Book Antiqua"/>
          <w:b/>
          <w:sz w:val="20"/>
        </w:rPr>
        <w:t xml:space="preserve"> </w:t>
      </w:r>
      <w:r w:rsidRPr="007F536A">
        <w:rPr>
          <w:rFonts w:ascii="Book Antiqua" w:hAnsi="Book Antiqua"/>
          <w:sz w:val="20"/>
        </w:rPr>
        <w:t xml:space="preserve">possible to figure out how far away the nearer </w:t>
      </w:r>
      <w:r w:rsidRPr="007F536A">
        <w:rPr>
          <w:rFonts w:ascii="Book Antiqua" w:hAnsi="Book Antiqua"/>
          <w:sz w:val="20"/>
        </w:rPr>
        <w:lastRenderedPageBreak/>
        <w:t>object is.   This is called parallax.</w:t>
      </w:r>
      <w:r w:rsidR="00D426BC">
        <w:rPr>
          <w:rFonts w:ascii="Book Antiqua" w:hAnsi="Book Antiqua"/>
          <w:sz w:val="20"/>
        </w:rPr>
        <w:t xml:space="preserve"> </w:t>
      </w:r>
      <w:r w:rsidR="00821A88" w:rsidRPr="007F536A">
        <w:rPr>
          <w:rFonts w:ascii="Book Antiqua" w:hAnsi="Book Antiqua"/>
          <w:sz w:val="20"/>
        </w:rPr>
        <w:t>Parallax only works for objects relatively close to us, but it is a known phenomenon and can be mathematically worked with</w:t>
      </w:r>
      <w:r w:rsidR="00821A88" w:rsidRPr="007F536A">
        <w:rPr>
          <w:rFonts w:ascii="Book Antiqua" w:hAnsi="Book Antiqua"/>
          <w:b/>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Aberration is a type of measurement that also is based on movement, but it is measuring something different.  An everyday example is that when we walk through vertically falling rain with an umbrella, the faster we walk, the more we have to tilt the umbrella as the rain appears to come at us from an increasing angle (see Figure 7). Knowing how fast we are walking and measuring the rain’s angle then tells us how fast the rain is falling. If we walk at a constant rate, then this simple trigonometric relationship tells us that the rain’s speed multiplied by the angle is always a constant value, no matter what the rain does. If the rain falls faster, the angle gets less. If the rain falls more slowly, the angle gets greater. If the walking speed is fixed or constant, then we may write it this way:</w:t>
      </w:r>
    </w:p>
    <w:p w:rsidR="00821A88" w:rsidRPr="007F536A" w:rsidRDefault="00821A88" w:rsidP="00821A88">
      <w:pPr>
        <w:pStyle w:val="NoSpacing"/>
        <w:jc w:val="both"/>
        <w:rPr>
          <w:rFonts w:ascii="Book Antiqua" w:hAnsi="Book Antiqua"/>
          <w:sz w:val="20"/>
        </w:rPr>
      </w:pPr>
    </w:p>
    <w:p w:rsidR="00821A88" w:rsidRPr="007F536A" w:rsidRDefault="007B3EBC" w:rsidP="00821A88">
      <w:pPr>
        <w:pStyle w:val="NoSpacing"/>
        <w:jc w:val="right"/>
        <w:rPr>
          <w:rFonts w:ascii="Book Antiqua" w:hAnsi="Book Antiqua"/>
          <w:sz w:val="20"/>
        </w:rPr>
      </w:pPr>
      <m:oMath>
        <m:d>
          <m:dPr>
            <m:ctrlPr>
              <w:rPr>
                <w:rFonts w:ascii="Cambria Math" w:hAnsi="Book Antiqua"/>
                <w:i/>
                <w:sz w:val="20"/>
              </w:rPr>
            </m:ctrlPr>
          </m:dPr>
          <m:e>
            <m:r>
              <w:rPr>
                <w:rFonts w:ascii="Cambria Math" w:hAnsi="Cambria Math"/>
                <w:sz w:val="20"/>
              </w:rPr>
              <m:t>angle</m:t>
            </m:r>
          </m:e>
        </m:d>
        <m:r>
          <w:rPr>
            <w:rFonts w:ascii="Cambria Math" w:hAnsi="Cambria Math"/>
            <w:sz w:val="20"/>
          </w:rPr>
          <m:t>x</m:t>
        </m:r>
        <m:r>
          <w:rPr>
            <w:rFonts w:ascii="Cambria Math" w:hAnsi="Book Antiqua"/>
            <w:sz w:val="20"/>
          </w:rPr>
          <m:t xml:space="preserve"> </m:t>
        </m:r>
        <m:d>
          <m:dPr>
            <m:ctrlPr>
              <w:rPr>
                <w:rFonts w:ascii="Cambria Math" w:hAnsi="Book Antiqua"/>
                <w:i/>
                <w:sz w:val="20"/>
              </w:rPr>
            </m:ctrlPr>
          </m:dPr>
          <m:e>
            <m:r>
              <w:rPr>
                <w:rFonts w:ascii="Cambria Math" w:hAnsi="Cambria Math"/>
                <w:sz w:val="20"/>
              </w:rPr>
              <m:t>rain</m:t>
            </m:r>
            <m:r>
              <w:rPr>
                <w:rFonts w:ascii="Cambria Math" w:hAnsi="Book Antiqua"/>
                <w:sz w:val="20"/>
              </w:rPr>
              <m:t xml:space="preserve"> </m:t>
            </m:r>
            <m:r>
              <w:rPr>
                <w:rFonts w:ascii="Cambria Math" w:hAnsi="Cambria Math"/>
                <w:sz w:val="20"/>
              </w:rPr>
              <m:t>speed</m:t>
            </m:r>
          </m:e>
        </m:d>
        <m:r>
          <w:rPr>
            <w:rFonts w:ascii="Cambria Math" w:hAnsi="Book Antiqua"/>
            <w:sz w:val="20"/>
          </w:rPr>
          <m:t>=</m:t>
        </m:r>
        <m:r>
          <w:rPr>
            <w:rFonts w:ascii="Cambria Math" w:hAnsi="Cambria Math"/>
            <w:sz w:val="20"/>
          </w:rPr>
          <m:t>constant</m:t>
        </m:r>
        <m:r>
          <w:rPr>
            <w:rFonts w:ascii="Cambria Math" w:hAnsi="Book Antiqua"/>
            <w:sz w:val="20"/>
          </w:rPr>
          <m:t>=</m:t>
        </m:r>
        <m:r>
          <w:rPr>
            <w:rFonts w:ascii="Cambria Math" w:hAnsi="Cambria Math"/>
            <w:sz w:val="20"/>
          </w:rPr>
          <m:t>Q</m:t>
        </m:r>
      </m:oMath>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r w:rsidR="00821A88" w:rsidRPr="007F536A">
        <w:rPr>
          <w:rFonts w:ascii="Book Antiqua" w:hAnsi="Book Antiqua"/>
          <w:sz w:val="20"/>
        </w:rPr>
        <w:tab/>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In other words,</w:t>
      </w:r>
      <m:oMath>
        <m:r>
          <w:rPr>
            <w:rFonts w:ascii="Cambria Math" w:hAnsi="Book Antiqua"/>
            <w:sz w:val="20"/>
          </w:rPr>
          <m:t xml:space="preserve"> </m:t>
        </m:r>
        <m:r>
          <w:rPr>
            <w:rFonts w:ascii="Cambria Math" w:hAnsi="Cambria Math"/>
            <w:sz w:val="20"/>
          </w:rPr>
          <m:t>Q</m:t>
        </m:r>
      </m:oMath>
      <w:r w:rsidRPr="007F536A">
        <w:rPr>
          <w:rFonts w:ascii="Book Antiqua" w:hAnsi="Book Antiqua"/>
          <w:sz w:val="20"/>
        </w:rPr>
        <w:t xml:space="preserve"> is a constant for any given walking speed. This means that, for a fixed walking speed, if the rainspeed dropped the angle must increase since </w:t>
      </w:r>
      <m:oMath>
        <m:r>
          <w:rPr>
            <w:rFonts w:ascii="Cambria Math" w:hAnsi="Cambria Math"/>
            <w:sz w:val="20"/>
          </w:rPr>
          <m:t>Q</m:t>
        </m:r>
      </m:oMath>
      <w:r w:rsidRPr="007F536A">
        <w:rPr>
          <w:rFonts w:ascii="Book Antiqua" w:hAnsi="Book Antiqua"/>
          <w:sz w:val="20"/>
        </w:rPr>
        <w:t xml:space="preserve"> was fixed. </w:t>
      </w:r>
    </w:p>
    <w:p w:rsidR="00821A88" w:rsidRPr="007F536A" w:rsidRDefault="00821A88" w:rsidP="00821A88">
      <w:pPr>
        <w:pStyle w:val="NoSpacing"/>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On earth, we have a north pole, a south pole, and an equator.  Our longitude and latitude lines are drawn in accordance with these.  We do approximately the same thing with outer space.  The circle the earth makes as it goes around the sun is the space “equator” plane.  Our north is then used as the north for space as well, so that everything above our orbital plane is north and everything below it is south.  We cannot really call it ‘above’ and ‘below,’ but we simply use the earth’s north as above and south as below for convenience.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4038600" cy="3305175"/>
            <wp:effectExtent l="19050" t="0" r="0" b="0"/>
            <wp:docPr id="29" name="il_fi" descr="Brad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radley"/>
                    <pic:cNvPicPr>
                      <a:picLocks noChangeAspect="1" noChangeArrowheads="1"/>
                    </pic:cNvPicPr>
                  </pic:nvPicPr>
                  <pic:blipFill>
                    <a:blip r:embed="rId89" cstate="print">
                      <a:lum/>
                    </a:blip>
                    <a:srcRect/>
                    <a:stretch>
                      <a:fillRect/>
                    </a:stretch>
                  </pic:blipFill>
                  <pic:spPr bwMode="auto">
                    <a:xfrm>
                      <a:off x="0" y="0"/>
                      <a:ext cx="4034458" cy="330178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b/>
          <w:sz w:val="20"/>
        </w:rPr>
      </w:pPr>
    </w:p>
    <w:p w:rsidR="00821A88" w:rsidRPr="0041498D" w:rsidRDefault="00821A88" w:rsidP="00821A88">
      <w:pPr>
        <w:pStyle w:val="NoSpacing"/>
        <w:rPr>
          <w:rFonts w:ascii="Book Antiqua" w:hAnsi="Book Antiqua"/>
          <w:i/>
          <w:sz w:val="18"/>
          <w:szCs w:val="18"/>
        </w:rPr>
      </w:pPr>
      <w:r w:rsidRPr="00B65E31">
        <w:rPr>
          <w:rFonts w:ascii="Book Antiqua" w:hAnsi="Book Antiqua"/>
          <w:b/>
          <w:i/>
          <w:sz w:val="18"/>
          <w:szCs w:val="18"/>
        </w:rPr>
        <w:t>Figure 7:</w:t>
      </w:r>
      <w:r w:rsidRPr="0041498D">
        <w:rPr>
          <w:rFonts w:ascii="Book Antiqua" w:hAnsi="Book Antiqua"/>
          <w:i/>
          <w:sz w:val="18"/>
          <w:szCs w:val="18"/>
        </w:rPr>
        <w:t xml:space="preserve"> Aberration angle of rain and starlight compared. TOP: When standing still, the rain is falling vertically. When running, the rain appears to slope towards you and the umbrella must be tilted forward to compensate. BOTTOM: If the telescope is stationary, light photons come from a specified angle. If the telescope is moving, the angle changes so that the photons appear to be sloping more towards the observer.</w:t>
      </w:r>
    </w:p>
    <w:p w:rsidR="00D426BC" w:rsidRPr="007F536A" w:rsidRDefault="00D426BC"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earth moving around the sun at a constant speed is like the person walking through the rain.  Starlight, which would normally be considered to be coming straight down, can be measured with a transit instrument as coming at one angle at a given time of year. Then, 6 months later, the opposite angle is measured for the vertically falling starlight. This is called the aberration of light.  Knowing how fast the earth is going and the angle of the light (from the relative position of the star, which changes as we move in our orbit), the speed of light can then be measured.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3667852" cy="2905125"/>
            <wp:effectExtent l="19050" t="0" r="8798" b="0"/>
            <wp:docPr id="30" name="il_fi" descr="aber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berration"/>
                    <pic:cNvPicPr>
                      <a:picLocks noChangeAspect="1" noChangeArrowheads="1"/>
                    </pic:cNvPicPr>
                  </pic:nvPicPr>
                  <pic:blipFill>
                    <a:blip r:embed="rId90" cstate="print"/>
                    <a:srcRect/>
                    <a:stretch>
                      <a:fillRect/>
                    </a:stretch>
                  </pic:blipFill>
                  <pic:spPr bwMode="auto">
                    <a:xfrm>
                      <a:off x="0" y="0"/>
                      <a:ext cx="3673912" cy="290992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20"/>
        </w:rPr>
      </w:pPr>
      <w:r w:rsidRPr="00B65E31">
        <w:rPr>
          <w:rFonts w:ascii="Book Antiqua" w:hAnsi="Book Antiqua"/>
          <w:b/>
          <w:i/>
          <w:sz w:val="18"/>
          <w:szCs w:val="18"/>
        </w:rPr>
        <w:t>Figure 8:</w:t>
      </w:r>
      <w:r w:rsidRPr="00B65E31">
        <w:rPr>
          <w:rFonts w:ascii="Book Antiqua" w:hAnsi="Book Antiqua"/>
          <w:i/>
          <w:sz w:val="18"/>
          <w:szCs w:val="18"/>
        </w:rPr>
        <w:t xml:space="preserve"> The direction of photons from a star (dashed arrows) appears to change to the solid arrows due to the motion of the earth around the sun. This change in angle can be measured by our telescopes</w:t>
      </w:r>
      <w:r w:rsidRPr="00B65E31">
        <w:rPr>
          <w:rFonts w:ascii="Book Antiqua" w:hAnsi="Book Antiqua"/>
          <w:i/>
          <w:sz w:val="20"/>
        </w:rPr>
        <w:t>.</w:t>
      </w:r>
    </w:p>
    <w:p w:rsidR="001F0E65" w:rsidRPr="007F536A" w:rsidRDefault="001F0E65" w:rsidP="00821A88">
      <w:pPr>
        <w:pStyle w:val="NoSpacing"/>
        <w:ind w:left="1080"/>
        <w:rPr>
          <w:rFonts w:ascii="Book Antiqua" w:hAnsi="Book Antiqua"/>
          <w:i/>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6" w:name="BC"/>
      <w:bookmarkEnd w:id="36"/>
      <w:r w:rsidRPr="007F536A">
        <w:rPr>
          <w:rStyle w:val="Strong"/>
          <w:rFonts w:ascii="Book Antiqua" w:hAnsi="Book Antiqua"/>
          <w:b w:val="0"/>
          <w:i/>
          <w:sz w:val="20"/>
        </w:rPr>
        <w:t>James Bradley’s Circumstances</w:t>
      </w: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1885950" cy="2048933"/>
            <wp:effectExtent l="19050" t="0" r="0" b="0"/>
            <wp:docPr id="31" name="il_fi" descr="http://micro.magnet.fsu.edu/optics/timeline/people/antiqueimages/bra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bradley.jpg"/>
                    <pic:cNvPicPr>
                      <a:picLocks noChangeAspect="1" noChangeArrowheads="1"/>
                    </pic:cNvPicPr>
                  </pic:nvPicPr>
                  <pic:blipFill>
                    <a:blip r:embed="rId91" cstate="print"/>
                    <a:srcRect t="6082" r="2891" b="27014"/>
                    <a:stretch>
                      <a:fillRect/>
                    </a:stretch>
                  </pic:blipFill>
                  <pic:spPr bwMode="auto">
                    <a:xfrm>
                      <a:off x="0" y="0"/>
                      <a:ext cx="1885950" cy="2048933"/>
                    </a:xfrm>
                    <a:prstGeom prst="rect">
                      <a:avLst/>
                    </a:prstGeom>
                    <a:noFill/>
                    <a:ln w="9525">
                      <a:noFill/>
                      <a:miter lim="800000"/>
                      <a:headEnd/>
                      <a:tailEnd/>
                    </a:ln>
                  </pic:spPr>
                </pic:pic>
              </a:graphicData>
            </a:graphic>
          </wp:inline>
        </w:drawing>
      </w:r>
    </w:p>
    <w:p w:rsidR="00821A88" w:rsidRPr="00B65E31" w:rsidRDefault="00821A88" w:rsidP="00821A88">
      <w:pPr>
        <w:pStyle w:val="NoSpacing"/>
        <w:jc w:val="center"/>
        <w:rPr>
          <w:rFonts w:ascii="Book Antiqua" w:hAnsi="Book Antiqua"/>
          <w:sz w:val="20"/>
        </w:rPr>
      </w:pPr>
    </w:p>
    <w:p w:rsidR="00821A88" w:rsidRPr="00AB0CD2" w:rsidRDefault="00821A88" w:rsidP="00541F83">
      <w:pPr>
        <w:pStyle w:val="NoSpacing"/>
        <w:jc w:val="center"/>
        <w:rPr>
          <w:rFonts w:ascii="Book Antiqua" w:hAnsi="Book Antiqua"/>
          <w:i/>
          <w:sz w:val="18"/>
          <w:szCs w:val="18"/>
        </w:rPr>
      </w:pPr>
      <w:r w:rsidRPr="00AB0CD2">
        <w:rPr>
          <w:rFonts w:ascii="Book Antiqua" w:hAnsi="Book Antiqua"/>
          <w:b/>
          <w:i/>
          <w:sz w:val="18"/>
          <w:szCs w:val="18"/>
        </w:rPr>
        <w:t>Figure 9:</w:t>
      </w:r>
      <w:r w:rsidRPr="00AB0CD2">
        <w:rPr>
          <w:rFonts w:ascii="Book Antiqua" w:hAnsi="Book Antiqua"/>
          <w:i/>
          <w:sz w:val="18"/>
          <w:szCs w:val="18"/>
        </w:rPr>
        <w:t xml:space="preserve"> James Bradley (1693-1762).</w:t>
      </w:r>
    </w:p>
    <w:p w:rsidR="00965ABB" w:rsidRPr="007F536A" w:rsidRDefault="00965ABB"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James Bradley was born in 1693, and educated at Balliol College, Oxford [40]. His astronomical instructor was one of the finest of that period in England -- his uncle, the Rev. James Pound. In 1717, Edmond Halley ushered him into the scientific world and by 1721 Bradley had been appointed to the Savilian chair of astronomy at Oxford. He also lectured in experimental philosophy from 1729 until 1760. Upon the death of Halley in 1742, Bradley succeeded to his position as Astronomer Royal.</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that time, the Copernican theory of the earth and planets orbiting the sun was still the subject of some debate. If the idea was correct, the new telescopes held the promise of being able to pick up the apparent displacement of the nearer stars relative to the more distant stars of the stellar background as the earth moved in its orbit. </w:t>
      </w:r>
      <w:r w:rsidR="00F64A8E">
        <w:rPr>
          <w:rFonts w:ascii="Book Antiqua" w:hAnsi="Book Antiqua"/>
          <w:sz w:val="20"/>
        </w:rPr>
        <w:t xml:space="preserve">For this, parallax </w:t>
      </w:r>
      <w:r w:rsidR="00F64A8E">
        <w:rPr>
          <w:rFonts w:ascii="Book Antiqua" w:hAnsi="Book Antiqua"/>
          <w:sz w:val="20"/>
        </w:rPr>
        <w:lastRenderedPageBreak/>
        <w:t xml:space="preserve">could be employed.  About 1671, </w:t>
      </w:r>
      <w:r w:rsidRPr="007F536A">
        <w:rPr>
          <w:rFonts w:ascii="Book Antiqua" w:hAnsi="Book Antiqua"/>
          <w:sz w:val="20"/>
        </w:rPr>
        <w:t>Picard</w:t>
      </w:r>
      <w:r w:rsidR="00F64A8E">
        <w:rPr>
          <w:rFonts w:ascii="Book Antiqua" w:hAnsi="Book Antiqua"/>
          <w:sz w:val="20"/>
        </w:rPr>
        <w:t xml:space="preserve"> </w:t>
      </w:r>
      <w:r w:rsidRPr="007F536A">
        <w:rPr>
          <w:rFonts w:ascii="Book Antiqua" w:hAnsi="Book Antiqua"/>
          <w:sz w:val="20"/>
        </w:rPr>
        <w:t>had noticed annual variations in the position of the pole star but hesitated to attribute them to parallax or refraction [41]. Hooke in 1674 and Flamsteed from 1689 to 1697 decided that parallax was the cause. However, Cassini the Younger and Manfredi, around 1699, carefully noted that the observed variation was opposite to that required for parallax.</w:t>
      </w:r>
    </w:p>
    <w:p w:rsidR="00B64F93" w:rsidRDefault="00B64F93" w:rsidP="00821A88">
      <w:pPr>
        <w:pStyle w:val="NoSpacing"/>
        <w:ind w:firstLine="720"/>
        <w:jc w:val="both"/>
        <w:rPr>
          <w:rFonts w:ascii="Book Antiqua" w:hAnsi="Book Antiqua"/>
          <w:sz w:val="20"/>
        </w:rPr>
      </w:pPr>
    </w:p>
    <w:p w:rsidR="00B64F93" w:rsidRPr="007F536A" w:rsidRDefault="00B64F93" w:rsidP="00821A88">
      <w:pPr>
        <w:pStyle w:val="NoSpacing"/>
        <w:ind w:firstLine="720"/>
        <w:jc w:val="both"/>
        <w:rPr>
          <w:rFonts w:ascii="Book Antiqua" w:hAnsi="Book Antiqua"/>
          <w:sz w:val="20"/>
        </w:rPr>
      </w:pPr>
      <w:r>
        <w:rPr>
          <w:rFonts w:ascii="Book Antiqua" w:hAnsi="Book Antiqua"/>
          <w:sz w:val="20"/>
        </w:rPr>
        <w:t xml:space="preserve">(Note: </w:t>
      </w:r>
      <w:r w:rsidRPr="00B64F93">
        <w:rPr>
          <w:rFonts w:ascii="Book Antiqua" w:hAnsi="Book Antiqua"/>
          <w:sz w:val="20"/>
        </w:rPr>
        <w:t xml:space="preserve">By definition, </w:t>
      </w:r>
      <w:r>
        <w:rPr>
          <w:rFonts w:ascii="Book Antiqua" w:hAnsi="Book Antiqua"/>
          <w:sz w:val="20"/>
        </w:rPr>
        <w:t xml:space="preserve">an arc second is denoted by 1”; </w:t>
      </w:r>
      <w:r w:rsidRPr="00B64F93">
        <w:rPr>
          <w:rFonts w:ascii="Book Antiqua" w:hAnsi="Book Antiqua"/>
          <w:sz w:val="20"/>
        </w:rPr>
        <w:t>60 arc seconds total 1 arc minute</w:t>
      </w:r>
      <w:r>
        <w:rPr>
          <w:rFonts w:ascii="Book Antiqua" w:hAnsi="Book Antiqua"/>
          <w:sz w:val="20"/>
        </w:rPr>
        <w:t xml:space="preserve">, </w:t>
      </w:r>
      <w:r w:rsidRPr="00B64F93">
        <w:rPr>
          <w:rFonts w:ascii="Book Antiqua" w:hAnsi="Book Antiqua"/>
          <w:sz w:val="20"/>
        </w:rPr>
        <w:t>written 1’</w:t>
      </w:r>
      <w:r>
        <w:rPr>
          <w:rFonts w:ascii="Book Antiqua" w:hAnsi="Book Antiqua"/>
          <w:sz w:val="20"/>
        </w:rPr>
        <w:t xml:space="preserve">; </w:t>
      </w:r>
      <w:r w:rsidRPr="00B64F93">
        <w:rPr>
          <w:rFonts w:ascii="Book Antiqua" w:hAnsi="Book Antiqua"/>
          <w:sz w:val="20"/>
        </w:rPr>
        <w:t xml:space="preserve"> while 60 arc minutes equal 1 degree</w:t>
      </w:r>
      <w:r>
        <w:rPr>
          <w:rFonts w:ascii="Book Antiqua" w:hAnsi="Book Antiqua"/>
          <w:sz w:val="20"/>
        </w:rPr>
        <w:t>,</w:t>
      </w:r>
      <w:r w:rsidRPr="00B64F93">
        <w:rPr>
          <w:rFonts w:ascii="Book Antiqua" w:hAnsi="Book Antiqua"/>
          <w:sz w:val="20"/>
        </w:rPr>
        <w:t xml:space="preserve"> </w:t>
      </w:r>
      <m:oMath>
        <m:sSup>
          <m:sSupPr>
            <m:ctrlPr>
              <w:rPr>
                <w:rFonts w:ascii="Cambria Math" w:hAnsi="Book Antiqua"/>
                <w:i/>
                <w:sz w:val="20"/>
              </w:rPr>
            </m:ctrlPr>
          </m:sSupPr>
          <m:e>
            <m:r>
              <w:rPr>
                <w:rFonts w:ascii="Cambria Math" w:hAnsi="Book Antiqua"/>
                <w:sz w:val="20"/>
              </w:rPr>
              <m:t>1</m:t>
            </m:r>
          </m:e>
          <m:sup>
            <m:r>
              <w:rPr>
                <w:rFonts w:ascii="Cambria Math" w:hAnsi="Book Antiqua"/>
                <w:sz w:val="20"/>
              </w:rPr>
              <m:t>0</m:t>
            </m:r>
          </m:sup>
        </m:sSup>
      </m:oMath>
      <w:r w:rsidRPr="00B64F93">
        <w:rPr>
          <w:rFonts w:ascii="Book Antiqua" w:hAnsi="Book Antiqua"/>
          <w:sz w:val="20"/>
        </w:rPr>
        <w:t>. A full circle comprises 360 degrees.</w:t>
      </w:r>
      <w:r>
        <w:rPr>
          <w:rFonts w:ascii="Book Antiqua" w:hAnsi="Book Antiqua"/>
          <w:sz w:val="20"/>
        </w:rPr>
        <w:t>)</w:t>
      </w:r>
    </w:p>
    <w:p w:rsidR="00821A88" w:rsidRPr="007F536A" w:rsidRDefault="00821A88" w:rsidP="00821A88">
      <w:pPr>
        <w:pStyle w:val="NoSpacing"/>
        <w:jc w:val="both"/>
        <w:rPr>
          <w:rFonts w:ascii="Book Antiqua" w:hAnsi="Book Antiqua"/>
          <w:sz w:val="20"/>
        </w:rPr>
      </w:pPr>
      <w:bookmarkStart w:id="37" w:name="OB"/>
      <w:bookmarkEnd w:id="37"/>
    </w:p>
    <w:p w:rsidR="00821A88" w:rsidRPr="007F536A" w:rsidRDefault="00821A88" w:rsidP="00821A88">
      <w:pPr>
        <w:pStyle w:val="NoSpacing"/>
        <w:numPr>
          <w:ilvl w:val="1"/>
          <w:numId w:val="22"/>
        </w:numPr>
        <w:jc w:val="both"/>
        <w:rPr>
          <w:rFonts w:ascii="Book Antiqua" w:hAnsi="Book Antiqua"/>
          <w:i/>
          <w:sz w:val="20"/>
        </w:rPr>
      </w:pPr>
      <w:r w:rsidRPr="007F536A">
        <w:rPr>
          <w:rFonts w:ascii="Book Antiqua" w:hAnsi="Book Antiqua"/>
          <w:i/>
          <w:sz w:val="20"/>
        </w:rPr>
        <w:t>Observing with Bradley</w:t>
      </w:r>
    </w:p>
    <w:p w:rsidR="00821A88" w:rsidRPr="007F536A" w:rsidRDefault="00821A88" w:rsidP="00821A88">
      <w:pPr>
        <w:pStyle w:val="NoSpacing"/>
        <w:ind w:left="108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December of 1725, Samuel Molyneux decided to settle the question of parallax and started observing at Kew with an excellent instrument built by the famous mechanic George Graham. He chose the star Gamma [γ] Draconis since it passed overhead and no correction was needed for refraction. He looked at the star on December 3, 5, 11, and 12 and was joined by Bradley on the 17th. Bradley noted the star was further south on this occasion than Molyneux observed it. Suspecting an instrumental error, he observed again on the 20th. It was even further south than on the 17th. They noted that it was in the opposite sense to what parallax predicted, as well as being at the time of the year when parallax changes would be expected to be minimal [42].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213185" cy="1981200"/>
            <wp:effectExtent l="19050" t="0" r="0" b="0"/>
            <wp:docPr id="1504" name="Picture 1407" descr="http://upload.wikimedia.org/wikipedia/commons/d/d7/Gamma_draco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http://upload.wikimedia.org/wikipedia/commons/d/d7/Gamma_draconis.JPG"/>
                    <pic:cNvPicPr>
                      <a:picLocks noChangeAspect="1" noChangeArrowheads="1"/>
                    </pic:cNvPicPr>
                  </pic:nvPicPr>
                  <pic:blipFill>
                    <a:blip r:embed="rId92" cstate="print"/>
                    <a:srcRect/>
                    <a:stretch>
                      <a:fillRect/>
                    </a:stretch>
                  </pic:blipFill>
                  <pic:spPr bwMode="auto">
                    <a:xfrm>
                      <a:off x="0" y="0"/>
                      <a:ext cx="4213185" cy="1981200"/>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541F83">
      <w:pPr>
        <w:pStyle w:val="NoSpacing"/>
        <w:jc w:val="center"/>
        <w:rPr>
          <w:rFonts w:ascii="Book Antiqua" w:hAnsi="Book Antiqua"/>
          <w:i/>
          <w:sz w:val="18"/>
          <w:szCs w:val="18"/>
        </w:rPr>
      </w:pPr>
      <w:r w:rsidRPr="00B65E31">
        <w:rPr>
          <w:rFonts w:ascii="Book Antiqua" w:hAnsi="Book Antiqua"/>
          <w:b/>
          <w:i/>
          <w:sz w:val="18"/>
          <w:szCs w:val="18"/>
        </w:rPr>
        <w:t>Figure 10:</w:t>
      </w:r>
      <w:r w:rsidRPr="00B65E31">
        <w:rPr>
          <w:rFonts w:ascii="Book Antiqua" w:hAnsi="Book Antiqua"/>
          <w:i/>
          <w:sz w:val="18"/>
          <w:szCs w:val="18"/>
        </w:rPr>
        <w:t xml:space="preserve"> Bradley's data on the north-south component of the aberration of γ-Draconis in 1726-1727 establishing stellar aberration</w:t>
      </w:r>
    </w:p>
    <w:p w:rsidR="00D426BC" w:rsidRDefault="00D426BC" w:rsidP="00965ABB">
      <w:pPr>
        <w:pStyle w:val="NoSpacing"/>
        <w:ind w:firstLine="720"/>
        <w:jc w:val="both"/>
        <w:rPr>
          <w:rFonts w:ascii="Book Antiqua" w:hAnsi="Book Antiqua"/>
          <w:sz w:val="20"/>
        </w:rPr>
      </w:pPr>
    </w:p>
    <w:p w:rsidR="00965ABB" w:rsidRPr="007F536A" w:rsidRDefault="00965ABB" w:rsidP="00965ABB">
      <w:pPr>
        <w:pStyle w:val="NoSpacing"/>
        <w:ind w:firstLine="720"/>
        <w:jc w:val="both"/>
        <w:rPr>
          <w:rFonts w:ascii="Book Antiqua" w:hAnsi="Book Antiqua"/>
          <w:sz w:val="20"/>
        </w:rPr>
      </w:pPr>
      <w:r w:rsidRPr="007F536A">
        <w:rPr>
          <w:rFonts w:ascii="Book Antiqua" w:hAnsi="Book Antiqua"/>
          <w:sz w:val="20"/>
        </w:rPr>
        <w:t>After continued observation and equipment testing, it was concluded that the effect was not instrumental. The star stopped its southerly movement about the beginning of March 1726 when it was found to be about twenty seconds of arc</w:t>
      </w:r>
      <w:r w:rsidR="00B64F93">
        <w:rPr>
          <w:rFonts w:ascii="Book Antiqua" w:hAnsi="Book Antiqua"/>
          <w:sz w:val="20"/>
        </w:rPr>
        <w:t>,</w:t>
      </w:r>
      <w:r w:rsidRPr="007F536A">
        <w:rPr>
          <w:rFonts w:ascii="Book Antiqua" w:hAnsi="Book Antiqua"/>
          <w:sz w:val="20"/>
        </w:rPr>
        <w:t xml:space="preserve">  </w:t>
      </w:r>
      <m:oMath>
        <m:r>
          <w:rPr>
            <w:rFonts w:ascii="Cambria Math" w:hAnsi="Book Antiqua"/>
            <w:sz w:val="20"/>
          </w:rPr>
          <m:t>20</m:t>
        </m:r>
        <m:r>
          <w:rPr>
            <w:rFonts w:ascii="Book Antiqua" w:hAnsi="Book Antiqua"/>
            <w:sz w:val="20"/>
          </w:rPr>
          <m:t>”</m:t>
        </m:r>
      </m:oMath>
      <w:r w:rsidR="00B64F93">
        <w:rPr>
          <w:rFonts w:ascii="Book Antiqua" w:hAnsi="Book Antiqua"/>
          <w:sz w:val="20"/>
        </w:rPr>
        <w:t>,</w:t>
      </w:r>
      <w:r w:rsidRPr="007F536A">
        <w:rPr>
          <w:rFonts w:ascii="Book Antiqua" w:hAnsi="Book Antiqua"/>
          <w:sz w:val="20"/>
        </w:rPr>
        <w:t xml:space="preserve"> further south than in December. The star’s declination then started to increase, moving northward. By June it had returned to the December value. This motion continued until it again became stationary in September, differing by 39” from its March value. By December 1726, it had returned to its original position. The sequence is plotted in Figure 10.</w:t>
      </w:r>
    </w:p>
    <w:p w:rsidR="00965ABB" w:rsidRPr="007F536A" w:rsidRDefault="00965ABB" w:rsidP="00821A88">
      <w:pPr>
        <w:pStyle w:val="NoSpacing"/>
        <w:ind w:firstLine="720"/>
        <w:jc w:val="both"/>
        <w:rPr>
          <w:rFonts w:ascii="Book Antiqua" w:hAnsi="Book Antiqua"/>
          <w:sz w:val="20"/>
        </w:rPr>
      </w:pPr>
    </w:p>
    <w:p w:rsidR="00821A88" w:rsidRPr="007F536A" w:rsidRDefault="00B64F93" w:rsidP="00821A88">
      <w:pPr>
        <w:pStyle w:val="NoSpacing"/>
        <w:ind w:firstLine="720"/>
        <w:jc w:val="both"/>
        <w:rPr>
          <w:rFonts w:ascii="Book Antiqua" w:hAnsi="Book Antiqua"/>
          <w:sz w:val="20"/>
        </w:rPr>
      </w:pPr>
      <w:r>
        <w:rPr>
          <w:rFonts w:ascii="Book Antiqua" w:hAnsi="Book Antiqua"/>
          <w:sz w:val="20"/>
        </w:rPr>
        <w:t>B</w:t>
      </w:r>
      <w:r w:rsidRPr="007F536A">
        <w:rPr>
          <w:rFonts w:ascii="Book Antiqua" w:hAnsi="Book Antiqua"/>
          <w:sz w:val="20"/>
        </w:rPr>
        <w:t>ecause of the immense distances involved, the annual parallax effect is about 100 times smaller for even the nearer stars.</w:t>
      </w:r>
      <w:r>
        <w:rPr>
          <w:rFonts w:ascii="Book Antiqua" w:hAnsi="Book Antiqua"/>
          <w:sz w:val="20"/>
        </w:rPr>
        <w:t xml:space="preserve">  So while the </w:t>
      </w:r>
      <w:r w:rsidRPr="007F536A">
        <w:rPr>
          <w:rFonts w:ascii="Book Antiqua" w:hAnsi="Book Antiqua"/>
          <w:sz w:val="20"/>
        </w:rPr>
        <w:t>annual motion of γ Draconis had been established. Its cause was not parallax.</w:t>
      </w:r>
      <w:r>
        <w:rPr>
          <w:rFonts w:ascii="Book Antiqua" w:hAnsi="Book Antiqua"/>
          <w:sz w:val="20"/>
        </w:rPr>
        <w:t xml:space="preserve"> </w:t>
      </w:r>
      <w:r w:rsidR="00821A88" w:rsidRPr="007F536A">
        <w:rPr>
          <w:rFonts w:ascii="Book Antiqua" w:hAnsi="Book Antiqua"/>
          <w:sz w:val="20"/>
        </w:rPr>
        <w:t>Bradley wondered if nutation (the oscillation of the axis of the earth under the influence of the Moon</w:t>
      </w:r>
      <w:r>
        <w:rPr>
          <w:rFonts w:ascii="Book Antiqua" w:hAnsi="Book Antiqua"/>
          <w:sz w:val="20"/>
        </w:rPr>
        <w:t>, known today to have an 18 year period</w:t>
      </w:r>
      <w:r w:rsidR="00821A88" w:rsidRPr="007F536A">
        <w:rPr>
          <w:rFonts w:ascii="Book Antiqua" w:hAnsi="Book Antiqua"/>
          <w:sz w:val="20"/>
        </w:rPr>
        <w:t xml:space="preserve">) might be responsible. But if what Bradley and Molyneux had observed was nutation, all stars would be affected almost equally.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then ordered another instrument from Graham which could examine stars other than </w:t>
      </w:r>
      <w:r w:rsidR="00B64F93">
        <w:rPr>
          <w:rFonts w:ascii="Book Antiqua" w:hAnsi="Book Antiqua"/>
          <w:sz w:val="20"/>
        </w:rPr>
        <w:t xml:space="preserve">those </w:t>
      </w:r>
      <w:r w:rsidRPr="007F536A">
        <w:rPr>
          <w:rFonts w:ascii="Book Antiqua" w:hAnsi="Book Antiqua"/>
          <w:sz w:val="20"/>
        </w:rPr>
        <w:t xml:space="preserve">on the zenith. In August 1727, he started observing eight stars and found that they described ellipses on the celestial sphere whose major axes were about 40” long and lay parallel to the plane of the earth’s orbit (the ecliptic). However, geometrically speaking, the minor axes of these ellipses were proportional to the sine of the angle between the star’s direction and the ecliptic. Therefore, nutation (or wobble of the earth on its axis) had to be ruled out as the cause of what was being seen as the apparent ellipses of the stars.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It was not until about 20 years later, in 1748, that Bradley confirmed nutation through his observations.  This, then, also confirmed Newton’s Law of Gravitation. [43].</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2"/>
        </w:numPr>
        <w:jc w:val="both"/>
        <w:rPr>
          <w:rStyle w:val="Strong"/>
          <w:rFonts w:ascii="Book Antiqua" w:hAnsi="Book Antiqua"/>
          <w:b w:val="0"/>
          <w:bCs w:val="0"/>
          <w:i/>
          <w:sz w:val="20"/>
        </w:rPr>
      </w:pPr>
      <w:bookmarkStart w:id="38" w:name="BD"/>
      <w:bookmarkEnd w:id="38"/>
      <w:r w:rsidRPr="007F536A">
        <w:rPr>
          <w:rStyle w:val="Strong"/>
          <w:rFonts w:ascii="Book Antiqua" w:hAnsi="Book Antiqua"/>
          <w:b w:val="0"/>
          <w:i/>
          <w:sz w:val="20"/>
        </w:rPr>
        <w:t>Bradley’s Discovery</w:t>
      </w:r>
    </w:p>
    <w:p w:rsidR="00821A88" w:rsidRPr="007F536A" w:rsidRDefault="00821A88" w:rsidP="00821A88">
      <w:pPr>
        <w:pStyle w:val="NoSpacing"/>
        <w:jc w:val="both"/>
        <w:rPr>
          <w:rFonts w:ascii="Book Antiqua" w:hAnsi="Book Antiqua"/>
          <w:sz w:val="20"/>
        </w:rPr>
      </w:pPr>
    </w:p>
    <w:p w:rsidR="00821A88" w:rsidRPr="007F536A" w:rsidRDefault="007079A8" w:rsidP="00821A88">
      <w:pPr>
        <w:pStyle w:val="NoSpacing"/>
        <w:ind w:firstLine="720"/>
        <w:jc w:val="both"/>
        <w:rPr>
          <w:rFonts w:ascii="Book Antiqua" w:hAnsi="Book Antiqua"/>
          <w:sz w:val="20"/>
        </w:rPr>
      </w:pPr>
      <w:r>
        <w:rPr>
          <w:rFonts w:ascii="Book Antiqua" w:hAnsi="Book Antiqua"/>
          <w:sz w:val="20"/>
        </w:rPr>
        <w:t>Legend tells us i</w:t>
      </w:r>
      <w:r w:rsidR="00821A88" w:rsidRPr="007F536A">
        <w:rPr>
          <w:rFonts w:ascii="Book Antiqua" w:hAnsi="Book Antiqua"/>
          <w:sz w:val="20"/>
        </w:rPr>
        <w:t xml:space="preserve">t was against this background, that, in 1727, Bradley was invited to go sailing on the Thames. He had continued to feel perplexed regarding his observations. He became intrigued with the behavior of the flags on the sail boats. Why, when the wind was blowing in a constant direction, did the flags swing to a different direction when the yachts changed course? Upon asking about this, one of the sailors told him that the cause was the net result of the yacht’s motion plus the wind. Bradley started applying this idea to what he had observed astronomically.  If the earth also had an annual motion, Bradley reasoned, then the only other factor, equivalent to the wind, was the light from the stars coming in a constant direction towards the earth.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Since the motion of the earth in its orbit is essentially constant, Bradley knew that this same relationship could be applied to the figures tumbling through his excited mind, provided he used the appropriate units. The aberration angle, </w:t>
      </w:r>
      <m:oMath>
        <m:r>
          <w:rPr>
            <w:rStyle w:val="Emphasis"/>
            <w:rFonts w:ascii="Cambria Math" w:hAnsi="Cambria Math"/>
            <w:sz w:val="20"/>
          </w:rPr>
          <m:t>K</m:t>
        </m:r>
      </m:oMath>
      <w:r w:rsidRPr="007F536A">
        <w:rPr>
          <w:rFonts w:ascii="Book Antiqua" w:hAnsi="Book Antiqua"/>
          <w:sz w:val="20"/>
        </w:rPr>
        <w:t xml:space="preserve">, he had measured from the stars. If the speed of light was </w:t>
      </w:r>
      <m:oMath>
        <m:r>
          <w:rPr>
            <w:rStyle w:val="Emphasis"/>
            <w:rFonts w:ascii="Cambria Math" w:hAnsi="Cambria Math"/>
            <w:sz w:val="20"/>
          </w:rPr>
          <m:t>c</m:t>
        </m:r>
      </m:oMath>
      <w:r w:rsidRPr="007F536A">
        <w:rPr>
          <w:rStyle w:val="Emphasis"/>
          <w:rFonts w:ascii="Book Antiqua" w:hAnsi="Book Antiqua"/>
          <w:sz w:val="20"/>
        </w:rPr>
        <w:t>,</w:t>
      </w:r>
      <w:r w:rsidRPr="007F536A">
        <w:rPr>
          <w:rFonts w:ascii="Book Antiqua" w:hAnsi="Book Antiqua"/>
          <w:sz w:val="20"/>
        </w:rPr>
        <w:t xml:space="preserve"> equivalent to the rain speed, and the angle is K, then as written above </w:t>
      </w:r>
      <m:oMath>
        <m:r>
          <w:rPr>
            <w:rStyle w:val="Emphasis"/>
            <w:rFonts w:ascii="Cambria Math" w:hAnsi="Cambria Math"/>
            <w:sz w:val="20"/>
          </w:rPr>
          <m:t>Kc</m:t>
        </m:r>
        <m:r>
          <w:rPr>
            <w:rStyle w:val="Emphasis"/>
            <w:rFonts w:ascii="Cambria Math" w:hAnsi="Book Antiqua"/>
            <w:sz w:val="20"/>
          </w:rPr>
          <m:t xml:space="preserve"> = </m:t>
        </m:r>
        <m:r>
          <w:rPr>
            <w:rStyle w:val="Emphasis"/>
            <w:rFonts w:ascii="Cambria Math" w:hAnsi="Cambria Math"/>
            <w:sz w:val="20"/>
          </w:rPr>
          <m:t>constant</m:t>
        </m:r>
      </m:oMath>
      <w:r w:rsidRPr="007F536A">
        <w:rPr>
          <w:rFonts w:ascii="Book Antiqua" w:hAnsi="Book Antiqua"/>
          <w:sz w:val="20"/>
        </w:rPr>
        <w:t xml:space="preserve">. On the accepted figures today the result is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where </w:t>
      </w:r>
      <m:oMath>
        <m:r>
          <w:rPr>
            <w:rFonts w:ascii="Cambria Math" w:hAnsi="Cambria Math"/>
            <w:sz w:val="20"/>
          </w:rPr>
          <m:t>K</m:t>
        </m:r>
      </m:oMath>
      <w:r w:rsidRPr="007F536A">
        <w:rPr>
          <w:rFonts w:ascii="Book Antiqua" w:hAnsi="Book Antiqua"/>
          <w:sz w:val="20"/>
        </w:rPr>
        <w:t xml:space="preserve"> is in arc-seconds (</w:t>
      </w:r>
      <m:oMath>
        <m:r>
          <w:rPr>
            <w:rFonts w:ascii="Cambria Math" w:hAnsi="Book Antiqua"/>
            <w:sz w:val="20"/>
          </w:rPr>
          <m:t>20</m:t>
        </m:r>
        <m:r>
          <w:rPr>
            <w:rFonts w:ascii="Book Antiqua" w:hAnsi="Book Antiqua"/>
            <w:sz w:val="20"/>
          </w:rPr>
          <m:t>”</m:t>
        </m:r>
        <m:r>
          <w:rPr>
            <w:rFonts w:ascii="Cambria Math" w:hAnsi="Book Antiqua"/>
            <w:sz w:val="20"/>
          </w:rPr>
          <m:t>.49552</m:t>
        </m:r>
      </m:oMath>
      <w:r w:rsidRPr="007F536A">
        <w:rPr>
          <w:rFonts w:ascii="Book Antiqua" w:hAnsi="Book Antiqua"/>
          <w:sz w:val="20"/>
        </w:rPr>
        <w:t xml:space="preserve">) and </w:t>
      </w:r>
      <m:oMath>
        <m:r>
          <w:rPr>
            <w:rStyle w:val="Emphasis"/>
            <w:rFonts w:ascii="Cambria Math" w:hAnsi="Cambria Math"/>
            <w:sz w:val="20"/>
          </w:rPr>
          <m:t>c</m:t>
        </m:r>
      </m:oMath>
      <w:r w:rsidRPr="007F536A">
        <w:rPr>
          <w:rFonts w:ascii="Book Antiqua" w:hAnsi="Book Antiqua"/>
          <w:sz w:val="20"/>
        </w:rPr>
        <w:t xml:space="preserve"> in kilometers per second (</w:t>
      </w:r>
      <m:oMath>
        <m:r>
          <w:rPr>
            <w:rFonts w:ascii="Cambria Math" w:hAnsi="Book Antiqua"/>
            <w:sz w:val="20"/>
          </w:rPr>
          <m:t>299,792.458</m:t>
        </m:r>
      </m:oMath>
      <w:r w:rsidRPr="007F536A">
        <w:rPr>
          <w:rFonts w:ascii="Book Antiqua" w:hAnsi="Book Antiqua"/>
          <w:sz w:val="20"/>
        </w:rPr>
        <w:t>) [44]. Bradley concluded “</w:t>
      </w:r>
      <w:r w:rsidRPr="007F536A">
        <w:rPr>
          <w:rStyle w:val="Emphasis"/>
          <w:rFonts w:ascii="Book Antiqua" w:hAnsi="Book Antiqua"/>
          <w:sz w:val="20"/>
        </w:rPr>
        <w:t>that Light moves, or is propagated as far as from the Sun to the Earth in 8 minutes, 12 seconds,</w:t>
      </w:r>
      <w:r w:rsidRPr="007F536A">
        <w:rPr>
          <w:rFonts w:ascii="Book Antiqua" w:hAnsi="Book Antiqua"/>
          <w:sz w:val="20"/>
        </w:rPr>
        <w:t xml:space="preserve">”[45]. On today’s figures for orbit radius, this implied that </w:t>
      </w:r>
      <m:oMath>
        <m:r>
          <w:rPr>
            <w:rFonts w:ascii="Cambria Math" w:hAnsi="Cambria Math"/>
            <w:sz w:val="20"/>
          </w:rPr>
          <m:t>c</m:t>
        </m:r>
        <m:r>
          <w:rPr>
            <w:rFonts w:ascii="Cambria Math" w:hAnsi="Book Antiqua"/>
            <w:sz w:val="20"/>
          </w:rPr>
          <m:t xml:space="preserve">  = </m:t>
        </m:r>
        <m:r>
          <m:rPr>
            <m:sty m:val="p"/>
          </m:rPr>
          <w:rPr>
            <w:rFonts w:ascii="Cambria Math" w:hAnsi="Book Antiqua"/>
            <w:sz w:val="20"/>
          </w:rPr>
          <m:t>304,060</m:t>
        </m:r>
        <m:r>
          <w:rPr>
            <w:rFonts w:ascii="Cambria Math" w:hAnsi="Book Antiqua"/>
            <w:sz w:val="20"/>
          </w:rPr>
          <m:t xml:space="preserve"> </m:t>
        </m:r>
        <m:r>
          <w:rPr>
            <w:rFonts w:ascii="Book Antiqua" w:hAnsi="Book Antiqua"/>
            <w:sz w:val="20"/>
          </w:rPr>
          <m:t>±</m:t>
        </m:r>
        <m:r>
          <w:rPr>
            <w:rFonts w:ascii="Cambria Math" w:hAnsi="Book Antiqua"/>
            <w:sz w:val="20"/>
          </w:rPr>
          <m:t xml:space="preserve"> 120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Bradley had confirmed not only the Copernican model for the solar system, but also the hotly debated idea of a finite value for </w:t>
      </w:r>
      <m:oMath>
        <m:r>
          <w:rPr>
            <w:rStyle w:val="Emphasis"/>
            <w:rFonts w:ascii="Cambria Math" w:hAnsi="Cambria Math"/>
            <w:sz w:val="20"/>
          </w:rPr>
          <m:t>c</m:t>
        </m:r>
      </m:oMath>
      <w:r w:rsidRPr="007F536A">
        <w:rPr>
          <w:rFonts w:ascii="Book Antiqua" w:hAnsi="Book Antiqua"/>
          <w:sz w:val="20"/>
        </w:rPr>
        <w:t>. His discovery was published 1 January, 1729.</w:t>
      </w:r>
    </w:p>
    <w:p w:rsidR="00821A88" w:rsidRPr="007F536A" w:rsidRDefault="00821A88" w:rsidP="00821A88">
      <w:pPr>
        <w:pStyle w:val="NoSpacing"/>
        <w:ind w:left="1080"/>
        <w:jc w:val="both"/>
        <w:rPr>
          <w:rStyle w:val="Strong"/>
          <w:rFonts w:ascii="Book Antiqua" w:hAnsi="Book Antiqua"/>
          <w:b w:val="0"/>
          <w:bCs w:val="0"/>
          <w:sz w:val="20"/>
        </w:rPr>
      </w:pPr>
      <w:bookmarkStart w:id="39" w:name="BIR"/>
      <w:bookmarkEnd w:id="39"/>
    </w:p>
    <w:p w:rsidR="00821A88" w:rsidRPr="007F536A" w:rsidRDefault="00821A88" w:rsidP="00821A88">
      <w:pPr>
        <w:pStyle w:val="NoSpacing"/>
        <w:numPr>
          <w:ilvl w:val="1"/>
          <w:numId w:val="22"/>
        </w:numPr>
        <w:jc w:val="both"/>
        <w:rPr>
          <w:rFonts w:ascii="Book Antiqua" w:hAnsi="Book Antiqua"/>
          <w:b/>
          <w:i/>
          <w:sz w:val="20"/>
        </w:rPr>
      </w:pPr>
      <w:r w:rsidRPr="007F536A">
        <w:rPr>
          <w:rStyle w:val="Strong"/>
          <w:rFonts w:ascii="Book Antiqua" w:hAnsi="Book Antiqua"/>
          <w:b w:val="0"/>
          <w:i/>
          <w:sz w:val="20"/>
        </w:rPr>
        <w:t xml:space="preserve"> Bradley’s Initial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Bradley’s observations of aberration go in three periods. First, from 1726 to 1727 </w:t>
      </w:r>
      <w:r w:rsidR="007079A8">
        <w:rPr>
          <w:rFonts w:ascii="Book Antiqua" w:hAnsi="Book Antiqua"/>
          <w:sz w:val="20"/>
        </w:rPr>
        <w:t>which included</w:t>
      </w:r>
      <w:r w:rsidRPr="007F536A">
        <w:rPr>
          <w:rFonts w:ascii="Book Antiqua" w:hAnsi="Book Antiqua"/>
          <w:sz w:val="20"/>
        </w:rPr>
        <w:t xml:space="preserve"> his study of γ Draconis (see Figure 10), then seven other stars at Kew. Second, from 1727 to 1747, </w:t>
      </w:r>
      <w:r w:rsidR="007079A8">
        <w:rPr>
          <w:rFonts w:ascii="Book Antiqua" w:hAnsi="Book Antiqua"/>
          <w:sz w:val="20"/>
        </w:rPr>
        <w:t>involved the study of</w:t>
      </w:r>
      <w:r w:rsidRPr="007F536A">
        <w:rPr>
          <w:rFonts w:ascii="Book Antiqua" w:hAnsi="Book Antiqua"/>
          <w:sz w:val="20"/>
        </w:rPr>
        <w:t xml:space="preserve"> 23 stars at Wanstead in Essex where his uncle</w:t>
      </w:r>
      <w:r w:rsidR="007079A8">
        <w:rPr>
          <w:rFonts w:ascii="Book Antiqua" w:hAnsi="Book Antiqua"/>
          <w:sz w:val="20"/>
        </w:rPr>
        <w:t>, the Rev. James Pound,</w:t>
      </w:r>
      <w:r w:rsidRPr="007F536A">
        <w:rPr>
          <w:rFonts w:ascii="Book Antiqua" w:hAnsi="Book Antiqua"/>
          <w:sz w:val="20"/>
        </w:rPr>
        <w:t xml:space="preserve"> had been Rector. Finally, as Astronomer Royal, Bradley made another series of observations on γ Draconis from 1750 to 1754 from Greenwich.</w:t>
      </w:r>
      <w:r w:rsidR="007079A8">
        <w:rPr>
          <w:rFonts w:ascii="Book Antiqua" w:hAnsi="Book Antiqua"/>
          <w:sz w:val="20"/>
        </w:rPr>
        <w:t xml:space="preserve"> </w:t>
      </w:r>
      <w:r w:rsidR="007079A8" w:rsidRPr="007F536A">
        <w:rPr>
          <w:rFonts w:ascii="Book Antiqua" w:hAnsi="Book Antiqua"/>
          <w:sz w:val="20"/>
        </w:rPr>
        <w:t>(Pound had died during 1724, before his nephew made the all-important discovery for which he had been training him.)</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quotes his result for γ Draconis in period one as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for the major axis when the </w:t>
      </w:r>
      <m:oMath>
        <m:r>
          <w:rPr>
            <w:rFonts w:ascii="Cambria Math" w:hAnsi="Book Antiqua"/>
            <w:sz w:val="20"/>
          </w:rPr>
          <m:t>39</m:t>
        </m:r>
        <m:r>
          <w:rPr>
            <w:rFonts w:ascii="Book Antiqua" w:hAnsi="Book Antiqua"/>
            <w:sz w:val="20"/>
          </w:rPr>
          <m:t>”</m:t>
        </m:r>
      </m:oMath>
      <w:r w:rsidRPr="007F536A">
        <w:rPr>
          <w:rFonts w:ascii="Book Antiqua" w:hAnsi="Book Antiqua"/>
          <w:sz w:val="20"/>
        </w:rPr>
        <w:t xml:space="preserve"> was transferred to the ecliptic pole. When measured in radians, the pure mathematical unit used in some calculations, </w:t>
      </w:r>
      <m:oMath>
        <m:r>
          <w:rPr>
            <w:rFonts w:ascii="Cambria Math" w:hAnsi="Book Antiqua"/>
            <w:sz w:val="20"/>
          </w:rPr>
          <m:t>20.2</m:t>
        </m:r>
      </m:oMath>
      <w:r w:rsidRPr="007F536A">
        <w:rPr>
          <w:rFonts w:ascii="Book Antiqua" w:hAnsi="Book Antiqua"/>
          <w:sz w:val="20"/>
        </w:rPr>
        <w:t xml:space="preserve"> arc seconds becomes </w:t>
      </w:r>
      <m:oMath>
        <m:r>
          <w:rPr>
            <w:rFonts w:ascii="Cambria Math" w:hAnsi="Book Antiqua"/>
            <w:sz w:val="20"/>
          </w:rPr>
          <m:t>1/10210</m:t>
        </m:r>
      </m:oMath>
      <w:r w:rsidRPr="007F536A">
        <w:rPr>
          <w:rFonts w:ascii="Book Antiqua" w:hAnsi="Book Antiqua"/>
          <w:sz w:val="20"/>
        </w:rPr>
        <w:t xml:space="preserve"> radians. From the simple trigonometric relationship used in the example with the flags on the boats, 10210 was also equal to the speed of light, </w:t>
      </w:r>
      <m:oMath>
        <m:r>
          <w:rPr>
            <w:rFonts w:ascii="Cambria Math" w:hAnsi="Cambria Math"/>
            <w:sz w:val="20"/>
          </w:rPr>
          <m:t>c</m:t>
        </m:r>
      </m:oMath>
      <w:r w:rsidRPr="007F536A">
        <w:rPr>
          <w:rFonts w:ascii="Book Antiqua" w:hAnsi="Book Antiqua"/>
          <w:sz w:val="20"/>
        </w:rPr>
        <w:t xml:space="preserve">, divided by the earth’s orbit speed. Thus, if </w:t>
      </w:r>
      <m:oMath>
        <m:r>
          <w:rPr>
            <w:rStyle w:val="Emphasis"/>
            <w:rFonts w:ascii="Cambria Math" w:hAnsi="Cambria Math"/>
            <w:sz w:val="20"/>
          </w:rPr>
          <m:t>V</m:t>
        </m:r>
        <m:r>
          <m:rPr>
            <m:sty m:val="p"/>
          </m:rPr>
          <w:rPr>
            <w:rFonts w:ascii="Cambria Math" w:hAnsi="Book Antiqua"/>
            <w:sz w:val="20"/>
          </w:rPr>
          <m:t xml:space="preserve"> </m:t>
        </m:r>
      </m:oMath>
      <w:r w:rsidRPr="007F536A">
        <w:rPr>
          <w:rFonts w:ascii="Book Antiqua" w:hAnsi="Book Antiqua"/>
          <w:sz w:val="20"/>
        </w:rPr>
        <w:t>is the orbit speed, Bradley could then write</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7F536A" w:rsidRDefault="00821A88" w:rsidP="00821A88">
      <w:pPr>
        <w:pStyle w:val="NoSpacing"/>
        <w:jc w:val="right"/>
        <w:rPr>
          <w:rFonts w:ascii="Book Antiqua" w:hAnsi="Book Antiqua"/>
          <w:sz w:val="20"/>
        </w:rPr>
      </w:pPr>
      <m:oMath>
        <m:r>
          <w:rPr>
            <w:rFonts w:ascii="Cambria Math" w:hAnsi="Cambria Math"/>
            <w:sz w:val="20"/>
          </w:rPr>
          <m:t>c</m:t>
        </m:r>
        <m:r>
          <w:rPr>
            <w:rFonts w:ascii="Cambria Math" w:hAnsi="Book Antiqua"/>
            <w:sz w:val="20"/>
          </w:rPr>
          <m:t>/</m:t>
        </m:r>
        <m:r>
          <w:rPr>
            <w:rFonts w:ascii="Cambria Math" w:hAnsi="Cambria Math"/>
            <w:sz w:val="20"/>
          </w:rPr>
          <m:t>V</m:t>
        </m:r>
        <m:r>
          <w:rPr>
            <w:rFonts w:ascii="Cambria Math" w:hAnsi="Book Antiqua"/>
            <w:sz w:val="20"/>
          </w:rPr>
          <m:t xml:space="preserve"> = 10210</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But orbit speed is equal to distance traveled divided by time taken. The time taken, </w:t>
      </w:r>
      <m:oMath>
        <m:r>
          <w:rPr>
            <w:rFonts w:ascii="Cambria Math" w:hAnsi="Cambria Math"/>
            <w:sz w:val="20"/>
          </w:rPr>
          <m:t>T</m:t>
        </m:r>
      </m:oMath>
      <w:r w:rsidRPr="007F536A">
        <w:rPr>
          <w:rFonts w:ascii="Book Antiqua" w:hAnsi="Book Antiqua"/>
          <w:sz w:val="20"/>
        </w:rPr>
        <w:t xml:space="preserve">, is one year in seconds, that is: </w:t>
      </w:r>
      <m:oMath>
        <m:r>
          <w:rPr>
            <w:rFonts w:ascii="Cambria Math" w:hAnsi="Book Antiqua"/>
            <w:sz w:val="20"/>
          </w:rPr>
          <m:t xml:space="preserve">365.25 </m:t>
        </m:r>
        <m:r>
          <w:rPr>
            <w:rFonts w:ascii="Cambria Math" w:hAnsi="Cambria Math"/>
            <w:sz w:val="20"/>
          </w:rPr>
          <m:t>x</m:t>
        </m:r>
        <m:r>
          <w:rPr>
            <w:rFonts w:ascii="Cambria Math" w:hAnsi="Book Antiqua"/>
            <w:sz w:val="20"/>
          </w:rPr>
          <m:t xml:space="preserve"> 24 </m:t>
        </m:r>
        <m:r>
          <w:rPr>
            <w:rFonts w:ascii="Cambria Math" w:hAnsi="Cambria Math"/>
            <w:sz w:val="20"/>
          </w:rPr>
          <m:t>x</m:t>
        </m:r>
        <m:r>
          <w:rPr>
            <w:rFonts w:ascii="Cambria Math" w:hAnsi="Book Antiqua"/>
            <w:sz w:val="20"/>
          </w:rPr>
          <m:t xml:space="preserve"> 60 </m:t>
        </m:r>
        <m:r>
          <w:rPr>
            <w:rFonts w:ascii="Cambria Math" w:hAnsi="Cambria Math"/>
            <w:sz w:val="20"/>
          </w:rPr>
          <m:t>x</m:t>
        </m:r>
        <m:r>
          <w:rPr>
            <w:rFonts w:ascii="Cambria Math" w:hAnsi="Book Antiqua"/>
            <w:sz w:val="20"/>
          </w:rPr>
          <m:t xml:space="preserve"> 60</m:t>
        </m:r>
      </m:oMath>
      <w:r w:rsidRPr="007F536A">
        <w:rPr>
          <w:rFonts w:ascii="Book Antiqua" w:hAnsi="Book Antiqua"/>
          <w:sz w:val="20"/>
        </w:rPr>
        <w:t xml:space="preserve">. The distance traveled is the circumference of a circle, or </w:t>
      </w:r>
      <m:oMath>
        <m:r>
          <w:rPr>
            <w:rFonts w:ascii="Cambria Math" w:hAnsi="Book Antiqua"/>
            <w:sz w:val="20"/>
          </w:rPr>
          <m:t>2</m:t>
        </m:r>
        <m:r>
          <w:rPr>
            <w:rFonts w:ascii="Cambria Math" w:hAnsi="Cambria Math"/>
            <w:sz w:val="20"/>
          </w:rPr>
          <m:t>πr</m:t>
        </m:r>
      </m:oMath>
      <w:r w:rsidRPr="007F536A">
        <w:rPr>
          <w:rFonts w:ascii="Book Antiqua" w:hAnsi="Book Antiqua"/>
          <w:sz w:val="20"/>
        </w:rPr>
        <w:t>, where</w:t>
      </w:r>
      <w:r w:rsidRPr="007F536A">
        <w:rPr>
          <w:rFonts w:ascii="Book Antiqua" w:hAnsi="Book Antiqua"/>
          <w:i/>
          <w:sz w:val="20"/>
        </w:rPr>
        <w:t xml:space="preserve"> </w:t>
      </w:r>
      <m:oMath>
        <m:r>
          <w:rPr>
            <w:rFonts w:ascii="Cambria Math" w:hAnsi="Cambria Math"/>
            <w:sz w:val="20"/>
          </w:rPr>
          <m:t>r</m:t>
        </m:r>
      </m:oMath>
      <w:r w:rsidRPr="007F536A">
        <w:rPr>
          <w:rFonts w:ascii="Book Antiqua" w:hAnsi="Book Antiqua"/>
          <w:sz w:val="20"/>
        </w:rPr>
        <w:t xml:space="preserve"> is the radius, or the distance of the earth from the sun. Therefore, he could substitute for </w:t>
      </w:r>
      <m:oMath>
        <m:r>
          <w:rPr>
            <w:rFonts w:ascii="Cambria Math" w:hAnsi="Cambria Math"/>
            <w:sz w:val="20"/>
          </w:rPr>
          <m:t>V</m:t>
        </m:r>
      </m:oMath>
      <w:r w:rsidRPr="007F536A">
        <w:rPr>
          <w:rFonts w:ascii="Book Antiqua" w:hAnsi="Book Antiqua"/>
          <w:sz w:val="20"/>
        </w:rPr>
        <w:t xml:space="preserve"> in the first equation and come up with</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sz w:val="20"/>
        </w:rPr>
      </w:pPr>
      <m:oMath>
        <m:r>
          <w:rPr>
            <w:rFonts w:ascii="Cambria Math" w:hAnsi="Cambria Math"/>
            <w:sz w:val="20"/>
          </w:rPr>
          <m:t>Tc</m:t>
        </m:r>
        <m:r>
          <w:rPr>
            <w:rFonts w:ascii="Cambria Math" w:hAnsi="Book Antiqua"/>
            <w:sz w:val="20"/>
          </w:rPr>
          <m:t>/(2</m:t>
        </m:r>
        <m:r>
          <w:rPr>
            <w:rFonts w:ascii="Cambria Math" w:hAnsi="Cambria Math"/>
            <w:sz w:val="20"/>
          </w:rPr>
          <m:t>πr</m:t>
        </m:r>
        <m:r>
          <w:rPr>
            <w:rFonts w:ascii="Cambria Math" w:hAnsi="Book Antiqua"/>
            <w:sz w:val="20"/>
          </w:rPr>
          <m:t>) = 10210</m:t>
        </m:r>
      </m:oMath>
      <w:r w:rsidRPr="007F536A">
        <w:rPr>
          <w:rFonts w:ascii="Book Antiqua" w:hAnsi="Book Antiqua"/>
          <w:i/>
          <w:sz w:val="20"/>
        </w:rPr>
        <w:t xml:space="preserve"> </w:t>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i/>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However, Bradley did not know the distance from the earth to the sun with any degree of accuracy, so</w:t>
      </w:r>
      <w:r w:rsidRPr="007F536A">
        <w:rPr>
          <w:rFonts w:ascii="Book Antiqua" w:hAnsi="Book Antiqua"/>
          <w:i/>
          <w:sz w:val="20"/>
        </w:rPr>
        <w:t xml:space="preserve"> </w:t>
      </w:r>
      <m:oMath>
        <m:r>
          <w:rPr>
            <w:rStyle w:val="Emphasis"/>
            <w:rFonts w:ascii="Cambria Math" w:hAnsi="Cambria Math"/>
            <w:sz w:val="20"/>
          </w:rPr>
          <m:t>r</m:t>
        </m:r>
      </m:oMath>
      <w:r w:rsidRPr="007F536A">
        <w:rPr>
          <w:rFonts w:ascii="Book Antiqua" w:hAnsi="Book Antiqua"/>
          <w:sz w:val="20"/>
        </w:rPr>
        <w:t xml:space="preserve"> was in question. Therefore, the simple way out of the problem was to recognize that if the time taken for light to travel across the orbit radius </w:t>
      </w:r>
      <m:oMath>
        <m:r>
          <w:rPr>
            <w:rStyle w:val="Emphasis"/>
            <w:rFonts w:ascii="Cambria Math" w:hAnsi="Cambria Math"/>
            <w:sz w:val="20"/>
          </w:rPr>
          <m:t>r</m:t>
        </m:r>
      </m:oMath>
      <w:r w:rsidRPr="007F536A">
        <w:rPr>
          <w:rFonts w:ascii="Book Antiqua" w:hAnsi="Book Antiqua"/>
          <w:sz w:val="20"/>
        </w:rPr>
        <w:t xml:space="preserve"> – or that distance – was </w:t>
      </w:r>
      <m:oMath>
        <m:r>
          <w:rPr>
            <w:rStyle w:val="Emphasis"/>
            <w:rFonts w:ascii="Cambria Math" w:hAnsi="Cambria Math"/>
            <w:sz w:val="20"/>
          </w:rPr>
          <m:t>t</m:t>
        </m:r>
      </m:oMath>
      <w:r w:rsidRPr="007F536A">
        <w:rPr>
          <w:rFonts w:ascii="Book Antiqua" w:hAnsi="Book Antiqua"/>
          <w:sz w:val="20"/>
        </w:rPr>
        <w:t xml:space="preserve">, then this equaled distance </w:t>
      </w:r>
      <m:oMath>
        <m:r>
          <w:rPr>
            <w:rStyle w:val="Emphasis"/>
            <w:rFonts w:ascii="Cambria Math" w:hAnsi="Cambria Math"/>
            <w:sz w:val="20"/>
          </w:rPr>
          <m:t>r</m:t>
        </m:r>
      </m:oMath>
      <w:r w:rsidRPr="007F536A">
        <w:rPr>
          <w:rFonts w:ascii="Book Antiqua" w:hAnsi="Book Antiqua"/>
          <w:sz w:val="20"/>
        </w:rPr>
        <w:t xml:space="preserve"> divided by the speed of light,</w:t>
      </w:r>
      <m:oMath>
        <m:r>
          <w:rPr>
            <w:rFonts w:ascii="Cambria Math" w:hAnsi="Book Antiqua"/>
            <w:sz w:val="20"/>
          </w:rPr>
          <m:t xml:space="preserve"> </m:t>
        </m:r>
        <m:r>
          <w:rPr>
            <w:rStyle w:val="Emphasis"/>
            <w:rFonts w:ascii="Cambria Math" w:hAnsi="Cambria Math"/>
            <w:sz w:val="20"/>
          </w:rPr>
          <m:t>c</m:t>
        </m:r>
      </m:oMath>
      <w:r w:rsidRPr="007F536A">
        <w:rPr>
          <w:rFonts w:ascii="Book Antiqua" w:hAnsi="Book Antiqua"/>
          <w:sz w:val="20"/>
        </w:rPr>
        <w:t xml:space="preserve">, or </w:t>
      </w:r>
      <m:oMath>
        <m:r>
          <w:rPr>
            <w:rStyle w:val="Emphasis"/>
            <w:rFonts w:ascii="Cambria Math" w:hAnsi="Cambria Math"/>
            <w:sz w:val="20"/>
          </w:rPr>
          <m:t>r</m:t>
        </m:r>
        <m:r>
          <w:rPr>
            <w:rStyle w:val="Emphasis"/>
            <w:rFonts w:ascii="Cambria Math" w:hAnsi="Book Antiqua"/>
            <w:sz w:val="20"/>
          </w:rPr>
          <m:t>/</m:t>
        </m:r>
        <m:r>
          <w:rPr>
            <w:rStyle w:val="Emphasis"/>
            <w:rFonts w:ascii="Cambria Math" w:hAnsi="Cambria Math"/>
            <w:sz w:val="20"/>
          </w:rPr>
          <m:t>c</m:t>
        </m:r>
      </m:oMath>
      <w:r w:rsidRPr="007F536A">
        <w:rPr>
          <w:rFonts w:ascii="Book Antiqua" w:hAnsi="Book Antiqua"/>
          <w:sz w:val="20"/>
        </w:rPr>
        <w:t xml:space="preserve"> (the inverse of what he already had in the second equation). Thus, he could announce that light took</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 </w:t>
      </w:r>
    </w:p>
    <w:p w:rsidR="00821A88" w:rsidRDefault="00821A88" w:rsidP="00821A88">
      <w:pPr>
        <w:pStyle w:val="NoSpacing"/>
        <w:jc w:val="right"/>
        <w:rPr>
          <w:rFonts w:ascii="Book Antiqua" w:hAnsi="Book Antiqua"/>
          <w:i/>
          <w:sz w:val="20"/>
        </w:rPr>
      </w:pPr>
      <m:oMath>
        <m:r>
          <w:rPr>
            <w:rFonts w:ascii="Cambria Math" w:hAnsi="Cambria Math"/>
            <w:sz w:val="20"/>
          </w:rPr>
          <m:t>t</m:t>
        </m:r>
        <m:r>
          <w:rPr>
            <w:rFonts w:ascii="Cambria Math" w:hAnsi="Book Antiqua"/>
            <w:sz w:val="20"/>
          </w:rPr>
          <m:t xml:space="preserve"> = </m:t>
        </m:r>
        <m:r>
          <w:rPr>
            <w:rFonts w:ascii="Cambria Math" w:hAnsi="Cambria Math"/>
            <w:sz w:val="20"/>
          </w:rPr>
          <m:t>r</m:t>
        </m:r>
        <m:r>
          <w:rPr>
            <w:rFonts w:ascii="Cambria Math" w:hAnsi="Book Antiqua"/>
            <w:sz w:val="20"/>
          </w:rPr>
          <m:t>/</m:t>
        </m:r>
        <m:r>
          <w:rPr>
            <w:rFonts w:ascii="Cambria Math" w:hAnsi="Cambria Math"/>
            <w:sz w:val="20"/>
          </w:rPr>
          <m:t>c</m:t>
        </m:r>
        <m:r>
          <w:rPr>
            <w:rFonts w:ascii="Cambria Math" w:hAnsi="Book Antiqua"/>
            <w:sz w:val="20"/>
          </w:rPr>
          <m:t xml:space="preserve"> = </m:t>
        </m:r>
        <m:r>
          <w:rPr>
            <w:rFonts w:ascii="Cambria Math" w:hAnsi="Cambria Math"/>
            <w:sz w:val="20"/>
          </w:rPr>
          <m:t>T</m:t>
        </m:r>
        <m:r>
          <w:rPr>
            <w:rFonts w:ascii="Cambria Math" w:hAnsi="Book Antiqua"/>
            <w:sz w:val="20"/>
          </w:rPr>
          <m:t xml:space="preserve">/(10210 </m:t>
        </m:r>
        <m:r>
          <w:rPr>
            <w:rFonts w:ascii="Cambria Math" w:hAnsi="Cambria Math"/>
            <w:sz w:val="20"/>
          </w:rPr>
          <m:t>x</m:t>
        </m:r>
        <m:r>
          <w:rPr>
            <w:rFonts w:ascii="Cambria Math" w:hAnsi="Book Antiqua"/>
            <w:sz w:val="20"/>
          </w:rPr>
          <m:t xml:space="preserve"> 2</m:t>
        </m:r>
        <m:r>
          <w:rPr>
            <w:rFonts w:ascii="Cambria Math" w:hAnsi="Cambria Math"/>
            <w:sz w:val="20"/>
          </w:rPr>
          <m:t>π</m:t>
        </m:r>
        <m:r>
          <w:rPr>
            <w:rFonts w:ascii="Cambria Math" w:hAnsi="Book Antiqua"/>
            <w:sz w:val="20"/>
          </w:rPr>
          <m:t xml:space="preserve">) = 8 </m:t>
        </m:r>
        <m:r>
          <w:rPr>
            <w:rFonts w:ascii="Cambria Math" w:hAnsi="Cambria Math"/>
            <w:sz w:val="20"/>
          </w:rPr>
          <m:t>minutes</m:t>
        </m:r>
        <m:r>
          <w:rPr>
            <w:rFonts w:ascii="Cambria Math" w:hAnsi="Book Antiqua"/>
            <w:sz w:val="20"/>
          </w:rPr>
          <m:t xml:space="preserve"> 12 </m:t>
        </m:r>
        <m:r>
          <w:rPr>
            <w:rFonts w:ascii="Cambria Math" w:hAnsi="Cambria Math"/>
            <w:sz w:val="20"/>
          </w:rPr>
          <m:t>seconds</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(3)</w:t>
      </w:r>
    </w:p>
    <w:p w:rsidR="00B77C92" w:rsidRPr="007F536A" w:rsidRDefault="00B77C92" w:rsidP="00821A88">
      <w:pPr>
        <w:pStyle w:val="NoSpacing"/>
        <w:jc w:val="right"/>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to get from sun to earth. Bradley, comparing the two extreme values of Roemer and Cassini for this ‘light equation,’ commented, “</w:t>
      </w:r>
      <w:r w:rsidRPr="007F536A">
        <w:rPr>
          <w:rStyle w:val="Emphasis"/>
          <w:rFonts w:ascii="Book Antiqua" w:hAnsi="Book Antiqua"/>
          <w:sz w:val="20"/>
        </w:rPr>
        <w:t>The Velocity of Light therefore deduced from the foregoing Hypothesis, is as it were a Mean betwixt what had at different times been determined from the Eclipses of Jupiter’s Satellites</w:t>
      </w:r>
      <w:r w:rsidRPr="007F536A">
        <w:rPr>
          <w:rFonts w:ascii="Book Antiqua" w:hAnsi="Book Antiqua"/>
          <w:sz w:val="20"/>
        </w:rPr>
        <w:t>.”[46]</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Bradley noted that the declination of the star was increasing by an arc second in three days, which indicates he could easily measure to </w:t>
      </w:r>
      <m:oMath>
        <m:r>
          <w:rPr>
            <w:rFonts w:ascii="Cambria Math" w:hAnsi="Book Antiqua"/>
            <w:sz w:val="20"/>
          </w:rPr>
          <m:t>0</m:t>
        </m:r>
        <m:r>
          <w:rPr>
            <w:rFonts w:ascii="Book Antiqua" w:hAnsi="Book Antiqua"/>
            <w:sz w:val="20"/>
          </w:rPr>
          <m:t>”</m:t>
        </m:r>
        <m:r>
          <w:rPr>
            <w:rFonts w:ascii="Cambria Math" w:hAnsi="Book Antiqua"/>
            <w:sz w:val="20"/>
          </w:rPr>
          <m:t xml:space="preserve">.3 </m:t>
        </m:r>
      </m:oMath>
      <w:r w:rsidRPr="007F536A">
        <w:rPr>
          <w:rFonts w:ascii="Book Antiqua" w:hAnsi="Book Antiqua"/>
          <w:sz w:val="20"/>
        </w:rPr>
        <w:t xml:space="preserve">as he noted its daily motion. In his letter to Halley [46], he indicated that the above calculation for </w:t>
      </w:r>
      <m:oMath>
        <m:r>
          <w:rPr>
            <w:rStyle w:val="Emphasis"/>
            <w:rFonts w:ascii="Cambria Math" w:hAnsi="Cambria Math"/>
            <w:sz w:val="20"/>
          </w:rPr>
          <m:t>t</m:t>
        </m:r>
      </m:oMath>
      <w:r w:rsidRPr="007F536A">
        <w:rPr>
          <w:rStyle w:val="Emphasis"/>
          <w:rFonts w:ascii="Book Antiqua" w:hAnsi="Book Antiqua"/>
          <w:sz w:val="20"/>
        </w:rPr>
        <w:t xml:space="preserve"> </w:t>
      </w:r>
      <w:r w:rsidRPr="007F536A">
        <w:rPr>
          <w:rFonts w:ascii="Book Antiqua" w:hAnsi="Book Antiqua"/>
          <w:sz w:val="20"/>
        </w:rPr>
        <w:t>could give a result to about 5 seconds, indicating an error of perhaps</w:t>
      </w:r>
      <m:oMath>
        <m:r>
          <w:rPr>
            <w:rFonts w:ascii="Cambria Math" w:hAnsi="Book Antiqua"/>
            <w:sz w:val="20"/>
          </w:rPr>
          <m:t xml:space="preserve"> 0</m:t>
        </m:r>
        <m:r>
          <w:rPr>
            <w:rFonts w:ascii="Book Antiqua" w:hAnsi="Book Antiqua"/>
            <w:sz w:val="20"/>
          </w:rPr>
          <m:t>”</m:t>
        </m:r>
        <m:r>
          <w:rPr>
            <w:rFonts w:ascii="Cambria Math" w:hAnsi="Book Antiqua"/>
            <w:sz w:val="20"/>
          </w:rPr>
          <m:t>.2</m:t>
        </m:r>
      </m:oMath>
      <w:r w:rsidRPr="007F536A">
        <w:rPr>
          <w:rFonts w:ascii="Book Antiqua" w:hAnsi="Book Antiqua"/>
          <w:sz w:val="20"/>
        </w:rPr>
        <w:t xml:space="preserve"> [47]. Other re-workings in Table 3 below reduce the error to</w:t>
      </w:r>
      <m:oMath>
        <m:r>
          <w:rPr>
            <w:rFonts w:ascii="Cambria Math" w:hAnsi="Book Antiqua"/>
            <w:sz w:val="20"/>
          </w:rPr>
          <m:t xml:space="preserve">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.0072</m:t>
        </m:r>
      </m:oMath>
      <w:r w:rsidRPr="007F536A">
        <w:rPr>
          <w:rFonts w:ascii="Book Antiqua" w:hAnsi="Book Antiqua"/>
          <w:sz w:val="20"/>
        </w:rPr>
        <w:t xml:space="preserve">. If we take the probable error as being one-hundredth of an arc second in </w:t>
      </w:r>
      <m:oMath>
        <m:r>
          <w:rPr>
            <w:rFonts w:ascii="Cambria Math" w:hAnsi="Book Antiqua"/>
            <w:sz w:val="20"/>
          </w:rPr>
          <m:t>20</m:t>
        </m:r>
        <m:r>
          <w:rPr>
            <w:rFonts w:ascii="Book Antiqua" w:hAnsi="Book Antiqua"/>
            <w:sz w:val="20"/>
          </w:rPr>
          <m:t>”</m:t>
        </m:r>
        <m:r>
          <w:rPr>
            <w:rFonts w:ascii="Cambria Math" w:hAnsi="Book Antiqua"/>
            <w:sz w:val="20"/>
          </w:rPr>
          <m:t>.20</m:t>
        </m:r>
      </m:oMath>
      <w:r w:rsidRPr="007F536A">
        <w:rPr>
          <w:rFonts w:ascii="Book Antiqua" w:hAnsi="Book Antiqua"/>
          <w:sz w:val="20"/>
        </w:rPr>
        <w:t xml:space="preserve">, then from the formula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a value for </w:t>
      </w:r>
      <w:r w:rsidRPr="007F536A">
        <w:rPr>
          <w:rStyle w:val="Emphasis"/>
          <w:rFonts w:ascii="Book Antiqua" w:hAnsi="Book Antiqua"/>
          <w:sz w:val="20"/>
        </w:rPr>
        <w:t>c</w:t>
      </w:r>
      <w:r w:rsidRPr="007F536A">
        <w:rPr>
          <w:rFonts w:ascii="Book Antiqua" w:hAnsi="Book Antiqua"/>
          <w:sz w:val="20"/>
        </w:rPr>
        <w:t xml:space="preserve"> of </w:t>
      </w:r>
      <m:oMath>
        <m:r>
          <w:rPr>
            <w:rFonts w:ascii="Cambria Math" w:hAnsi="Book Antiqua"/>
            <w:sz w:val="20"/>
          </w:rPr>
          <m:t xml:space="preserve">304,060 </m:t>
        </m:r>
        <m:r>
          <w:rPr>
            <w:rFonts w:ascii="Book Antiqua" w:hAnsi="Book Antiqua"/>
            <w:sz w:val="20"/>
          </w:rPr>
          <m:t>±</m:t>
        </m:r>
        <m:r>
          <w:rPr>
            <w:rFonts w:ascii="Cambria Math" w:hAnsi="Book Antiqua"/>
            <w:sz w:val="20"/>
          </w:rPr>
          <m:t xml:space="preserve"> 150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results from Bradley’s initial work. </w:t>
      </w:r>
    </w:p>
    <w:p w:rsidR="00821A88" w:rsidRPr="007F536A" w:rsidRDefault="00821A88" w:rsidP="00821A88">
      <w:pPr>
        <w:pStyle w:val="NoSpacing"/>
        <w:rPr>
          <w:rFonts w:ascii="Book Antiqua" w:hAnsi="Book Antiqua"/>
          <w:sz w:val="20"/>
        </w:rPr>
      </w:pPr>
    </w:p>
    <w:p w:rsidR="00821A88" w:rsidRPr="00362990" w:rsidRDefault="00821A88" w:rsidP="00821A88">
      <w:pPr>
        <w:pStyle w:val="NoSpacing"/>
        <w:numPr>
          <w:ilvl w:val="1"/>
          <w:numId w:val="22"/>
        </w:numPr>
        <w:rPr>
          <w:rFonts w:ascii="Book Antiqua" w:hAnsi="Book Antiqua"/>
          <w:i/>
          <w:sz w:val="20"/>
        </w:rPr>
      </w:pPr>
      <w:bookmarkStart w:id="40" w:name="results"/>
      <w:bookmarkEnd w:id="40"/>
      <w:r w:rsidRPr="00362990">
        <w:rPr>
          <w:rFonts w:ascii="Book Antiqua" w:hAnsi="Book Antiqua"/>
          <w:i/>
          <w:sz w:val="20"/>
        </w:rPr>
        <w:t>Results on Seven More Stars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His work on γ Draconis in this first period resulted in an aberration angle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.2</m:t>
        </m:r>
      </m:oMath>
      <w:r w:rsidRPr="007F536A">
        <w:rPr>
          <w:rFonts w:ascii="Book Antiqua" w:hAnsi="Book Antiqua"/>
          <w:sz w:val="20"/>
        </w:rPr>
        <w:t xml:space="preserve">.  Bradley </w:t>
      </w:r>
      <w:r w:rsidR="00362990">
        <w:rPr>
          <w:rFonts w:ascii="Book Antiqua" w:hAnsi="Book Antiqua"/>
          <w:sz w:val="20"/>
        </w:rPr>
        <w:t xml:space="preserve">then </w:t>
      </w:r>
      <w:r w:rsidRPr="007F536A">
        <w:rPr>
          <w:rFonts w:ascii="Book Antiqua" w:hAnsi="Book Antiqua"/>
          <w:sz w:val="20"/>
        </w:rPr>
        <w:t xml:space="preserve">examined his treatment of the other seven stars.  This resulted in an alteration of the mean aberration value to </w:t>
      </w:r>
      <m:oMath>
        <m:r>
          <w:rPr>
            <w:rFonts w:ascii="Cambria Math" w:hAnsi="Book Antiqua"/>
            <w:sz w:val="20"/>
          </w:rPr>
          <m:t>20.25</m:t>
        </m:r>
      </m:oMath>
      <w:r w:rsidRPr="007F536A">
        <w:rPr>
          <w:rFonts w:ascii="Book Antiqua" w:hAnsi="Book Antiqua"/>
          <w:sz w:val="20"/>
        </w:rPr>
        <w:t xml:space="preserve"> arc seconds. His results for all eight stars are examined in Table 2. The mean of these results is again </w:t>
      </w:r>
      <m:oMath>
        <m:r>
          <w:rPr>
            <w:rFonts w:ascii="Cambria Math" w:hAnsi="Book Antiqua"/>
            <w:sz w:val="20"/>
          </w:rPr>
          <m:t>20</m:t>
        </m:r>
        <m:r>
          <w:rPr>
            <w:rFonts w:ascii="Book Antiqua" w:hAnsi="Book Antiqua"/>
            <w:sz w:val="20"/>
          </w:rPr>
          <m:t>”</m:t>
        </m:r>
        <m:r>
          <w:rPr>
            <w:rFonts w:ascii="Cambria Math" w:hAnsi="Book Antiqua"/>
            <w:sz w:val="20"/>
          </w:rPr>
          <m:t>.2</m:t>
        </m:r>
      </m:oMath>
      <w:r w:rsidRPr="007F536A">
        <w:rPr>
          <w:rFonts w:ascii="Book Antiqua" w:hAnsi="Book Antiqua"/>
          <w:sz w:val="20"/>
        </w:rPr>
        <w:t xml:space="preserve">, just as for γ Draconis alone. However, Bradley took the extreme limits given by a Tau [τ] Persei estimate and the Alpha [α] Aurigae (Capella) value that contained other errors, and taking the mean of these gave the final value as </w:t>
      </w:r>
      <m:oMath>
        <m:r>
          <w:rPr>
            <w:rFonts w:ascii="Cambria Math" w:hAnsi="Book Antiqua"/>
            <w:sz w:val="20"/>
          </w:rPr>
          <m:t>20</m:t>
        </m:r>
        <m:r>
          <w:rPr>
            <w:rFonts w:ascii="Book Antiqua" w:hAnsi="Book Antiqua"/>
            <w:sz w:val="20"/>
          </w:rPr>
          <m:t>”</m:t>
        </m:r>
        <m:r>
          <w:rPr>
            <w:rFonts w:ascii="Cambria Math" w:hAnsi="Book Antiqua"/>
            <w:sz w:val="20"/>
          </w:rPr>
          <m:t>.25</m:t>
        </m:r>
      </m:oMath>
      <w:r w:rsidRPr="007F536A">
        <w:rPr>
          <w:rFonts w:ascii="Book Antiqua" w:hAnsi="Book Antiqua"/>
          <w:sz w:val="20"/>
        </w:rPr>
        <w:t xml:space="preserve"> for the first period at Kew.</w:t>
      </w:r>
    </w:p>
    <w:p w:rsidR="00821A88" w:rsidRPr="007F536A" w:rsidRDefault="00821A88" w:rsidP="00821A88">
      <w:pPr>
        <w:pStyle w:val="NoSpacing"/>
        <w:ind w:firstLine="360"/>
        <w:jc w:val="both"/>
        <w:rPr>
          <w:rFonts w:ascii="Book Antiqua" w:hAnsi="Book Antiqua"/>
          <w:sz w:val="20"/>
        </w:rPr>
      </w:pPr>
    </w:p>
    <w:p w:rsidR="00821A88" w:rsidRPr="000E5755" w:rsidRDefault="00821A88" w:rsidP="00792D0F">
      <w:pPr>
        <w:pStyle w:val="NoSpacing"/>
        <w:jc w:val="center"/>
        <w:rPr>
          <w:rFonts w:ascii="Book Antiqua" w:hAnsi="Book Antiqua"/>
          <w:b/>
          <w:i/>
          <w:sz w:val="18"/>
          <w:szCs w:val="18"/>
        </w:rPr>
      </w:pPr>
      <w:r w:rsidRPr="00E366A5">
        <w:rPr>
          <w:rFonts w:ascii="Book Antiqua" w:hAnsi="Book Antiqua"/>
          <w:b/>
          <w:sz w:val="18"/>
          <w:szCs w:val="18"/>
        </w:rPr>
        <w:t>TABLE 2:</w:t>
      </w:r>
      <w:r w:rsidRPr="00E366A5">
        <w:rPr>
          <w:rFonts w:ascii="Book Antiqua" w:hAnsi="Book Antiqua"/>
          <w:sz w:val="18"/>
          <w:szCs w:val="18"/>
        </w:rPr>
        <w:t xml:space="preserve"> </w:t>
      </w:r>
      <w:r w:rsidRPr="000E5755">
        <w:rPr>
          <w:rFonts w:ascii="Book Antiqua" w:hAnsi="Book Antiqua"/>
          <w:b/>
          <w:i/>
          <w:sz w:val="18"/>
          <w:szCs w:val="18"/>
        </w:rPr>
        <w:t>Bradley’s Results From 8 Stars At Kew 1726-1727.</w:t>
      </w:r>
    </w:p>
    <w:p w:rsidR="00821A88" w:rsidRPr="007F536A" w:rsidRDefault="00821A88" w:rsidP="00821A88">
      <w:pPr>
        <w:pStyle w:val="NoSpacing"/>
        <w:jc w:val="both"/>
        <w:rPr>
          <w:rFonts w:ascii="Book Antiqua" w:hAnsi="Book Antiqua"/>
          <w:sz w:val="16"/>
          <w:szCs w:val="16"/>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525"/>
        <w:gridCol w:w="1260"/>
        <w:gridCol w:w="1440"/>
        <w:gridCol w:w="1260"/>
        <w:gridCol w:w="1365"/>
      </w:tblGrid>
      <w:tr w:rsidR="00821A88" w:rsidRPr="007F536A" w:rsidTr="00400B4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Star and Comment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Mag.</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Angle Change</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jc w:val="center"/>
              <w:rPr>
                <w:rFonts w:ascii="Book Antiqua" w:hAnsi="Book Antiqua"/>
                <w:b/>
                <w:bCs/>
                <w:i/>
                <w:sz w:val="18"/>
                <w:szCs w:val="18"/>
              </w:rPr>
            </w:pPr>
            <w:r w:rsidRPr="00252CC0">
              <w:rPr>
                <w:rFonts w:ascii="Book Antiqua" w:hAnsi="Book Antiqua"/>
                <w:b/>
                <w:bCs/>
                <w:i/>
                <w:sz w:val="18"/>
                <w:szCs w:val="18"/>
              </w:rPr>
              <w:t>Axis</w:t>
            </w:r>
          </w:p>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Length </w:t>
            </w:r>
          </w:p>
        </w:tc>
        <w:tc>
          <w:tcPr>
            <w:tcW w:w="0" w:type="auto"/>
            <w:tcBorders>
              <w:top w:val="outset" w:sz="6" w:space="0" w:color="auto"/>
              <w:left w:val="outset" w:sz="6" w:space="0" w:color="auto"/>
              <w:bottom w:val="outset" w:sz="6" w:space="0" w:color="auto"/>
              <w:right w:val="outset" w:sz="6" w:space="0" w:color="auto"/>
            </w:tcBorders>
            <w:vAlign w:val="center"/>
            <w:hideMark/>
          </w:tcPr>
          <w:p w:rsidR="00821A88" w:rsidRPr="00252CC0" w:rsidRDefault="00821A88" w:rsidP="00400B4E">
            <w:pPr>
              <w:jc w:val="center"/>
              <w:rPr>
                <w:rFonts w:ascii="Book Antiqua" w:hAnsi="Book Antiqua"/>
                <w:i/>
                <w:sz w:val="18"/>
                <w:szCs w:val="18"/>
              </w:rPr>
            </w:pPr>
            <w:r w:rsidRPr="00252CC0">
              <w:rPr>
                <w:rFonts w:ascii="Book Antiqua" w:hAnsi="Book Antiqua"/>
                <w:b/>
                <w:bCs/>
                <w:i/>
                <w:sz w:val="18"/>
                <w:szCs w:val="18"/>
              </w:rPr>
              <w:t xml:space="preserve">Aberration Angle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35 Camelopardus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6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τ Persei (estimate)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4.5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25”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41”.0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20”.5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β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39”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Persei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23”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40”.2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20”.1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η Ursae Majoris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40”.4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20”.2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Cassiopeiae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34”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40”.8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20”.4 </w:t>
            </w:r>
          </w:p>
        </w:tc>
      </w:tr>
      <w:tr w:rsidR="00821A88" w:rsidRPr="007F536A" w:rsidTr="00400B4E">
        <w:trPr>
          <w:tblCellSpacing w:w="0" w:type="dxa"/>
          <w:jc w:val="center"/>
        </w:trPr>
        <w:tc>
          <w:tcPr>
            <w:tcW w:w="352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α Aurigae (errors)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 </w:t>
            </w:r>
          </w:p>
        </w:tc>
        <w:tc>
          <w:tcPr>
            <w:tcW w:w="144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16” </w:t>
            </w:r>
          </w:p>
        </w:tc>
        <w:tc>
          <w:tcPr>
            <w:tcW w:w="12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40”.0 </w:t>
            </w:r>
          </w:p>
        </w:tc>
        <w:tc>
          <w:tcPr>
            <w:tcW w:w="1365"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jc w:val="center"/>
              <w:rPr>
                <w:rFonts w:ascii="Book Antiqua" w:hAnsi="Book Antiqua"/>
                <w:b/>
                <w:sz w:val="18"/>
                <w:szCs w:val="18"/>
              </w:rPr>
            </w:pPr>
            <w:r w:rsidRPr="00252CC0">
              <w:rPr>
                <w:rFonts w:ascii="Book Antiqua" w:hAnsi="Book Antiqua"/>
                <w:b/>
                <w:sz w:val="18"/>
                <w:szCs w:val="18"/>
              </w:rPr>
              <w:t xml:space="preserve">20”.0 </w:t>
            </w:r>
          </w:p>
        </w:tc>
      </w:tr>
    </w:tbl>
    <w:p w:rsidR="00821A88" w:rsidRPr="007F536A" w:rsidRDefault="00821A88" w:rsidP="00821A88">
      <w:pPr>
        <w:pStyle w:val="NoSpacing"/>
        <w:rPr>
          <w:rFonts w:ascii="Book Antiqua" w:hAnsi="Book Antiqua"/>
          <w:b/>
          <w:bCs/>
          <w:i/>
          <w:sz w:val="20"/>
        </w:rPr>
      </w:pPr>
    </w:p>
    <w:p w:rsidR="00821A88" w:rsidRPr="007F536A" w:rsidRDefault="00821A88" w:rsidP="00821A88">
      <w:pPr>
        <w:pStyle w:val="NoSpacing"/>
        <w:rPr>
          <w:rFonts w:ascii="Book Antiqua" w:hAnsi="Book Antiqua"/>
          <w:i/>
          <w:sz w:val="18"/>
          <w:szCs w:val="18"/>
        </w:rPr>
      </w:pPr>
      <w:r w:rsidRPr="007F536A">
        <w:rPr>
          <w:rFonts w:ascii="Book Antiqua" w:hAnsi="Book Antiqua"/>
          <w:bCs/>
          <w:i/>
          <w:sz w:val="18"/>
          <w:szCs w:val="18"/>
        </w:rPr>
        <w:t xml:space="preserve">Initial announcement on Gamma Draconis data implied </w:t>
      </w:r>
      <m:oMath>
        <m:r>
          <w:rPr>
            <w:rFonts w:ascii="Cambria Math" w:hAnsi="Cambria Math"/>
            <w:sz w:val="18"/>
            <w:szCs w:val="18"/>
          </w:rPr>
          <m:t>c</m:t>
        </m:r>
        <m:r>
          <w:rPr>
            <w:rFonts w:ascii="Cambria Math" w:hAnsi="Book Antiqua"/>
            <w:sz w:val="18"/>
            <w:szCs w:val="18"/>
          </w:rPr>
          <m:t xml:space="preserve"> = 304,060  </m:t>
        </m:r>
        <m:r>
          <w:rPr>
            <w:rFonts w:ascii="Cambria Math" w:hAnsi="Book Antiqua"/>
            <w:sz w:val="18"/>
            <w:szCs w:val="18"/>
          </w:rPr>
          <m:t>±</m:t>
        </m:r>
        <m:r>
          <w:rPr>
            <w:rFonts w:ascii="Cambria Math" w:hAnsi="Book Antiqua"/>
            <w:sz w:val="18"/>
            <w:szCs w:val="18"/>
          </w:rPr>
          <m:t xml:space="preserve"> 150 </m:t>
        </m:r>
        <m:r>
          <w:rPr>
            <w:rFonts w:ascii="Cambria Math" w:hAnsi="Cambria Math"/>
            <w:sz w:val="18"/>
            <w:szCs w:val="18"/>
          </w:rPr>
          <m:t>km</m:t>
        </m:r>
        <m:r>
          <w:rPr>
            <w:rFonts w:ascii="Cambria Math" w:hAnsi="Book Antiqua"/>
            <w:sz w:val="18"/>
            <w:szCs w:val="18"/>
          </w:rPr>
          <m:t>/</m:t>
        </m:r>
        <m:r>
          <w:rPr>
            <w:rFonts w:ascii="Cambria Math" w:hAnsi="Cambria Math"/>
            <w:sz w:val="18"/>
            <w:szCs w:val="18"/>
          </w:rPr>
          <m:t>s</m:t>
        </m:r>
      </m:oMath>
      <w:r w:rsidRPr="007F536A">
        <w:rPr>
          <w:rFonts w:ascii="Book Antiqua" w:hAnsi="Book Antiqua"/>
          <w:sz w:val="18"/>
          <w:szCs w:val="18"/>
        </w:rPr>
        <w:t xml:space="preserve">. </w:t>
      </w:r>
      <w:r w:rsidRPr="007F536A">
        <w:rPr>
          <w:rFonts w:ascii="Book Antiqua" w:hAnsi="Book Antiqua"/>
          <w:bCs/>
          <w:i/>
          <w:sz w:val="18"/>
          <w:szCs w:val="18"/>
        </w:rPr>
        <w:t xml:space="preserve">Mean of 8 stars: 20”.2. Mean of limits: 20”.25 with </w:t>
      </w:r>
      <w:r w:rsidRPr="007F536A">
        <w:rPr>
          <w:rFonts w:ascii="Book Antiqua" w:hAnsi="Book Antiqua"/>
          <w:bCs/>
          <w:i/>
          <w:iCs/>
          <w:sz w:val="18"/>
          <w:szCs w:val="18"/>
        </w:rPr>
        <w:t>c</w:t>
      </w:r>
      <w:r w:rsidRPr="007F536A">
        <w:rPr>
          <w:rFonts w:ascii="Book Antiqua" w:hAnsi="Book Antiqua"/>
          <w:bCs/>
          <w:i/>
          <w:sz w:val="18"/>
          <w:szCs w:val="18"/>
        </w:rPr>
        <w:t xml:space="preserve"> = 303,425 </w:t>
      </w:r>
      <w:r w:rsidRPr="007F536A">
        <w:rPr>
          <w:rFonts w:ascii="Book Antiqua" w:hAnsi="Book Antiqua"/>
          <w:sz w:val="18"/>
          <w:szCs w:val="18"/>
        </w:rPr>
        <w:t xml:space="preserve">  120 </w:t>
      </w:r>
      <w:r w:rsidRPr="007F536A">
        <w:rPr>
          <w:rFonts w:ascii="Book Antiqua" w:hAnsi="Book Antiqua"/>
          <w:bCs/>
          <w:i/>
          <w:sz w:val="18"/>
          <w:szCs w:val="18"/>
        </w:rPr>
        <w:t xml:space="preserve">km/s. Best value comes from Alpha Cassiopeiae as it has the longest major axis and hence the best chance of an accurate measurement. This value is 20”.40 with c = 301,195 </w:t>
      </w:r>
      <w:r w:rsidRPr="007F536A">
        <w:rPr>
          <w:rFonts w:ascii="Book Antiqua" w:hAnsi="Book Antiqua"/>
          <w:sz w:val="18"/>
          <w:szCs w:val="18"/>
        </w:rPr>
        <w:t xml:space="preserve"> ±  150 </w:t>
      </w:r>
      <w:r w:rsidRPr="007F536A">
        <w:rPr>
          <w:rFonts w:ascii="Book Antiqua" w:hAnsi="Book Antiqua"/>
          <w:bCs/>
          <w:i/>
          <w:sz w:val="18"/>
          <w:szCs w:val="18"/>
        </w:rPr>
        <w:t>km/s, for 1727.</w:t>
      </w:r>
    </w:p>
    <w:p w:rsidR="00821A88" w:rsidRPr="007F536A" w:rsidRDefault="00821A88" w:rsidP="00821A88">
      <w:pPr>
        <w:pStyle w:val="NoSpacing"/>
        <w:jc w:val="both"/>
        <w:rPr>
          <w:rFonts w:ascii="Book Antiqua" w:hAnsi="Book Antiqua"/>
          <w:b/>
          <w:sz w:val="20"/>
        </w:rPr>
      </w:pPr>
      <w:bookmarkStart w:id="41" w:name="RBR"/>
      <w:bookmarkEnd w:id="41"/>
    </w:p>
    <w:p w:rsidR="00400B4E" w:rsidRPr="007F536A" w:rsidRDefault="00400B4E" w:rsidP="00400B4E">
      <w:pPr>
        <w:pStyle w:val="NoSpacing"/>
        <w:numPr>
          <w:ilvl w:val="1"/>
          <w:numId w:val="22"/>
        </w:numPr>
        <w:jc w:val="both"/>
        <w:rPr>
          <w:rFonts w:ascii="Book Antiqua" w:hAnsi="Book Antiqua"/>
          <w:b/>
          <w:i/>
          <w:sz w:val="20"/>
        </w:rPr>
      </w:pPr>
      <w:r w:rsidRPr="007F536A">
        <w:rPr>
          <w:rStyle w:val="Strong"/>
          <w:rFonts w:ascii="Book Antiqua" w:hAnsi="Book Antiqua"/>
          <w:b w:val="0"/>
          <w:i/>
          <w:sz w:val="20"/>
        </w:rPr>
        <w:t>Re-processing Bradley’s Results</w:t>
      </w:r>
    </w:p>
    <w:p w:rsidR="00400B4E" w:rsidRPr="007F536A" w:rsidRDefault="00400B4E" w:rsidP="00400B4E">
      <w:pPr>
        <w:pStyle w:val="NoSpacing"/>
        <w:jc w:val="both"/>
        <w:rPr>
          <w:rFonts w:ascii="Book Antiqua" w:hAnsi="Book Antiqua"/>
          <w:sz w:val="20"/>
        </w:rPr>
      </w:pPr>
    </w:p>
    <w:p w:rsidR="00400B4E" w:rsidRDefault="00400B4E" w:rsidP="00400B4E">
      <w:pPr>
        <w:pStyle w:val="NoSpacing"/>
        <w:ind w:firstLine="720"/>
        <w:jc w:val="both"/>
        <w:rPr>
          <w:rFonts w:ascii="Book Antiqua" w:hAnsi="Book Antiqua"/>
          <w:sz w:val="20"/>
        </w:rPr>
      </w:pPr>
      <w:r w:rsidRPr="007F536A">
        <w:rPr>
          <w:rFonts w:ascii="Book Antiqua" w:hAnsi="Book Antiqua"/>
          <w:sz w:val="20"/>
        </w:rPr>
        <w:t xml:space="preserve">Busch, Auwers and Newcomb re-processed Bradley’s first γ Draconis observations. Busch finally obtained, after some significant analysis, determination of mean errors and weighting procedures, a value of </w:t>
      </w:r>
      <m:oMath>
        <m:r>
          <w:rPr>
            <w:rFonts w:ascii="Cambria Math" w:hAnsi="Book Antiqua"/>
            <w:sz w:val="20"/>
          </w:rPr>
          <m:t>20</m:t>
        </m:r>
        <m:r>
          <w:rPr>
            <w:rFonts w:ascii="Book Antiqua" w:hAnsi="Book Antiqua"/>
            <w:sz w:val="20"/>
          </w:rPr>
          <m:t>”</m:t>
        </m:r>
        <m:r>
          <w:rPr>
            <w:rFonts w:ascii="Cambria Math" w:hAnsi="Book Antiqua"/>
            <w:sz w:val="20"/>
          </w:rPr>
          <m:t>.2495</m:t>
        </m:r>
      </m:oMath>
      <w:r w:rsidRPr="007F536A">
        <w:rPr>
          <w:rFonts w:ascii="Book Antiqua" w:hAnsi="Book Antiqua"/>
          <w:sz w:val="20"/>
        </w:rPr>
        <w:t xml:space="preserve">. Auwers criticized Busch’s treatment, made corrections, took into account collimation and screw errors and gave his final result at </w:t>
      </w:r>
      <m:oMath>
        <m:r>
          <w:rPr>
            <w:rFonts w:ascii="Cambria Math" w:hAnsi="Book Antiqua"/>
            <w:sz w:val="20"/>
          </w:rPr>
          <m:t>20</m:t>
        </m:r>
        <m:r>
          <w:rPr>
            <w:rFonts w:ascii="Book Antiqua" w:hAnsi="Book Antiqua"/>
            <w:sz w:val="20"/>
          </w:rPr>
          <m:t>”</m:t>
        </m:r>
        <m:r>
          <w:rPr>
            <w:rFonts w:ascii="Cambria Math" w:hAnsi="Book Antiqua"/>
            <w:sz w:val="20"/>
          </w:rPr>
          <m:t>.3851</m:t>
        </m:r>
      </m:oMath>
      <w:r w:rsidRPr="007F536A">
        <w:rPr>
          <w:rFonts w:ascii="Book Antiqua" w:hAnsi="Book Antiqua"/>
          <w:sz w:val="20"/>
        </w:rPr>
        <w:t xml:space="preserve">. Newcomb applied a further correction and obtained </w:t>
      </w:r>
      <m:oMath>
        <m:r>
          <w:rPr>
            <w:rFonts w:ascii="Cambria Math" w:hAnsi="Book Antiqua"/>
            <w:sz w:val="20"/>
          </w:rPr>
          <m:t>20</m:t>
        </m:r>
        <m:r>
          <w:rPr>
            <w:rFonts w:ascii="Book Antiqua" w:hAnsi="Book Antiqua"/>
            <w:sz w:val="20"/>
          </w:rPr>
          <m:t>”</m:t>
        </m:r>
        <m:r>
          <w:rPr>
            <w:rFonts w:ascii="Cambria Math" w:hAnsi="Book Antiqua"/>
            <w:sz w:val="20"/>
          </w:rPr>
          <m:t>.53</m:t>
        </m:r>
      </m:oMath>
      <w:r w:rsidRPr="007F536A">
        <w:rPr>
          <w:rFonts w:ascii="Book Antiqua" w:hAnsi="Book Antiqua"/>
          <w:sz w:val="20"/>
        </w:rPr>
        <w:t xml:space="preserve"> for the aberration constant. However, Auwers had the best accuracy, so his figure is accepted as the best 1727 value for γ Draconis. This gives </w:t>
      </w:r>
      <m:oMath>
        <m:r>
          <w:rPr>
            <w:rFonts w:ascii="Cambria Math" w:hAnsi="Cambria Math"/>
            <w:sz w:val="20"/>
          </w:rPr>
          <m:t>c</m:t>
        </m:r>
        <m:r>
          <w:rPr>
            <w:rFonts w:ascii="Cambria Math" w:hAnsi="Book Antiqua"/>
            <w:sz w:val="20"/>
          </w:rPr>
          <m:t xml:space="preserve"> = 301,415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good accord with </w:t>
      </w:r>
      <m:oMath>
        <m:r>
          <w:rPr>
            <w:rFonts w:ascii="Cambria Math" w:hAnsi="Cambria Math"/>
            <w:sz w:val="20"/>
          </w:rPr>
          <m:t>c</m:t>
        </m:r>
        <m:r>
          <w:rPr>
            <w:rFonts w:ascii="Cambria Math" w:hAnsi="Book Antiqua"/>
            <w:sz w:val="20"/>
          </w:rPr>
          <m:t xml:space="preserve"> =</m:t>
        </m:r>
        <m:r>
          <m:rPr>
            <m:sty m:val="bi"/>
          </m:rPr>
          <w:rPr>
            <w:rFonts w:ascii="Cambria Math" w:hAnsi="Book Antiqua"/>
            <w:sz w:val="20"/>
          </w:rPr>
          <m:t xml:space="preserve"> </m:t>
        </m:r>
        <m:r>
          <w:rPr>
            <w:rFonts w:ascii="Cambria Math" w:hAnsi="Book Antiqua"/>
            <w:sz w:val="20"/>
          </w:rPr>
          <m:t xml:space="preserve">301,195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from Alpha Cassiopeiae in Table 2</w:t>
      </w:r>
      <w:r w:rsidR="00D426BC">
        <w:rPr>
          <w:rFonts w:ascii="Book Antiqua" w:hAnsi="Book Antiqua"/>
          <w:sz w:val="20"/>
        </w:rPr>
        <w:t>.</w:t>
      </w:r>
    </w:p>
    <w:p w:rsidR="00D426BC" w:rsidRDefault="00D426BC" w:rsidP="00400B4E">
      <w:pPr>
        <w:pStyle w:val="NoSpacing"/>
        <w:ind w:firstLine="720"/>
        <w:jc w:val="both"/>
        <w:rPr>
          <w:rFonts w:ascii="Book Antiqua" w:hAnsi="Book Antiqua"/>
          <w:sz w:val="20"/>
        </w:rPr>
      </w:pPr>
    </w:p>
    <w:p w:rsidR="00D426BC" w:rsidRPr="007F536A" w:rsidRDefault="00D426BC" w:rsidP="00D426BC">
      <w:pPr>
        <w:pStyle w:val="NoSpacing"/>
        <w:ind w:firstLine="720"/>
        <w:jc w:val="both"/>
        <w:rPr>
          <w:rFonts w:ascii="Book Antiqua" w:hAnsi="Book Antiqua"/>
          <w:sz w:val="20"/>
        </w:rPr>
      </w:pPr>
      <w:r w:rsidRPr="007F536A">
        <w:rPr>
          <w:rFonts w:ascii="Book Antiqua" w:hAnsi="Book Antiqua"/>
          <w:sz w:val="20"/>
        </w:rPr>
        <w:t xml:space="preserve">A similar procedure gave Busch a value of 20.2050 arc seconds for the second period results, while Auwers’ criticism and re-processing gave a result of </w:t>
      </w:r>
      <m:oMath>
        <m:r>
          <w:rPr>
            <w:rFonts w:ascii="Cambria Math" w:hAnsi="Book Antiqua"/>
            <w:sz w:val="20"/>
          </w:rPr>
          <m:t>20</m:t>
        </m:r>
        <m:r>
          <w:rPr>
            <w:rFonts w:ascii="Book Antiqua" w:hAnsi="Book Antiqua"/>
            <w:sz w:val="20"/>
          </w:rPr>
          <m:t>”</m:t>
        </m:r>
        <m:r>
          <w:rPr>
            <w:rFonts w:ascii="Cambria Math" w:hAnsi="Book Antiqua"/>
            <w:sz w:val="20"/>
          </w:rPr>
          <m:t>.460</m:t>
        </m:r>
      </m:oMath>
      <w:r w:rsidRPr="007F536A">
        <w:rPr>
          <w:rFonts w:ascii="Book Antiqua" w:hAnsi="Book Antiqua"/>
          <w:sz w:val="20"/>
        </w:rPr>
        <w:t>. The observations of the third period were treated by Bessel and Peters. Both rejected the observations of 20, 21, and 23 February, 1754, as they “</w:t>
      </w:r>
      <w:r w:rsidRPr="007F536A">
        <w:rPr>
          <w:rStyle w:val="Emphasis"/>
          <w:rFonts w:ascii="Book Antiqua" w:hAnsi="Book Antiqua"/>
          <w:sz w:val="20"/>
        </w:rPr>
        <w:t>disagree with the rest and give large remainders</w:t>
      </w:r>
      <w:r w:rsidRPr="007F536A">
        <w:rPr>
          <w:rFonts w:ascii="Book Antiqua" w:hAnsi="Book Antiqua"/>
          <w:sz w:val="20"/>
        </w:rPr>
        <w:t>.”[48</w:t>
      </w:r>
      <w:bookmarkStart w:id="42" w:name="nine"/>
      <w:bookmarkEnd w:id="42"/>
      <w:r w:rsidRPr="007F536A">
        <w:rPr>
          <w:rFonts w:ascii="Book Antiqua" w:hAnsi="Book Antiqua"/>
          <w:sz w:val="20"/>
        </w:rPr>
        <w:t xml:space="preserve">] They respectively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.475</m:t>
        </m:r>
      </m:oMath>
      <w:r w:rsidRPr="007F536A">
        <w:rPr>
          <w:rFonts w:ascii="Book Antiqua" w:hAnsi="Book Antiqua"/>
          <w:sz w:val="20"/>
        </w:rPr>
        <w:t xml:space="preserve"> and 20.522 arc seconds. The final average value, omitting both </w:t>
      </w:r>
      <w:r w:rsidRPr="007F536A">
        <w:rPr>
          <w:rFonts w:ascii="Book Antiqua" w:hAnsi="Book Antiqua"/>
          <w:sz w:val="20"/>
        </w:rPr>
        <w:lastRenderedPageBreak/>
        <w:t xml:space="preserve">of Busch’s disputed re-workings, was </w:t>
      </w:r>
      <m:oMath>
        <m:r>
          <w:rPr>
            <w:rFonts w:ascii="Cambria Math" w:hAnsi="Book Antiqua"/>
            <w:sz w:val="20"/>
          </w:rPr>
          <m:t>20</m:t>
        </m:r>
        <m:r>
          <w:rPr>
            <w:rFonts w:ascii="Book Antiqua" w:hAnsi="Book Antiqua"/>
            <w:sz w:val="20"/>
          </w:rPr>
          <m:t>”</m:t>
        </m:r>
        <m:r>
          <w:rPr>
            <w:rFonts w:ascii="Cambria Math" w:hAnsi="Book Antiqua"/>
            <w:sz w:val="20"/>
          </w:rPr>
          <m:t>.437</m:t>
        </m:r>
      </m:oMath>
      <w:r w:rsidRPr="007F536A">
        <w:rPr>
          <w:rFonts w:ascii="Book Antiqua" w:hAnsi="Book Antiqua"/>
          <w:sz w:val="20"/>
        </w:rPr>
        <w:t xml:space="preserve"> for a mean date of 1740. This makes </w:t>
      </w:r>
      <m:oMath>
        <m:r>
          <w:rPr>
            <w:rStyle w:val="Emphasis"/>
            <w:rFonts w:ascii="Cambria Math" w:hAnsi="Cambria Math"/>
            <w:sz w:val="20"/>
          </w:rPr>
          <m:t>c</m:t>
        </m:r>
        <m:r>
          <w:rPr>
            <w:rStyle w:val="Emphasis"/>
            <w:rFonts w:ascii="Cambria Math" w:hAnsi="Book Antiqua"/>
            <w:sz w:val="20"/>
          </w:rPr>
          <m:t xml:space="preserve"> = 300,650</m:t>
        </m:r>
        <m:r>
          <m:rPr>
            <m:sty m:val="p"/>
          </m:rPr>
          <w:rPr>
            <w:rFonts w:ascii="Cambria Math" w:hAnsi="Book Antiqua"/>
            <w:sz w:val="20"/>
          </w:rPr>
          <m:t xml:space="preserve"> km/s.</m:t>
        </m:r>
      </m:oMath>
      <w:r w:rsidRPr="007F536A">
        <w:rPr>
          <w:rFonts w:ascii="Book Antiqua" w:hAnsi="Book Antiqua"/>
          <w:sz w:val="20"/>
        </w:rPr>
        <w:t xml:space="preserve"> Table 3 lists the data [49].</w:t>
      </w:r>
    </w:p>
    <w:p w:rsidR="00D426BC" w:rsidRDefault="00D426BC" w:rsidP="00400B4E">
      <w:pPr>
        <w:pStyle w:val="NoSpacing"/>
        <w:ind w:firstLine="720"/>
        <w:jc w:val="both"/>
        <w:rPr>
          <w:rFonts w:ascii="Book Antiqua" w:hAnsi="Book Antiqua"/>
          <w:sz w:val="20"/>
        </w:rPr>
      </w:pPr>
    </w:p>
    <w:p w:rsidR="00D426BC" w:rsidRPr="007F536A" w:rsidRDefault="00D426BC" w:rsidP="00400B4E">
      <w:pPr>
        <w:pStyle w:val="NoSpacing"/>
        <w:ind w:firstLine="720"/>
        <w:jc w:val="both"/>
        <w:rPr>
          <w:rFonts w:ascii="Book Antiqua" w:hAnsi="Book Antiqua"/>
          <w:sz w:val="20"/>
        </w:rPr>
      </w:pPr>
    </w:p>
    <w:p w:rsidR="00821A88" w:rsidRPr="00252CC0" w:rsidRDefault="00821A88" w:rsidP="00E76E36">
      <w:pPr>
        <w:pStyle w:val="NoSpacing"/>
        <w:jc w:val="center"/>
        <w:rPr>
          <w:rFonts w:ascii="Book Antiqua" w:hAnsi="Book Antiqua"/>
          <w:sz w:val="18"/>
          <w:szCs w:val="18"/>
        </w:rPr>
      </w:pPr>
      <w:r w:rsidRPr="00252CC0">
        <w:rPr>
          <w:rFonts w:ascii="Book Antiqua" w:hAnsi="Book Antiqua"/>
          <w:b/>
          <w:sz w:val="18"/>
          <w:szCs w:val="18"/>
        </w:rPr>
        <w:t>TABLE 3:</w:t>
      </w:r>
      <w:r w:rsidRPr="00252CC0">
        <w:rPr>
          <w:rFonts w:ascii="Book Antiqua" w:hAnsi="Book Antiqua"/>
          <w:sz w:val="18"/>
          <w:szCs w:val="18"/>
        </w:rPr>
        <w:t xml:space="preserve"> </w:t>
      </w:r>
      <w:r w:rsidRPr="000E5755">
        <w:rPr>
          <w:rFonts w:ascii="Book Antiqua" w:hAnsi="Book Antiqua"/>
          <w:b/>
          <w:i/>
          <w:sz w:val="18"/>
          <w:szCs w:val="18"/>
        </w:rPr>
        <w:t>Results Of Bradley’s Observations</w:t>
      </w:r>
      <w:r w:rsidRPr="00252CC0">
        <w:rPr>
          <w:rFonts w:ascii="Book Antiqua" w:hAnsi="Book Antiqua"/>
          <w:sz w:val="18"/>
          <w:szCs w:val="18"/>
        </w:rPr>
        <w:t>.</w:t>
      </w:r>
    </w:p>
    <w:p w:rsidR="00821A88" w:rsidRPr="007F536A" w:rsidRDefault="00821A88" w:rsidP="00821A88">
      <w:pPr>
        <w:pStyle w:val="NoSpacing"/>
        <w:jc w:val="both"/>
        <w:rPr>
          <w:rFonts w:ascii="Book Antiqua" w:hAnsi="Book Antiqua"/>
          <w:b/>
          <w:sz w:val="20"/>
        </w:rPr>
      </w:pPr>
    </w:p>
    <w:tbl>
      <w:tblPr>
        <w:tblW w:w="5613"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60"/>
        <w:gridCol w:w="1027"/>
        <w:gridCol w:w="786"/>
        <w:gridCol w:w="1029"/>
        <w:gridCol w:w="1611"/>
      </w:tblGrid>
      <w:tr w:rsidR="00821A88" w:rsidRPr="007F536A" w:rsidTr="00400B4E">
        <w:trPr>
          <w:trHeight w:val="537"/>
          <w:tblCellSpacing w:w="0" w:type="dxa"/>
          <w:jc w:val="center"/>
        </w:trPr>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Location</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Stars</w:t>
            </w:r>
          </w:p>
        </w:tc>
        <w:tc>
          <w:tcPr>
            <w:tcW w:w="0" w:type="auto"/>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Date</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Authority</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rPr>
                <w:rFonts w:ascii="Book Antiqua" w:hAnsi="Book Antiqua"/>
                <w:b/>
                <w:i/>
                <w:sz w:val="18"/>
                <w:szCs w:val="18"/>
              </w:rPr>
            </w:pPr>
            <w:r w:rsidRPr="00252CC0">
              <w:rPr>
                <w:rFonts w:ascii="Book Antiqua" w:hAnsi="Book Antiqua"/>
                <w:b/>
                <w:bCs/>
                <w:i/>
                <w:sz w:val="18"/>
                <w:szCs w:val="18"/>
              </w:rPr>
              <w:t xml:space="preserve">Aberration angle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617AA3">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8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Bradley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20”.25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20”.2495 </w:t>
            </w:r>
          </w:p>
        </w:tc>
      </w:tr>
      <w:tr w:rsidR="00821A88" w:rsidRPr="007F536A" w:rsidTr="00036707">
        <w:trPr>
          <w:trHeight w:val="345"/>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20”.3851 ± 0.0072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Kew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1726-27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Newcomb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20”.53 ± 0.12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23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Busch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20”.205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Wanstead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14 stars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1727-47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Auwers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20”.460 ± 0.063 </w:t>
            </w:r>
          </w:p>
        </w:tc>
      </w:tr>
      <w:tr w:rsidR="00821A88" w:rsidRPr="007F536A" w:rsidTr="00400B4E">
        <w:trPr>
          <w:trHeight w:val="277"/>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Bessel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20”.475 </w:t>
            </w:r>
          </w:p>
        </w:tc>
      </w:tr>
      <w:tr w:rsidR="00821A88" w:rsidRPr="007F536A" w:rsidTr="00400B4E">
        <w:trPr>
          <w:trHeight w:val="260"/>
          <w:tblCellSpacing w:w="0" w:type="dxa"/>
          <w:jc w:val="center"/>
        </w:trPr>
        <w:tc>
          <w:tcPr>
            <w:tcW w:w="1160"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Greenwich </w:t>
            </w:r>
          </w:p>
        </w:tc>
        <w:tc>
          <w:tcPr>
            <w:tcW w:w="1027"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γ Draconis </w:t>
            </w:r>
          </w:p>
        </w:tc>
        <w:tc>
          <w:tcPr>
            <w:tcW w:w="786"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1750-54 </w:t>
            </w:r>
          </w:p>
        </w:tc>
        <w:tc>
          <w:tcPr>
            <w:tcW w:w="1029"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Peters </w:t>
            </w:r>
          </w:p>
        </w:tc>
        <w:tc>
          <w:tcPr>
            <w:tcW w:w="1611" w:type="dxa"/>
            <w:tcBorders>
              <w:top w:val="outset" w:sz="6" w:space="0" w:color="auto"/>
              <w:left w:val="outset" w:sz="6" w:space="0" w:color="auto"/>
              <w:bottom w:val="outset" w:sz="6" w:space="0" w:color="auto"/>
              <w:right w:val="outset" w:sz="6" w:space="0" w:color="auto"/>
            </w:tcBorders>
            <w:hideMark/>
          </w:tcPr>
          <w:p w:rsidR="00821A88" w:rsidRPr="00252CC0" w:rsidRDefault="00821A88" w:rsidP="00400B4E">
            <w:pPr>
              <w:spacing w:before="100" w:beforeAutospacing="1" w:after="100" w:afterAutospacing="1"/>
              <w:rPr>
                <w:rFonts w:ascii="Book Antiqua" w:hAnsi="Book Antiqua"/>
                <w:b/>
                <w:sz w:val="18"/>
                <w:szCs w:val="18"/>
              </w:rPr>
            </w:pPr>
            <w:r w:rsidRPr="00252CC0">
              <w:rPr>
                <w:rFonts w:ascii="Book Antiqua" w:hAnsi="Book Antiqua"/>
                <w:b/>
                <w:sz w:val="18"/>
                <w:szCs w:val="18"/>
              </w:rPr>
              <w:t xml:space="preserve">20”.522 ± 0.079 </w:t>
            </w:r>
          </w:p>
        </w:tc>
      </w:tr>
    </w:tbl>
    <w:p w:rsidR="00821A88" w:rsidRPr="007F536A" w:rsidRDefault="00821A88" w:rsidP="00821A88">
      <w:pPr>
        <w:spacing w:before="100" w:beforeAutospacing="1" w:after="100" w:afterAutospacing="1"/>
        <w:rPr>
          <w:rFonts w:ascii="Book Antiqua" w:hAnsi="Book Antiqua"/>
          <w:bCs/>
          <w:i/>
        </w:rPr>
      </w:pPr>
      <w:r w:rsidRPr="007F536A">
        <w:rPr>
          <w:rFonts w:ascii="Book Antiqua" w:hAnsi="Book Antiqua"/>
          <w:bCs/>
          <w:i/>
          <w:sz w:val="18"/>
          <w:szCs w:val="18"/>
        </w:rPr>
        <w:t>Mean value: 20”.437 for 1740. Value of c = 300,650</w:t>
      </w:r>
      <w:r w:rsidRPr="007F536A">
        <w:rPr>
          <w:rFonts w:ascii="Book Antiqua" w:hAnsi="Book Antiqua"/>
          <w:b/>
          <w:bCs/>
          <w:i/>
          <w:sz w:val="18"/>
          <w:szCs w:val="18"/>
        </w:rPr>
        <w:t xml:space="preserve"> </w:t>
      </w:r>
      <w:r w:rsidRPr="007F536A">
        <w:rPr>
          <w:rFonts w:ascii="Book Antiqua" w:hAnsi="Book Antiqua"/>
          <w:sz w:val="18"/>
          <w:szCs w:val="18"/>
        </w:rPr>
        <w:t xml:space="preserve"> ±  75</w:t>
      </w:r>
      <w:r w:rsidRPr="007F536A">
        <w:rPr>
          <w:rFonts w:ascii="Book Antiqua" w:hAnsi="Book Antiqua"/>
          <w:bCs/>
          <w:i/>
          <w:sz w:val="18"/>
          <w:szCs w:val="18"/>
        </w:rPr>
        <w:t xml:space="preserve"> km/s. However the best individual set of data was Auwers treatment of Gamma Draconis at 20”.3851</w:t>
      </w:r>
      <w:r w:rsidRPr="007F536A">
        <w:rPr>
          <w:rFonts w:ascii="Book Antiqua" w:hAnsi="Book Antiqua"/>
          <w:bCs/>
          <w:i/>
          <w:sz w:val="18"/>
          <w:szCs w:val="18"/>
          <w:u w:val="single"/>
        </w:rPr>
        <w:t>+</w:t>
      </w:r>
      <w:r w:rsidRPr="007F536A">
        <w:rPr>
          <w:rFonts w:ascii="Book Antiqua" w:hAnsi="Book Antiqua"/>
          <w:bCs/>
          <w:i/>
          <w:sz w:val="18"/>
          <w:szCs w:val="18"/>
        </w:rPr>
        <w:t xml:space="preserve"> 0”.0072 with c = 301,415 </w:t>
      </w:r>
      <m:oMath>
        <m:r>
          <m:rPr>
            <m:sty m:val="bi"/>
          </m:rPr>
          <w:rPr>
            <w:rFonts w:ascii="Cambria Math" w:hAnsi="Book Antiqua"/>
            <w:sz w:val="18"/>
            <w:szCs w:val="18"/>
          </w:rPr>
          <m:t>±</m:t>
        </m:r>
        <m:r>
          <w:rPr>
            <w:rFonts w:ascii="Cambria Math" w:hAnsi="Book Antiqua"/>
            <w:sz w:val="18"/>
            <w:szCs w:val="18"/>
          </w:rPr>
          <m:t>110</m:t>
        </m:r>
        <m:r>
          <m:rPr>
            <m:sty m:val="bi"/>
          </m:rPr>
          <w:rPr>
            <w:rFonts w:ascii="Cambria Math" w:hAnsi="Book Antiqua"/>
            <w:sz w:val="18"/>
            <w:szCs w:val="18"/>
          </w:rPr>
          <m:t xml:space="preserve"> </m:t>
        </m:r>
      </m:oMath>
      <w:r w:rsidRPr="007F536A">
        <w:rPr>
          <w:rFonts w:ascii="Book Antiqua" w:hAnsi="Book Antiqua"/>
          <w:bCs/>
          <w:i/>
          <w:sz w:val="18"/>
          <w:szCs w:val="18"/>
        </w:rPr>
        <w:t xml:space="preserve"> km/</w:t>
      </w:r>
      <w:r w:rsidRPr="007F536A">
        <w:rPr>
          <w:rFonts w:ascii="Book Antiqua" w:hAnsi="Book Antiqua"/>
          <w:bCs/>
          <w:i/>
        </w:rPr>
        <w:t>s.</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process of trying to find the exact measurements may seem to be a fruitless exercise, but those tiny changes in measurements, when plugged into the light speed equations, yield significant results in the computed speed of light.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i/>
          <w:sz w:val="20"/>
        </w:rPr>
      </w:pPr>
      <w:r w:rsidRPr="007F536A">
        <w:rPr>
          <w:rFonts w:ascii="Book Antiqua" w:hAnsi="Book Antiqua"/>
          <w:i/>
          <w:sz w:val="20"/>
        </w:rPr>
        <w:t>2.8 Definitive Results</w:t>
      </w:r>
    </w:p>
    <w:p w:rsidR="00821A88" w:rsidRPr="007F536A" w:rsidRDefault="00821A88" w:rsidP="00821A88">
      <w:pPr>
        <w:pStyle w:val="NoSpacing"/>
        <w:ind w:left="1080"/>
        <w:jc w:val="both"/>
        <w:rPr>
          <w:rFonts w:ascii="Book Antiqua" w:hAnsi="Book Antiqua"/>
          <w:b/>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From Bradley’s final observations in 1754 until the work of Otto Wilhelm von Struve at the Pulkovo Observatory in 1840</w:t>
      </w:r>
      <w:r w:rsidR="00362990">
        <w:rPr>
          <w:rFonts w:ascii="Book Antiqua" w:hAnsi="Book Antiqua"/>
          <w:sz w:val="20"/>
        </w:rPr>
        <w:t xml:space="preserve"> (which opened in 1839)</w:t>
      </w:r>
      <w:r w:rsidRPr="007F536A">
        <w:rPr>
          <w:rFonts w:ascii="Book Antiqua" w:hAnsi="Book Antiqua"/>
          <w:sz w:val="20"/>
        </w:rPr>
        <w:t xml:space="preserve">, there appears to be only one extant set of observations, namely that of Bernhard August von Lindenau. He processed observations of Polaris between 1750 and 1816 to obtain a value for the aberration constant of </w:t>
      </w:r>
      <m:oMath>
        <m:r>
          <w:rPr>
            <w:rFonts w:ascii="Cambria Math" w:hAnsi="Book Antiqua"/>
            <w:sz w:val="20"/>
          </w:rPr>
          <m:t>20</m:t>
        </m:r>
        <m:r>
          <w:rPr>
            <w:rFonts w:ascii="Book Antiqua" w:hAnsi="Book Antiqua"/>
            <w:sz w:val="20"/>
          </w:rPr>
          <m:t>”</m:t>
        </m:r>
        <m:r>
          <w:rPr>
            <w:rFonts w:ascii="Cambria Math" w:hAnsi="Book Antiqua"/>
            <w:sz w:val="20"/>
          </w:rPr>
          <m:t xml:space="preserve">.45 </m:t>
        </m:r>
        <m:r>
          <w:rPr>
            <w:rFonts w:ascii="Book Antiqua" w:hAnsi="Book Antiqua"/>
            <w:sz w:val="20"/>
          </w:rPr>
          <m:t>±</m:t>
        </m:r>
        <m:r>
          <w:rPr>
            <w:rFonts w:ascii="Cambria Math" w:hAnsi="Book Antiqua"/>
            <w:sz w:val="20"/>
          </w:rPr>
          <m:t xml:space="preserve"> 0.011</m:t>
        </m:r>
      </m:oMath>
      <w:r w:rsidRPr="007F536A">
        <w:rPr>
          <w:rFonts w:ascii="Book Antiqua" w:hAnsi="Book Antiqua"/>
          <w:sz w:val="20"/>
        </w:rPr>
        <w:t xml:space="preserve"> for a mean date of 1783</w:t>
      </w:r>
      <w:bookmarkStart w:id="43" w:name="eleven"/>
      <w:bookmarkEnd w:id="43"/>
      <w:r w:rsidRPr="007F536A">
        <w:rPr>
          <w:rFonts w:ascii="Book Antiqua" w:hAnsi="Book Antiqua"/>
          <w:sz w:val="20"/>
        </w:rPr>
        <w:t xml:space="preserve"> [50]. This gives a value for </w:t>
      </w:r>
      <m:oMath>
        <m:r>
          <w:rPr>
            <w:rStyle w:val="Emphasis"/>
            <w:rFonts w:ascii="Cambria Math" w:hAnsi="Cambria Math"/>
            <w:sz w:val="20"/>
          </w:rPr>
          <m:t>c</m:t>
        </m:r>
        <m:r>
          <m:rPr>
            <m:sty m:val="p"/>
          </m:rPr>
          <w:rPr>
            <w:rFonts w:ascii="Cambria Math" w:hAnsi="Book Antiqua"/>
            <w:sz w:val="20"/>
          </w:rPr>
          <m:t xml:space="preserve"> = 300,460 km/s</m:t>
        </m:r>
      </m:oMath>
      <w:r w:rsidRPr="007F536A">
        <w:rPr>
          <w:rFonts w:ascii="Book Antiqua" w:hAnsi="Book Antiqua"/>
          <w:sz w:val="20"/>
        </w:rPr>
        <w:t xml:space="preserve"> in 1783. </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4730"/>
        <w:gridCol w:w="4596"/>
      </w:tblGrid>
      <w:tr w:rsidR="00821A88" w:rsidRPr="007F536A" w:rsidTr="00E76E36">
        <w:trPr>
          <w:trHeight w:val="3540"/>
          <w:jc w:val="center"/>
        </w:trPr>
        <w:tc>
          <w:tcPr>
            <w:tcW w:w="4343"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847094" cy="2287650"/>
                  <wp:effectExtent l="19050" t="0" r="0" b="0"/>
                  <wp:docPr id="1505" name="il_fi" descr="http://www.scientific-web.com/en/Astronomy/Biographies/images/OttoWilhelmStruv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tific-web.com/en/Astronomy/Biographies/images/OttoWilhelmStruve03.jpg"/>
                          <pic:cNvPicPr>
                            <a:picLocks noChangeAspect="1" noChangeArrowheads="1"/>
                          </pic:cNvPicPr>
                        </pic:nvPicPr>
                        <pic:blipFill>
                          <a:blip r:embed="rId93" cstate="print"/>
                          <a:srcRect r="-184" b="29710"/>
                          <a:stretch>
                            <a:fillRect/>
                          </a:stretch>
                        </pic:blipFill>
                        <pic:spPr bwMode="auto">
                          <a:xfrm>
                            <a:off x="0" y="0"/>
                            <a:ext cx="2858658" cy="2296942"/>
                          </a:xfrm>
                          <a:prstGeom prst="rect">
                            <a:avLst/>
                          </a:prstGeom>
                          <a:noFill/>
                          <a:ln w="9525">
                            <a:noFill/>
                            <a:miter lim="800000"/>
                            <a:headEnd/>
                            <a:tailEnd/>
                          </a:ln>
                        </pic:spPr>
                      </pic:pic>
                    </a:graphicData>
                  </a:graphic>
                </wp:inline>
              </w:drawing>
            </w:r>
          </w:p>
        </w:tc>
        <w:tc>
          <w:tcPr>
            <w:tcW w:w="4209"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2756558" cy="2289842"/>
                  <wp:effectExtent l="19050" t="0" r="5692" b="0"/>
                  <wp:docPr id="1506" name="il_fi" descr="http://www.universetoday.com/wp-content/uploads/2012/02/Pulkovo_observatory_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today.com/wp-content/uploads/2012/02/Pulkovo_observatory_2004.jpg"/>
                          <pic:cNvPicPr>
                            <a:picLocks noChangeAspect="1" noChangeArrowheads="1"/>
                          </pic:cNvPicPr>
                        </pic:nvPicPr>
                        <pic:blipFill>
                          <a:blip r:embed="rId94" cstate="print"/>
                          <a:srcRect l="6215" r="15889"/>
                          <a:stretch>
                            <a:fillRect/>
                          </a:stretch>
                        </pic:blipFill>
                        <pic:spPr bwMode="auto">
                          <a:xfrm>
                            <a:off x="0" y="0"/>
                            <a:ext cx="2774025" cy="2304352"/>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i/>
          <w:sz w:val="20"/>
        </w:rPr>
      </w:pPr>
    </w:p>
    <w:p w:rsidR="00821A88" w:rsidRPr="00B65E31" w:rsidRDefault="00821A88" w:rsidP="00E76E36">
      <w:pPr>
        <w:pStyle w:val="NoSpacing"/>
        <w:jc w:val="center"/>
        <w:rPr>
          <w:rFonts w:ascii="Book Antiqua" w:hAnsi="Book Antiqua"/>
          <w:i/>
          <w:sz w:val="18"/>
          <w:szCs w:val="18"/>
        </w:rPr>
      </w:pPr>
      <w:r w:rsidRPr="00B65E31">
        <w:rPr>
          <w:rFonts w:ascii="Book Antiqua" w:hAnsi="Book Antiqua"/>
          <w:i/>
          <w:sz w:val="18"/>
          <w:szCs w:val="18"/>
        </w:rPr>
        <w:t>Fig</w:t>
      </w:r>
      <w:r w:rsidR="00B65E31">
        <w:rPr>
          <w:rFonts w:ascii="Book Antiqua" w:hAnsi="Book Antiqua"/>
          <w:i/>
          <w:sz w:val="18"/>
          <w:szCs w:val="18"/>
        </w:rPr>
        <w:t>ure</w:t>
      </w:r>
      <w:r w:rsidRPr="00B65E31">
        <w:rPr>
          <w:rFonts w:ascii="Book Antiqua" w:hAnsi="Book Antiqua"/>
          <w:i/>
          <w:sz w:val="18"/>
          <w:szCs w:val="18"/>
        </w:rPr>
        <w:t xml:space="preserve"> 11: </w:t>
      </w:r>
      <w:r w:rsidRPr="00B65E31">
        <w:rPr>
          <w:rFonts w:ascii="Book Antiqua" w:hAnsi="Book Antiqua"/>
          <w:b/>
          <w:i/>
          <w:sz w:val="18"/>
          <w:szCs w:val="18"/>
        </w:rPr>
        <w:t xml:space="preserve">Left </w:t>
      </w:r>
      <w:r w:rsidR="00B65E31" w:rsidRPr="00B65E31">
        <w:rPr>
          <w:rFonts w:ascii="Book Antiqua" w:hAnsi="Book Antiqua"/>
          <w:b/>
          <w:i/>
          <w:sz w:val="18"/>
          <w:szCs w:val="18"/>
        </w:rPr>
        <w:t>–</w:t>
      </w:r>
      <w:r w:rsidRPr="00B65E31">
        <w:rPr>
          <w:rFonts w:ascii="Book Antiqua" w:hAnsi="Book Antiqua"/>
          <w:b/>
          <w:i/>
          <w:sz w:val="18"/>
          <w:szCs w:val="18"/>
        </w:rPr>
        <w:t xml:space="preserve"> </w:t>
      </w:r>
      <w:r w:rsidRPr="00B65E31">
        <w:rPr>
          <w:rFonts w:ascii="Book Antiqua" w:hAnsi="Book Antiqua"/>
          <w:i/>
          <w:sz w:val="18"/>
          <w:szCs w:val="18"/>
        </w:rPr>
        <w:t>O</w:t>
      </w:r>
      <w:r w:rsidR="00B65E31">
        <w:rPr>
          <w:rFonts w:ascii="Book Antiqua" w:hAnsi="Book Antiqua"/>
          <w:i/>
          <w:sz w:val="18"/>
          <w:szCs w:val="18"/>
        </w:rPr>
        <w:t xml:space="preserve">tto </w:t>
      </w:r>
      <w:r w:rsidRPr="00B65E31">
        <w:rPr>
          <w:rFonts w:ascii="Book Antiqua" w:hAnsi="Book Antiqua"/>
          <w:i/>
          <w:sz w:val="18"/>
          <w:szCs w:val="18"/>
        </w:rPr>
        <w:t>W</w:t>
      </w:r>
      <w:r w:rsidR="00B65E31">
        <w:rPr>
          <w:rFonts w:ascii="Book Antiqua" w:hAnsi="Book Antiqua"/>
          <w:i/>
          <w:sz w:val="18"/>
          <w:szCs w:val="18"/>
        </w:rPr>
        <w:t>ilhelm</w:t>
      </w:r>
      <w:r w:rsidRPr="00B65E31">
        <w:rPr>
          <w:rFonts w:ascii="Book Antiqua" w:hAnsi="Book Antiqua"/>
          <w:i/>
          <w:sz w:val="18"/>
          <w:szCs w:val="18"/>
        </w:rPr>
        <w:t xml:space="preserve"> von Struve 1819-1905. </w:t>
      </w:r>
      <w:r w:rsidRPr="00B65E31">
        <w:rPr>
          <w:rFonts w:ascii="Book Antiqua" w:hAnsi="Book Antiqua"/>
          <w:b/>
          <w:i/>
          <w:sz w:val="18"/>
          <w:szCs w:val="18"/>
        </w:rPr>
        <w:t>Right –</w:t>
      </w:r>
      <w:r w:rsidRPr="00B65E31">
        <w:rPr>
          <w:rFonts w:ascii="Book Antiqua" w:hAnsi="Book Antiqua"/>
          <w:i/>
          <w:sz w:val="18"/>
          <w:szCs w:val="18"/>
        </w:rPr>
        <w:t xml:space="preserve"> Pulkovo Observatory.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lastRenderedPageBreak/>
        <w:drawing>
          <wp:inline distT="0" distB="0" distL="0" distR="0">
            <wp:extent cx="4739050" cy="3771900"/>
            <wp:effectExtent l="19050" t="0" r="4400" b="0"/>
            <wp:docPr id="1507" name="il_fi" descr="http://collectionsonline.nmsi.ac.uk/grabimg.php?kv=10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ollectionsonline.nmsi.ac.uk/grabimg.php?kv=107104"/>
                    <pic:cNvPicPr>
                      <a:picLocks noChangeAspect="1" noChangeArrowheads="1"/>
                    </pic:cNvPicPr>
                  </pic:nvPicPr>
                  <pic:blipFill>
                    <a:blip r:embed="rId95" cstate="print"/>
                    <a:srcRect/>
                    <a:stretch>
                      <a:fillRect/>
                    </a:stretch>
                  </pic:blipFill>
                  <pic:spPr bwMode="auto">
                    <a:xfrm>
                      <a:off x="0" y="0"/>
                      <a:ext cx="4734061" cy="3767929"/>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11A:</w:t>
      </w:r>
      <w:r w:rsidRPr="00B65E31">
        <w:rPr>
          <w:rFonts w:ascii="Book Antiqua" w:hAnsi="Book Antiqua"/>
          <w:i/>
          <w:sz w:val="18"/>
          <w:szCs w:val="18"/>
        </w:rPr>
        <w:t xml:space="preserve"> Repsold’s Transit Instrument used at the Pulkovo Observatory from the time of Otto Struve to determine the aberration constant and hence </w:t>
      </w:r>
      <w:r w:rsidRPr="00B65E31">
        <w:rPr>
          <w:rFonts w:ascii="Book Antiqua" w:hAnsi="Book Antiqua"/>
          <w:sz w:val="18"/>
          <w:szCs w:val="18"/>
        </w:rPr>
        <w:t>c</w:t>
      </w:r>
      <w:r w:rsidRPr="00B65E31">
        <w:rPr>
          <w:rFonts w:ascii="Book Antiqua" w:hAnsi="Book Antiqua"/>
          <w:i/>
          <w:sz w:val="18"/>
          <w:szCs w:val="18"/>
        </w:rPr>
        <w:t>.</w:t>
      </w:r>
    </w:p>
    <w:p w:rsidR="00821A88" w:rsidRPr="007F536A" w:rsidRDefault="00821A88" w:rsidP="00821A88">
      <w:pPr>
        <w:pStyle w:val="NoSpacing"/>
        <w:jc w:val="both"/>
        <w:rPr>
          <w:rFonts w:ascii="Book Antiqua" w:hAnsi="Book Antiqua"/>
          <w:i/>
          <w:sz w:val="20"/>
        </w:rPr>
      </w:pPr>
    </w:p>
    <w:p w:rsidR="00821A88" w:rsidRPr="007F536A" w:rsidRDefault="00C130A6" w:rsidP="00617AA3">
      <w:pPr>
        <w:pStyle w:val="NoSpacing"/>
        <w:ind w:firstLine="720"/>
        <w:jc w:val="both"/>
        <w:rPr>
          <w:rFonts w:ascii="Book Antiqua" w:hAnsi="Book Antiqua"/>
          <w:sz w:val="20"/>
        </w:rPr>
      </w:pPr>
      <w:r w:rsidRPr="007F536A">
        <w:rPr>
          <w:rFonts w:ascii="Book Antiqua" w:hAnsi="Book Antiqua"/>
          <w:sz w:val="20"/>
        </w:rPr>
        <w:t>Between 1840 and 1842, O. W. Struve studied seven stars from Pulkovo with Repsold’s transit instrument in the prime vertical position</w:t>
      </w:r>
      <w:bookmarkStart w:id="44" w:name="twelve"/>
      <w:r w:rsidRPr="007F536A">
        <w:rPr>
          <w:rFonts w:ascii="Book Antiqua" w:hAnsi="Book Antiqua"/>
          <w:sz w:val="20"/>
        </w:rPr>
        <w:t xml:space="preserve"> [51</w:t>
      </w:r>
      <w:bookmarkEnd w:id="44"/>
      <w:r w:rsidRPr="007F536A">
        <w:rPr>
          <w:rFonts w:ascii="Book Antiqua" w:hAnsi="Book Antiqua"/>
          <w:sz w:val="20"/>
        </w:rPr>
        <w:t>]</w:t>
      </w:r>
      <w:r w:rsidR="00E76E36">
        <w:rPr>
          <w:rFonts w:ascii="Book Antiqua" w:hAnsi="Book Antiqua"/>
          <w:sz w:val="20"/>
        </w:rPr>
        <w:t xml:space="preserve"> (See Figure 11A)</w:t>
      </w:r>
      <w:r w:rsidRPr="007F536A">
        <w:rPr>
          <w:rFonts w:ascii="Book Antiqua" w:hAnsi="Book Antiqua"/>
          <w:sz w:val="20"/>
        </w:rPr>
        <w:t xml:space="preserve">. His value for </w:t>
      </w:r>
      <w:r w:rsidRPr="007F536A">
        <w:rPr>
          <w:rStyle w:val="Emphasis"/>
          <w:rFonts w:ascii="Book Antiqua" w:hAnsi="Book Antiqua"/>
          <w:sz w:val="20"/>
        </w:rPr>
        <w:t>K</w:t>
      </w:r>
      <w:r w:rsidRPr="007F536A">
        <w:rPr>
          <w:rFonts w:ascii="Book Antiqua" w:hAnsi="Book Antiqua"/>
          <w:sz w:val="20"/>
        </w:rPr>
        <w:t>, issued in 1845, (</w:t>
      </w:r>
      <w:r w:rsidR="00362990">
        <w:rPr>
          <w:rFonts w:ascii="Book Antiqua" w:hAnsi="Book Antiqua"/>
          <w:sz w:val="20"/>
        </w:rPr>
        <w:t xml:space="preserve">with a probable </w:t>
      </w:r>
      <w:r w:rsidRPr="007F536A">
        <w:rPr>
          <w:rFonts w:ascii="Book Antiqua" w:hAnsi="Book Antiqua"/>
          <w:sz w:val="20"/>
        </w:rPr>
        <w:t xml:space="preserve">mean date of 1841), was </w:t>
      </w:r>
      <m:oMath>
        <m:r>
          <w:rPr>
            <w:rFonts w:ascii="Cambria Math" w:hAnsi="Book Antiqua"/>
            <w:sz w:val="20"/>
          </w:rPr>
          <m:t>20</m:t>
        </m:r>
        <m:r>
          <w:rPr>
            <w:rFonts w:ascii="Book Antiqua" w:hAnsi="Book Antiqua"/>
            <w:sz w:val="20"/>
          </w:rPr>
          <m:t>”</m:t>
        </m:r>
        <m:r>
          <w:rPr>
            <w:rFonts w:ascii="Cambria Math" w:hAnsi="Book Antiqua"/>
            <w:sz w:val="20"/>
          </w:rPr>
          <m:t xml:space="preserve">.445 </m:t>
        </m:r>
        <m:r>
          <w:rPr>
            <w:rFonts w:ascii="Book Antiqua" w:hAnsi="Book Antiqua"/>
            <w:sz w:val="20"/>
          </w:rPr>
          <m:t>±</m:t>
        </m:r>
        <m:r>
          <w:rPr>
            <w:rFonts w:ascii="Cambria Math" w:hAnsi="Book Antiqua"/>
            <w:sz w:val="20"/>
          </w:rPr>
          <m:t>0.011</m:t>
        </m:r>
      </m:oMath>
      <w:r w:rsidRPr="007F536A">
        <w:rPr>
          <w:rFonts w:ascii="Book Antiqua" w:hAnsi="Book Antiqua"/>
          <w:sz w:val="20"/>
        </w:rPr>
        <w:t xml:space="preserve">. This value was </w:t>
      </w:r>
      <w:r w:rsidR="00CE15D3" w:rsidRPr="007F536A">
        <w:rPr>
          <w:rFonts w:ascii="Book Antiqua" w:hAnsi="Book Antiqua"/>
          <w:sz w:val="20"/>
        </w:rPr>
        <w:t>taken as definitive until 1884. Folke had re-processed Struve’s observations with five stars as Struve had remarked that “</w:t>
      </w:r>
      <w:r w:rsidR="00CE15D3" w:rsidRPr="007F536A">
        <w:rPr>
          <w:rStyle w:val="Emphasis"/>
          <w:rFonts w:ascii="Book Antiqua" w:hAnsi="Book Antiqua"/>
          <w:sz w:val="20"/>
        </w:rPr>
        <w:t>the observations of the two stars in Cassiopeia are less exact due to their great brilliancy which precluded accurate setting on them</w:t>
      </w:r>
      <w:r w:rsidR="00CE15D3" w:rsidRPr="007F536A">
        <w:rPr>
          <w:rFonts w:ascii="Book Antiqua" w:hAnsi="Book Antiqua"/>
          <w:sz w:val="20"/>
        </w:rPr>
        <w:t>.”[52</w:t>
      </w:r>
      <w:bookmarkStart w:id="45" w:name="thirteen"/>
      <w:bookmarkEnd w:id="45"/>
      <w:r w:rsidR="00CE15D3" w:rsidRPr="007F536A">
        <w:rPr>
          <w:rFonts w:ascii="Book Antiqua" w:hAnsi="Book Antiqua"/>
          <w:sz w:val="20"/>
        </w:rPr>
        <w:t>]</w:t>
      </w:r>
      <w:r w:rsidR="00CE15D3" w:rsidRPr="007F536A">
        <w:rPr>
          <w:rFonts w:ascii="Book Antiqua" w:hAnsi="Book Antiqua"/>
          <w:color w:val="FF0000"/>
          <w:sz w:val="20"/>
        </w:rPr>
        <w:t xml:space="preserve"> </w:t>
      </w:r>
      <w:r w:rsidR="00CE15D3" w:rsidRPr="007F536A">
        <w:rPr>
          <w:rFonts w:ascii="Book Antiqua" w:hAnsi="Book Antiqua"/>
          <w:sz w:val="20"/>
        </w:rPr>
        <w:t xml:space="preserve">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.458 </m:t>
        </m:r>
        <m:r>
          <w:rPr>
            <w:rFonts w:ascii="Book Antiqua" w:hAnsi="Book Antiqua"/>
            <w:sz w:val="20"/>
          </w:rPr>
          <m:t>±</m:t>
        </m:r>
        <m:r>
          <w:rPr>
            <w:rFonts w:ascii="Cambria Math" w:hAnsi="Book Antiqua"/>
            <w:sz w:val="20"/>
          </w:rPr>
          <m:t xml:space="preserve"> 0.008</m:t>
        </m:r>
      </m:oMath>
      <w:r w:rsidR="00CE15D3" w:rsidRPr="007F536A">
        <w:rPr>
          <w:rFonts w:ascii="Book Antiqua" w:hAnsi="Book Antiqua"/>
          <w:sz w:val="20"/>
        </w:rPr>
        <w:t xml:space="preserve"> then resulted, which gives </w:t>
      </w:r>
      <m:oMath>
        <m:r>
          <w:rPr>
            <w:rFonts w:ascii="Cambria Math" w:hAnsi="Cambria Math"/>
            <w:sz w:val="20"/>
          </w:rPr>
          <m:t>c</m:t>
        </m:r>
        <m:r>
          <w:rPr>
            <w:rFonts w:ascii="Cambria Math" w:hAnsi="Book Antiqua"/>
            <w:sz w:val="20"/>
          </w:rPr>
          <m:t xml:space="preserve"> = 300,340 </m:t>
        </m:r>
        <m:r>
          <w:rPr>
            <w:rFonts w:ascii="Book Antiqua" w:hAnsi="Book Antiqua"/>
            <w:sz w:val="20"/>
          </w:rPr>
          <m:t>±</m:t>
        </m:r>
        <m:r>
          <w:rPr>
            <w:rFonts w:ascii="Cambria Math" w:hAnsi="Book Antiqua"/>
            <w:sz w:val="20"/>
          </w:rPr>
          <m:t xml:space="preserve">115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In 1853, Struve re-processed all his own earlier observations allowing for temperature and vibration effects and a zenith correction, issuing a final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.463 </m:t>
        </m:r>
        <m:r>
          <w:rPr>
            <w:rFonts w:ascii="Book Antiqua" w:hAnsi="Book Antiqua"/>
            <w:sz w:val="20"/>
          </w:rPr>
          <m:t>±</m:t>
        </m:r>
        <m:r>
          <w:rPr>
            <w:rFonts w:ascii="Cambria Math" w:hAnsi="Book Antiqua"/>
            <w:sz w:val="20"/>
          </w:rPr>
          <m:t xml:space="preserve"> 0.017</m:t>
        </m:r>
      </m:oMath>
      <w:r w:rsidR="00CE15D3" w:rsidRPr="007F536A">
        <w:rPr>
          <w:rFonts w:ascii="Book Antiqua" w:hAnsi="Book Antiqua"/>
          <w:sz w:val="20"/>
        </w:rPr>
        <w:t xml:space="preserve"> [53</w:t>
      </w:r>
      <w:bookmarkStart w:id="46" w:name="fourteen"/>
      <w:bookmarkEnd w:id="46"/>
      <w:r w:rsidR="00CE15D3" w:rsidRPr="007F536A">
        <w:rPr>
          <w:rFonts w:ascii="Book Antiqua" w:hAnsi="Book Antiqua"/>
          <w:sz w:val="20"/>
        </w:rPr>
        <w:t>]. This results in a speed of light value of 300,270</w:t>
      </w:r>
      <m:oMath>
        <m:r>
          <m:rPr>
            <m:sty m:val="bi"/>
          </m:rPr>
          <w:rPr>
            <w:rFonts w:ascii="Cambria Math" w:hAnsi="Book Antiqua"/>
            <w:sz w:val="20"/>
          </w:rPr>
          <m:t xml:space="preserve"> </m:t>
        </m:r>
        <m:r>
          <w:rPr>
            <w:rFonts w:ascii="Book Antiqua" w:hAnsi="Book Antiqua"/>
            <w:sz w:val="20"/>
          </w:rPr>
          <m:t>±</m:t>
        </m:r>
        <m:r>
          <w:rPr>
            <w:rFonts w:ascii="Cambria Math" w:hAnsi="Book Antiqua"/>
            <w:sz w:val="20"/>
          </w:rPr>
          <m:t xml:space="preserve">250 </m:t>
        </m:r>
        <m:r>
          <w:rPr>
            <w:rFonts w:ascii="Cambria Math" w:hAnsi="Cambria Math"/>
            <w:sz w:val="20"/>
          </w:rPr>
          <m:t>km</m:t>
        </m:r>
        <m:r>
          <w:rPr>
            <w:rFonts w:ascii="Cambria Math" w:hAnsi="Book Antiqua"/>
            <w:sz w:val="20"/>
          </w:rPr>
          <m:t>/</m:t>
        </m:r>
        <m:r>
          <w:rPr>
            <w:rFonts w:ascii="Cambria Math" w:hAnsi="Cambria Math"/>
            <w:sz w:val="20"/>
          </w:rPr>
          <m:t>s</m:t>
        </m:r>
      </m:oMath>
      <w:r w:rsidR="00CE15D3" w:rsidRPr="007F536A">
        <w:rPr>
          <w:rFonts w:ascii="Book Antiqua" w:hAnsi="Book Antiqua"/>
          <w:sz w:val="20"/>
        </w:rPr>
        <w:t xml:space="preserve">. Though the value Struve issued in 1845 was the generally quoted </w:t>
      </w:r>
      <w:r w:rsidR="00821A88" w:rsidRPr="007F536A">
        <w:rPr>
          <w:rFonts w:ascii="Book Antiqua" w:hAnsi="Book Antiqua"/>
          <w:sz w:val="20"/>
        </w:rPr>
        <w:t>definitive value, [54</w:t>
      </w:r>
      <w:bookmarkStart w:id="47" w:name="fifteen"/>
      <w:bookmarkEnd w:id="47"/>
      <w:r w:rsidR="00821A88" w:rsidRPr="007F536A">
        <w:rPr>
          <w:rFonts w:ascii="Book Antiqua" w:hAnsi="Book Antiqua"/>
          <w:sz w:val="20"/>
        </w:rPr>
        <w:t>], namely 300,530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155</m:t>
        </m:r>
      </m:oMath>
      <w:r w:rsidR="00821A88" w:rsidRPr="007F536A">
        <w:rPr>
          <w:rFonts w:ascii="Book Antiqua" w:hAnsi="Book Antiqua"/>
          <w:sz w:val="20"/>
        </w:rPr>
        <w:t xml:space="preserve"> km/s this 1853 correction is taken to be the best result possible from the data.</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t>
      </w:r>
      <w:r w:rsidRPr="007F536A">
        <w:rPr>
          <w:rFonts w:ascii="Book Antiqua" w:hAnsi="Book Antiqua"/>
          <w:sz w:val="20"/>
        </w:rPr>
        <w:tab/>
        <w:t xml:space="preserve">New work by Struve between 1842 and 1844, again using Repsold’s transit instrument in the prime vertical, gave a further determination of the aberration constant. From this set of observations, Struve set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.480</m:t>
        </m:r>
      </m:oMath>
      <w:r w:rsidRPr="007F536A">
        <w:rPr>
          <w:rFonts w:ascii="Book Antiqua" w:hAnsi="Book Antiqua"/>
          <w:sz w:val="20"/>
        </w:rPr>
        <w:t xml:space="preserve"> [55</w:t>
      </w:r>
      <w:bookmarkStart w:id="48" w:name="sixteen"/>
      <w:bookmarkEnd w:id="48"/>
      <w:r w:rsidRPr="007F536A">
        <w:rPr>
          <w:rFonts w:ascii="Book Antiqua" w:hAnsi="Book Antiqua"/>
          <w:sz w:val="20"/>
        </w:rPr>
        <w:t xml:space="preserve">]. Vaschilina corrected these observations using the modern known positions and proper motions of these stars as well as latitude variation. The outcome was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.486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.006</m:t>
        </m:r>
      </m:oMath>
      <w:r w:rsidRPr="007F536A">
        <w:rPr>
          <w:rFonts w:ascii="Book Antiqua" w:hAnsi="Book Antiqua"/>
          <w:sz w:val="20"/>
        </w:rPr>
        <w:t xml:space="preserve"> with a speed of light of</w:t>
      </w:r>
      <w:r w:rsidRPr="007F536A">
        <w:rPr>
          <w:rFonts w:ascii="Book Antiqua" w:hAnsi="Book Antiqua"/>
          <w:b/>
          <w:sz w:val="20"/>
        </w:rPr>
        <w:t xml:space="preserve"> </w:t>
      </w:r>
      <w:r w:rsidRPr="007F536A">
        <w:rPr>
          <w:rFonts w:ascii="Book Antiqua" w:hAnsi="Book Antiqua"/>
          <w:sz w:val="20"/>
        </w:rPr>
        <w:t>299,930</w:t>
      </w:r>
      <m:oMath>
        <m:r>
          <m:rPr>
            <m:sty m:val="bi"/>
          </m:rPr>
          <w:rPr>
            <w:rFonts w:ascii="Cambria Math" w:hAnsi="Book Antiqua"/>
            <w:sz w:val="20"/>
          </w:rPr>
          <m:t xml:space="preserve"> </m:t>
        </m:r>
        <m:r>
          <m:rPr>
            <m:sty m:val="bi"/>
          </m:rPr>
          <w:rPr>
            <w:rFonts w:ascii="Book Antiqua" w:hAnsi="Book Antiqua"/>
            <w:sz w:val="20"/>
          </w:rPr>
          <m:t>±</m:t>
        </m:r>
        <m:r>
          <m:rPr>
            <m:sty m:val="bi"/>
          </m:rPr>
          <w:rPr>
            <w:rFonts w:ascii="Cambria Math" w:hAnsi="Book Antiqua"/>
            <w:sz w:val="20"/>
          </w:rPr>
          <m:t xml:space="preserve"> </m:t>
        </m:r>
        <m:r>
          <w:rPr>
            <w:rFonts w:ascii="Cambria Math" w:hAnsi="Book Antiqua"/>
            <w:sz w:val="20"/>
          </w:rPr>
          <m:t xml:space="preserve">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1843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1862, following his father’s retirement, Struve was appointed Director of the Pulkovo Observatory and we have no further aberration observations recorded from him.  In 1868, the Swedish astronomer Magnus Nyren began work at Pulkovo and continued there until 1907.  Shortly after joining the Pulkovo team, Nyren processed the Pulkovo observations by Peters of Polaris using Ertel’s vertical circle. These observations were in three groups: 1842-1844, 1863-1870 and 1871-1873. Nyren’s treatment resulted in a value for the constant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 xml:space="preserve">.013 </m:t>
        </m:r>
      </m:oMath>
      <w:r w:rsidRPr="007F536A">
        <w:rPr>
          <w:rFonts w:ascii="Book Antiqua" w:hAnsi="Book Antiqua"/>
          <w:sz w:val="20"/>
        </w:rPr>
        <w:t xml:space="preserve">against a mean date of 1858. This gives a light-speed value of 299,800 km/s. In a similar way, Nyren processed the observations of Wagner on two stars using the transit instrument in the prime vertical in the period 1861-1872 and 1875-1879 for a mean date of 1870. </w:t>
      </w:r>
      <w:r w:rsidRPr="007F536A">
        <w:rPr>
          <w:rFonts w:ascii="Book Antiqua" w:hAnsi="Book Antiqua"/>
          <w:sz w:val="20"/>
        </w:rPr>
        <w:lastRenderedPageBreak/>
        <w:t xml:space="preserve">The result was a value for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.483 </m:t>
        </m:r>
        <m:r>
          <w:rPr>
            <w:rFonts w:ascii="Book Antiqua" w:hAnsi="Book Antiqua"/>
            <w:sz w:val="20"/>
            <w:u w:val="single"/>
          </w:rPr>
          <m:t>±</m:t>
        </m:r>
        <m:r>
          <w:rPr>
            <w:rFonts w:ascii="Cambria Math" w:hAnsi="Book Antiqua"/>
            <w:sz w:val="20"/>
            <w:u w:val="single"/>
          </w:rPr>
          <m:t xml:space="preserve"> </m:t>
        </m:r>
        <m:r>
          <w:rPr>
            <w:rFonts w:ascii="Cambria Math" w:hAnsi="Book Antiqua"/>
            <w:sz w:val="20"/>
          </w:rPr>
          <m:t>0</m:t>
        </m:r>
        <m:r>
          <w:rPr>
            <w:rFonts w:ascii="Book Antiqua" w:hAnsi="Book Antiqua"/>
            <w:sz w:val="20"/>
          </w:rPr>
          <m:t>”</m:t>
        </m:r>
        <m:r>
          <w:rPr>
            <w:rFonts w:ascii="Cambria Math" w:hAnsi="Book Antiqua"/>
            <w:sz w:val="20"/>
          </w:rPr>
          <m:t>.003</m:t>
        </m:r>
      </m:oMath>
      <w:r w:rsidRPr="007F536A">
        <w:rPr>
          <w:rFonts w:ascii="Book Antiqua" w:hAnsi="Book Antiqua"/>
          <w:sz w:val="20"/>
        </w:rPr>
        <w:t xml:space="preserve"> with a speed of light of </w:t>
      </w:r>
      <m:oMath>
        <m:r>
          <w:rPr>
            <w:rFonts w:ascii="Cambria Math" w:hAnsi="Book Antiqua"/>
            <w:sz w:val="20"/>
          </w:rPr>
          <m:t xml:space="preserve">299,980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In Kulikov’s Table III-3, this value receives the most favorable weighting [48]. In 1883, Nyren processed his own series of observations using appropriate weights. The weighted average of those observations yielded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.4915</m:t>
        </m:r>
      </m:oMath>
      <w:r w:rsidRPr="007F536A">
        <w:rPr>
          <w:rFonts w:ascii="Book Antiqua" w:hAnsi="Book Antiqua"/>
          <w:sz w:val="20"/>
        </w:rPr>
        <w:t xml:space="preserve">, so light-speed, </w:t>
      </w:r>
      <m:oMath>
        <m:r>
          <w:rPr>
            <w:rFonts w:ascii="Cambria Math" w:hAnsi="Cambria Math"/>
            <w:sz w:val="20"/>
          </w:rPr>
          <m:t>c</m:t>
        </m:r>
        <m:r>
          <w:rPr>
            <w:rFonts w:ascii="Cambria Math" w:hAnsi="Book Antiqua"/>
            <w:sz w:val="20"/>
          </w:rPr>
          <m:t xml:space="preserve"> = 299,850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Then, in 1884, Nyren made a significant announcement. He had just undertaken a detailed examination of his own series of observations using the Pulkovo vertical circle, a meridian circle and Repsold’s transit instrument in prime vertical. He had now compared these observations with those of Struve using the very same instruments. After using a weighted analysis, Nyren announced that the value of </w:t>
      </w:r>
      <m:oMath>
        <m:r>
          <w:rPr>
            <w:rStyle w:val="Emphasis"/>
            <w:rFonts w:ascii="Cambria Math" w:hAnsi="Cambria Math"/>
            <w:sz w:val="20"/>
          </w:rPr>
          <m:t>K</m:t>
        </m:r>
      </m:oMath>
      <w:r w:rsidRPr="007F536A">
        <w:rPr>
          <w:rFonts w:ascii="Book Antiqua" w:hAnsi="Book Antiqua"/>
          <w:sz w:val="20"/>
        </w:rPr>
        <w:t xml:space="preserve"> </w:t>
      </w:r>
      <w:r w:rsidR="00362990">
        <w:rPr>
          <w:rFonts w:ascii="Book Antiqua" w:hAnsi="Book Antiqua"/>
          <w:sz w:val="20"/>
        </w:rPr>
        <w:t xml:space="preserve">(the aberration constant) </w:t>
      </w:r>
      <w:r w:rsidRPr="007F536A">
        <w:rPr>
          <w:rFonts w:ascii="Book Antiqua" w:hAnsi="Book Antiqua"/>
          <w:sz w:val="20"/>
        </w:rPr>
        <w:t xml:space="preserve">must be increased from Struve’s original to </w:t>
      </w:r>
      <m:oMath>
        <m:r>
          <w:rPr>
            <w:rFonts w:ascii="Cambria Math" w:hAnsi="Book Antiqua"/>
            <w:sz w:val="20"/>
          </w:rPr>
          <m:t>20</m:t>
        </m:r>
        <m:r>
          <w:rPr>
            <w:rFonts w:ascii="Book Antiqua" w:hAnsi="Book Antiqua"/>
            <w:sz w:val="20"/>
          </w:rPr>
          <m:t>”</m:t>
        </m:r>
        <m:r>
          <w:rPr>
            <w:rFonts w:ascii="Cambria Math" w:hAnsi="Book Antiqua"/>
            <w:sz w:val="20"/>
          </w:rPr>
          <m:t xml:space="preserve">.492 </m:t>
        </m:r>
        <m:r>
          <w:rPr>
            <w:rFonts w:ascii="Book Antiqua" w:hAnsi="Book Antiqua"/>
            <w:sz w:val="20"/>
          </w:rPr>
          <m:t>±</m:t>
        </m:r>
        <m:r>
          <w:rPr>
            <w:rFonts w:ascii="Cambria Math" w:hAnsi="Book Antiqua"/>
            <w:sz w:val="20"/>
          </w:rPr>
          <m:t xml:space="preserve"> 0.006</m:t>
        </m:r>
      </m:oMath>
      <w:r w:rsidRPr="007F536A">
        <w:rPr>
          <w:rFonts w:ascii="Book Antiqua" w:hAnsi="Book Antiqua"/>
          <w:sz w:val="20"/>
        </w:rPr>
        <w:t xml:space="preserve"> [56</w:t>
      </w:r>
      <w:bookmarkStart w:id="49" w:name="seventeen"/>
      <w:bookmarkEnd w:id="49"/>
      <w:r w:rsidRPr="007F536A">
        <w:rPr>
          <w:rFonts w:ascii="Book Antiqua" w:hAnsi="Book Antiqua"/>
          <w:sz w:val="20"/>
        </w:rPr>
        <w:t>]. Newcomb accepted this analysis and announced Nyren’s value as definitive in 1886, superseding Struve’s [57</w:t>
      </w:r>
      <w:bookmarkStart w:id="50" w:name="eighteen"/>
      <w:bookmarkEnd w:id="50"/>
      <w:r w:rsidRPr="007F536A">
        <w:rPr>
          <w:rFonts w:ascii="Book Antiqua" w:hAnsi="Book Antiqua"/>
          <w:sz w:val="20"/>
        </w:rPr>
        <w:t xml:space="preserve">].  This gives a value for the speed of light in 1884 of </w:t>
      </w:r>
      <m:oMath>
        <m:r>
          <w:rPr>
            <w:rFonts w:ascii="Cambria Math" w:hAnsi="Book Antiqua"/>
            <w:sz w:val="20"/>
          </w:rPr>
          <m:t xml:space="preserve">299,840 </m:t>
        </m:r>
        <m:r>
          <w:rPr>
            <w:rFonts w:ascii="Book Antiqua" w:hAnsi="Book Antiqua"/>
            <w:sz w:val="20"/>
          </w:rPr>
          <m:t>±</m:t>
        </m:r>
        <m:r>
          <w:rPr>
            <w:rFonts w:ascii="Cambria Math" w:hAnsi="Book Antiqua"/>
            <w:sz w:val="20"/>
          </w:rPr>
          <m:t xml:space="preserve"> 90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in this context that Newcomb commented in 1886 that the speed of light values obtained by the aberration and Roemer methods around 1740 were about 1% higher than the values that were being obtained by all methods in the 1880’s [57].  In other words, Newcomb was admitting that the speed of light was about </w:t>
      </w:r>
      <m:oMath>
        <m:r>
          <w:rPr>
            <w:rFonts w:ascii="Cambria Math" w:hAnsi="Book Antiqua"/>
            <w:sz w:val="20"/>
          </w:rPr>
          <m:t xml:space="preserve">3000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higher around 1740 than in the 1880’s. His own involvement in the necessity to change the aberration constant reinforced this conclusion.  This makes the value that emerged from the treatment of Bradley’s observations in Table 3 look conservative. At the same time, it reinforces the impression that these early authorities were already aware of a decline in the measured value of the speed of light.  Newcomb was especially aware because of his own rotating mirror experiments which were giving results in close accord with Nyren’s value of 1883 and Nyren’s value in 1884 which Newcomb himself called “definitive” [51].</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During the decade from the mid 1880’s to the mid 1890’s we apparently have no aberration data from Pulkovo. Struve retired in 1889. Nyren’s program of observations now had moved on to other physical constants and the study of instrument errors. He detected a secular variation, and confirmed a periodic variation, in the latitude of Pulkovo. Some of his work was presented at the International Conference on Fundamental Stars in Paris in 1896. At that Conference, Newcomb presented his personal analysis of the Pulkovo aberration observations. His treatment suggested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.493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.011</m:t>
        </m:r>
      </m:oMath>
      <w:r w:rsidRPr="007F536A">
        <w:rPr>
          <w:rFonts w:ascii="Book Antiqua" w:hAnsi="Book Antiqua"/>
          <w:sz w:val="20"/>
        </w:rPr>
        <w:t xml:space="preserve">. Despite that recommendation, the 1896 Paris Conference accepted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.470</m:t>
        </m:r>
      </m:oMath>
      <w:r w:rsidRPr="007F536A">
        <w:rPr>
          <w:rFonts w:ascii="Book Antiqua" w:hAnsi="Book Antiqua"/>
          <w:sz w:val="20"/>
        </w:rPr>
        <w:t xml:space="preserve"> on the basis of other observational data [58].</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Toivo I. Bonsdorff was a specialist in astrometry, geodesy, and gravimetry, and the founder of the Finnish Geodetic Institute. He worked at Pulkovo Observatory from 1902 to 1917. In the period 1904-1906, Bonsdorff, used Talcott’s method to obtain a value of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for a mean date of 1905. Furthermore, in the period 1904-1909 he observed stars in Cassiopeia with Pulkovo colleagues Orlov and Semenov to get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.505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against a mean date of 1907. </w:t>
      </w:r>
    </w:p>
    <w:p w:rsidR="007F0104" w:rsidRDefault="007F0104" w:rsidP="00821A88">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Aleksandr J. Orlov, known for his study of polar motion and the nature of comets, worked at Pulkovo from 1906-1908. He also used Talcott’s method and measured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.491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.008</m:t>
        </m:r>
      </m:oMath>
      <w:r w:rsidRPr="007F536A">
        <w:rPr>
          <w:rFonts w:ascii="Book Antiqua" w:hAnsi="Book Antiqua"/>
          <w:sz w:val="20"/>
        </w:rPr>
        <w:t xml:space="preserve">. In 1909, Semenov using the same method obtained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.518 </m:t>
        </m:r>
        <m:r>
          <w:rPr>
            <w:rFonts w:ascii="Book Antiqua" w:hAnsi="Book Antiqua"/>
            <w:sz w:val="20"/>
            <w:u w:val="single"/>
          </w:rPr>
          <m:t>±</m:t>
        </m:r>
        <m:r>
          <w:rPr>
            <w:rFonts w:ascii="Cambria Math" w:hAnsi="Book Antiqua"/>
            <w:sz w:val="20"/>
          </w:rPr>
          <m:t xml:space="preserve"> 0</m:t>
        </m:r>
        <m:r>
          <w:rPr>
            <w:rFonts w:ascii="Book Antiqua" w:hAnsi="Book Antiqua"/>
            <w:sz w:val="20"/>
          </w:rPr>
          <m:t>”</m:t>
        </m:r>
        <m:r>
          <w:rPr>
            <w:rFonts w:ascii="Cambria Math" w:hAnsi="Book Antiqua"/>
            <w:sz w:val="20"/>
          </w:rPr>
          <m:t>.010</m:t>
        </m:r>
      </m:oMath>
      <w:r w:rsidRPr="007F536A">
        <w:rPr>
          <w:rFonts w:ascii="Book Antiqua" w:hAnsi="Book Antiqua"/>
          <w:sz w:val="20"/>
        </w:rPr>
        <w:t xml:space="preserve">, while in 1910 he had determined that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.508 </m:t>
        </m:r>
        <m:r>
          <w:rPr>
            <w:rFonts w:ascii="Book Antiqua" w:hAnsi="Book Antiqua"/>
            <w:sz w:val="20"/>
          </w:rPr>
          <m:t>±</m:t>
        </m:r>
        <m:r>
          <w:rPr>
            <w:rFonts w:ascii="Cambria Math" w:hAnsi="Book Antiqua"/>
            <w:sz w:val="20"/>
          </w:rPr>
          <m:t>0</m:t>
        </m:r>
        <m:r>
          <w:rPr>
            <w:rFonts w:ascii="Book Antiqua" w:hAnsi="Book Antiqua"/>
            <w:sz w:val="20"/>
          </w:rPr>
          <m:t>”</m:t>
        </m:r>
        <m:r>
          <w:rPr>
            <w:rFonts w:ascii="Cambria Math" w:hAnsi="Book Antiqua"/>
            <w:sz w:val="20"/>
          </w:rPr>
          <m:t>.013</m:t>
        </m:r>
      </m:oMath>
      <w:r w:rsidRPr="007F536A">
        <w:rPr>
          <w:rFonts w:ascii="Book Antiqua" w:hAnsi="Book Antiqua"/>
          <w:sz w:val="20"/>
        </w:rPr>
        <w:t>. These data are found in Table III-3 in Kulikov’s</w:t>
      </w:r>
      <w:r w:rsidRPr="007F536A">
        <w:rPr>
          <w:rStyle w:val="Emphasis"/>
          <w:rFonts w:ascii="Book Antiqua" w:hAnsi="Book Antiqua"/>
          <w:sz w:val="20"/>
        </w:rPr>
        <w:t xml:space="preserve">  Fundamental Constants of Astronomy</w:t>
      </w:r>
      <w:r w:rsidRPr="007F536A">
        <w:rPr>
          <w:rFonts w:ascii="Book Antiqua" w:hAnsi="Book Antiqua"/>
          <w:sz w:val="20"/>
        </w:rPr>
        <w:t xml:space="preserve"> [48]. </w:t>
      </w:r>
    </w:p>
    <w:p w:rsidR="007F0104" w:rsidRPr="007F536A" w:rsidRDefault="007F0104" w:rsidP="007F0104">
      <w:pPr>
        <w:pStyle w:val="NoSpacing"/>
        <w:ind w:firstLine="720"/>
        <w:jc w:val="both"/>
        <w:rPr>
          <w:rFonts w:ascii="Book Antiqua" w:hAnsi="Book Antiqua"/>
          <w:sz w:val="20"/>
        </w:rPr>
      </w:pPr>
    </w:p>
    <w:p w:rsidR="007F0104" w:rsidRPr="007F536A" w:rsidRDefault="007F0104" w:rsidP="007F0104">
      <w:pPr>
        <w:pStyle w:val="NoSpacing"/>
        <w:ind w:firstLine="720"/>
        <w:jc w:val="both"/>
        <w:rPr>
          <w:rFonts w:ascii="Book Antiqua" w:hAnsi="Book Antiqua"/>
          <w:sz w:val="20"/>
        </w:rPr>
      </w:pPr>
      <w:r w:rsidRPr="007F536A">
        <w:rPr>
          <w:rFonts w:ascii="Book Antiqua" w:hAnsi="Book Antiqua"/>
          <w:sz w:val="20"/>
        </w:rPr>
        <w:t xml:space="preserve">All these Pulkovo data are reproduced in Table 4 </w:t>
      </w:r>
      <w:r w:rsidR="00362990">
        <w:rPr>
          <w:rFonts w:ascii="Book Antiqua" w:hAnsi="Book Antiqua"/>
          <w:sz w:val="20"/>
        </w:rPr>
        <w:t>following</w:t>
      </w:r>
      <w:r w:rsidRPr="007F536A">
        <w:rPr>
          <w:rFonts w:ascii="Book Antiqua" w:hAnsi="Book Antiqua"/>
          <w:sz w:val="20"/>
        </w:rPr>
        <w:t>, but with the inclusion of the most conservative value for Bradley along with that of Lindenau by way of comparison. The remaining values from Pulkovo observers listed in Table 4 can be found in Kulikov’s Table 10 on page 92 of his book. [48].</w:t>
      </w:r>
    </w:p>
    <w:p w:rsidR="007F0104" w:rsidRPr="007F536A" w:rsidRDefault="007F0104" w:rsidP="007F0104">
      <w:pPr>
        <w:pStyle w:val="NoSpacing"/>
        <w:ind w:firstLine="720"/>
        <w:jc w:val="both"/>
        <w:rPr>
          <w:rFonts w:ascii="Book Antiqua" w:hAnsi="Book Antiqua"/>
          <w:sz w:val="20"/>
        </w:rPr>
      </w:pPr>
    </w:p>
    <w:p w:rsidR="007F0104" w:rsidRDefault="00362990" w:rsidP="007F0104">
      <w:pPr>
        <w:pStyle w:val="NoSpacing"/>
        <w:ind w:firstLine="720"/>
        <w:jc w:val="both"/>
        <w:rPr>
          <w:rFonts w:ascii="Book Antiqua" w:hAnsi="Book Antiqua"/>
          <w:sz w:val="20"/>
        </w:rPr>
      </w:pPr>
      <w:r>
        <w:rPr>
          <w:rFonts w:ascii="Book Antiqua" w:hAnsi="Book Antiqua"/>
          <w:sz w:val="20"/>
        </w:rPr>
        <w:t>The</w:t>
      </w:r>
      <w:r w:rsidR="007F0104" w:rsidRPr="007F536A">
        <w:rPr>
          <w:rFonts w:ascii="Book Antiqua" w:hAnsi="Book Antiqua"/>
          <w:sz w:val="20"/>
        </w:rPr>
        <w:t xml:space="preserve"> final value in Table 4 below deserves some comment</w:t>
      </w:r>
      <w:r>
        <w:rPr>
          <w:rFonts w:ascii="Book Antiqua" w:hAnsi="Book Antiqua"/>
          <w:sz w:val="20"/>
        </w:rPr>
        <w:t>,</w:t>
      </w:r>
      <w:r w:rsidR="007F0104" w:rsidRPr="007F536A">
        <w:rPr>
          <w:rFonts w:ascii="Book Antiqua" w:hAnsi="Book Antiqua"/>
          <w:sz w:val="20"/>
        </w:rPr>
        <w:t xml:space="preserve"> which also reflects the conditions under which other Pulkovo observations were made. The observer was Sofia V. Romanskaya, an authority in the Latitude Service, who has asteroid 3761 named after her. She was at Pulkovo from 1908 until the second World War intervened. She used the large zenith telescope to make a series of 14,783 observations to obtain a definitive value for the aberration constant.</w:t>
      </w:r>
    </w:p>
    <w:p w:rsidR="00362990" w:rsidRDefault="00362990" w:rsidP="00362990">
      <w:pPr>
        <w:pStyle w:val="NoSpacing"/>
        <w:ind w:firstLine="720"/>
        <w:jc w:val="both"/>
        <w:rPr>
          <w:rFonts w:ascii="Book Antiqua" w:hAnsi="Book Antiqua"/>
          <w:sz w:val="20"/>
        </w:rPr>
      </w:pPr>
    </w:p>
    <w:p w:rsidR="00362990" w:rsidRPr="007F536A" w:rsidRDefault="00362990" w:rsidP="00362990">
      <w:pPr>
        <w:pStyle w:val="NoSpacing"/>
        <w:ind w:firstLine="720"/>
        <w:jc w:val="both"/>
        <w:rPr>
          <w:rFonts w:ascii="Book Antiqua" w:hAnsi="Book Antiqua"/>
          <w:sz w:val="20"/>
        </w:rPr>
      </w:pPr>
      <w:r w:rsidRPr="007F536A">
        <w:rPr>
          <w:rFonts w:ascii="Book Antiqua" w:hAnsi="Book Antiqua"/>
          <w:sz w:val="20"/>
        </w:rPr>
        <w:lastRenderedPageBreak/>
        <w:t xml:space="preserve">The value that Romanskaya obtained for the aberration constant was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.511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.007</m:t>
        </m:r>
      </m:oMath>
      <w:r w:rsidRPr="007F536A">
        <w:rPr>
          <w:rFonts w:ascii="Book Antiqua" w:hAnsi="Book Antiqua"/>
          <w:sz w:val="20"/>
        </w:rPr>
        <w:t xml:space="preserve">. This gives a value for the speed of light of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m:t>
        </m:r>
      </m:oMath>
      <w:r w:rsidRPr="007F536A">
        <w:rPr>
          <w:rFonts w:ascii="Book Antiqua" w:hAnsi="Book Antiqua"/>
          <w:sz w:val="20"/>
        </w:rPr>
        <w:t xml:space="preserve"> km/s. While many, such as Whittaker [53], took this value of K to be definitive, it gives a value for </w:t>
      </w:r>
      <m:oMath>
        <m:r>
          <w:rPr>
            <w:rFonts w:ascii="Cambria Math" w:hAnsi="Cambria Math"/>
            <w:sz w:val="20"/>
          </w:rPr>
          <m:t>c</m:t>
        </m:r>
      </m:oMath>
      <w:r w:rsidRPr="007F536A">
        <w:rPr>
          <w:rFonts w:ascii="Book Antiqua" w:hAnsi="Book Antiqua"/>
          <w:sz w:val="20"/>
        </w:rPr>
        <w:t xml:space="preserve"> about </w:t>
      </w:r>
      <m:oMath>
        <m:r>
          <w:rPr>
            <w:rFonts w:ascii="Cambria Math" w:hAnsi="Book Antiqua"/>
            <w:sz w:val="20"/>
          </w:rPr>
          <m:t xml:space="preserve">220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lower than today’s value. But this was the datum that Pulkovo, and many others, considered to be the best value for aberration constant.</w:t>
      </w:r>
    </w:p>
    <w:p w:rsidR="00362990" w:rsidRPr="007F536A" w:rsidRDefault="00362990" w:rsidP="007F0104">
      <w:pPr>
        <w:pStyle w:val="NoSpacing"/>
        <w:ind w:firstLine="720"/>
        <w:jc w:val="both"/>
        <w:rPr>
          <w:rFonts w:ascii="Book Antiqua" w:hAnsi="Book Antiqua"/>
          <w:sz w:val="20"/>
        </w:rPr>
      </w:pPr>
    </w:p>
    <w:p w:rsidR="007F0104" w:rsidRPr="007F536A" w:rsidRDefault="007F0104" w:rsidP="00821A88">
      <w:pPr>
        <w:pStyle w:val="NoSpacing"/>
        <w:ind w:firstLine="720"/>
        <w:jc w:val="both"/>
        <w:rPr>
          <w:rFonts w:ascii="Book Antiqua" w:hAnsi="Book Antiqua"/>
          <w:sz w:val="20"/>
        </w:rPr>
      </w:pPr>
    </w:p>
    <w:p w:rsidR="00821A88" w:rsidRPr="007F0104" w:rsidRDefault="00821A88" w:rsidP="00E76E36">
      <w:pPr>
        <w:pStyle w:val="NoSpacing"/>
        <w:jc w:val="center"/>
        <w:rPr>
          <w:rFonts w:ascii="Book Antiqua" w:hAnsi="Book Antiqua"/>
          <w:sz w:val="18"/>
          <w:szCs w:val="18"/>
        </w:rPr>
      </w:pPr>
      <w:r w:rsidRPr="007F0104">
        <w:rPr>
          <w:rFonts w:ascii="Book Antiqua" w:hAnsi="Book Antiqua"/>
          <w:b/>
          <w:sz w:val="18"/>
          <w:szCs w:val="18"/>
        </w:rPr>
        <w:t>TABLE 4</w:t>
      </w:r>
      <w:r w:rsidRPr="007F0104">
        <w:rPr>
          <w:rFonts w:ascii="Book Antiqua" w:hAnsi="Book Antiqua"/>
          <w:sz w:val="18"/>
          <w:szCs w:val="18"/>
        </w:rPr>
        <w:t xml:space="preserve">: </w:t>
      </w:r>
      <w:r w:rsidRPr="000E5755">
        <w:rPr>
          <w:rFonts w:ascii="Book Antiqua" w:hAnsi="Book Antiqua"/>
          <w:b/>
          <w:i/>
          <w:sz w:val="18"/>
          <w:szCs w:val="18"/>
        </w:rPr>
        <w:t>Pulkovo Observatory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ayout w:type="fixed"/>
        <w:tblLook w:val="04A0"/>
      </w:tblPr>
      <w:tblGrid>
        <w:gridCol w:w="616"/>
        <w:gridCol w:w="1922"/>
        <w:gridCol w:w="990"/>
        <w:gridCol w:w="1440"/>
        <w:gridCol w:w="1350"/>
      </w:tblGrid>
      <w:tr w:rsidR="00821A88" w:rsidRPr="007F536A" w:rsidTr="00E76E36">
        <w:trPr>
          <w:jc w:val="center"/>
        </w:trPr>
        <w:tc>
          <w:tcPr>
            <w:tcW w:w="616"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Date</w:t>
            </w:r>
          </w:p>
        </w:tc>
        <w:tc>
          <w:tcPr>
            <w:tcW w:w="1922"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Observer</w:t>
            </w:r>
          </w:p>
        </w:tc>
        <w:tc>
          <w:tcPr>
            <w:tcW w:w="99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K arc-seconds</w:t>
            </w:r>
          </w:p>
        </w:tc>
        <w:tc>
          <w:tcPr>
            <w:tcW w:w="144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Speed of light in km/s</w:t>
            </w:r>
          </w:p>
        </w:tc>
        <w:tc>
          <w:tcPr>
            <w:tcW w:w="1350" w:type="dxa"/>
          </w:tcPr>
          <w:p w:rsidR="00821A88" w:rsidRPr="007F0104" w:rsidRDefault="00821A88" w:rsidP="00E76E36">
            <w:pPr>
              <w:pStyle w:val="NoSpacing"/>
              <w:rPr>
                <w:rFonts w:ascii="Book Antiqua" w:hAnsi="Book Antiqua"/>
                <w:b/>
                <w:i/>
                <w:sz w:val="18"/>
                <w:szCs w:val="18"/>
              </w:rPr>
            </w:pPr>
            <w:r w:rsidRPr="007F0104">
              <w:rPr>
                <w:rFonts w:ascii="Book Antiqua" w:hAnsi="Book Antiqua"/>
                <w:b/>
                <w:i/>
                <w:sz w:val="18"/>
                <w:szCs w:val="18"/>
              </w:rPr>
              <w:t>Above 1935 Datum</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1740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Bradley</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20.437</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1783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Lindenau</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890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(definitive value issued 1845)</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20.445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300,530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960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Struve 1853 update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20.463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300,270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Folke-Struve (5 best stars analysis)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20.458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300,340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1843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Vaschilina-Struve (new series of stars)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1858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Nyren-Peters</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299,800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230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1870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Nyren-Wagner</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20.483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299,980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1883</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(treated av.)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1884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Nyren (definitive)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Conference value</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20.470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300,170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600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1896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Newcomb-Pulkovo</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20.493</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Bonsdorff et al.</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20.505</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1908</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Orlov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20.491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299,850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280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1909</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299,460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-110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Zemtsov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20.500</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299,730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160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1910</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Semenov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20.508</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299,610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40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1914</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Numerov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20.506</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299,640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70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1916</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Tsimmerman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299,520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-50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1921</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Kulikov</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20.512</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299,550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1927</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Berg</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20.504</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299,670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100</w:t>
            </w:r>
          </w:p>
        </w:tc>
      </w:tr>
      <w:tr w:rsidR="00821A88" w:rsidRPr="007F536A" w:rsidTr="00E76E36">
        <w:trPr>
          <w:jc w:val="center"/>
        </w:trPr>
        <w:tc>
          <w:tcPr>
            <w:tcW w:w="616"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1935</w:t>
            </w:r>
          </w:p>
        </w:tc>
        <w:tc>
          <w:tcPr>
            <w:tcW w:w="1922"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Romanskaya, defin.</w:t>
            </w:r>
          </w:p>
        </w:tc>
        <w:tc>
          <w:tcPr>
            <w:tcW w:w="99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20.511</w:t>
            </w:r>
          </w:p>
        </w:tc>
        <w:tc>
          <w:tcPr>
            <w:tcW w:w="144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299,570</w:t>
            </w:r>
          </w:p>
        </w:tc>
        <w:tc>
          <w:tcPr>
            <w:tcW w:w="1350" w:type="dxa"/>
          </w:tcPr>
          <w:p w:rsidR="00821A88" w:rsidRPr="007F0104" w:rsidRDefault="00821A88" w:rsidP="00E76E36">
            <w:pPr>
              <w:pStyle w:val="NoSpacing"/>
              <w:rPr>
                <w:rFonts w:ascii="Book Antiqua" w:hAnsi="Book Antiqua"/>
                <w:b/>
                <w:sz w:val="18"/>
                <w:szCs w:val="18"/>
              </w:rPr>
            </w:pPr>
            <w:r w:rsidRPr="007F0104">
              <w:rPr>
                <w:rFonts w:ascii="Book Antiqua" w:hAnsi="Book Antiqua"/>
                <w:b/>
                <w:sz w:val="18"/>
                <w:szCs w:val="18"/>
              </w:rPr>
              <w:t>0</w:t>
            </w:r>
          </w:p>
        </w:tc>
      </w:tr>
    </w:tbl>
    <w:p w:rsidR="00C130A6" w:rsidRPr="007F536A" w:rsidRDefault="00C130A6" w:rsidP="00E76E36">
      <w:pPr>
        <w:pStyle w:val="NoSpacing"/>
        <w:ind w:firstLine="720"/>
        <w:rPr>
          <w:rFonts w:ascii="Book Antiqua" w:hAnsi="Book Antiqua"/>
          <w:sz w:val="20"/>
        </w:rPr>
      </w:pPr>
    </w:p>
    <w:p w:rsidR="004E2C1E" w:rsidRPr="007F536A" w:rsidRDefault="004E2C1E" w:rsidP="004E2C1E">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7F536A">
        <w:rPr>
          <w:rFonts w:ascii="Book Antiqua" w:hAnsi="Book Antiqua"/>
          <w:sz w:val="20"/>
        </w:rPr>
        <w:t>Romanskaya</w:t>
      </w:r>
      <w:r>
        <w:rPr>
          <w:rFonts w:ascii="Book Antiqua" w:hAnsi="Book Antiqua"/>
          <w:sz w:val="20"/>
        </w:rPr>
        <w:t>’s</w:t>
      </w:r>
      <w:r w:rsidR="00821A88" w:rsidRPr="007F536A">
        <w:rPr>
          <w:rFonts w:ascii="Book Antiqua" w:hAnsi="Book Antiqua"/>
          <w:sz w:val="20"/>
        </w:rPr>
        <w:t xml:space="preserve"> value does not accord with </w:t>
      </w:r>
      <w:r w:rsidR="00362990">
        <w:rPr>
          <w:rFonts w:ascii="Book Antiqua" w:hAnsi="Book Antiqua"/>
          <w:sz w:val="20"/>
        </w:rPr>
        <w:t>our</w:t>
      </w:r>
      <w:r w:rsidR="00821A88" w:rsidRPr="007F536A">
        <w:rPr>
          <w:rFonts w:ascii="Book Antiqua" w:hAnsi="Book Antiqua"/>
          <w:sz w:val="20"/>
        </w:rPr>
        <w:t xml:space="preserve"> current value for K which was fixed by the International Astronomical Union in 1976 as being </w:t>
      </w:r>
      <m:oMath>
        <m:r>
          <w:rPr>
            <w:rFonts w:ascii="Cambria Math" w:hAnsi="Book Antiqua"/>
            <w:sz w:val="20"/>
          </w:rPr>
          <m:t>20</m:t>
        </m:r>
        <m:r>
          <w:rPr>
            <w:rFonts w:ascii="Book Antiqua" w:hAnsi="Book Antiqua"/>
            <w:sz w:val="20"/>
          </w:rPr>
          <m:t>”</m:t>
        </m:r>
        <m:r>
          <w:rPr>
            <w:rFonts w:ascii="Cambria Math" w:hAnsi="Book Antiqua"/>
            <w:sz w:val="20"/>
          </w:rPr>
          <m:t>.49552</m:t>
        </m:r>
      </m:oMath>
      <w:r w:rsidR="00821A88" w:rsidRPr="007F536A">
        <w:rPr>
          <w:rFonts w:ascii="Book Antiqua" w:hAnsi="Book Antiqua"/>
          <w:sz w:val="20"/>
        </w:rPr>
        <w:t xml:space="preserve"> [44]. </w:t>
      </w:r>
      <w:r w:rsidR="00362990">
        <w:rPr>
          <w:rFonts w:ascii="Book Antiqua" w:hAnsi="Book Antiqua"/>
          <w:sz w:val="20"/>
        </w:rPr>
        <w:t xml:space="preserve"> However, t</w:t>
      </w:r>
      <w:r w:rsidR="00821A88" w:rsidRPr="007F536A">
        <w:rPr>
          <w:rFonts w:ascii="Book Antiqua" w:hAnsi="Book Antiqua"/>
          <w:sz w:val="20"/>
        </w:rPr>
        <w:t>his current value for K was not obtained by observation, but rather by definition. This definition was possible because of the prior fixing of the speed of light as a constant at the 15</w:t>
      </w:r>
      <w:r w:rsidR="00821A88" w:rsidRPr="007F536A">
        <w:rPr>
          <w:rFonts w:ascii="Book Antiqua" w:hAnsi="Book Antiqua"/>
          <w:sz w:val="20"/>
          <w:vertAlign w:val="superscript"/>
        </w:rPr>
        <w:t>th</w:t>
      </w:r>
      <w:r w:rsidR="00821A88" w:rsidRPr="007F536A">
        <w:rPr>
          <w:rFonts w:ascii="Book Antiqua" w:hAnsi="Book Antiqua"/>
          <w:sz w:val="20"/>
        </w:rPr>
        <w:t xml:space="preserve"> General Conference on Weights and Measures in 1975. This definition thus stated that </w:t>
      </w:r>
      <w:r w:rsidR="00821A88" w:rsidRPr="007F536A">
        <w:rPr>
          <w:rFonts w:ascii="Book Antiqua" w:hAnsi="Book Antiqua"/>
          <w:i/>
          <w:sz w:val="20"/>
        </w:rPr>
        <w:t xml:space="preserve">“The constant of aberration is the ratio of the mean speed of the earth to the speed of light and is conventionally expressed in seconds of arc.” </w:t>
      </w:r>
      <w:r w:rsidR="00821A88" w:rsidRPr="007F536A">
        <w:rPr>
          <w:rFonts w:ascii="Book Antiqua" w:hAnsi="Book Antiqua"/>
          <w:sz w:val="20"/>
        </w:rPr>
        <w:t>[See statement at:</w:t>
      </w:r>
      <w:r w:rsidR="00821A88" w:rsidRPr="007F536A">
        <w:rPr>
          <w:rFonts w:ascii="Book Antiqua" w:hAnsi="Book Antiqua"/>
          <w:i/>
          <w:sz w:val="20"/>
        </w:rPr>
        <w:t xml:space="preserve"> </w:t>
      </w:r>
      <w:hyperlink r:id="rId96" w:history="1">
        <w:r w:rsidR="00821A88" w:rsidRPr="007F536A">
          <w:rPr>
            <w:rStyle w:val="Hyperlink"/>
            <w:rFonts w:ascii="Book Antiqua" w:hAnsi="Book Antiqua"/>
            <w:sz w:val="20"/>
          </w:rPr>
          <w:t>http://www.iau.org/static/resolutions/IAU1976_French.pdf</w:t>
        </w:r>
      </w:hyperlink>
      <w:r w:rsidR="00821A88" w:rsidRPr="007F536A">
        <w:rPr>
          <w:rFonts w:ascii="Book Antiqua" w:hAnsi="Book Antiqua"/>
          <w:sz w:val="20"/>
        </w:rPr>
        <w:t>]</w:t>
      </w:r>
      <w:r w:rsidR="00821A88" w:rsidRPr="007F536A">
        <w:rPr>
          <w:rFonts w:ascii="Book Antiqua" w:hAnsi="Book Antiqua"/>
          <w:i/>
          <w:sz w:val="20"/>
        </w:rPr>
        <w:t xml:space="preserve">. </w:t>
      </w:r>
      <w:r w:rsidR="00821A88" w:rsidRPr="007F536A">
        <w:rPr>
          <w:rFonts w:ascii="Book Antiqua" w:hAnsi="Book Antiqua"/>
          <w:sz w:val="20"/>
        </w:rPr>
        <w:t xml:space="preserve">This means that if the aberration constant is measured as changing, so too is the speed of light. But because </w:t>
      </w:r>
      <m:oMath>
        <m:r>
          <w:rPr>
            <w:rFonts w:ascii="Cambria Math" w:hAnsi="Cambria Math"/>
            <w:sz w:val="20"/>
          </w:rPr>
          <m:t>c</m:t>
        </m:r>
      </m:oMath>
      <w:r w:rsidR="00821A88" w:rsidRPr="007F536A">
        <w:rPr>
          <w:rFonts w:ascii="Book Antiqua" w:hAnsi="Book Antiqua"/>
          <w:i/>
          <w:sz w:val="20"/>
        </w:rPr>
        <w:t xml:space="preserve"> </w:t>
      </w:r>
      <w:r w:rsidR="00821A88" w:rsidRPr="007F536A">
        <w:rPr>
          <w:rFonts w:ascii="Book Antiqua" w:hAnsi="Book Antiqua"/>
          <w:sz w:val="20"/>
        </w:rPr>
        <w:t>was later declared to be an absolute constant in 1983 at the value declared in 1975, it is assumed that the aberration constant will never change.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Over against this theoretical definition, we are faced with the observational reality that the values of the aberration constant obtained from Pulkovo are systematically too large by about </w:t>
      </w:r>
      <m:oMath>
        <m:r>
          <w:rPr>
            <w:rFonts w:ascii="Cambria Math" w:hAnsi="Book Antiqua"/>
            <w:sz w:val="20"/>
          </w:rPr>
          <m:t>0</m:t>
        </m:r>
        <m:r>
          <w:rPr>
            <w:rFonts w:ascii="Book Antiqua" w:hAnsi="Book Antiqua"/>
            <w:sz w:val="20"/>
          </w:rPr>
          <m:t>”</m:t>
        </m:r>
        <m:r>
          <w:rPr>
            <w:rFonts w:ascii="Cambria Math" w:hAnsi="Book Antiqua"/>
            <w:sz w:val="20"/>
          </w:rPr>
          <m:t>.0155</m:t>
        </m:r>
      </m:oMath>
      <w:r w:rsidRPr="007F536A">
        <w:rPr>
          <w:rFonts w:ascii="Book Antiqua" w:hAnsi="Book Antiqua"/>
          <w:sz w:val="20"/>
        </w:rPr>
        <w:t xml:space="preserve">.  As a result, the value for the speed of light using these data is systematically too low by about 220 km/s. This systematic error has still picked up the change in the speed of light, but has shifted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into a lower range of values.  If the Pulkovo datum line of </w:t>
      </w:r>
      <m:oMath>
        <m:r>
          <w:rPr>
            <w:rFonts w:ascii="Cambria Math" w:hAnsi="Book Antiqua"/>
            <w:sz w:val="20"/>
          </w:rPr>
          <m:t>20</m:t>
        </m:r>
        <m:r>
          <w:rPr>
            <w:rFonts w:ascii="Book Antiqua" w:hAnsi="Book Antiqua"/>
            <w:sz w:val="20"/>
          </w:rPr>
          <m:t>”</m:t>
        </m:r>
        <m:r>
          <w:rPr>
            <w:rFonts w:ascii="Cambria Math" w:hAnsi="Book Antiqua"/>
            <w:sz w:val="20"/>
          </w:rPr>
          <m:t>.511</m:t>
        </m:r>
      </m:oMath>
      <w:r w:rsidRPr="007F536A">
        <w:rPr>
          <w:rFonts w:ascii="Book Antiqua" w:hAnsi="Book Antiqua"/>
          <w:sz w:val="20"/>
        </w:rPr>
        <w:t xml:space="preserve"> is used for </w:t>
      </w:r>
      <m:oMath>
        <m:r>
          <w:rPr>
            <w:rFonts w:ascii="Cambria Math" w:hAnsi="Cambria Math"/>
            <w:sz w:val="20"/>
          </w:rPr>
          <m:t>K</m:t>
        </m:r>
      </m:oMath>
      <w:r w:rsidRPr="007F536A">
        <w:rPr>
          <w:rFonts w:ascii="Book Antiqua" w:hAnsi="Book Antiqua"/>
          <w:sz w:val="20"/>
        </w:rPr>
        <w:t xml:space="preserve"> [60] as Whittaker and others have done [53], then the values of </w:t>
      </w:r>
      <m:oMath>
        <m:r>
          <w:rPr>
            <w:rFonts w:ascii="Cambria Math" w:hAnsi="Cambria Math"/>
            <w:sz w:val="20"/>
          </w:rPr>
          <m:t>c</m:t>
        </m:r>
      </m:oMath>
      <w:r w:rsidRPr="007F536A">
        <w:rPr>
          <w:rFonts w:ascii="Book Antiqua" w:hAnsi="Book Antiqua"/>
          <w:sz w:val="20"/>
        </w:rPr>
        <w:t xml:space="preserve"> in Table 4 would all be above the currently defined speed of light. </w:t>
      </w:r>
    </w:p>
    <w:p w:rsidR="00821A88" w:rsidRPr="007F536A" w:rsidRDefault="00821A88" w:rsidP="00821A88">
      <w:pPr>
        <w:pStyle w:val="NoSpacing"/>
        <w:jc w:val="both"/>
        <w:rPr>
          <w:rFonts w:ascii="Book Antiqua" w:hAnsi="Book Antiqua"/>
          <w:sz w:val="20"/>
        </w:rPr>
      </w:pPr>
    </w:p>
    <w:p w:rsidR="00821A88" w:rsidRPr="007F536A" w:rsidRDefault="00D83E6A" w:rsidP="00821A88">
      <w:pPr>
        <w:pStyle w:val="NoSpacing"/>
        <w:ind w:firstLine="720"/>
        <w:jc w:val="both"/>
        <w:rPr>
          <w:rFonts w:ascii="Book Antiqua" w:hAnsi="Book Antiqua"/>
          <w:sz w:val="20"/>
        </w:rPr>
      </w:pPr>
      <w:r w:rsidRPr="00D83E6A">
        <w:rPr>
          <w:rFonts w:ascii="Book Antiqua" w:hAnsi="Book Antiqua"/>
          <w:sz w:val="20"/>
        </w:rPr>
        <w:t>The cause of this discrepancy needs to be dealt with.</w:t>
      </w:r>
      <w:r>
        <w:rPr>
          <w:rFonts w:ascii="Book Antiqua" w:hAnsi="Book Antiqua"/>
          <w:sz w:val="20"/>
        </w:rPr>
        <w:t xml:space="preserve">  </w:t>
      </w:r>
      <w:r w:rsidR="00821A88" w:rsidRPr="007F536A">
        <w:rPr>
          <w:rFonts w:ascii="Book Antiqua" w:hAnsi="Book Antiqua"/>
          <w:sz w:val="20"/>
        </w:rPr>
        <w:t>Examination of the situation shows the problem is not unique to Pulkovo. It was initially thought that it might only be the high latitude observatories which were affected. But the International Latitude Service had 6 observatories, all of whose latitudes were close to 39 degrees North, and their values for K approximated to those of Pulkovo as can be seen in Table 5.</w:t>
      </w:r>
    </w:p>
    <w:p w:rsidR="00821A88" w:rsidRPr="007F536A" w:rsidRDefault="00821A88" w:rsidP="00821A88">
      <w:pPr>
        <w:pStyle w:val="NoSpacing"/>
        <w:ind w:firstLine="720"/>
        <w:jc w:val="both"/>
        <w:rPr>
          <w:rFonts w:ascii="Book Antiqua" w:hAnsi="Book Antiqua"/>
          <w:sz w:val="16"/>
          <w:szCs w:val="16"/>
        </w:rPr>
      </w:pPr>
    </w:p>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sz w:val="18"/>
          <w:szCs w:val="18"/>
        </w:rPr>
        <w:t>TABLE 5:</w:t>
      </w:r>
      <w:r w:rsidRPr="000E5755">
        <w:rPr>
          <w:rFonts w:ascii="Book Antiqua" w:hAnsi="Book Antiqua"/>
          <w:b/>
          <w:i/>
          <w:sz w:val="18"/>
          <w:szCs w:val="18"/>
        </w:rPr>
        <w:t xml:space="preserve"> International Latitude Service Results.</w:t>
      </w:r>
    </w:p>
    <w:p w:rsidR="00821A88" w:rsidRPr="007F536A" w:rsidRDefault="00821A88" w:rsidP="00821A88">
      <w:pPr>
        <w:pStyle w:val="NoSpacing"/>
        <w:ind w:firstLine="720"/>
        <w:jc w:val="both"/>
        <w:rPr>
          <w:rFonts w:ascii="Book Antiqua" w:hAnsi="Book Antiqua"/>
          <w:sz w:val="20"/>
        </w:rPr>
      </w:pPr>
    </w:p>
    <w:tbl>
      <w:tblPr>
        <w:tblStyle w:val="TableGrid"/>
        <w:tblW w:w="0" w:type="auto"/>
        <w:jc w:val="center"/>
        <w:tblLook w:val="04A0"/>
      </w:tblPr>
      <w:tblGrid>
        <w:gridCol w:w="1748"/>
        <w:gridCol w:w="1748"/>
        <w:gridCol w:w="2987"/>
      </w:tblGrid>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Date</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Cambria Math"/>
                    <w:sz w:val="18"/>
                    <w:szCs w:val="18"/>
                  </w:rPr>
                  <m:t>K</m:t>
                </m:r>
                <m:r>
                  <m:rPr>
                    <m:sty m:val="bi"/>
                  </m:rPr>
                  <w:rPr>
                    <w:rFonts w:ascii="Cambria Math" w:hAnsi="Book Antiqua"/>
                    <w:sz w:val="18"/>
                    <w:szCs w:val="18"/>
                  </w:rPr>
                  <m:t xml:space="preserve"> </m:t>
                </m:r>
                <m:r>
                  <m:rPr>
                    <m:sty m:val="bi"/>
                  </m:rPr>
                  <w:rPr>
                    <w:rFonts w:ascii="Cambria Math" w:hAnsi="Cambria Math"/>
                    <w:sz w:val="18"/>
                    <w:szCs w:val="18"/>
                  </w:rPr>
                  <m:t>arc-seconds</m:t>
                </m:r>
              </m:oMath>
            </m:oMathPara>
          </w:p>
        </w:tc>
        <w:tc>
          <w:tcPr>
            <w:tcW w:w="2987" w:type="dxa"/>
          </w:tcPr>
          <w:p w:rsidR="00821A88" w:rsidRPr="000E5755" w:rsidRDefault="00821A88" w:rsidP="00EB4BA1">
            <w:pPr>
              <w:pStyle w:val="NoSpacing"/>
              <w:jc w:val="center"/>
              <w:rPr>
                <w:rFonts w:ascii="Book Antiqua" w:hAnsi="Book Antiqua"/>
                <w:b/>
                <w:i/>
                <w:sz w:val="18"/>
                <w:szCs w:val="18"/>
              </w:rPr>
            </w:pPr>
            <w:r w:rsidRPr="000E5755">
              <w:rPr>
                <w:rFonts w:ascii="Book Antiqua" w:hAnsi="Book Antiqua"/>
                <w:b/>
                <w:i/>
                <w:sz w:val="18"/>
                <w:szCs w:val="18"/>
              </w:rPr>
              <w:t>Speed of Light</w:t>
            </w:r>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1900.5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20.517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299,480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1901.5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20.520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299,440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72"/>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1907.5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20.525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299,360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r w:rsidR="00821A88" w:rsidRPr="000E5755" w:rsidTr="00EB4BA1">
        <w:trPr>
          <w:trHeight w:val="291"/>
          <w:jc w:val="center"/>
        </w:trPr>
        <w:tc>
          <w:tcPr>
            <w:tcW w:w="1748" w:type="dxa"/>
          </w:tcPr>
          <w:p w:rsidR="00821A88" w:rsidRPr="000E5755" w:rsidRDefault="00821A88" w:rsidP="00400B4E">
            <w:pPr>
              <w:pStyle w:val="NoSpacing"/>
              <w:jc w:val="both"/>
              <w:rPr>
                <w:rFonts w:ascii="Book Antiqua" w:hAnsi="Book Antiqua"/>
                <w:b/>
                <w:sz w:val="18"/>
                <w:szCs w:val="18"/>
              </w:rPr>
            </w:pPr>
            <w:r w:rsidRPr="000E5755">
              <w:rPr>
                <w:rFonts w:ascii="Book Antiqua" w:hAnsi="Book Antiqua"/>
                <w:b/>
                <w:sz w:val="18"/>
                <w:szCs w:val="18"/>
              </w:rPr>
              <w:t>1908.5</w:t>
            </w:r>
          </w:p>
        </w:tc>
        <w:tc>
          <w:tcPr>
            <w:tcW w:w="1748"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20.522 </m:t>
                </m:r>
                <m:r>
                  <m:rPr>
                    <m:sty m:val="bi"/>
                  </m:rPr>
                  <w:rPr>
                    <w:rFonts w:ascii="Cambria Math" w:hAnsi="Cambria Math"/>
                    <w:sz w:val="18"/>
                    <w:szCs w:val="18"/>
                  </w:rPr>
                  <m:t>±</m:t>
                </m:r>
                <m:r>
                  <m:rPr>
                    <m:sty m:val="bi"/>
                  </m:rPr>
                  <w:rPr>
                    <w:rFonts w:ascii="Cambria Math" w:hAnsi="Book Antiqua"/>
                    <w:sz w:val="18"/>
                    <w:szCs w:val="18"/>
                  </w:rPr>
                  <m:t xml:space="preserve"> 0.004</m:t>
                </m:r>
              </m:oMath>
            </m:oMathPara>
          </w:p>
        </w:tc>
        <w:tc>
          <w:tcPr>
            <w:tcW w:w="2987" w:type="dxa"/>
          </w:tcPr>
          <w:p w:rsidR="00821A88" w:rsidRPr="000E5755" w:rsidRDefault="000E5755" w:rsidP="00400B4E">
            <w:pPr>
              <w:pStyle w:val="NoSpacing"/>
              <w:jc w:val="both"/>
              <w:rPr>
                <w:rFonts w:ascii="Book Antiqua" w:hAnsi="Book Antiqua"/>
                <w:b/>
                <w:sz w:val="18"/>
                <w:szCs w:val="18"/>
              </w:rPr>
            </w:pPr>
            <m:oMathPara>
              <m:oMath>
                <m:r>
                  <m:rPr>
                    <m:sty m:val="bi"/>
                  </m:rPr>
                  <w:rPr>
                    <w:rFonts w:ascii="Cambria Math" w:hAnsi="Book Antiqua"/>
                    <w:sz w:val="18"/>
                    <w:szCs w:val="18"/>
                  </w:rPr>
                  <m:t xml:space="preserve">299,410 </m:t>
                </m:r>
                <m:r>
                  <m:rPr>
                    <m:sty m:val="bi"/>
                  </m:rPr>
                  <w:rPr>
                    <w:rFonts w:ascii="Cambria Math" w:hAnsi="Cambria Math"/>
                    <w:sz w:val="18"/>
                    <w:szCs w:val="18"/>
                  </w:rPr>
                  <m:t>±</m:t>
                </m:r>
                <m:r>
                  <m:rPr>
                    <m:sty m:val="bi"/>
                  </m:rPr>
                  <w:rPr>
                    <w:rFonts w:ascii="Cambria Math" w:hAnsi="Book Antiqua"/>
                    <w:sz w:val="18"/>
                    <w:szCs w:val="18"/>
                  </w:rPr>
                  <m:t xml:space="preserve"> 60 </m:t>
                </m:r>
                <m:r>
                  <m:rPr>
                    <m:sty m:val="bi"/>
                  </m:rPr>
                  <w:rPr>
                    <w:rFonts w:ascii="Cambria Math" w:hAnsi="Cambria Math"/>
                    <w:sz w:val="18"/>
                    <w:szCs w:val="18"/>
                  </w:rPr>
                  <m:t>km</m:t>
                </m:r>
                <m:r>
                  <m:rPr>
                    <m:sty m:val="bi"/>
                  </m:rPr>
                  <w:rPr>
                    <w:rFonts w:ascii="Cambria Math" w:hAnsi="Book Antiqua"/>
                    <w:sz w:val="18"/>
                    <w:szCs w:val="18"/>
                  </w:rPr>
                  <m:t>/</m:t>
                </m:r>
                <m:r>
                  <m:rPr>
                    <m:sty m:val="bi"/>
                  </m:rPr>
                  <w:rPr>
                    <w:rFonts w:ascii="Cambria Math" w:hAnsi="Cambria Math"/>
                    <w:sz w:val="18"/>
                    <w:szCs w:val="18"/>
                  </w:rPr>
                  <m:t>s</m:t>
                </m:r>
              </m:oMath>
            </m:oMathPara>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in Table 5, a general downward trend in the speed of light is in evidence. However, the average value here for the aberration constant is </w:t>
      </w:r>
      <m:oMath>
        <m:r>
          <w:rPr>
            <w:rFonts w:ascii="Cambria Math" w:hAnsi="Cambria Math"/>
            <w:sz w:val="20"/>
          </w:rPr>
          <m:t>K</m:t>
        </m:r>
        <m:r>
          <w:rPr>
            <w:rFonts w:ascii="Cambria Math" w:hAnsi="Book Antiqua"/>
            <w:sz w:val="20"/>
          </w:rPr>
          <m:t xml:space="preserve"> = 20</m:t>
        </m:r>
        <m:r>
          <w:rPr>
            <w:rFonts w:ascii="Book Antiqua" w:hAnsi="Book Antiqua"/>
            <w:sz w:val="20"/>
          </w:rPr>
          <m:t>”</m:t>
        </m:r>
        <m:r>
          <w:rPr>
            <w:rFonts w:ascii="Cambria Math" w:hAnsi="Book Antiqua"/>
            <w:sz w:val="20"/>
          </w:rPr>
          <m:t xml:space="preserve">.521 </m:t>
        </m:r>
        <m:r>
          <w:rPr>
            <w:rFonts w:ascii="Book Antiqua" w:hAnsi="Book Antiqua"/>
            <w:sz w:val="20"/>
          </w:rPr>
          <m:t>±</m:t>
        </m:r>
        <m:r>
          <w:rPr>
            <w:rFonts w:ascii="Cambria Math" w:hAnsi="Book Antiqua"/>
            <w:sz w:val="20"/>
          </w:rPr>
          <m:t xml:space="preserve"> 0</m:t>
        </m:r>
        <m:r>
          <w:rPr>
            <w:rFonts w:ascii="Book Antiqua" w:hAnsi="Book Antiqua"/>
            <w:sz w:val="20"/>
          </w:rPr>
          <m:t>”</m:t>
        </m:r>
        <m:r>
          <w:rPr>
            <w:rFonts w:ascii="Cambria Math" w:hAnsi="Book Antiqua"/>
            <w:sz w:val="20"/>
          </w:rPr>
          <m:t>.004</m:t>
        </m:r>
      </m:oMath>
      <w:r w:rsidRPr="007F536A">
        <w:rPr>
          <w:rFonts w:ascii="Book Antiqua" w:hAnsi="Book Antiqua"/>
          <w:sz w:val="20"/>
        </w:rPr>
        <w:t xml:space="preserve"> which gives</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299,420 </m:t>
        </m:r>
        <m:r>
          <w:rPr>
            <w:rFonts w:ascii="Book Antiqua" w:hAnsi="Book Antiqua"/>
            <w:sz w:val="20"/>
            <w:u w:val="single"/>
          </w:rPr>
          <m:t>±</m:t>
        </m:r>
        <m:r>
          <w:rPr>
            <w:rFonts w:ascii="Cambria Math" w:hAnsi="Book Antiqua"/>
            <w:sz w:val="20"/>
          </w:rPr>
          <m:t xml:space="preserve"> 60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 mean date of 1904.5. This value for the speed of light is 150 km/s lower again than that of Pulkovo in 1935, which was </w:t>
      </w:r>
      <m:oMath>
        <m:r>
          <w:rPr>
            <w:rFonts w:ascii="Cambria Math" w:hAnsi="Book Antiqua"/>
            <w:sz w:val="20"/>
          </w:rPr>
          <m:t xml:space="preserve">299,570 </m:t>
        </m:r>
        <m:r>
          <w:rPr>
            <w:rFonts w:ascii="Book Antiqua" w:hAnsi="Book Antiqua"/>
            <w:sz w:val="20"/>
            <w:u w:val="single"/>
          </w:rPr>
          <m:t>±</m:t>
        </m:r>
        <m:r>
          <w:rPr>
            <w:rFonts w:ascii="Cambria Math" w:hAnsi="Book Antiqua"/>
            <w:sz w:val="20"/>
          </w:rPr>
          <m:t xml:space="preserve"> 100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Therefore, the latitude of the observatory is not to blame. What was happening at Pulkovo at about 59 degrees North was also happening to the ILS observatories around 39 degrees North. The conclusion must be that the problem is a general one for the aberration measurements; </w:t>
      </w:r>
      <w:r w:rsidR="00D83E6A">
        <w:rPr>
          <w:rFonts w:ascii="Book Antiqua" w:hAnsi="Book Antiqua"/>
          <w:sz w:val="20"/>
        </w:rPr>
        <w:t>not one</w:t>
      </w:r>
      <w:r w:rsidRPr="007F536A">
        <w:rPr>
          <w:rFonts w:ascii="Book Antiqua" w:hAnsi="Book Antiqua"/>
          <w:sz w:val="20"/>
        </w:rPr>
        <w:t xml:space="preserve"> isolated to Pulkovo.</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Indeed, the problem is a long-standing one. Although he noted it much earlier, Newcomb commented on it in 1895 and suggested a probable cause </w:t>
      </w:r>
      <w:r w:rsidRPr="00D83E6A">
        <w:rPr>
          <w:rFonts w:ascii="Book Antiqua" w:hAnsi="Book Antiqua"/>
          <w:sz w:val="20"/>
        </w:rPr>
        <w:t>[61].</w:t>
      </w:r>
      <w:r w:rsidRPr="007F536A">
        <w:rPr>
          <w:rFonts w:ascii="Book Antiqua" w:hAnsi="Book Antiqua"/>
          <w:sz w:val="20"/>
        </w:rPr>
        <w:t xml:space="preserve"> Many of the observations of the key stars need to be made in twilight. As a result, any star will appear fainter in transit across the east vertical than when crossing the west vertical an hour or so later if they are evening observations. For morning observations the reverse situation holds. The observer would tend to note the passage of the fainter image systematically too late. Speaking of the effect this has on </w:t>
      </w:r>
      <w:r w:rsidRPr="007F536A">
        <w:rPr>
          <w:rStyle w:val="Emphasis"/>
          <w:rFonts w:ascii="Book Antiqua" w:hAnsi="Book Antiqua"/>
          <w:sz w:val="20"/>
        </w:rPr>
        <w:t>K</w:t>
      </w:r>
      <w:r w:rsidRPr="007F536A">
        <w:rPr>
          <w:rFonts w:ascii="Book Antiqua" w:hAnsi="Book Antiqua"/>
          <w:sz w:val="20"/>
        </w:rPr>
        <w:t>, Newcomb commented, “</w:t>
      </w:r>
      <w:r w:rsidRPr="007F536A">
        <w:rPr>
          <w:rStyle w:val="Emphasis"/>
          <w:rFonts w:ascii="Book Antiqua" w:hAnsi="Book Antiqua"/>
          <w:sz w:val="20"/>
        </w:rPr>
        <w:t>we can not but have at least a suspicion that…values may be slightly too large from this cause</w:t>
      </w:r>
      <w:r w:rsidRPr="007F536A">
        <w:rPr>
          <w:rFonts w:ascii="Book Antiqua" w:hAnsi="Book Antiqua"/>
          <w:sz w:val="20"/>
        </w:rPr>
        <w:t xml:space="preserve">.” Therefore, as a class, although aberration measurements illustrate any general trend for the speed of light, that trend is systematically shifted into a lower range of </w:t>
      </w:r>
      <w:r w:rsidRPr="007F536A">
        <w:rPr>
          <w:rStyle w:val="Emphasis"/>
          <w:rFonts w:ascii="Book Antiqua" w:hAnsi="Book Antiqua"/>
          <w:sz w:val="20"/>
        </w:rPr>
        <w:t>c</w:t>
      </w:r>
      <w:r w:rsidRPr="007F536A">
        <w:rPr>
          <w:rFonts w:ascii="Book Antiqua" w:hAnsi="Book Antiqua"/>
          <w:sz w:val="20"/>
        </w:rPr>
        <w:t xml:space="preserve"> values.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observational problem for all aberration determinations was overcome by using what is called a reflex zenith tube (RZT).This arrangement photographs the exact position of the star and its moment of crossing the zenith. Table 11 in Kulikov’s book [48] lists the values of K obtained by this method of measurement. That Table indicates that these RZT data give a value for K which is systematically smaller than the other values being obtained by the aberration method. The best value in Kulikov’s listing in Table 11 occurs in 1922 where K = 20”.485 for a c value of 299,946 km/s. In comparison, the best (weighted mean) value from the usual aberration method of that time [see Kulikov, p. 96] was given as K = 20”.496 which gives a c value of 299,785 km/s. Therefore, under the very best possible conditions, the precise RZT equipment gives a result for c that is 161 km/s higher than other observational techniques for determining K. This means that, quite apart from any other factors, optical results will be systematically lower than the actual speed of light by 161 km/s because of this problem noted by Birge.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There is one final factor which generally seems to have been ignored. The aberration results were obtained on earth under air. Therefore, to obtain the vacuum velocity the refractive index, </w:t>
      </w:r>
      <w:r w:rsidRPr="007F536A">
        <w:rPr>
          <w:rFonts w:ascii="Book Antiqua" w:hAnsi="Book Antiqua"/>
          <w:i/>
          <w:sz w:val="20"/>
        </w:rPr>
        <w:t>n</w:t>
      </w:r>
      <w:r w:rsidRPr="007F536A">
        <w:rPr>
          <w:rFonts w:ascii="Book Antiqua" w:hAnsi="Book Antiqua"/>
          <w:sz w:val="20"/>
        </w:rPr>
        <w:t>, for air must be taken into account. Since it has been found that</w:t>
      </w:r>
      <w:r w:rsidRPr="007F536A">
        <w:rPr>
          <w:rFonts w:ascii="Book Antiqua" w:hAnsi="Book Antiqua"/>
          <w:i/>
          <w:sz w:val="20"/>
        </w:rPr>
        <w:t xml:space="preserve"> n</w:t>
      </w:r>
      <w:r w:rsidRPr="007F536A">
        <w:rPr>
          <w:rFonts w:ascii="Book Antiqua" w:hAnsi="Book Antiqua"/>
          <w:sz w:val="20"/>
        </w:rPr>
        <w:t xml:space="preserve"> = 1.0002739 [S. M. Selloy, Handbook of Chemistry and Physics, 48</w:t>
      </w:r>
      <w:r w:rsidRPr="007F536A">
        <w:rPr>
          <w:rFonts w:ascii="Book Antiqua" w:hAnsi="Book Antiqua"/>
          <w:sz w:val="20"/>
          <w:vertAlign w:val="superscript"/>
        </w:rPr>
        <w:t>th</w:t>
      </w:r>
      <w:r w:rsidRPr="007F536A">
        <w:rPr>
          <w:rFonts w:ascii="Book Antiqua" w:hAnsi="Book Antiqua"/>
          <w:sz w:val="20"/>
        </w:rPr>
        <w:t xml:space="preserve"> edition 1967], this will add a further 82 km/s to all aberration values. Therefore the total correction to all aberration values except those using the RZT is 161 + 82 = 243 km/s. This correction is </w:t>
      </w:r>
      <w:r w:rsidRPr="007F536A">
        <w:rPr>
          <w:rFonts w:ascii="Book Antiqua" w:hAnsi="Book Antiqua"/>
          <w:b/>
          <w:sz w:val="20"/>
          <w:u w:val="single"/>
        </w:rPr>
        <w:t>not</w:t>
      </w:r>
      <w:r w:rsidRPr="007F536A">
        <w:rPr>
          <w:rFonts w:ascii="Book Antiqua" w:hAnsi="Book Antiqua"/>
          <w:sz w:val="20"/>
        </w:rPr>
        <w:t xml:space="preserve"> applied to the data in this chapter. However, the correction </w:t>
      </w:r>
      <w:r w:rsidRPr="007F536A">
        <w:rPr>
          <w:rFonts w:ascii="Book Antiqua" w:hAnsi="Book Antiqua"/>
          <w:b/>
          <w:sz w:val="20"/>
          <w:u w:val="single"/>
        </w:rPr>
        <w:t>is</w:t>
      </w:r>
      <w:r w:rsidRPr="007F536A">
        <w:rPr>
          <w:rFonts w:ascii="Book Antiqua" w:hAnsi="Book Antiqua"/>
          <w:sz w:val="20"/>
        </w:rPr>
        <w:t xml:space="preserve"> applied in Table 17 at the very end of this chapter so that a valid comparison can be made with other methods of speed of light measurement. The corrected values can be compared with the uncorrected values in the Tables in this section of the chapter.</w:t>
      </w:r>
      <w:r w:rsidR="00A3687E">
        <w:rPr>
          <w:rFonts w:ascii="Book Antiqua" w:hAnsi="Book Antiqua"/>
          <w:sz w:val="20"/>
        </w:rPr>
        <w:t xml:space="preserve">  A comparison of the graphs of the corrected and uncorrected values show very little difference in appearance.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Pulkovo Observatory results from Table 4 are illustrated in Figure 12 here, which is similar to Figure 4 in Chapter 2. In this graph, the values of </w:t>
      </w:r>
      <w:r w:rsidRPr="007F536A">
        <w:rPr>
          <w:rFonts w:ascii="Book Antiqua" w:hAnsi="Book Antiqua"/>
          <w:i/>
          <w:sz w:val="20"/>
        </w:rPr>
        <w:t>c</w:t>
      </w:r>
      <w:r w:rsidRPr="007F536A">
        <w:rPr>
          <w:rFonts w:ascii="Book Antiqua" w:hAnsi="Book Antiqua"/>
          <w:sz w:val="20"/>
        </w:rPr>
        <w:t xml:space="preserve"> plotted are in km/s above the 1935 Pulkovo datum line, which is the zero value on the Y-axis. The first two values come from Bradley and Lindenau to illustrate that the trend continued back in time.</w:t>
      </w:r>
    </w:p>
    <w:p w:rsidR="00821A88" w:rsidRPr="007F536A" w:rsidRDefault="00821A88" w:rsidP="00821A88">
      <w:pPr>
        <w:pStyle w:val="NoSpacing"/>
        <w:ind w:firstLine="720"/>
        <w:jc w:val="both"/>
        <w:rPr>
          <w:rFonts w:ascii="Book Antiqua" w:hAnsi="Book Antiqua"/>
          <w:bCs/>
          <w:i/>
          <w:iCs/>
          <w:sz w:val="20"/>
        </w:rPr>
      </w:pPr>
    </w:p>
    <w:p w:rsidR="00821A88" w:rsidRPr="007F536A" w:rsidRDefault="00821A88" w:rsidP="00821A88">
      <w:pPr>
        <w:pStyle w:val="NoSpacing"/>
        <w:jc w:val="center"/>
        <w:rPr>
          <w:rFonts w:ascii="Book Antiqua" w:hAnsi="Book Antiqua"/>
          <w:bCs/>
          <w:i/>
          <w:iCs/>
          <w:sz w:val="20"/>
        </w:rPr>
      </w:pPr>
      <w:r w:rsidRPr="007F536A">
        <w:rPr>
          <w:rFonts w:ascii="Book Antiqua" w:hAnsi="Book Antiqua"/>
          <w:bCs/>
          <w:i/>
          <w:iCs/>
          <w:noProof/>
          <w:sz w:val="20"/>
        </w:rPr>
        <w:drawing>
          <wp:inline distT="0" distB="0" distL="0" distR="0">
            <wp:extent cx="3714750" cy="3552825"/>
            <wp:effectExtent l="19050" t="0" r="19050" b="0"/>
            <wp:docPr id="150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21A88" w:rsidRPr="007F536A" w:rsidRDefault="00821A88" w:rsidP="00821A88">
      <w:pPr>
        <w:pStyle w:val="NoSpacing"/>
        <w:jc w:val="both"/>
        <w:rPr>
          <w:rFonts w:ascii="Book Antiqua" w:hAnsi="Book Antiqua"/>
          <w:bCs/>
          <w:i/>
          <w:iCs/>
          <w:sz w:val="20"/>
        </w:rPr>
      </w:pPr>
    </w:p>
    <w:p w:rsidR="00821A88" w:rsidRPr="00B65E31" w:rsidRDefault="00821A88" w:rsidP="00B65E31">
      <w:pPr>
        <w:pStyle w:val="NoSpacing"/>
        <w:rPr>
          <w:rFonts w:ascii="Book Antiqua" w:hAnsi="Book Antiqua"/>
          <w:bCs/>
          <w:i/>
          <w:iCs/>
          <w:sz w:val="18"/>
          <w:szCs w:val="18"/>
        </w:rPr>
      </w:pPr>
      <w:r w:rsidRPr="00B65E31">
        <w:rPr>
          <w:rFonts w:ascii="Book Antiqua" w:hAnsi="Book Antiqua"/>
          <w:b/>
          <w:bCs/>
          <w:i/>
          <w:iCs/>
          <w:sz w:val="18"/>
          <w:szCs w:val="18"/>
        </w:rPr>
        <w:t>Figure 12:</w:t>
      </w:r>
      <w:r w:rsidRPr="00B65E31">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w:t>
      </w:r>
      <w:bookmarkStart w:id="51" w:name="OAV"/>
      <w:bookmarkEnd w:id="51"/>
      <w:r w:rsidRPr="00B65E31">
        <w:rPr>
          <w:rFonts w:ascii="Book Antiqua" w:hAnsi="Book Antiqua"/>
          <w:bCs/>
          <w:i/>
          <w:iCs/>
          <w:sz w:val="18"/>
          <w:szCs w:val="18"/>
        </w:rPr>
        <w:t xml:space="preserve">. The least squares linear fit to the data gives a decline in the speed of light, </w:t>
      </w:r>
      <w:r w:rsidRPr="00B65E31">
        <w:rPr>
          <w:rFonts w:ascii="Book Antiqua" w:hAnsi="Book Antiqua"/>
          <w:b/>
          <w:bCs/>
          <w:i/>
          <w:iCs/>
          <w:sz w:val="18"/>
          <w:szCs w:val="18"/>
        </w:rPr>
        <w:t>c</w:t>
      </w:r>
      <w:r w:rsidRPr="00B65E31">
        <w:rPr>
          <w:rFonts w:ascii="Book Antiqua" w:hAnsi="Book Antiqua"/>
          <w:bCs/>
          <w:i/>
          <w:iCs/>
          <w:sz w:val="18"/>
          <w:szCs w:val="18"/>
        </w:rPr>
        <w:t>, of 6.15 km/s per year.</w:t>
      </w:r>
    </w:p>
    <w:p w:rsidR="00821A88" w:rsidRPr="007F536A" w:rsidRDefault="00821A88" w:rsidP="00821A88">
      <w:pPr>
        <w:pStyle w:val="NoSpacing"/>
        <w:jc w:val="both"/>
        <w:rPr>
          <w:rFonts w:ascii="Book Antiqua" w:hAnsi="Book Antiqua"/>
          <w:bCs/>
          <w:i/>
          <w:iCs/>
          <w:sz w:val="20"/>
        </w:rPr>
      </w:pPr>
    </w:p>
    <w:p w:rsidR="00821A88" w:rsidRPr="007F536A" w:rsidRDefault="00821A88" w:rsidP="00821A88">
      <w:pPr>
        <w:pStyle w:val="NoSpacing"/>
        <w:ind w:firstLine="720"/>
        <w:jc w:val="both"/>
        <w:rPr>
          <w:rFonts w:ascii="Book Antiqua" w:hAnsi="Book Antiqua"/>
          <w:bCs/>
          <w:iCs/>
          <w:sz w:val="20"/>
        </w:rPr>
      </w:pPr>
      <w:r w:rsidRPr="007321D4">
        <w:rPr>
          <w:rFonts w:ascii="Book Antiqua" w:hAnsi="Book Antiqua"/>
          <w:bCs/>
          <w:iCs/>
          <w:sz w:val="20"/>
        </w:rPr>
        <w:t xml:space="preserve">Speaking statistically, a linear fit to the Pulkovo data gives a correlation coefficient of </w:t>
      </w:r>
      <m:oMath>
        <m:r>
          <w:rPr>
            <w:rFonts w:ascii="Cambria Math" w:hAnsi="Cambria Math"/>
            <w:sz w:val="20"/>
          </w:rPr>
          <m:t>r</m:t>
        </m:r>
        <m:r>
          <w:rPr>
            <w:rFonts w:ascii="Cambria Math" w:hAnsi="Book Antiqua"/>
            <w:sz w:val="20"/>
          </w:rPr>
          <m:t xml:space="preserve"> = </m:t>
        </m:r>
        <m:r>
          <w:rPr>
            <w:rFonts w:ascii="Book Antiqua" w:hAnsi="Book Antiqua"/>
            <w:sz w:val="20"/>
          </w:rPr>
          <m:t>-</m:t>
        </m:r>
        <m:r>
          <w:rPr>
            <w:rFonts w:ascii="Cambria Math" w:hAnsi="Book Antiqua"/>
            <w:sz w:val="20"/>
          </w:rPr>
          <m:t>0.947</m:t>
        </m:r>
      </m:oMath>
      <w:r w:rsidRPr="007321D4">
        <w:rPr>
          <w:rFonts w:ascii="Book Antiqua" w:hAnsi="Book Antiqua"/>
          <w:bCs/>
          <w:iCs/>
          <w:sz w:val="20"/>
        </w:rPr>
        <w:t>, but that does not reveal the full story. Kulikov's figures suggest that many aberration observers made at least 100 pairs of observations on each star being tracked per year, and more than 24 stars were involved in some cases [48]. These, and other data, indicates Bradley made some 3,000 observations to give the 1740 datum.</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bCs/>
          <w:iCs/>
          <w:sz w:val="20"/>
        </w:rPr>
      </w:pPr>
      <w:r w:rsidRPr="007F536A">
        <w:rPr>
          <w:rFonts w:ascii="Book Antiqua" w:hAnsi="Book Antiqua"/>
          <w:bCs/>
          <w:iCs/>
          <w:sz w:val="20"/>
        </w:rPr>
        <w:t xml:space="preserve">Kulikov notes that Struve only made 298 for the 1841 datum. The 1884 datum for Nyren was based on about 12,000 individual observations, while the 1897 datum for Grachev-Kovalski had about 16,000 separate observations. Kulikov's 1922 datum was based on exactly 28,542 observations, while Romanskaya's value of 1935 had 14,783 observations to back it up. That is a total of over 70,000 separate observations to give 6 out of the 20 determinations on the graph. If these figures are representative of the others at Pulkovo, then there would have been about 10,000 separate observations each for these 20 people which resulted in these determinations; that amounts to about 200,000 separate observations. </w:t>
      </w:r>
    </w:p>
    <w:p w:rsidR="00821A88" w:rsidRPr="007F536A" w:rsidRDefault="00821A88" w:rsidP="00821A88">
      <w:pPr>
        <w:pStyle w:val="NoSpacing"/>
        <w:jc w:val="both"/>
        <w:rPr>
          <w:rFonts w:ascii="Book Antiqua" w:hAnsi="Book Antiqua"/>
          <w:bCs/>
          <w:iCs/>
          <w:sz w:val="20"/>
        </w:rPr>
      </w:pPr>
    </w:p>
    <w:p w:rsidR="00821A88" w:rsidRPr="007F536A" w:rsidRDefault="00821A88" w:rsidP="00821A88">
      <w:pPr>
        <w:pStyle w:val="NoSpacing"/>
        <w:jc w:val="both"/>
        <w:rPr>
          <w:rFonts w:ascii="Book Antiqua" w:hAnsi="Book Antiqua"/>
          <w:bCs/>
          <w:iCs/>
          <w:sz w:val="20"/>
        </w:rPr>
      </w:pPr>
      <w:r w:rsidRPr="007F536A">
        <w:rPr>
          <w:rFonts w:ascii="Book Antiqua" w:hAnsi="Book Antiqua"/>
          <w:bCs/>
          <w:iCs/>
          <w:sz w:val="20"/>
        </w:rPr>
        <w:tab/>
        <w:t xml:space="preserve">Many scientists accept a proposition as true if their risk of being wrong is one in 20; that is </w:t>
      </w:r>
      <m:oMath>
        <m:r>
          <w:rPr>
            <w:rFonts w:ascii="Cambria Math" w:hAnsi="Cambria Math"/>
            <w:sz w:val="20"/>
          </w:rPr>
          <m:t>P</m:t>
        </m:r>
        <m:r>
          <w:rPr>
            <w:rFonts w:ascii="Cambria Math" w:hAnsi="Book Antiqua"/>
            <w:sz w:val="20"/>
          </w:rPr>
          <m:t xml:space="preserve"> &lt; 0.05</m:t>
        </m:r>
      </m:oMath>
      <w:r w:rsidRPr="007F536A">
        <w:rPr>
          <w:rFonts w:ascii="Book Antiqua" w:hAnsi="Book Antiqua"/>
          <w:bCs/>
          <w:iCs/>
          <w:sz w:val="20"/>
        </w:rPr>
        <w:t xml:space="preserve">. Only a few scientists would require </w:t>
      </w:r>
      <m:oMath>
        <m:r>
          <w:rPr>
            <w:rFonts w:ascii="Cambria Math" w:hAnsi="Cambria Math"/>
            <w:sz w:val="20"/>
          </w:rPr>
          <m:t>P</m:t>
        </m:r>
        <m:r>
          <w:rPr>
            <w:rFonts w:ascii="Cambria Math" w:hAnsi="Book Antiqua"/>
            <w:sz w:val="20"/>
          </w:rPr>
          <m:t xml:space="preserve"> &lt; 0.01</m:t>
        </m:r>
      </m:oMath>
      <w:r w:rsidRPr="007F536A">
        <w:rPr>
          <w:rFonts w:ascii="Book Antiqua" w:hAnsi="Book Antiqua"/>
          <w:bCs/>
          <w:iCs/>
          <w:sz w:val="20"/>
        </w:rPr>
        <w:t xml:space="preserve"> (the chance of being wrong is one in a hundred) to accept a proposition. It is almost unheard of for any proposition requiring </w:t>
      </w:r>
      <m:oMath>
        <m:r>
          <w:rPr>
            <w:rFonts w:ascii="Cambria Math" w:hAnsi="Cambria Math"/>
            <w:sz w:val="20"/>
          </w:rPr>
          <m:t>P</m:t>
        </m:r>
        <m:r>
          <w:rPr>
            <w:rFonts w:ascii="Cambria Math" w:hAnsi="Book Antiqua"/>
            <w:sz w:val="20"/>
          </w:rPr>
          <m:t xml:space="preserve"> &lt; 0.001</m:t>
        </m:r>
      </m:oMath>
      <w:r w:rsidRPr="007F536A">
        <w:rPr>
          <w:rFonts w:ascii="Book Antiqua" w:hAnsi="Book Antiqua"/>
          <w:bCs/>
          <w:iCs/>
          <w:sz w:val="20"/>
        </w:rPr>
        <w:t xml:space="preserve"> (the chance of being wrong is one in a thousand) before it is accepted as true. Yet these figures suggest a decay trend with a value of </w:t>
      </w:r>
      <m:oMath>
        <m:r>
          <w:rPr>
            <w:rFonts w:ascii="Cambria Math" w:hAnsi="Cambria Math"/>
            <w:sz w:val="20"/>
          </w:rPr>
          <m:t>P</m:t>
        </m:r>
        <m:r>
          <w:rPr>
            <w:rFonts w:ascii="Cambria Math" w:hAnsi="Book Antiqua"/>
            <w:sz w:val="20"/>
          </w:rPr>
          <m:t xml:space="preserve"> &lt;&lt; 0.0001</m:t>
        </m:r>
      </m:oMath>
      <w:r w:rsidRPr="007F536A">
        <w:rPr>
          <w:rFonts w:ascii="Book Antiqua" w:hAnsi="Book Antiqua"/>
          <w:bCs/>
          <w:iCs/>
          <w:sz w:val="20"/>
        </w:rPr>
        <w:t xml:space="preserve"> (the chance of being wrong is </w:t>
      </w:r>
      <w:r w:rsidRPr="007F536A">
        <w:rPr>
          <w:rFonts w:ascii="Book Antiqua" w:hAnsi="Book Antiqua"/>
          <w:bCs/>
          <w:i/>
          <w:iCs/>
          <w:sz w:val="20"/>
        </w:rPr>
        <w:t>very much less</w:t>
      </w:r>
      <w:r w:rsidRPr="007F536A">
        <w:rPr>
          <w:rFonts w:ascii="Book Antiqua" w:hAnsi="Book Antiqua"/>
          <w:bCs/>
          <w:iCs/>
          <w:sz w:val="20"/>
        </w:rPr>
        <w:t xml:space="preserve"> than one in ten thousand). In other words, if you accept that the Pulkovo data shows a decline in the speed of light, you have much less than one chance in 10,000 of being wrong.</w:t>
      </w:r>
    </w:p>
    <w:p w:rsidR="00821A88" w:rsidRPr="007F536A" w:rsidRDefault="00821A88" w:rsidP="00821A88">
      <w:pPr>
        <w:pStyle w:val="NoSpacing"/>
        <w:ind w:left="1080"/>
        <w:jc w:val="both"/>
        <w:rPr>
          <w:rStyle w:val="Strong"/>
          <w:rFonts w:ascii="Book Antiqua" w:hAnsi="Book Antiqua"/>
          <w:b w:val="0"/>
          <w:bCs w:val="0"/>
          <w:sz w:val="20"/>
        </w:rPr>
      </w:pPr>
    </w:p>
    <w:p w:rsidR="00821A88" w:rsidRPr="007F536A" w:rsidRDefault="00821A88" w:rsidP="00821A88">
      <w:pPr>
        <w:pStyle w:val="NoSpacing"/>
        <w:numPr>
          <w:ilvl w:val="1"/>
          <w:numId w:val="21"/>
        </w:numPr>
        <w:jc w:val="both"/>
        <w:rPr>
          <w:rFonts w:ascii="Book Antiqua" w:hAnsi="Book Antiqua"/>
          <w:b/>
          <w:i/>
          <w:sz w:val="20"/>
        </w:rPr>
      </w:pPr>
      <w:r w:rsidRPr="007F536A">
        <w:rPr>
          <w:rStyle w:val="Strong"/>
          <w:rFonts w:ascii="Book Antiqua" w:hAnsi="Book Antiqua"/>
          <w:b w:val="0"/>
          <w:i/>
          <w:sz w:val="20"/>
        </w:rPr>
        <w:t>Other Aberration Values</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addition to the results outlined above, there are some 44 further values obtained by this method. Table </w:t>
      </w:r>
      <w:r w:rsidR="000C3725">
        <w:rPr>
          <w:rFonts w:ascii="Book Antiqua" w:hAnsi="Book Antiqua"/>
          <w:sz w:val="20"/>
        </w:rPr>
        <w:t>7</w:t>
      </w:r>
      <w:r w:rsidRPr="007F536A">
        <w:rPr>
          <w:rFonts w:ascii="Book Antiqua" w:hAnsi="Book Antiqua"/>
          <w:sz w:val="20"/>
        </w:rPr>
        <w:t xml:space="preserve"> supplies the complete listing of 67 aberration values [59</w:t>
      </w:r>
      <w:bookmarkStart w:id="52" w:name="nineteen"/>
      <w:bookmarkEnd w:id="52"/>
      <w:r w:rsidRPr="007F536A">
        <w:rPr>
          <w:rFonts w:ascii="Book Antiqua" w:hAnsi="Book Antiqua"/>
          <w:sz w:val="20"/>
        </w:rPr>
        <w:t xml:space="preserve">]. The constant value </w:t>
      </w:r>
      <m:oMath>
        <m:r>
          <w:rPr>
            <w:rFonts w:ascii="Cambria Math" w:hAnsi="Cambria Math"/>
            <w:sz w:val="20"/>
          </w:rPr>
          <m:t>Kc</m:t>
        </m:r>
        <m:r>
          <w:rPr>
            <w:rFonts w:ascii="Cambria Math" w:hAnsi="Book Antiqua"/>
            <w:sz w:val="20"/>
          </w:rPr>
          <m:t xml:space="preserve"> = 6144402</m:t>
        </m:r>
      </m:oMath>
      <w:r w:rsidRPr="007F536A">
        <w:rPr>
          <w:rFonts w:ascii="Book Antiqua" w:hAnsi="Book Antiqua"/>
          <w:sz w:val="20"/>
        </w:rPr>
        <w:t xml:space="preserve"> has been adopted to give the speed of light in accord with current definitions. However, as discussed above, all aberration values are systematically high for </w:t>
      </w:r>
      <m:oMath>
        <m:r>
          <w:rPr>
            <w:rFonts w:ascii="Cambria Math" w:hAnsi="Cambria Math"/>
            <w:sz w:val="20"/>
          </w:rPr>
          <m:t>K</m:t>
        </m:r>
      </m:oMath>
      <w:r w:rsidRPr="007F536A">
        <w:rPr>
          <w:rFonts w:ascii="Book Antiqua" w:hAnsi="Book Antiqua"/>
          <w:sz w:val="20"/>
        </w:rPr>
        <w:t xml:space="preserve"> which means they are registering low for</w:t>
      </w:r>
      <m:oMath>
        <m:r>
          <w:rPr>
            <w:rFonts w:ascii="Cambria Math" w:hAnsi="Book Antiqua"/>
            <w:sz w:val="20"/>
          </w:rPr>
          <m:t xml:space="preserve"> </m:t>
        </m:r>
        <m:r>
          <w:rPr>
            <w:rFonts w:ascii="Cambria Math" w:hAnsi="Cambria Math"/>
            <w:sz w:val="20"/>
          </w:rPr>
          <m:t>c</m:t>
        </m:r>
      </m:oMath>
      <w:r w:rsidRPr="007F536A">
        <w:rPr>
          <w:rFonts w:ascii="Book Antiqua" w:hAnsi="Book Antiqua"/>
          <w:sz w:val="20"/>
        </w:rPr>
        <w:t>. In order to overcome this problem, the final column in Table 7 gives the number of km/s above the 1935 definitive datum line from Pulkovo. The 5 values marked # are clearly outliers and are not plotted in Figure 13. The 1868 value for Gylden-Nyren-Gylden is a mean of two data points as is the 1898.5 data point for Grachev. These two means are each plotted as one point.</w:t>
      </w:r>
    </w:p>
    <w:p w:rsidR="00EB4BA1" w:rsidRPr="007F536A" w:rsidRDefault="00EB4BA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p>
    <w:p w:rsidR="00821A88" w:rsidRPr="007F536A" w:rsidRDefault="00821A88" w:rsidP="00EB4BA1">
      <w:pPr>
        <w:pStyle w:val="NoSpacing"/>
        <w:jc w:val="center"/>
        <w:rPr>
          <w:rFonts w:ascii="Book Antiqua" w:hAnsi="Book Antiqua"/>
          <w:b/>
          <w:sz w:val="20"/>
          <w:highlight w:val="yellow"/>
        </w:rPr>
      </w:pPr>
      <w:r w:rsidRPr="007F536A">
        <w:rPr>
          <w:rFonts w:ascii="Book Antiqua" w:hAnsi="Book Antiqua"/>
          <w:b/>
          <w:bCs/>
          <w:iCs/>
          <w:noProof/>
          <w:color w:val="000000"/>
          <w:sz w:val="20"/>
          <w:u w:val="single"/>
        </w:rPr>
        <w:drawing>
          <wp:inline distT="0" distB="0" distL="0" distR="0">
            <wp:extent cx="5386257" cy="4441371"/>
            <wp:effectExtent l="19050" t="0" r="23943" b="0"/>
            <wp:docPr id="1509"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rPr>
          <w:rFonts w:ascii="Book Antiqua" w:hAnsi="Book Antiqua"/>
          <w:b/>
          <w:sz w:val="20"/>
          <w:highlight w:val="yellow"/>
        </w:rPr>
      </w:pPr>
    </w:p>
    <w:p w:rsidR="00821A88" w:rsidRPr="00B65E31" w:rsidRDefault="00821A88" w:rsidP="00821A88">
      <w:pPr>
        <w:pStyle w:val="NoSpacing"/>
        <w:rPr>
          <w:rFonts w:ascii="Book Antiqua" w:hAnsi="Book Antiqua"/>
          <w:i/>
          <w:sz w:val="18"/>
          <w:szCs w:val="18"/>
        </w:rPr>
      </w:pPr>
      <w:r w:rsidRPr="00B65E31">
        <w:rPr>
          <w:rFonts w:ascii="Book Antiqua" w:hAnsi="Book Antiqua"/>
          <w:b/>
          <w:i/>
          <w:sz w:val="18"/>
          <w:szCs w:val="18"/>
        </w:rPr>
        <w:t>Figure 13:</w:t>
      </w:r>
      <w:r w:rsidRPr="00B65E31">
        <w:rPr>
          <w:rFonts w:ascii="Book Antiqua" w:hAnsi="Book Antiqua"/>
          <w:i/>
          <w:sz w:val="18"/>
          <w:szCs w:val="18"/>
        </w:rPr>
        <w:t xml:space="preserve"> Plot of Table 7 aberration data omitting outliers marked #. The horizontal axis is the date while the vertical axis is the number of km/s above the 1935.5 datum. A second order polynomial is fitted.</w:t>
      </w:r>
    </w:p>
    <w:p w:rsidR="00821A88" w:rsidRDefault="00821A88" w:rsidP="00821A88">
      <w:pPr>
        <w:pStyle w:val="NoSpacing"/>
        <w:rPr>
          <w:rFonts w:ascii="Book Antiqua" w:hAnsi="Book Antiqua"/>
          <w:sz w:val="20"/>
        </w:rPr>
      </w:pPr>
    </w:p>
    <w:p w:rsidR="00D95D3A" w:rsidRPr="007F536A" w:rsidRDefault="00D95D3A" w:rsidP="00D95D3A">
      <w:pPr>
        <w:pStyle w:val="NoSpacing"/>
        <w:ind w:firstLine="720"/>
        <w:jc w:val="both"/>
        <w:rPr>
          <w:rFonts w:ascii="Book Antiqua" w:hAnsi="Book Antiqua"/>
          <w:noProof/>
          <w:sz w:val="20"/>
        </w:rPr>
      </w:pPr>
      <w:r w:rsidRPr="007F536A">
        <w:rPr>
          <w:rFonts w:ascii="Book Antiqua" w:hAnsi="Book Antiqua"/>
          <w:sz w:val="20"/>
        </w:rPr>
        <w:t xml:space="preserve">In all, there are 67 aberration determinations for the 209 years from 1726.5 – 1935.5 listed in Table 7. Those values which were (1) undated, (2) had no errors given or (3) were repeats from the references were all omitted from the Table.  </w:t>
      </w:r>
      <w:r w:rsidRPr="007F536A">
        <w:rPr>
          <w:rFonts w:ascii="Book Antiqua" w:hAnsi="Book Antiqua"/>
          <w:noProof/>
          <w:sz w:val="20"/>
        </w:rPr>
        <w:t xml:space="preserve">If those 67 measurements are split into 50 year segments, and the mean </w:t>
      </w:r>
      <w:r w:rsidRPr="007F536A">
        <w:rPr>
          <w:rFonts w:ascii="Book Antiqua" w:hAnsi="Book Antiqua"/>
          <w:i/>
          <w:noProof/>
          <w:sz w:val="20"/>
        </w:rPr>
        <w:t>c</w:t>
      </w:r>
      <w:r w:rsidRPr="007F536A">
        <w:rPr>
          <w:rFonts w:ascii="Book Antiqua" w:hAnsi="Book Antiqua"/>
          <w:noProof/>
          <w:sz w:val="20"/>
        </w:rPr>
        <w:t xml:space="preserve"> value in each segment is taken, the difference of that mean from the current value for </w:t>
      </w:r>
      <w:r w:rsidRPr="007F536A">
        <w:rPr>
          <w:rFonts w:ascii="Book Antiqua" w:hAnsi="Book Antiqua"/>
          <w:i/>
          <w:noProof/>
          <w:sz w:val="20"/>
        </w:rPr>
        <w:t>c</w:t>
      </w:r>
      <w:r w:rsidRPr="007F536A">
        <w:rPr>
          <w:rFonts w:ascii="Book Antiqua" w:hAnsi="Book Antiqua"/>
          <w:noProof/>
          <w:sz w:val="20"/>
        </w:rPr>
        <w:t xml:space="preserve"> can be noted as in Table 6:</w:t>
      </w:r>
    </w:p>
    <w:p w:rsidR="00D95D3A" w:rsidRPr="007F536A" w:rsidRDefault="00D95D3A" w:rsidP="00D95D3A">
      <w:pPr>
        <w:pStyle w:val="NoSpacing"/>
        <w:jc w:val="both"/>
        <w:rPr>
          <w:rFonts w:ascii="Book Antiqua" w:hAnsi="Book Antiqua"/>
          <w:bCs/>
          <w:iCs/>
          <w:sz w:val="20"/>
        </w:rPr>
      </w:pPr>
    </w:p>
    <w:p w:rsidR="00D95D3A" w:rsidRPr="000E5755" w:rsidRDefault="00D95D3A" w:rsidP="00EB4BA1">
      <w:pPr>
        <w:pStyle w:val="NoSpacing"/>
        <w:jc w:val="center"/>
        <w:rPr>
          <w:rFonts w:ascii="Book Antiqua" w:hAnsi="Book Antiqua"/>
          <w:b/>
          <w:bCs/>
          <w:i/>
          <w:iCs/>
          <w:sz w:val="18"/>
          <w:szCs w:val="18"/>
        </w:rPr>
      </w:pPr>
      <w:r w:rsidRPr="000E5755">
        <w:rPr>
          <w:rFonts w:ascii="Book Antiqua" w:hAnsi="Book Antiqua"/>
          <w:b/>
          <w:bCs/>
          <w:iCs/>
          <w:sz w:val="18"/>
          <w:szCs w:val="18"/>
        </w:rPr>
        <w:t>Table 6:</w:t>
      </w:r>
      <w:r w:rsidRPr="000E5755">
        <w:rPr>
          <w:rFonts w:ascii="Book Antiqua" w:hAnsi="Book Antiqua"/>
          <w:b/>
          <w:bCs/>
          <w:i/>
          <w:iCs/>
          <w:sz w:val="18"/>
          <w:szCs w:val="18"/>
        </w:rPr>
        <w:t xml:space="preserve"> Aberration c Values Compared To Now</w:t>
      </w:r>
    </w:p>
    <w:p w:rsidR="00D95D3A" w:rsidRPr="007F536A" w:rsidRDefault="00D95D3A" w:rsidP="00D95D3A">
      <w:pPr>
        <w:pStyle w:val="NoSpacing"/>
        <w:jc w:val="both"/>
        <w:rPr>
          <w:rFonts w:ascii="Book Antiqua" w:hAnsi="Book Antiqua"/>
          <w:b/>
          <w:bCs/>
          <w:iCs/>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19"/>
        <w:gridCol w:w="2219"/>
        <w:gridCol w:w="2870"/>
      </w:tblGrid>
      <w:tr w:rsidR="00D95D3A" w:rsidRPr="000E5755" w:rsidTr="00EB4BA1">
        <w:trPr>
          <w:trHeight w:val="641"/>
          <w:jc w:val="center"/>
        </w:trPr>
        <w:tc>
          <w:tcPr>
            <w:tcW w:w="2219" w:type="dxa"/>
          </w:tcPr>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 xml:space="preserve"> </w:t>
            </w: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Median Date</w:t>
            </w:r>
          </w:p>
        </w:tc>
        <w:tc>
          <w:tcPr>
            <w:tcW w:w="2219"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Mean c Value in km/s</w:t>
            </w:r>
          </w:p>
        </w:tc>
        <w:tc>
          <w:tcPr>
            <w:tcW w:w="2870" w:type="dxa"/>
          </w:tcPr>
          <w:p w:rsidR="00D95D3A" w:rsidRPr="000E5755" w:rsidRDefault="00D95D3A" w:rsidP="00D95D3A">
            <w:pPr>
              <w:pStyle w:val="NoSpacing"/>
              <w:jc w:val="center"/>
              <w:rPr>
                <w:rFonts w:ascii="Book Antiqua" w:hAnsi="Book Antiqua"/>
                <w:b/>
                <w:bCs/>
                <w:i/>
                <w:iCs/>
                <w:sz w:val="18"/>
                <w:szCs w:val="18"/>
              </w:rPr>
            </w:pPr>
          </w:p>
          <w:p w:rsidR="00D95D3A" w:rsidRPr="000E5755" w:rsidRDefault="00D95D3A" w:rsidP="00D95D3A">
            <w:pPr>
              <w:pStyle w:val="NoSpacing"/>
              <w:jc w:val="center"/>
              <w:rPr>
                <w:rFonts w:ascii="Book Antiqua" w:hAnsi="Book Antiqua"/>
                <w:b/>
                <w:bCs/>
                <w:i/>
                <w:iCs/>
                <w:sz w:val="18"/>
                <w:szCs w:val="18"/>
              </w:rPr>
            </w:pPr>
            <w:r w:rsidRPr="000E5755">
              <w:rPr>
                <w:rFonts w:ascii="Book Antiqua" w:hAnsi="Book Antiqua"/>
                <w:b/>
                <w:bCs/>
                <w:i/>
                <w:iCs/>
                <w:sz w:val="18"/>
                <w:szCs w:val="18"/>
              </w:rPr>
              <w:t>Difference to c-now in km/s</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1765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300,555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+ 763</w:t>
            </w:r>
          </w:p>
        </w:tc>
      </w:tr>
      <w:tr w:rsidR="00D95D3A" w:rsidRPr="000E5755" w:rsidTr="00EB4BA1">
        <w:trPr>
          <w:trHeight w:val="311"/>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1865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299,942.5</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+ 150</w:t>
            </w:r>
          </w:p>
        </w:tc>
      </w:tr>
      <w:tr w:rsidR="00D95D3A" w:rsidRPr="000E5755" w:rsidTr="00EB4BA1">
        <w:trPr>
          <w:trHeight w:val="330"/>
          <w:jc w:val="center"/>
        </w:trPr>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1915 +/- 25 years</w:t>
            </w:r>
          </w:p>
        </w:tc>
        <w:tc>
          <w:tcPr>
            <w:tcW w:w="2219"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299,812</w:t>
            </w:r>
          </w:p>
        </w:tc>
        <w:tc>
          <w:tcPr>
            <w:tcW w:w="2870" w:type="dxa"/>
          </w:tcPr>
          <w:p w:rsidR="00D95D3A" w:rsidRPr="000E5755" w:rsidRDefault="00D95D3A" w:rsidP="00D95D3A">
            <w:pPr>
              <w:pStyle w:val="NoSpacing"/>
              <w:jc w:val="center"/>
              <w:rPr>
                <w:rFonts w:ascii="Book Antiqua" w:hAnsi="Book Antiqua"/>
                <w:bCs/>
                <w:iCs/>
                <w:sz w:val="18"/>
                <w:szCs w:val="18"/>
              </w:rPr>
            </w:pPr>
            <w:r w:rsidRPr="000E5755">
              <w:rPr>
                <w:rFonts w:ascii="Book Antiqua" w:hAnsi="Book Antiqua"/>
                <w:bCs/>
                <w:iCs/>
                <w:sz w:val="18"/>
                <w:szCs w:val="18"/>
              </w:rPr>
              <w:t>+ 20</w:t>
            </w:r>
          </w:p>
        </w:tc>
      </w:tr>
    </w:tbl>
    <w:p w:rsidR="00D95D3A" w:rsidRPr="000E5755" w:rsidRDefault="00D95D3A" w:rsidP="00D95D3A">
      <w:pPr>
        <w:pStyle w:val="NoSpacing"/>
        <w:jc w:val="both"/>
        <w:rPr>
          <w:rFonts w:ascii="Book Antiqua" w:hAnsi="Book Antiqua"/>
          <w:bCs/>
          <w:iCs/>
          <w:sz w:val="18"/>
          <w:szCs w:val="18"/>
        </w:rPr>
      </w:pPr>
    </w:p>
    <w:p w:rsidR="00D95D3A" w:rsidRPr="00D83E6A" w:rsidRDefault="00D95D3A" w:rsidP="00D95D3A">
      <w:pPr>
        <w:pStyle w:val="NoSpacing"/>
        <w:ind w:firstLine="720"/>
        <w:jc w:val="both"/>
        <w:rPr>
          <w:rFonts w:ascii="Book Antiqua" w:hAnsi="Book Antiqua"/>
          <w:bCs/>
          <w:iCs/>
          <w:sz w:val="20"/>
        </w:rPr>
      </w:pPr>
      <w:r w:rsidRPr="00D83E6A">
        <w:rPr>
          <w:rFonts w:ascii="Book Antiqua" w:hAnsi="Book Antiqua"/>
          <w:bCs/>
          <w:iCs/>
          <w:sz w:val="20"/>
        </w:rPr>
        <w:t xml:space="preserve">Table 7 shows that the further back in time we go, the higher the mean value of </w:t>
      </w:r>
      <m:oMath>
        <m:r>
          <w:rPr>
            <w:rFonts w:ascii="Cambria Math" w:hAnsi="Cambria Math"/>
            <w:sz w:val="20"/>
          </w:rPr>
          <m:t>c</m:t>
        </m:r>
      </m:oMath>
      <w:r w:rsidRPr="00D83E6A">
        <w:rPr>
          <w:rFonts w:ascii="Book Antiqua" w:hAnsi="Book Antiqua"/>
          <w:bCs/>
          <w:iCs/>
          <w:sz w:val="20"/>
        </w:rPr>
        <w:t xml:space="preserve">. All these data, coupled with the unchanged equipment at Pulkovo, shows Dorsey's explanation of improved equipment as the cause for changing values of light speed is </w:t>
      </w:r>
      <w:r w:rsidR="00637608">
        <w:rPr>
          <w:rFonts w:ascii="Book Antiqua" w:hAnsi="Book Antiqua"/>
          <w:bCs/>
          <w:iCs/>
          <w:sz w:val="20"/>
        </w:rPr>
        <w:t>probably wrong.</w:t>
      </w:r>
      <w:r w:rsidRPr="00D83E6A">
        <w:rPr>
          <w:rFonts w:ascii="Book Antiqua" w:hAnsi="Book Antiqua"/>
          <w:bCs/>
          <w:iCs/>
          <w:sz w:val="20"/>
        </w:rPr>
        <w:t xml:space="preserve"> </w:t>
      </w:r>
    </w:p>
    <w:p w:rsidR="00D95D3A" w:rsidRPr="00D83E6A" w:rsidRDefault="00D95D3A" w:rsidP="00D95D3A">
      <w:pPr>
        <w:pStyle w:val="NoSpacing"/>
        <w:jc w:val="both"/>
        <w:rPr>
          <w:rFonts w:ascii="Book Antiqua" w:hAnsi="Book Antiqua"/>
          <w:sz w:val="20"/>
        </w:rPr>
      </w:pPr>
    </w:p>
    <w:p w:rsidR="00D95D3A" w:rsidRPr="00D83E6A" w:rsidRDefault="00D95D3A" w:rsidP="00D95D3A">
      <w:pPr>
        <w:pStyle w:val="NoSpacing"/>
        <w:ind w:firstLine="720"/>
        <w:jc w:val="both"/>
        <w:rPr>
          <w:rFonts w:ascii="Book Antiqua" w:hAnsi="Book Antiqua"/>
          <w:sz w:val="20"/>
        </w:rPr>
      </w:pPr>
      <w:r w:rsidRPr="00D83E6A">
        <w:rPr>
          <w:rFonts w:ascii="Book Antiqua" w:hAnsi="Book Antiqua"/>
          <w:sz w:val="20"/>
        </w:rPr>
        <w:t xml:space="preserve">A least squares linear fit to all data from Table 7 gives a decay of </w:t>
      </w:r>
      <m:oMath>
        <m:r>
          <w:rPr>
            <w:rFonts w:ascii="Cambria Math" w:hAnsi="Book Antiqua"/>
            <w:sz w:val="20"/>
          </w:rPr>
          <m:t xml:space="preserve">5.04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D83E6A">
        <w:rPr>
          <w:rFonts w:ascii="Book Antiqua" w:hAnsi="Book Antiqua"/>
          <w:sz w:val="20"/>
        </w:rPr>
        <w:t xml:space="preserve"> with a confidence of 96.1% that </w:t>
      </w:r>
      <m:oMath>
        <m:r>
          <w:rPr>
            <w:rStyle w:val="Emphasis"/>
            <w:rFonts w:ascii="Cambria Math" w:hAnsi="Cambria Math"/>
            <w:sz w:val="20"/>
          </w:rPr>
          <m:t>c</m:t>
        </m:r>
      </m:oMath>
      <w:r w:rsidRPr="00D83E6A">
        <w:rPr>
          <w:rFonts w:ascii="Book Antiqua" w:hAnsi="Book Antiqua"/>
          <w:sz w:val="20"/>
        </w:rPr>
        <w:t xml:space="preserve"> has not been constant for the period covered by these Bradley-type determinations. The data in Table 7 are not corrected for the systematic error mentioned above. Corrected figures appear in Table 17 at the end of this chapter. The aberration data alone suggest that the possibility of a decline in </w:t>
      </w:r>
      <w:r w:rsidRPr="00D83E6A">
        <w:rPr>
          <w:rStyle w:val="Emphasis"/>
          <w:rFonts w:ascii="Book Antiqua" w:hAnsi="Book Antiqua"/>
          <w:sz w:val="20"/>
        </w:rPr>
        <w:t>c</w:t>
      </w:r>
      <w:r w:rsidRPr="00D83E6A">
        <w:rPr>
          <w:rFonts w:ascii="Book Antiqua" w:hAnsi="Book Antiqua"/>
          <w:sz w:val="20"/>
        </w:rPr>
        <w:t xml:space="preserve"> during that time should be examined further.</w:t>
      </w:r>
    </w:p>
    <w:p w:rsidR="00C130A6" w:rsidRPr="00D95D3A" w:rsidRDefault="00C130A6" w:rsidP="00821A88">
      <w:pPr>
        <w:pStyle w:val="NoSpacing"/>
        <w:jc w:val="both"/>
        <w:rPr>
          <w:rFonts w:ascii="Book Antiqua" w:hAnsi="Book Antiqua"/>
          <w:i/>
          <w:sz w:val="18"/>
          <w:szCs w:val="18"/>
        </w:rPr>
      </w:pPr>
    </w:p>
    <w:p w:rsidR="00821A88" w:rsidRPr="00D95D3A" w:rsidRDefault="00821A88" w:rsidP="00821A88">
      <w:pPr>
        <w:pStyle w:val="NoSpacing"/>
        <w:rPr>
          <w:rFonts w:ascii="Book Antiqua" w:hAnsi="Book Antiqua"/>
          <w:b/>
          <w:i/>
          <w:sz w:val="18"/>
          <w:szCs w:val="18"/>
        </w:rPr>
      </w:pPr>
      <w:r w:rsidRPr="00D95D3A">
        <w:rPr>
          <w:rFonts w:ascii="Book Antiqua" w:hAnsi="Book Antiqua"/>
          <w:b/>
          <w:sz w:val="18"/>
          <w:szCs w:val="18"/>
        </w:rPr>
        <w:t>TABLE 7:</w:t>
      </w:r>
      <w:r w:rsidRPr="00D95D3A">
        <w:rPr>
          <w:rFonts w:ascii="Book Antiqua" w:hAnsi="Book Antiqua"/>
          <w:b/>
          <w:i/>
          <w:sz w:val="18"/>
          <w:szCs w:val="18"/>
        </w:rPr>
        <w:t xml:space="preserve"> Uncorrected Values Of c Obtained By The Aberration Method. </w:t>
      </w:r>
      <w:r w:rsidR="00D95D3A">
        <w:rPr>
          <w:rFonts w:ascii="Book Antiqua" w:hAnsi="Book Antiqua"/>
          <w:b/>
          <w:i/>
          <w:sz w:val="18"/>
          <w:szCs w:val="18"/>
        </w:rPr>
        <w:t>R</w:t>
      </w:r>
      <w:r w:rsidRPr="00D95D3A">
        <w:rPr>
          <w:rFonts w:ascii="Book Antiqua" w:hAnsi="Book Antiqua"/>
          <w:b/>
          <w:i/>
          <w:sz w:val="18"/>
          <w:szCs w:val="18"/>
        </w:rPr>
        <w:t>esults are plotted in Fig</w:t>
      </w:r>
      <w:r w:rsidR="00D95D3A">
        <w:rPr>
          <w:rFonts w:ascii="Book Antiqua" w:hAnsi="Book Antiqua"/>
          <w:b/>
          <w:i/>
          <w:sz w:val="18"/>
          <w:szCs w:val="18"/>
        </w:rPr>
        <w:t>.</w:t>
      </w:r>
      <w:r w:rsidRPr="00D95D3A">
        <w:rPr>
          <w:rFonts w:ascii="Book Antiqua" w:hAnsi="Book Antiqua"/>
          <w:b/>
          <w:i/>
          <w:sz w:val="18"/>
          <w:szCs w:val="18"/>
        </w:rPr>
        <w:t xml:space="preserve"> 13 with outliers marked #omitted</w:t>
      </w:r>
    </w:p>
    <w:p w:rsidR="00821A88" w:rsidRPr="007F536A" w:rsidRDefault="00821A88" w:rsidP="00821A88">
      <w:pPr>
        <w:pStyle w:val="Els-body-text"/>
        <w:ind w:firstLine="0"/>
        <w:rPr>
          <w:rFonts w:ascii="Book Antiqua" w:eastAsia="Times New Roman" w:hAnsi="Book Antiqua"/>
        </w:rPr>
      </w:pPr>
    </w:p>
    <w:tbl>
      <w:tblPr>
        <w:tblStyle w:val="TableGrid"/>
        <w:tblW w:w="0" w:type="auto"/>
        <w:tblLook w:val="04A0"/>
      </w:tblPr>
      <w:tblGrid>
        <w:gridCol w:w="8901"/>
      </w:tblGrid>
      <w:tr w:rsidR="00821A88" w:rsidRPr="007F536A" w:rsidTr="00400B4E">
        <w:tc>
          <w:tcPr>
            <w:tcW w:w="8720" w:type="dxa"/>
          </w:tcPr>
          <w:tbl>
            <w:tblPr>
              <w:tblW w:w="8669"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97"/>
              <w:gridCol w:w="955"/>
              <w:gridCol w:w="1164"/>
              <w:gridCol w:w="2321"/>
              <w:gridCol w:w="1259"/>
              <w:gridCol w:w="1334"/>
              <w:gridCol w:w="1139"/>
            </w:tblGrid>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jc w:val="center"/>
                    <w:rPr>
                      <w:rFonts w:ascii="Book Antiqua" w:hAnsi="Book Antiqua"/>
                      <w:b/>
                      <w:bCs/>
                      <w:sz w:val="16"/>
                      <w:szCs w:val="16"/>
                    </w:rPr>
                  </w:pPr>
                </w:p>
              </w:tc>
              <w:tc>
                <w:tcPr>
                  <w:tcW w:w="955"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Average year</w:t>
                  </w:r>
                </w:p>
              </w:tc>
              <w:tc>
                <w:tcPr>
                  <w:tcW w:w="116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Date of observation</w:t>
                  </w:r>
                </w:p>
              </w:tc>
              <w:tc>
                <w:tcPr>
                  <w:tcW w:w="2321" w:type="dxa"/>
                  <w:tcBorders>
                    <w:top w:val="outset" w:sz="6" w:space="0" w:color="auto"/>
                    <w:left w:val="outset" w:sz="6" w:space="0" w:color="auto"/>
                    <w:bottom w:val="outset" w:sz="6" w:space="0" w:color="auto"/>
                    <w:right w:val="outset" w:sz="6" w:space="0" w:color="auto"/>
                  </w:tcBorders>
                  <w:vAlign w:val="center"/>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Observer</w:t>
                  </w:r>
                </w:p>
              </w:tc>
              <w:tc>
                <w:tcPr>
                  <w:tcW w:w="1259"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 xml:space="preserve">Value of K in </w:t>
                  </w:r>
                  <w:r w:rsidRPr="00D95D3A">
                    <w:rPr>
                      <w:rFonts w:ascii="Book Antiqua" w:hAnsi="Book Antiqua"/>
                      <w:b/>
                      <w:bCs/>
                      <w:i/>
                      <w:sz w:val="18"/>
                      <w:szCs w:val="18"/>
                    </w:rPr>
                    <w:br/>
                    <w:t>arc seconds</w:t>
                  </w:r>
                </w:p>
              </w:tc>
              <w:tc>
                <w:tcPr>
                  <w:tcW w:w="1334" w:type="dxa"/>
                  <w:tcBorders>
                    <w:top w:val="outset" w:sz="6" w:space="0" w:color="auto"/>
                    <w:left w:val="outset" w:sz="6" w:space="0" w:color="auto"/>
                    <w:bottom w:val="outset" w:sz="6" w:space="0" w:color="auto"/>
                    <w:right w:val="outset" w:sz="6" w:space="0" w:color="auto"/>
                  </w:tcBorders>
                  <w:hideMark/>
                </w:tcPr>
                <w:p w:rsidR="00821A88" w:rsidRPr="00D95D3A" w:rsidRDefault="00821A88" w:rsidP="00400B4E">
                  <w:pPr>
                    <w:jc w:val="center"/>
                    <w:rPr>
                      <w:rFonts w:ascii="Book Antiqua" w:hAnsi="Book Antiqua"/>
                      <w:i/>
                      <w:sz w:val="18"/>
                      <w:szCs w:val="18"/>
                    </w:rPr>
                  </w:pPr>
                  <w:r w:rsidRPr="00D95D3A">
                    <w:rPr>
                      <w:rFonts w:ascii="Book Antiqua" w:hAnsi="Book Antiqua"/>
                      <w:b/>
                      <w:bCs/>
                      <w:i/>
                      <w:sz w:val="18"/>
                      <w:szCs w:val="18"/>
                    </w:rPr>
                    <w:t>Value of c in km/sec</w:t>
                  </w:r>
                </w:p>
              </w:tc>
              <w:tc>
                <w:tcPr>
                  <w:tcW w:w="1139" w:type="dxa"/>
                  <w:tcBorders>
                    <w:top w:val="outset" w:sz="6" w:space="0" w:color="auto"/>
                    <w:left w:val="outset" w:sz="6" w:space="0" w:color="auto"/>
                    <w:bottom w:val="outset" w:sz="6" w:space="0" w:color="auto"/>
                    <w:right w:val="outset" w:sz="6" w:space="0" w:color="auto"/>
                  </w:tcBorders>
                </w:tcPr>
                <w:p w:rsidR="00821A88" w:rsidRPr="00D95D3A" w:rsidRDefault="00821A88" w:rsidP="00400B4E">
                  <w:pPr>
                    <w:jc w:val="center"/>
                    <w:rPr>
                      <w:rFonts w:ascii="Book Antiqua" w:hAnsi="Book Antiqua"/>
                      <w:b/>
                      <w:bCs/>
                      <w:i/>
                      <w:sz w:val="18"/>
                      <w:szCs w:val="18"/>
                    </w:rPr>
                  </w:pPr>
                  <w:r w:rsidRPr="00D95D3A">
                    <w:rPr>
                      <w:rFonts w:ascii="Book Antiqua" w:hAnsi="Book Antiqua"/>
                      <w:b/>
                      <w:bCs/>
                      <w:i/>
                      <w:sz w:val="18"/>
                      <w:szCs w:val="18"/>
                    </w:rPr>
                    <w:t>Difference from datum in km/s</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(γ Draconis – initial wk)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20.20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304,060 ±  </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(α Cassiopeiae )</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301,195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1726-1727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Auwers-Bradley (Kew)</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20.3851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301,415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1740*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1726-1754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Bradley: Reworked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300,650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1750-1816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Lindenau: ± from weights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20.445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300,530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Struve: corrected 1853</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20.463 ± 0.017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300,270 ± 250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1841*</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1840-1842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Folk-Struve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20.458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300,340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Vaschilina-Struve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20.486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m:oMathPara>
                    <m:oMath>
                      <m:r>
                        <w:rPr>
                          <w:rFonts w:ascii="Cambria Math" w:hAnsi="Book Antiqua"/>
                          <w:sz w:val="16"/>
                          <w:szCs w:val="16"/>
                        </w:rPr>
                        <m:t xml:space="preserve">299,930 </m:t>
                      </m:r>
                      <m:r>
                        <w:rPr>
                          <w:rFonts w:ascii="Cambria Math" w:hAnsi="Book Antiqua"/>
                          <w:sz w:val="16"/>
                          <w:szCs w:val="16"/>
                          <w:u w:val="single"/>
                        </w:rPr>
                        <m:t>±</m:t>
                      </m:r>
                      <m:r>
                        <w:rPr>
                          <w:rFonts w:ascii="Cambria Math" w:hAnsi="Book Antiqua"/>
                          <w:sz w:val="16"/>
                          <w:szCs w:val="16"/>
                        </w:rPr>
                        <m:t xml:space="preserve"> 90</m:t>
                      </m:r>
                    </m:oMath>
                  </m:oMathPara>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1842-1844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Lindhagen-Schweizer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1858*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1842-1873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Nyren-Peters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20.495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299,800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1862-1867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20.490 </w:t>
                  </w:r>
                  <w:r w:rsidRPr="007F536A">
                    <w:rPr>
                      <w:rFonts w:ascii="Book Antiqua" w:hAnsi="Book Antiqua"/>
                      <w:sz w:val="16"/>
                      <w:szCs w:val="16"/>
                      <w:u w:val="single"/>
                    </w:rPr>
                    <w:t>+</w:t>
                  </w:r>
                  <w:r w:rsidRPr="007F536A">
                    <w:rPr>
                      <w:rFonts w:ascii="Book Antiqua" w:hAnsi="Book Antiqua"/>
                      <w:sz w:val="16"/>
                      <w:szCs w:val="16"/>
                    </w:rPr>
                    <w:t xml:space="preserve">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299,870 </w:t>
                  </w:r>
                  <w:r w:rsidRPr="007F536A">
                    <w:rPr>
                      <w:rFonts w:ascii="Book Antiqua" w:hAnsi="Book Antiqua"/>
                      <w:sz w:val="16"/>
                      <w:szCs w:val="16"/>
                      <w:u w:val="single"/>
                    </w:rPr>
                    <w:t>+</w:t>
                  </w:r>
                  <w:r w:rsidRPr="007F536A">
                    <w:rPr>
                      <w:rFonts w:ascii="Book Antiqua" w:hAnsi="Book Antiqua"/>
                      <w:sz w:val="16"/>
                      <w:szCs w:val="16"/>
                    </w:rPr>
                    <w:t xml:space="preserve">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1863-1873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Gylden –Nyren-Gylden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1861-1879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 Wagner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299,980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1871-1875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1879-1882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1883-1883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treated average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1884-1884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Nyren (definitive)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20.492 </w:t>
                  </w:r>
                  <w:r w:rsidRPr="007F536A">
                    <w:rPr>
                      <w:rFonts w:ascii="Book Antiqua" w:hAnsi="Book Antiqua"/>
                      <w:sz w:val="16"/>
                      <w:szCs w:val="16"/>
                      <w:u w:val="single"/>
                    </w:rPr>
                    <w:t>+</w:t>
                  </w:r>
                  <w:r w:rsidRPr="007F536A">
                    <w:rPr>
                      <w:rFonts w:ascii="Book Antiqua" w:hAnsi="Book Antiqua"/>
                      <w:sz w:val="16"/>
                      <w:szCs w:val="16"/>
                    </w:rPr>
                    <w:t xml:space="preserve"> 0.006</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299,840 </w:t>
                  </w:r>
                  <w:r w:rsidRPr="007F536A">
                    <w:rPr>
                      <w:rFonts w:ascii="Book Antiqua" w:hAnsi="Book Antiqua"/>
                      <w:sz w:val="16"/>
                      <w:szCs w:val="16"/>
                      <w:u w:val="single"/>
                    </w:rPr>
                    <w:t>+</w:t>
                  </w:r>
                  <w:r w:rsidRPr="007F536A">
                    <w:rPr>
                      <w:rFonts w:ascii="Book Antiqua" w:hAnsi="Book Antiqua"/>
                      <w:sz w:val="16"/>
                      <w:szCs w:val="16"/>
                    </w:rPr>
                    <w:t xml:space="preserve"> 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Kustner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260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20.490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299,870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1889-1890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Comstock</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20.443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300,560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990#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1890-1893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Preston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20.430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300,750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1180#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Batterman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Marcuse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Chandler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1891-1894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Becker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1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lastRenderedPageBreak/>
                    <w:t>29.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1892-1894</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Davidson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1894-1895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20.452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300,430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1893-1899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Rhys-Jacobi-Davis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Paris Conference value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20.470 </w:t>
                  </w:r>
                  <w:r w:rsidRPr="007F536A">
                    <w:rPr>
                      <w:rFonts w:ascii="Book Antiqua" w:hAnsi="Book Antiqua"/>
                      <w:sz w:val="16"/>
                      <w:szCs w:val="16"/>
                      <w:u w:val="single"/>
                    </w:rPr>
                    <w:t>+</w:t>
                  </w:r>
                  <w:r w:rsidRPr="007F536A">
                    <w:rPr>
                      <w:rFonts w:ascii="Book Antiqua" w:hAnsi="Book Antiqua"/>
                      <w:sz w:val="16"/>
                      <w:szCs w:val="16"/>
                    </w:rPr>
                    <w:t xml:space="preserve"> 0.01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300,170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Newcomb-Pulkovo</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20.493 </w:t>
                  </w:r>
                  <w:r w:rsidRPr="007F536A">
                    <w:rPr>
                      <w:rFonts w:ascii="Book Antiqua" w:hAnsi="Book Antiqua"/>
                      <w:sz w:val="16"/>
                      <w:szCs w:val="16"/>
                      <w:u w:val="single"/>
                    </w:rPr>
                    <w:t>+</w:t>
                  </w:r>
                  <w:r w:rsidRPr="007F536A">
                    <w:rPr>
                      <w:rFonts w:ascii="Book Antiqua" w:hAnsi="Book Antiqua"/>
                      <w:sz w:val="16"/>
                      <w:szCs w:val="16"/>
                    </w:rPr>
                    <w:t xml:space="preserve">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299,830 </w:t>
                  </w:r>
                  <w:r w:rsidRPr="007F536A">
                    <w:rPr>
                      <w:rFonts w:ascii="Book Antiqua" w:hAnsi="Book Antiqua"/>
                      <w:sz w:val="16"/>
                      <w:szCs w:val="16"/>
                      <w:u w:val="single"/>
                    </w:rPr>
                    <w:t>+</w:t>
                  </w:r>
                  <w:r w:rsidRPr="007F536A">
                    <w:rPr>
                      <w:rFonts w:ascii="Book Antiqua" w:hAnsi="Book Antiqua"/>
                      <w:sz w:val="16"/>
                      <w:szCs w:val="16"/>
                    </w:rPr>
                    <w:t xml:space="preserve">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1896-1897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1897-1897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Grachev-Kowalski</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Rhys-Davis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20.470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300,170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1898-1899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Grachev (mean)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20.499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299,740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1900-1901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299,480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20.513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1901-1902</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1903-1903</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20.525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Ogburn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20.464 ± 0.011</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300,250 ± 170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1905-1905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20.476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300,080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 weighted avg.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Bonsdorf et.al.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20.505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299,650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299,670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1906-1908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Bayswater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Orlov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299,850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280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1907-1908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20.525 ± 0.004 </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299,360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-210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0.012</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180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20.518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299,460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-110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1908-1909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Int’n’l Latitude Service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20.522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299,410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1909-1909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20.520 ± 0.009</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299,440 ± 130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-130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1904-1915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Zemtsov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20.500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299,730 </w:t>
                  </w:r>
                  <w:r w:rsidRPr="007F536A">
                    <w:rPr>
                      <w:rFonts w:ascii="Book Antiqua" w:hAnsi="Book Antiqua"/>
                      <w:sz w:val="16"/>
                      <w:szCs w:val="16"/>
                      <w:u w:val="single"/>
                    </w:rPr>
                    <w:t>+</w:t>
                  </w:r>
                  <w:r w:rsidRPr="007F536A">
                    <w:rPr>
                      <w:rFonts w:ascii="Book Antiqua" w:hAnsi="Book Antiqua"/>
                      <w:sz w:val="16"/>
                      <w:szCs w:val="16"/>
                    </w:rPr>
                    <w:t xml:space="preserve">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1909-1910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Semenov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20.508 ± 0.013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299,610 ± 190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1910-1910</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Doolittle</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20.501 ±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299,710 ±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140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58.</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1914*</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1913-1915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Numerov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20.506 </w:t>
                  </w:r>
                  <w:r w:rsidRPr="007F536A">
                    <w:rPr>
                      <w:rFonts w:ascii="Book Antiqua" w:hAnsi="Book Antiqua"/>
                      <w:sz w:val="16"/>
                      <w:szCs w:val="16"/>
                      <w:u w:val="single"/>
                    </w:rPr>
                    <w:t>+</w:t>
                  </w:r>
                  <w:r w:rsidRPr="007F536A">
                    <w:rPr>
                      <w:rFonts w:ascii="Book Antiqua" w:hAnsi="Book Antiqua"/>
                      <w:sz w:val="16"/>
                      <w:szCs w:val="16"/>
                    </w:rPr>
                    <w:t xml:space="preserve"> 0.008</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299,640 </w:t>
                  </w:r>
                  <w:r w:rsidRPr="007F536A">
                    <w:rPr>
                      <w:rFonts w:ascii="Book Antiqua" w:hAnsi="Book Antiqua"/>
                      <w:sz w:val="16"/>
                      <w:szCs w:val="16"/>
                      <w:u w:val="single"/>
                    </w:rPr>
                    <w:t>+</w:t>
                  </w:r>
                  <w:r w:rsidRPr="007F536A">
                    <w:rPr>
                      <w:rFonts w:ascii="Book Antiqua" w:hAnsi="Book Antiqua"/>
                      <w:sz w:val="16"/>
                      <w:szCs w:val="16"/>
                    </w:rPr>
                    <w:t xml:space="preserve"> 120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70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59.</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1916*</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1915-1917</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Tsimmerman</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20.514 + 0.005</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299,520 </w:t>
                  </w:r>
                  <w:r w:rsidRPr="007F536A">
                    <w:rPr>
                      <w:rFonts w:ascii="Book Antiqua" w:hAnsi="Book Antiqua"/>
                      <w:sz w:val="16"/>
                      <w:szCs w:val="16"/>
                      <w:u w:val="single"/>
                    </w:rPr>
                    <w:t>+</w:t>
                  </w:r>
                  <w:r w:rsidRPr="007F536A">
                    <w:rPr>
                      <w:rFonts w:ascii="Book Antiqua" w:hAnsi="Book Antiqua"/>
                      <w:sz w:val="16"/>
                      <w:szCs w:val="16"/>
                    </w:rPr>
                    <w:t xml:space="preserve"> 75</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1922*</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1915-1929</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Kulikov</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20.512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299,550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61.</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1911-1936</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20.498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299,760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62.</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1925-1928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Berg</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20.504 + 0.007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 xml:space="preserve">299,670 </w:t>
                  </w:r>
                  <w:r w:rsidRPr="007F536A">
                    <w:rPr>
                      <w:rFonts w:ascii="Book Antiqua" w:hAnsi="Book Antiqua"/>
                      <w:sz w:val="16"/>
                      <w:szCs w:val="16"/>
                      <w:u w:val="single"/>
                    </w:rPr>
                    <w:t>+</w:t>
                  </w:r>
                  <w:r w:rsidRPr="007F536A">
                    <w:rPr>
                      <w:rFonts w:ascii="Book Antiqua" w:hAnsi="Book Antiqua"/>
                      <w:sz w:val="16"/>
                      <w:szCs w:val="16"/>
                    </w:rPr>
                    <w:t xml:space="preserve">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100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63.</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1928-1928</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20.475 ± 0.010</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300,090 ± 150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520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64.</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1930-1931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Spencer-Jones</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20.507 ± 0.004</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299,630 ± 60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60</w:t>
                  </w:r>
                </w:p>
              </w:tc>
            </w:tr>
            <w:tr w:rsidR="00C078E5" w:rsidRPr="007F536A" w:rsidTr="00B77C92">
              <w:trPr>
                <w:trHeight w:val="153"/>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65.</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1933</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1915-1951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Sollenberger</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20.453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300,420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850#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66.</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1929-1941</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Romanskaya</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20.511± 0.007</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299,570 ± 100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0</w:t>
                  </w:r>
                </w:p>
              </w:tc>
            </w:tr>
            <w:tr w:rsidR="00C078E5" w:rsidRPr="007F536A" w:rsidTr="00B77C92">
              <w:trPr>
                <w:trHeight w:val="164"/>
                <w:tblCellSpacing w:w="0" w:type="dxa"/>
                <w:jc w:val="center"/>
              </w:trPr>
              <w:tc>
                <w:tcPr>
                  <w:tcW w:w="497"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67.</w:t>
                  </w:r>
                </w:p>
              </w:tc>
              <w:tc>
                <w:tcPr>
                  <w:tcW w:w="955"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1935.5</w:t>
                  </w:r>
                </w:p>
              </w:tc>
              <w:tc>
                <w:tcPr>
                  <w:tcW w:w="116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1926-1945</w:t>
                  </w:r>
                </w:p>
              </w:tc>
              <w:tc>
                <w:tcPr>
                  <w:tcW w:w="232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Rabe (gravitational)</w:t>
                  </w:r>
                </w:p>
              </w:tc>
              <w:tc>
                <w:tcPr>
                  <w:tcW w:w="125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20.487 ± 0.003</w:t>
                  </w:r>
                </w:p>
              </w:tc>
              <w:tc>
                <w:tcPr>
                  <w:tcW w:w="1334"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299,920 ± 50</w:t>
                  </w:r>
                </w:p>
              </w:tc>
              <w:tc>
                <w:tcPr>
                  <w:tcW w:w="1139" w:type="dxa"/>
                  <w:tcBorders>
                    <w:top w:val="outset" w:sz="6" w:space="0" w:color="auto"/>
                    <w:left w:val="outset" w:sz="6" w:space="0" w:color="auto"/>
                    <w:bottom w:val="outset" w:sz="6" w:space="0" w:color="auto"/>
                    <w:right w:val="outset" w:sz="6" w:space="0" w:color="auto"/>
                  </w:tcBorders>
                </w:tcPr>
                <w:p w:rsidR="00821A88" w:rsidRPr="007F536A" w:rsidRDefault="00821A88" w:rsidP="00400B4E">
                  <w:pPr>
                    <w:spacing w:before="100" w:beforeAutospacing="1" w:after="100" w:afterAutospacing="1"/>
                    <w:jc w:val="center"/>
                    <w:rPr>
                      <w:rFonts w:ascii="Book Antiqua" w:hAnsi="Book Antiqua"/>
                      <w:sz w:val="16"/>
                      <w:szCs w:val="16"/>
                    </w:rPr>
                  </w:pPr>
                  <w:r w:rsidRPr="007F536A">
                    <w:rPr>
                      <w:rFonts w:ascii="Book Antiqua" w:hAnsi="Book Antiqua"/>
                      <w:sz w:val="16"/>
                      <w:szCs w:val="16"/>
                    </w:rPr>
                    <w:t>350</w:t>
                  </w:r>
                </w:p>
              </w:tc>
            </w:tr>
          </w:tbl>
          <w:p w:rsidR="00821A88" w:rsidRPr="007F536A" w:rsidRDefault="00821A88" w:rsidP="00400B4E">
            <w:pPr>
              <w:pStyle w:val="Els-body-text"/>
              <w:ind w:firstLine="0"/>
              <w:rPr>
                <w:rFonts w:ascii="Book Antiqua" w:hAnsi="Book Antiqua"/>
              </w:rPr>
            </w:pP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jc w:val="center"/>
        <w:rPr>
          <w:rFonts w:ascii="Book Antiqua" w:hAnsi="Book Antiqua"/>
          <w:sz w:val="16"/>
          <w:szCs w:val="16"/>
        </w:rPr>
      </w:pPr>
      <w:r w:rsidRPr="007F536A">
        <w:rPr>
          <w:rFonts w:ascii="Book Antiqua" w:hAnsi="Book Antiqua"/>
          <w:sz w:val="16"/>
          <w:szCs w:val="16"/>
        </w:rPr>
        <w:t xml:space="preserve">*These Pulkovo data were used in Figure </w:t>
      </w:r>
      <w:r w:rsidR="00D95D3A">
        <w:rPr>
          <w:rFonts w:ascii="Book Antiqua" w:hAnsi="Book Antiqua"/>
          <w:sz w:val="16"/>
          <w:szCs w:val="16"/>
        </w:rPr>
        <w:t>12</w:t>
      </w:r>
      <w:r w:rsidRPr="007F536A">
        <w:rPr>
          <w:rFonts w:ascii="Book Antiqua" w:hAnsi="Book Antiqua"/>
          <w:sz w:val="16"/>
          <w:szCs w:val="16"/>
        </w:rPr>
        <w:t xml:space="preserve"> along with the most conservative Bradley and Lindenau values.</w:t>
      </w:r>
    </w:p>
    <w:p w:rsidR="00C078E5" w:rsidRDefault="00C078E5"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3: Fizeau and the Toothed-Wheel Experiments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ab/>
      </w:r>
    </w:p>
    <w:p w:rsidR="00C078E5" w:rsidRPr="00C078E5" w:rsidRDefault="00821A88" w:rsidP="00821A88">
      <w:pPr>
        <w:pStyle w:val="NoSpacing"/>
        <w:numPr>
          <w:ilvl w:val="1"/>
          <w:numId w:val="23"/>
        </w:numPr>
        <w:jc w:val="both"/>
        <w:rPr>
          <w:rStyle w:val="Strong"/>
          <w:rFonts w:ascii="Book Antiqua" w:hAnsi="Book Antiqua"/>
          <w:b w:val="0"/>
          <w:bCs w:val="0"/>
          <w:i/>
          <w:sz w:val="20"/>
        </w:rPr>
      </w:pPr>
      <w:bookmarkStart w:id="53" w:name="HLF"/>
      <w:bookmarkEnd w:id="53"/>
      <w:r w:rsidRPr="007F536A">
        <w:rPr>
          <w:rStyle w:val="Strong"/>
          <w:rFonts w:ascii="Book Antiqua" w:hAnsi="Book Antiqua"/>
          <w:b w:val="0"/>
          <w:i/>
          <w:sz w:val="20"/>
        </w:rPr>
        <w:t>Armand Hippolyte-Louis Fizeau</w:t>
      </w:r>
    </w:p>
    <w:p w:rsidR="00C078E5" w:rsidRDefault="00C078E5" w:rsidP="00C078E5">
      <w:pPr>
        <w:pStyle w:val="NoSpacing"/>
        <w:ind w:left="360"/>
        <w:jc w:val="both"/>
        <w:rPr>
          <w:rStyle w:val="Strong"/>
          <w:rFonts w:ascii="Book Antiqua" w:hAnsi="Book Antiqua"/>
          <w:b w:val="0"/>
          <w:i/>
          <w:sz w:val="20"/>
        </w:rPr>
      </w:pPr>
    </w:p>
    <w:p w:rsidR="00C078E5" w:rsidRPr="007F536A" w:rsidRDefault="00C078E5" w:rsidP="00C078E5">
      <w:pPr>
        <w:pStyle w:val="NoSpacing"/>
        <w:ind w:firstLine="720"/>
        <w:jc w:val="both"/>
        <w:rPr>
          <w:rFonts w:ascii="Book Antiqua" w:hAnsi="Book Antiqua"/>
          <w:sz w:val="20"/>
        </w:rPr>
      </w:pPr>
      <w:r w:rsidRPr="007F536A">
        <w:rPr>
          <w:rFonts w:ascii="Book Antiqua" w:hAnsi="Book Antiqua"/>
          <w:sz w:val="20"/>
        </w:rPr>
        <w:t xml:space="preserve">The two methods of measuring the velocity of light, </w:t>
      </w:r>
      <m:oMath>
        <m:r>
          <w:rPr>
            <w:rStyle w:val="Emphasis"/>
            <w:rFonts w:ascii="Cambria Math" w:hAnsi="Cambria Math"/>
            <w:sz w:val="20"/>
          </w:rPr>
          <m:t>c</m:t>
        </m:r>
      </m:oMath>
      <w:r w:rsidRPr="007F536A">
        <w:rPr>
          <w:rFonts w:ascii="Book Antiqua" w:hAnsi="Book Antiqua"/>
          <w:sz w:val="20"/>
        </w:rPr>
        <w:t xml:space="preserve">, that have been considered to this point have both been astronomical. However, back in 1638, in his ‘Discorsi’, Galileo suggested the basis for a terrestrial experiment over a number of miles using lanterns, shutters and telescopes to timed flashes of light. The Florentine Academy in 1667 tried the idea over a distance of one mile without any observable delay. Just nine years later the reason became apparent: Roemer’s value for </w:t>
      </w:r>
      <w:r w:rsidRPr="007F536A">
        <w:rPr>
          <w:rStyle w:val="Emphasis"/>
          <w:rFonts w:ascii="Book Antiqua" w:hAnsi="Book Antiqua"/>
          <w:sz w:val="20"/>
        </w:rPr>
        <w:t xml:space="preserve">c </w:t>
      </w:r>
      <w:r w:rsidRPr="007F536A">
        <w:rPr>
          <w:rFonts w:ascii="Book Antiqua" w:hAnsi="Book Antiqua"/>
          <w:sz w:val="20"/>
        </w:rPr>
        <w:t xml:space="preserve">was so great in comparison to human reaction times in operating the lantern shutters that there was no hope of observing the finite travel time delay for </w:t>
      </w:r>
      <m:oMath>
        <m:r>
          <w:rPr>
            <w:rStyle w:val="Emphasis"/>
            <w:rFonts w:ascii="Cambria Math" w:hAnsi="Cambria Math"/>
            <w:sz w:val="20"/>
          </w:rPr>
          <m:t>c</m:t>
        </m:r>
      </m:oMath>
      <w:r w:rsidRPr="007F536A">
        <w:rPr>
          <w:rFonts w:ascii="Book Antiqua" w:hAnsi="Book Antiqua"/>
          <w:sz w:val="20"/>
        </w:rPr>
        <w:t xml:space="preserve"> over one mile (or 1609.344 meters).</w:t>
      </w:r>
    </w:p>
    <w:p w:rsidR="00C078E5" w:rsidRPr="007F536A" w:rsidRDefault="00C078E5" w:rsidP="00C078E5">
      <w:pPr>
        <w:pStyle w:val="NoSpacing"/>
        <w:ind w:firstLine="720"/>
        <w:jc w:val="both"/>
        <w:rPr>
          <w:rFonts w:ascii="Book Antiqua" w:hAnsi="Book Antiqua"/>
          <w:sz w:val="20"/>
        </w:rPr>
      </w:pPr>
    </w:p>
    <w:p w:rsidR="00637608" w:rsidRDefault="00637608" w:rsidP="00C078E5">
      <w:pPr>
        <w:pStyle w:val="NoSpacing"/>
        <w:jc w:val="both"/>
        <w:rPr>
          <w:rFonts w:ascii="Book Antiqua" w:hAnsi="Book Antiqua"/>
          <w:sz w:val="20"/>
        </w:rPr>
      </w:pPr>
    </w:p>
    <w:p w:rsidR="00C078E5" w:rsidRDefault="00C078E5" w:rsidP="00C078E5">
      <w:pPr>
        <w:pStyle w:val="NoSpacing"/>
        <w:jc w:val="center"/>
        <w:rPr>
          <w:rFonts w:ascii="Book Antiqua" w:hAnsi="Book Antiqua"/>
          <w:sz w:val="20"/>
        </w:rPr>
      </w:pPr>
      <w:r w:rsidRPr="00C078E5">
        <w:rPr>
          <w:rFonts w:ascii="Book Antiqua" w:hAnsi="Book Antiqua"/>
          <w:noProof/>
          <w:sz w:val="20"/>
        </w:rPr>
        <w:drawing>
          <wp:inline distT="0" distB="0" distL="0" distR="0">
            <wp:extent cx="2485720" cy="2143845"/>
            <wp:effectExtent l="19050" t="0" r="0" b="0"/>
            <wp:docPr id="1528" name="il_fi" descr="http://micro.magnet.fsu.edu/optics/timeline/people/antiqueimages/fiz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izeau.jpg"/>
                    <pic:cNvPicPr>
                      <a:picLocks noChangeAspect="1" noChangeArrowheads="1"/>
                    </pic:cNvPicPr>
                  </pic:nvPicPr>
                  <pic:blipFill>
                    <a:blip r:embed="rId99" cstate="print"/>
                    <a:srcRect t="13187" r="1233" b="33696"/>
                    <a:stretch>
                      <a:fillRect/>
                    </a:stretch>
                  </pic:blipFill>
                  <pic:spPr bwMode="auto">
                    <a:xfrm>
                      <a:off x="0" y="0"/>
                      <a:ext cx="2488566" cy="2146299"/>
                    </a:xfrm>
                    <a:prstGeom prst="rect">
                      <a:avLst/>
                    </a:prstGeom>
                    <a:noFill/>
                    <a:ln w="9525">
                      <a:noFill/>
                      <a:miter lim="800000"/>
                      <a:headEnd/>
                      <a:tailEnd/>
                    </a:ln>
                  </pic:spPr>
                </pic:pic>
              </a:graphicData>
            </a:graphic>
          </wp:inline>
        </w:drawing>
      </w:r>
    </w:p>
    <w:p w:rsidR="00C078E5" w:rsidRDefault="00C078E5" w:rsidP="00C078E5">
      <w:pPr>
        <w:pStyle w:val="NoSpacing"/>
        <w:jc w:val="both"/>
        <w:rPr>
          <w:rFonts w:ascii="Book Antiqua" w:hAnsi="Book Antiqua"/>
          <w:sz w:val="20"/>
        </w:rPr>
      </w:pPr>
    </w:p>
    <w:p w:rsidR="00C078E5" w:rsidRPr="00B65E31" w:rsidRDefault="00C078E5" w:rsidP="00363E70">
      <w:pPr>
        <w:pStyle w:val="NoSpacing"/>
        <w:jc w:val="center"/>
        <w:rPr>
          <w:rFonts w:ascii="Book Antiqua" w:hAnsi="Book Antiqua"/>
          <w:i/>
          <w:sz w:val="18"/>
          <w:szCs w:val="18"/>
        </w:rPr>
      </w:pPr>
      <w:r w:rsidRPr="00B65E31">
        <w:rPr>
          <w:rFonts w:ascii="Book Antiqua" w:hAnsi="Book Antiqua"/>
          <w:b/>
          <w:i/>
          <w:sz w:val="18"/>
          <w:szCs w:val="18"/>
        </w:rPr>
        <w:t>Figure 14:</w:t>
      </w:r>
      <w:r w:rsidRPr="00B65E31">
        <w:rPr>
          <w:rFonts w:ascii="Book Antiqua" w:hAnsi="Book Antiqua"/>
          <w:i/>
          <w:sz w:val="18"/>
          <w:szCs w:val="18"/>
        </w:rPr>
        <w:t xml:space="preserve"> Armand Hippolyte-Louis Fizeau (1819-1896)</w:t>
      </w:r>
    </w:p>
    <w:p w:rsidR="00C078E5" w:rsidRDefault="00C078E5" w:rsidP="00C078E5">
      <w:pPr>
        <w:pStyle w:val="NoSpacing"/>
        <w:jc w:val="both"/>
        <w:rPr>
          <w:rFonts w:ascii="Book Antiqua" w:hAnsi="Book Antiqua"/>
          <w:sz w:val="20"/>
        </w:rPr>
      </w:pPr>
    </w:p>
    <w:p w:rsidR="007A2282" w:rsidRDefault="007A2282" w:rsidP="007A2282">
      <w:pPr>
        <w:pStyle w:val="NoSpacing"/>
        <w:ind w:firstLine="720"/>
        <w:jc w:val="both"/>
        <w:rPr>
          <w:rFonts w:ascii="Book Antiqua" w:hAnsi="Book Antiqua"/>
          <w:sz w:val="20"/>
        </w:rPr>
      </w:pPr>
      <w:r w:rsidRPr="007F536A">
        <w:rPr>
          <w:rFonts w:ascii="Book Antiqua" w:hAnsi="Book Antiqua"/>
          <w:sz w:val="20"/>
        </w:rPr>
        <w:t>It was not until 1849 that the French physicist Armand H. L. Fizeau overcame the problem in the following fashion. In the first place it was desirable to have as large a distance as possible involved, instead of just one mile. Fizeau used as his base-line the distance between two hills near Paris, Suresnes and Montmartre, measured as 8633 meters</w:t>
      </w:r>
      <w:bookmarkStart w:id="54" w:name="one"/>
      <w:bookmarkEnd w:id="54"/>
      <w:r w:rsidRPr="007F536A">
        <w:rPr>
          <w:rFonts w:ascii="Book Antiqua" w:hAnsi="Book Antiqua"/>
          <w:sz w:val="20"/>
        </w:rPr>
        <w:t xml:space="preserve"> (about 5 ½ miles) [62]. As he had arranged to observe the returning beam of light, the total distance traveled was thus 17,266 meters, or eleven miles. Though this distance was large in comparison with the single mile used with lanterns, it was the second shortest base-line ever used in this type of experiment</w:t>
      </w:r>
      <w:r>
        <w:rPr>
          <w:rFonts w:ascii="Book Antiqua" w:hAnsi="Book Antiqua"/>
          <w:sz w:val="20"/>
        </w:rPr>
        <w:t>.</w:t>
      </w:r>
      <w:r w:rsidRPr="007F536A">
        <w:rPr>
          <w:rStyle w:val="Strong"/>
          <w:rFonts w:ascii="Book Antiqua" w:hAnsi="Book Antiqua"/>
          <w:b w:val="0"/>
          <w:i/>
          <w:sz w:val="20"/>
        </w:rPr>
        <w:tab/>
      </w:r>
    </w:p>
    <w:p w:rsidR="00C078E5" w:rsidRDefault="00C078E5" w:rsidP="00C078E5">
      <w:pPr>
        <w:pStyle w:val="NoSpacing"/>
        <w:jc w:val="both"/>
        <w:rPr>
          <w:rStyle w:val="Strong"/>
          <w:rFonts w:ascii="Book Antiqua" w:hAnsi="Book Antiqua"/>
          <w:b w:val="0"/>
          <w:i/>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place of the shutters on lanterns, Fizeau used a rotating wheel with 720 teeth and driven by clockwork made by Froment [63]. Light from an intense source was focused on the rim of the wheel, then made into a parallel beam by a telescope, and sent the 8633 meters. There it was received by another telescope which focused the beam onto a concave mirror, and sent the light back along the same path that it had just traveled. The returned beam was viewed between the teeth in the wheel. The system was focused with the wheel at rest and with the light shining between the gap in the teeth. The wheel was then rotated, automatically chopping the beam into a series of flashes like the lantern shutters (see Fig</w:t>
      </w:r>
      <w:r w:rsidR="00B65E31">
        <w:rPr>
          <w:rFonts w:ascii="Book Antiqua" w:hAnsi="Book Antiqua"/>
          <w:sz w:val="20"/>
        </w:rPr>
        <w:t>. 15</w:t>
      </w:r>
      <w:r w:rsidRPr="007F536A">
        <w:rPr>
          <w:rFonts w:ascii="Book Antiqua" w:hAnsi="Book Antiqua"/>
          <w:sz w:val="20"/>
        </w:rPr>
        <w:t>).</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noProof/>
          <w:sz w:val="20"/>
        </w:rPr>
        <w:drawing>
          <wp:inline distT="0" distB="0" distL="0" distR="0">
            <wp:extent cx="6082072" cy="2735516"/>
            <wp:effectExtent l="19050" t="0" r="0" b="0"/>
            <wp:docPr id="36" name="Picture 63" descr="Stroboscop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roboscope Method"/>
                    <pic:cNvPicPr>
                      <a:picLocks noChangeAspect="1" noChangeArrowheads="1"/>
                    </pic:cNvPicPr>
                  </pic:nvPicPr>
                  <pic:blipFill>
                    <a:blip r:embed="rId100" cstate="print"/>
                    <a:srcRect/>
                    <a:stretch>
                      <a:fillRect/>
                    </a:stretch>
                  </pic:blipFill>
                  <pic:spPr bwMode="auto">
                    <a:xfrm>
                      <a:off x="0" y="0"/>
                      <a:ext cx="6114914" cy="2750287"/>
                    </a:xfrm>
                    <a:prstGeom prst="rect">
                      <a:avLst/>
                    </a:prstGeom>
                    <a:noFill/>
                    <a:ln w="9525">
                      <a:noFill/>
                      <a:miter lim="800000"/>
                      <a:headEnd/>
                      <a:tailEnd/>
                    </a:ln>
                  </pic:spPr>
                </pic:pic>
              </a:graphicData>
            </a:graphic>
          </wp:inline>
        </w:drawing>
      </w:r>
    </w:p>
    <w:p w:rsidR="00821A88" w:rsidRPr="007F536A" w:rsidRDefault="00821A88" w:rsidP="00821A88">
      <w:pPr>
        <w:pStyle w:val="NoSpacing"/>
        <w:rPr>
          <w:rFonts w:ascii="Book Antiqua" w:hAnsi="Book Antiqua"/>
          <w:b/>
          <w:sz w:val="20"/>
        </w:rPr>
      </w:pPr>
    </w:p>
    <w:p w:rsidR="00821A88" w:rsidRDefault="00821A88" w:rsidP="00821A88">
      <w:pPr>
        <w:pStyle w:val="NoSpacing"/>
        <w:rPr>
          <w:rFonts w:ascii="Book Antiqua" w:hAnsi="Book Antiqua"/>
          <w:i/>
          <w:sz w:val="18"/>
          <w:szCs w:val="18"/>
        </w:rPr>
      </w:pPr>
      <w:r w:rsidRPr="00B65E31">
        <w:rPr>
          <w:rFonts w:ascii="Book Antiqua" w:hAnsi="Book Antiqua"/>
          <w:b/>
          <w:i/>
          <w:sz w:val="18"/>
          <w:szCs w:val="18"/>
        </w:rPr>
        <w:t>Figure 15:</w:t>
      </w:r>
      <w:r w:rsidRPr="00B65E31">
        <w:rPr>
          <w:rFonts w:ascii="Book Antiqua" w:hAnsi="Book Antiqua"/>
          <w:i/>
          <w:sz w:val="18"/>
          <w:szCs w:val="18"/>
        </w:rPr>
        <w:t xml:space="preserve"> Fizeau’s Toothed Wheel Method of Measuring Light-speed.</w:t>
      </w:r>
    </w:p>
    <w:p w:rsidR="00B65E31" w:rsidRPr="00B65E31" w:rsidRDefault="00B65E31" w:rsidP="00821A88">
      <w:pPr>
        <w:pStyle w:val="NoSpacing"/>
        <w:rPr>
          <w:rFonts w:ascii="Book Antiqua" w:hAnsi="Book Antiqua"/>
          <w:i/>
          <w:sz w:val="18"/>
          <w:szCs w:val="18"/>
        </w:rPr>
      </w:pPr>
    </w:p>
    <w:p w:rsidR="00A518F9" w:rsidRDefault="00A518F9" w:rsidP="00821A88">
      <w:pPr>
        <w:pStyle w:val="NoSpacing"/>
        <w:rPr>
          <w:rFonts w:ascii="Book Antiqua" w:hAnsi="Book Antiqua"/>
          <w:sz w:val="18"/>
          <w:szCs w:val="18"/>
        </w:rPr>
      </w:pPr>
    </w:p>
    <w:p w:rsidR="00821A88" w:rsidRPr="007F536A" w:rsidRDefault="004226F6" w:rsidP="00821A88">
      <w:pPr>
        <w:pStyle w:val="NoSpacing"/>
        <w:numPr>
          <w:ilvl w:val="1"/>
          <w:numId w:val="23"/>
        </w:numPr>
        <w:jc w:val="both"/>
        <w:rPr>
          <w:rFonts w:ascii="Book Antiqua" w:hAnsi="Book Antiqua"/>
          <w:b/>
          <w:i/>
          <w:sz w:val="20"/>
        </w:rPr>
      </w:pPr>
      <w:r>
        <w:rPr>
          <w:rStyle w:val="Strong"/>
          <w:rFonts w:ascii="Book Antiqua" w:hAnsi="Book Antiqua"/>
          <w:b w:val="0"/>
          <w:i/>
          <w:sz w:val="20"/>
        </w:rPr>
        <w:t>Fizeau’s</w:t>
      </w:r>
      <w:r w:rsidR="00821A88" w:rsidRPr="007F536A">
        <w:rPr>
          <w:rStyle w:val="Strong"/>
          <w:rFonts w:ascii="Book Antiqua" w:hAnsi="Book Antiqua"/>
          <w:b w:val="0"/>
          <w:i/>
          <w:sz w:val="20"/>
        </w:rPr>
        <w:t xml:space="preserve">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Initially, as the wheel’s rotation rate was increased from zero, the observed light intensity dropped, until the light flash that had passed between the teeth on the way out struck the next tooth on its return. The observed light intensity was then at its minimum. However, by increasing the wheel’s rotation rate, a situation arose where the returning flash went through the next gap to the one it passed through on the way out. This gave an observed maximum intensity. Fizeau found the first minimum occurred with the wheel rotating at 12.6 turns per second and the first maximum followed at 25.2 turns per second</w:t>
      </w:r>
      <w:bookmarkStart w:id="55" w:name="three"/>
      <w:bookmarkEnd w:id="55"/>
      <w:r w:rsidRPr="007F536A">
        <w:rPr>
          <w:rFonts w:ascii="Book Antiqua" w:hAnsi="Book Antiqua"/>
          <w:sz w:val="20"/>
        </w:rPr>
        <w:t xml:space="preserve"> [64]. The flash of light had thus traveled the 17.266 km distance in </w:t>
      </w:r>
      <m:oMath>
        <m:r>
          <w:rPr>
            <w:rFonts w:ascii="Cambria Math" w:hAnsi="Book Antiqua"/>
            <w:sz w:val="20"/>
          </w:rPr>
          <m:t xml:space="preserve">1/(25.2 </m:t>
        </m:r>
        <m:r>
          <w:rPr>
            <w:rFonts w:ascii="Cambria Math" w:hAnsi="Cambria Math"/>
            <w:sz w:val="20"/>
          </w:rPr>
          <m:t>x</m:t>
        </m:r>
        <m:r>
          <w:rPr>
            <w:rFonts w:ascii="Cambria Math" w:hAnsi="Book Antiqua"/>
            <w:sz w:val="20"/>
          </w:rPr>
          <m:t xml:space="preserve"> 720)</m:t>
        </m:r>
      </m:oMath>
      <w:r w:rsidRPr="007F536A">
        <w:rPr>
          <w:rFonts w:ascii="Book Antiqua" w:hAnsi="Book Antiqua"/>
          <w:sz w:val="20"/>
        </w:rPr>
        <w:t xml:space="preserve"> seconds. Hence, in one second, the light traveled </w:t>
      </w:r>
      <m:oMath>
        <m:r>
          <w:rPr>
            <w:rFonts w:ascii="Cambria Math" w:hAnsi="Book Antiqua"/>
            <w:sz w:val="20"/>
          </w:rPr>
          <m:t xml:space="preserve">25.2 </m:t>
        </m:r>
        <m:r>
          <w:rPr>
            <w:rFonts w:ascii="Cambria Math" w:hAnsi="Cambria Math"/>
            <w:sz w:val="20"/>
          </w:rPr>
          <m:t>x</m:t>
        </m:r>
        <m:r>
          <w:rPr>
            <w:rFonts w:ascii="Cambria Math" w:hAnsi="Book Antiqua"/>
            <w:sz w:val="20"/>
          </w:rPr>
          <m:t xml:space="preserve"> 720 </m:t>
        </m:r>
        <m:r>
          <w:rPr>
            <w:rFonts w:ascii="Cambria Math" w:hAnsi="Cambria Math"/>
            <w:sz w:val="20"/>
          </w:rPr>
          <m:t>x</m:t>
        </m:r>
        <m:r>
          <w:rPr>
            <w:rFonts w:ascii="Cambria Math" w:hAnsi="Book Antiqua"/>
            <w:sz w:val="20"/>
          </w:rPr>
          <m:t xml:space="preserve"> 17.266 </m:t>
        </m:r>
        <m:r>
          <w:rPr>
            <w:rFonts w:ascii="Cambria Math" w:hAnsi="Cambria Math"/>
            <w:sz w:val="20"/>
          </w:rPr>
          <m:t>km</m:t>
        </m:r>
      </m:oMath>
      <w:r w:rsidRPr="007F536A">
        <w:rPr>
          <w:rFonts w:ascii="Book Antiqua" w:hAnsi="Book Antiqua"/>
          <w:sz w:val="20"/>
        </w:rPr>
        <w:t xml:space="preserve">. This gives Fizeau’s value for </w:t>
      </w:r>
      <m:oMath>
        <m:r>
          <w:rPr>
            <w:rStyle w:val="Emphasis"/>
            <w:rFonts w:ascii="Cambria Math" w:hAnsi="Cambria Math"/>
            <w:sz w:val="20"/>
          </w:rPr>
          <m:t>c</m:t>
        </m:r>
      </m:oMath>
      <w:r w:rsidRPr="007F536A">
        <w:rPr>
          <w:rFonts w:ascii="Book Antiqua" w:hAnsi="Book Antiqua"/>
          <w:sz w:val="20"/>
        </w:rPr>
        <w:t xml:space="preserve"> as 313,300 km/s. This is the usual figure given in textbooks.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Although this value for Fizeau’s result is often quoted,</w:t>
      </w:r>
      <w:bookmarkStart w:id="56" w:name="four"/>
      <w:bookmarkEnd w:id="56"/>
      <w:r w:rsidRPr="007F536A">
        <w:rPr>
          <w:rFonts w:ascii="Book Antiqua" w:hAnsi="Book Antiqua"/>
          <w:sz w:val="20"/>
        </w:rPr>
        <w:t xml:space="preserve"> [65], the technical literature prefers another value for the following </w:t>
      </w:r>
      <w:r w:rsidRPr="007A2282">
        <w:rPr>
          <w:rFonts w:ascii="Book Antiqua" w:hAnsi="Book Antiqua"/>
          <w:sz w:val="20"/>
        </w:rPr>
        <w:t>reason</w:t>
      </w:r>
      <w:r w:rsidR="007A2282">
        <w:rPr>
          <w:rFonts w:ascii="Book Antiqua" w:hAnsi="Book Antiqua"/>
          <w:sz w:val="20"/>
        </w:rPr>
        <w:t>:</w:t>
      </w:r>
      <w:r w:rsidRPr="007A2282">
        <w:rPr>
          <w:rFonts w:ascii="Book Antiqua" w:hAnsi="Book Antiqua"/>
          <w:sz w:val="20"/>
        </w:rPr>
        <w:t xml:space="preserve"> Fizeau</w:t>
      </w:r>
      <w:r w:rsidRPr="007F536A">
        <w:rPr>
          <w:rFonts w:ascii="Book Antiqua" w:hAnsi="Book Antiqua"/>
          <w:sz w:val="20"/>
        </w:rPr>
        <w:t xml:space="preserve"> stated that his result was the mean of 28 measurements that gave </w:t>
      </w:r>
      <m:oMath>
        <m:r>
          <w:rPr>
            <w:rFonts w:ascii="Cambria Math" w:hAnsi="Cambria Math"/>
            <w:sz w:val="20"/>
          </w:rPr>
          <m:t>c</m:t>
        </m:r>
      </m:oMath>
      <w:r w:rsidRPr="007F536A">
        <w:rPr>
          <w:rFonts w:ascii="Book Antiqua" w:hAnsi="Book Antiqua"/>
          <w:sz w:val="20"/>
        </w:rPr>
        <w:t xml:space="preserve"> as 70,948 leagues of 25 to the degree per second (</w:t>
      </w:r>
      <w:r w:rsidRPr="007F536A">
        <w:rPr>
          <w:rFonts w:ascii="Book Antiqua" w:hAnsi="Book Antiqua"/>
          <w:i/>
          <w:sz w:val="20"/>
        </w:rPr>
        <w:t>’70,948 lieues de 25 au degre’</w:t>
      </w:r>
      <w:bookmarkStart w:id="57" w:name="five"/>
      <w:bookmarkEnd w:id="57"/>
      <w:r w:rsidRPr="007F536A">
        <w:rPr>
          <w:rFonts w:ascii="Book Antiqua" w:hAnsi="Book Antiqua"/>
          <w:i/>
          <w:sz w:val="20"/>
        </w:rPr>
        <w:t>)</w:t>
      </w:r>
      <w:r w:rsidRPr="007F536A">
        <w:rPr>
          <w:rFonts w:ascii="Book Antiqua" w:hAnsi="Book Antiqua"/>
          <w:sz w:val="20"/>
        </w:rPr>
        <w:t xml:space="preserve"> [66].</w:t>
      </w:r>
      <w:r w:rsidRPr="007F536A">
        <w:rPr>
          <w:rStyle w:val="superscript1"/>
          <w:rFonts w:ascii="Book Antiqua" w:hAnsi="Book Antiqua"/>
        </w:rPr>
        <w:t xml:space="preserve"> </w:t>
      </w:r>
      <w:r w:rsidRPr="007F536A">
        <w:rPr>
          <w:rFonts w:ascii="Book Antiqua" w:hAnsi="Book Antiqua"/>
          <w:sz w:val="20"/>
        </w:rPr>
        <w:t xml:space="preserve">As Dorsey points out, the meter was meant to be 1,10,000,000 part of the earth’s meridional quadrant and hence Fizeau’s league became equal to </w:t>
      </w:r>
      <m:oMath>
        <m:r>
          <w:rPr>
            <w:rFonts w:ascii="Cambria Math" w:hAnsi="Book Antiqua"/>
            <w:sz w:val="20"/>
          </w:rPr>
          <m:t>40/9</m:t>
        </m:r>
      </m:oMath>
      <w:r w:rsidRPr="007F536A">
        <w:rPr>
          <w:rFonts w:ascii="Book Antiqua" w:hAnsi="Book Antiqua"/>
          <w:sz w:val="20"/>
        </w:rPr>
        <w:t xml:space="preserve"> km. Multiplication of </w:t>
      </w:r>
      <m:oMath>
        <m:r>
          <w:rPr>
            <w:rFonts w:ascii="Cambria Math" w:hAnsi="Book Antiqua"/>
            <w:sz w:val="20"/>
          </w:rPr>
          <m:t xml:space="preserve">40/9 </m:t>
        </m:r>
      </m:oMath>
      <w:r w:rsidRPr="007F536A">
        <w:rPr>
          <w:rFonts w:ascii="Book Antiqua" w:hAnsi="Book Antiqua"/>
          <w:sz w:val="20"/>
        </w:rPr>
        <w:t xml:space="preserve">by 70,948 gives the technically accepted result of </w:t>
      </w:r>
      <m:oMath>
        <m:r>
          <w:rPr>
            <w:rFonts w:ascii="Cambria Math" w:hAnsi="Book Antiqua"/>
            <w:sz w:val="20"/>
          </w:rPr>
          <m:t xml:space="preserve">315,300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as Fizeau’s value for </w:t>
      </w:r>
      <m:oMath>
        <m:r>
          <w:rPr>
            <w:rStyle w:val="Emphasis"/>
            <w:rFonts w:ascii="Cambria Math" w:hAnsi="Cambria Math"/>
            <w:sz w:val="20"/>
          </w:rPr>
          <m:t>c</m:t>
        </m:r>
      </m:oMath>
      <w:r w:rsidRPr="007F536A">
        <w:rPr>
          <w:rFonts w:ascii="Book Antiqua" w:hAnsi="Book Antiqua"/>
          <w:sz w:val="20"/>
        </w:rPr>
        <w:t>, the speed of light</w:t>
      </w:r>
      <w:bookmarkStart w:id="58" w:name="six"/>
      <w:bookmarkEnd w:id="58"/>
      <w:r w:rsidRPr="007F536A">
        <w:rPr>
          <w:rFonts w:ascii="Book Antiqua" w:hAnsi="Book Antiqua"/>
          <w:sz w:val="20"/>
        </w:rPr>
        <w:t xml:space="preserve"> [67].</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Fizeau’s experimental details were not given in his report, and one promised later after further work seems not to have been found. However, in a quote from the French journal ‘L’Astronomie’, with no exact reference given, two further values appear against an 1855 date that are presumably Fizeau’s</w:t>
      </w:r>
      <w:bookmarkStart w:id="59" w:name="seven"/>
      <w:bookmarkEnd w:id="59"/>
      <w:r w:rsidRPr="007F536A">
        <w:rPr>
          <w:rFonts w:ascii="Book Antiqua" w:hAnsi="Book Antiqua"/>
          <w:sz w:val="20"/>
        </w:rPr>
        <w:t xml:space="preserve"> [68]. They give </w:t>
      </w:r>
      <m:oMath>
        <m:r>
          <w:rPr>
            <w:rStyle w:val="Emphasis"/>
            <w:rFonts w:ascii="Cambria Math" w:hAnsi="Cambria Math"/>
            <w:sz w:val="20"/>
          </w:rPr>
          <m:t>c</m:t>
        </m:r>
      </m:oMath>
      <w:r w:rsidRPr="007F536A">
        <w:rPr>
          <w:rFonts w:ascii="Book Antiqua" w:hAnsi="Book Antiqua"/>
          <w:sz w:val="20"/>
        </w:rPr>
        <w:t xml:space="preserve"> as </w:t>
      </w:r>
      <m:oMath>
        <m:r>
          <w:rPr>
            <w:rFonts w:ascii="Cambria Math" w:hAnsi="Book Antiqua"/>
            <w:sz w:val="20"/>
          </w:rPr>
          <m:t xml:space="preserve">305,650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and </w:t>
      </w:r>
      <m:oMath>
        <m:r>
          <w:rPr>
            <w:rFonts w:ascii="Cambria Math" w:hAnsi="Book Antiqua"/>
            <w:sz w:val="20"/>
          </w:rPr>
          <m:t xml:space="preserve">298,000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However, though this latter value is commonly quoted, it is likely that it is a bad citation for Foucault’s initial work in 1862.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3"/>
        </w:numPr>
        <w:jc w:val="both"/>
        <w:rPr>
          <w:rStyle w:val="Strong"/>
          <w:rFonts w:ascii="Book Antiqua" w:hAnsi="Book Antiqua"/>
          <w:b w:val="0"/>
          <w:bCs w:val="0"/>
          <w:i/>
          <w:sz w:val="20"/>
        </w:rPr>
      </w:pPr>
      <w:bookmarkStart w:id="60" w:name="Cornu"/>
      <w:bookmarkEnd w:id="60"/>
      <w:r w:rsidRPr="007F536A">
        <w:rPr>
          <w:rStyle w:val="Strong"/>
          <w:rFonts w:ascii="Book Antiqua" w:hAnsi="Book Antiqua"/>
          <w:b w:val="0"/>
          <w:i/>
          <w:sz w:val="20"/>
        </w:rPr>
        <w:t>Enter Marie Alfred Cornu</w:t>
      </w:r>
    </w:p>
    <w:p w:rsidR="00821A88" w:rsidRPr="007F536A" w:rsidRDefault="00821A88" w:rsidP="00821A88">
      <w:pPr>
        <w:pStyle w:val="NoSpacing"/>
        <w:jc w:val="both"/>
        <w:rPr>
          <w:rStyle w:val="Strong"/>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829281" cy="2505075"/>
            <wp:effectExtent l="19050" t="0" r="9169" b="0"/>
            <wp:docPr id="54" name="Picture 13" descr="http://www.ourstory.info/library/3-FF/SLF/images/pro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urstory.info/library/3-FF/SLF/images/prof36.jpg"/>
                    <pic:cNvPicPr>
                      <a:picLocks noChangeAspect="1" noChangeArrowheads="1"/>
                    </pic:cNvPicPr>
                  </pic:nvPicPr>
                  <pic:blipFill>
                    <a:blip r:embed="rId101" cstate="print"/>
                    <a:srcRect r="-13" b="26848"/>
                    <a:stretch>
                      <a:fillRect/>
                    </a:stretch>
                  </pic:blipFill>
                  <pic:spPr bwMode="auto">
                    <a:xfrm>
                      <a:off x="0" y="0"/>
                      <a:ext cx="2829281" cy="2505075"/>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Figure 16:</w:t>
      </w:r>
      <w:r w:rsidRPr="00B65E31">
        <w:rPr>
          <w:rFonts w:ascii="Book Antiqua" w:hAnsi="Book Antiqua"/>
          <w:i/>
          <w:sz w:val="18"/>
          <w:szCs w:val="18"/>
        </w:rPr>
        <w:t xml:space="preserve"> Marie Alfred Cornu, (1841-1902).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1872, Alfred Cornu used Fizeau’s method to determine </w:t>
      </w:r>
      <m:oMath>
        <m:r>
          <w:rPr>
            <w:rStyle w:val="Emphasis"/>
            <w:rFonts w:ascii="Cambria Math" w:hAnsi="Cambria Math"/>
            <w:sz w:val="20"/>
          </w:rPr>
          <m:t>c</m:t>
        </m:r>
      </m:oMath>
      <w:r w:rsidRPr="007F536A">
        <w:rPr>
          <w:rFonts w:ascii="Book Antiqua" w:hAnsi="Book Antiqua"/>
          <w:sz w:val="20"/>
        </w:rPr>
        <w:t xml:space="preserve"> over a base-line of 10,310 meters (a little less than 6.5 miles) from the École Polytechinque to Mont Valerien</w:t>
      </w:r>
      <w:bookmarkStart w:id="61" w:name="eight"/>
      <w:bookmarkEnd w:id="61"/>
      <w:r w:rsidRPr="007F536A">
        <w:rPr>
          <w:rFonts w:ascii="Book Antiqua" w:hAnsi="Book Antiqua"/>
          <w:sz w:val="20"/>
        </w:rPr>
        <w:t xml:space="preserve"> [69]. This was in the nature of a preliminary experiment, and was refined later. Of the 658 measurements made, 86 were determined using a weight driven motor and the remaining 572 using a clockwork spring drive. The results obtained were later rejected by Cornu [70] as being “</w:t>
      </w:r>
      <w:r w:rsidRPr="007F536A">
        <w:rPr>
          <w:rStyle w:val="Emphasis"/>
          <w:rFonts w:ascii="Book Antiqua" w:hAnsi="Book Antiqua"/>
          <w:sz w:val="20"/>
        </w:rPr>
        <w:t xml:space="preserve">affected by serious </w:t>
      </w:r>
      <w:r w:rsidRPr="007F536A">
        <w:rPr>
          <w:rStyle w:val="Emphasis"/>
          <w:rFonts w:ascii="Book Antiqua" w:hAnsi="Book Antiqua"/>
          <w:sz w:val="20"/>
        </w:rPr>
        <w:lastRenderedPageBreak/>
        <w:t>systematic errors</w:t>
      </w:r>
      <w:r w:rsidRPr="007F536A">
        <w:rPr>
          <w:rFonts w:ascii="Book Antiqua" w:hAnsi="Book Antiqua"/>
          <w:sz w:val="20"/>
        </w:rPr>
        <w:t>”.</w:t>
      </w:r>
      <w:bookmarkStart w:id="62" w:name="ten"/>
      <w:bookmarkEnd w:id="62"/>
      <w:r w:rsidRPr="007F536A">
        <w:rPr>
          <w:rFonts w:ascii="Book Antiqua" w:hAnsi="Book Antiqua"/>
          <w:sz w:val="20"/>
        </w:rPr>
        <w:t xml:space="preserve"> [71] Dorsey states that “</w:t>
      </w:r>
      <w:r w:rsidRPr="007F536A">
        <w:rPr>
          <w:rStyle w:val="Emphasis"/>
          <w:rFonts w:ascii="Book Antiqua" w:hAnsi="Book Antiqua"/>
          <w:sz w:val="20"/>
        </w:rPr>
        <w:t>The apparatus was crude; the precision was low</w:t>
      </w:r>
      <w:r w:rsidRPr="007F536A">
        <w:rPr>
          <w:rFonts w:ascii="Book Antiqua" w:hAnsi="Book Antiqua"/>
          <w:sz w:val="20"/>
        </w:rPr>
        <w:t xml:space="preserve">”. [72] This preliminary result that Cornu rejected was </w:t>
      </w:r>
      <m:oMath>
        <m:r>
          <w:rPr>
            <w:rFonts w:ascii="Cambria Math" w:hAnsi="Book Antiqua"/>
            <w:sz w:val="20"/>
          </w:rPr>
          <m:t xml:space="preserve">298,400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or </w:t>
      </w:r>
      <m:oMath>
        <m:r>
          <w:rPr>
            <w:rFonts w:ascii="Cambria Math" w:hAnsi="Book Antiqua"/>
            <w:sz w:val="20"/>
          </w:rPr>
          <m:t xml:space="preserve">298,500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 vacuum [73].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1874, the Council of the Paris Observatoire, headed by LeVerrier, who was the Observatory Director, and Fizeau, decided to ask Cornu to obtain a definitive value for </w:t>
      </w:r>
      <m:oMath>
        <m:r>
          <w:rPr>
            <w:rStyle w:val="Emphasis"/>
            <w:rFonts w:ascii="Cambria Math" w:hAnsi="Cambria Math"/>
            <w:sz w:val="20"/>
          </w:rPr>
          <m:t>c</m:t>
        </m:r>
      </m:oMath>
      <w:r w:rsidRPr="007F536A">
        <w:rPr>
          <w:rFonts w:ascii="Book Antiqua" w:hAnsi="Book Antiqua"/>
          <w:sz w:val="20"/>
        </w:rPr>
        <w:t xml:space="preserve">. The date was April 2, and the reason was that a transit of Venus was to occur on December 9th of that year. A value for </w:t>
      </w:r>
      <m:oMath>
        <m:r>
          <w:rPr>
            <w:rStyle w:val="Emphasis"/>
            <w:rFonts w:ascii="Cambria Math" w:hAnsi="Cambria Math"/>
            <w:sz w:val="20"/>
          </w:rPr>
          <m:t>c</m:t>
        </m:r>
      </m:oMath>
      <w:r w:rsidRPr="007F536A">
        <w:rPr>
          <w:rFonts w:ascii="Book Antiqua" w:hAnsi="Book Antiqua"/>
          <w:sz w:val="20"/>
        </w:rPr>
        <w:t xml:space="preserve"> accurate to one part in a thousand would be needed by astronomers observing the event. Cornu complied with the request.</w:t>
      </w:r>
    </w:p>
    <w:p w:rsidR="007A2282" w:rsidRDefault="007A2282"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A2282">
        <w:rPr>
          <w:rFonts w:ascii="Book Antiqua" w:hAnsi="Book Antiqua"/>
          <w:sz w:val="20"/>
        </w:rPr>
        <w:t xml:space="preserve">The sending telescope was mounted on the Paris Observatory and the light flashes sent to the tower of Montlhery where the collimator lens returned the chopped beam. The base-line was 22,910 meters (about 14.3 miles). Four smoked aluminum wheels of </w:t>
      </w:r>
      <m:oMath>
        <m:r>
          <w:rPr>
            <w:rFonts w:ascii="Cambria Math" w:hAnsi="Book Antiqua"/>
            <w:sz w:val="20"/>
          </w:rPr>
          <m:t>1/10</m:t>
        </m:r>
      </m:oMath>
      <w:r w:rsidRPr="007A2282">
        <w:rPr>
          <w:rFonts w:ascii="Book Antiqua" w:hAnsi="Book Antiqua"/>
          <w:sz w:val="20"/>
        </w:rPr>
        <w:t xml:space="preserve"> to </w:t>
      </w:r>
      <m:oMath>
        <m:r>
          <w:rPr>
            <w:rFonts w:ascii="Cambria Math" w:hAnsi="Book Antiqua"/>
            <w:sz w:val="20"/>
          </w:rPr>
          <m:t>1/15</m:t>
        </m:r>
      </m:oMath>
      <w:r w:rsidRPr="007A2282">
        <w:rPr>
          <w:rFonts w:ascii="Book Antiqua" w:hAnsi="Book Antiqua"/>
          <w:sz w:val="20"/>
        </w:rPr>
        <w:t xml:space="preserve"> mm thickness were used. Three had pointed teeth numbering 144, 150, and 200 respectively. The fourth wheel of 40 mm diameter had 180 square teeth. The wheels could be rotated in either direction, which eliminated a number of errors.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apparatus was powered by a weight-driven, friction-brake controlled device. An electric circuit automatically left a record of wheel rotation rates on a chronograph sheet advancing at </w:t>
      </w:r>
      <m:oMath>
        <m:r>
          <w:rPr>
            <w:rFonts w:ascii="Cambria Math" w:hAnsi="Book Antiqua"/>
            <w:sz w:val="20"/>
          </w:rPr>
          <m:t xml:space="preserve">1.85 </m:t>
        </m:r>
        <m:r>
          <w:rPr>
            <w:rFonts w:ascii="Cambria Math" w:hAnsi="Cambria Math"/>
            <w:sz w:val="20"/>
          </w:rPr>
          <m:t>cm</m:t>
        </m:r>
        <m:r>
          <w:rPr>
            <w:rFonts w:ascii="Cambria Math" w:hAnsi="Book Antiqua"/>
            <w:sz w:val="20"/>
          </w:rPr>
          <m:t>/</m:t>
        </m:r>
        <m:r>
          <w:rPr>
            <w:rFonts w:ascii="Cambria Math" w:hAnsi="Cambria Math"/>
            <w:sz w:val="20"/>
          </w:rPr>
          <m:t>s</m:t>
        </m:r>
      </m:oMath>
      <w:r w:rsidRPr="007F536A">
        <w:rPr>
          <w:rFonts w:ascii="Book Antiqua" w:hAnsi="Book Antiqua"/>
          <w:sz w:val="20"/>
        </w:rPr>
        <w:t xml:space="preserve">. A </w:t>
      </w:r>
      <m:oMath>
        <m:r>
          <w:rPr>
            <w:rFonts w:ascii="Cambria Math" w:hAnsi="Book Antiqua"/>
            <w:sz w:val="20"/>
          </w:rPr>
          <m:t xml:space="preserve">1/20 </m:t>
        </m:r>
      </m:oMath>
      <w:r w:rsidRPr="007F536A">
        <w:rPr>
          <w:rFonts w:ascii="Book Antiqua" w:hAnsi="Book Antiqua"/>
          <w:sz w:val="20"/>
        </w:rPr>
        <w:t xml:space="preserve">second oscillator was used to subdivide the one second intervals of the observatory clock. Times were estimated to 0.001 second were claimed. The main difficulty in observation was the determination of the exact moment of total eclipse of the returned flash as the background is always slightly luminous. The speed of the wheel corresponding to the disappearance of the beam was noted, as was the speed for its re-appearance and a mathematical averaging procedure was adopted [74]. </w:t>
      </w: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3"/>
        </w:numPr>
        <w:jc w:val="both"/>
        <w:rPr>
          <w:rFonts w:ascii="Book Antiqua" w:hAnsi="Book Antiqua"/>
          <w:i/>
          <w:sz w:val="20"/>
        </w:rPr>
      </w:pPr>
      <w:bookmarkStart w:id="63" w:name="CR"/>
      <w:bookmarkEnd w:id="63"/>
      <w:r w:rsidRPr="007F536A">
        <w:rPr>
          <w:rFonts w:ascii="Book Antiqua" w:hAnsi="Book Antiqua"/>
          <w:i/>
          <w:sz w:val="20"/>
        </w:rPr>
        <w:t>Cornu’s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his initial report of December 1874, Cornu announced that his preliminary reductions of the data resulted in a value for </w:t>
      </w:r>
      <m:oMath>
        <m:r>
          <w:rPr>
            <w:rFonts w:ascii="Cambria Math" w:hAnsi="Cambria Math"/>
            <w:sz w:val="20"/>
          </w:rPr>
          <m:t>c</m:t>
        </m:r>
      </m:oMath>
      <w:r w:rsidRPr="007F536A">
        <w:rPr>
          <w:rFonts w:ascii="Book Antiqua" w:hAnsi="Book Antiqua"/>
          <w:sz w:val="20"/>
        </w:rPr>
        <w:t xml:space="preserve"> of </w:t>
      </w:r>
      <m:oMath>
        <m:r>
          <w:rPr>
            <w:rFonts w:ascii="Cambria Math" w:hAnsi="Book Antiqua"/>
            <w:sz w:val="20"/>
          </w:rPr>
          <m:t xml:space="preserve">300,330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[75]. Multiplied by a refractive index for air of 1.0003 gave the vacuum velocity of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After final reductions of the data gave a result of </w:t>
      </w:r>
      <m:oMath>
        <m:r>
          <w:rPr>
            <w:rFonts w:ascii="Cambria Math" w:hAnsi="Book Antiqua"/>
            <w:sz w:val="20"/>
          </w:rPr>
          <m:t xml:space="preserve">300,170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air, Cornu felt obliged to apply a correction for possible vibrations of the wheel which resulted in a value of </w:t>
      </w:r>
      <m:oMath>
        <m:r>
          <w:rPr>
            <w:rFonts w:ascii="Cambria Math" w:hAnsi="Book Antiqua"/>
            <w:sz w:val="20"/>
          </w:rPr>
          <m:t xml:space="preserve">300,350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air [76]. The addition of the </w:t>
      </w:r>
      <m:oMath>
        <m:r>
          <w:rPr>
            <w:rFonts w:ascii="Cambria Math" w:hAnsi="Book Antiqua"/>
            <w:sz w:val="20"/>
          </w:rPr>
          <m:t xml:space="preserve">82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oMath>
      <w:r w:rsidRPr="007F536A">
        <w:rPr>
          <w:rFonts w:ascii="Book Antiqua" w:hAnsi="Book Antiqua"/>
          <w:sz w:val="20"/>
        </w:rPr>
        <w:t xml:space="preserve">to bring the value to that of a vacuum gave his final result again as </w:t>
      </w:r>
      <m:oMath>
        <m:r>
          <w:rPr>
            <w:rFonts w:ascii="Cambria Math" w:hAnsi="Book Antiqua"/>
            <w:sz w:val="20"/>
          </w:rPr>
          <m:t xml:space="preserve">300,400 </m:t>
        </m:r>
        <m:r>
          <w:rPr>
            <w:rFonts w:ascii="Book Antiqua" w:hAnsi="Book Antiqua"/>
            <w:sz w:val="20"/>
          </w:rPr>
          <m:t>±</m:t>
        </m:r>
        <m:r>
          <w:rPr>
            <w:rFonts w:ascii="Cambria Math" w:hAnsi="Book Antiqua"/>
            <w:sz w:val="20"/>
          </w:rPr>
          <m:t xml:space="preserve"> 300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to four figures. In all, he claimed to make 630 measurements of </w:t>
      </w:r>
      <m:oMath>
        <m:r>
          <w:rPr>
            <w:rFonts w:ascii="Cambria Math" w:hAnsi="Cambria Math"/>
            <w:sz w:val="20"/>
          </w:rPr>
          <m:t>c</m:t>
        </m:r>
      </m:oMath>
      <w:r w:rsidRPr="007F536A">
        <w:rPr>
          <w:rFonts w:ascii="Book Antiqua" w:hAnsi="Book Antiqua"/>
          <w:sz w:val="20"/>
        </w:rPr>
        <w:t xml:space="preserve"> for this toothed wheel determination. However, he records 624 sets of observations, of which he appears to have used 546 in the reduction process [77].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Following the publication of the initial report, Helmert noticed that, for low speeds of the wheel, the </w:t>
      </w:r>
      <m:oMath>
        <m:r>
          <w:rPr>
            <w:rFonts w:ascii="Cambria Math" w:hAnsi="Cambria Math"/>
            <w:sz w:val="20"/>
          </w:rPr>
          <m:t>c</m:t>
        </m:r>
      </m:oMath>
      <w:r w:rsidRPr="007F536A">
        <w:rPr>
          <w:rFonts w:ascii="Book Antiqua" w:hAnsi="Book Antiqua"/>
          <w:sz w:val="20"/>
        </w:rPr>
        <w:t xml:space="preserve"> values were higher than the mean value, while for high wheel speeds, the values were lower than the mean [78]. This suggested that a systematic error was affecting the result so that</w:t>
      </w:r>
      <w:r w:rsidRPr="007F536A">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c</m:t>
            </m:r>
            <m:r>
              <w:rPr>
                <w:rFonts w:ascii="Cambria Math" w:hAnsi="Book Antiqua"/>
                <w:sz w:val="20"/>
              </w:rPr>
              <m:t xml:space="preserve"> </m:t>
            </m:r>
          </m:e>
          <m:sup>
            <m:r>
              <w:rPr>
                <w:rFonts w:ascii="Book Antiqua" w:hAnsi="Cambria Math"/>
                <w:sz w:val="20"/>
              </w:rPr>
              <m:t>*</m:t>
            </m:r>
          </m:sup>
        </m:sSup>
        <m:r>
          <w:rPr>
            <w:rFonts w:ascii="Cambria Math" w:hAnsi="Book Antiqua"/>
            <w:sz w:val="20"/>
          </w:rPr>
          <m:t xml:space="preserve">= </m:t>
        </m:r>
        <m:r>
          <w:rPr>
            <w:rFonts w:ascii="Cambria Math" w:hAnsi="Cambria Math"/>
            <w:sz w:val="20"/>
          </w:rPr>
          <m:t>c</m:t>
        </m:r>
        <m:r>
          <w:rPr>
            <w:rFonts w:ascii="Cambria Math" w:hAnsi="Book Antiqua"/>
            <w:sz w:val="20"/>
          </w:rPr>
          <m:t xml:space="preserve"> (</m:t>
        </m:r>
        <m:r>
          <w:rPr>
            <w:rFonts w:ascii="Cambria Math" w:hAnsi="Cambria Math"/>
            <w:sz w:val="20"/>
          </w:rPr>
          <m:t>H</m:t>
        </m:r>
        <m:r>
          <w:rPr>
            <w:rFonts w:ascii="Cambria Math" w:hAnsi="Book Antiqua"/>
            <w:sz w:val="20"/>
          </w:rPr>
          <m:t>/</m:t>
        </m:r>
        <m:r>
          <w:rPr>
            <w:rFonts w:ascii="Cambria Math" w:hAnsi="Cambria Math"/>
            <w:sz w:val="20"/>
          </w:rPr>
          <m:t>q</m:t>
        </m:r>
        <m:r>
          <w:rPr>
            <w:rFonts w:ascii="Cambria Math" w:hAnsi="Book Antiqua"/>
            <w:sz w:val="20"/>
          </w:rPr>
          <m:t>)</m:t>
        </m:r>
      </m:oMath>
      <w:r w:rsidRPr="007F536A">
        <w:rPr>
          <w:rFonts w:ascii="Book Antiqua" w:hAnsi="Book Antiqua"/>
          <w:sz w:val="20"/>
        </w:rPr>
        <w:t xml:space="preserve"> where </w:t>
      </w:r>
      <m:oMath>
        <m:sSup>
          <m:sSupPr>
            <m:ctrlPr>
              <w:rPr>
                <w:rFonts w:ascii="Cambria Math" w:hAnsi="Book Antiqua"/>
                <w:i/>
                <w:sz w:val="20"/>
              </w:rPr>
            </m:ctrlPr>
          </m:sSupPr>
          <m:e>
            <m:r>
              <w:rPr>
                <w:rFonts w:ascii="Cambria Math" w:hAnsi="Cambria Math"/>
                <w:sz w:val="20"/>
              </w:rPr>
              <m:t>c</m:t>
            </m:r>
          </m:e>
          <m:sup>
            <m:r>
              <w:rPr>
                <w:rFonts w:ascii="Book Antiqua" w:hAnsi="Cambria Math"/>
                <w:sz w:val="20"/>
              </w:rPr>
              <m:t>*</m:t>
            </m:r>
          </m:sup>
        </m:sSup>
      </m:oMath>
      <w:r w:rsidRPr="007F536A">
        <w:rPr>
          <w:rFonts w:ascii="Book Antiqua" w:hAnsi="Book Antiqua"/>
          <w:sz w:val="20"/>
        </w:rPr>
        <w:t xml:space="preserve"> was the reported value of </w:t>
      </w:r>
      <m:oMath>
        <m:r>
          <w:rPr>
            <w:rFonts w:ascii="Cambria Math" w:hAnsi="Cambria Math"/>
            <w:sz w:val="20"/>
          </w:rPr>
          <m:t>c</m:t>
        </m:r>
      </m:oMath>
      <w:r w:rsidRPr="007F536A">
        <w:rPr>
          <w:rFonts w:ascii="Book Antiqua" w:hAnsi="Book Antiqua"/>
          <w:sz w:val="20"/>
        </w:rPr>
        <w:t xml:space="preserve">, and </w:t>
      </w:r>
      <m:oMath>
        <m:r>
          <w:rPr>
            <w:rFonts w:ascii="Cambria Math" w:hAnsi="Cambria Math"/>
            <w:sz w:val="20"/>
          </w:rPr>
          <m:t>H</m:t>
        </m:r>
        <m:r>
          <w:rPr>
            <w:rFonts w:ascii="Cambria Math" w:hAnsi="Book Antiqua"/>
            <w:sz w:val="20"/>
          </w:rPr>
          <m:t xml:space="preserve"> = 7.1</m:t>
        </m:r>
      </m:oMath>
      <w:r w:rsidRPr="007F536A">
        <w:rPr>
          <w:rFonts w:ascii="Book Antiqua" w:hAnsi="Book Antiqua"/>
          <w:sz w:val="20"/>
        </w:rPr>
        <w:t xml:space="preserve">. The </w:t>
      </w:r>
      <m:oMath>
        <m:r>
          <w:rPr>
            <w:rFonts w:ascii="Cambria Math" w:hAnsi="Cambria Math"/>
            <w:sz w:val="20"/>
          </w:rPr>
          <m:t>q</m:t>
        </m:r>
      </m:oMath>
      <w:r w:rsidRPr="007F536A">
        <w:rPr>
          <w:rFonts w:ascii="Book Antiqua" w:hAnsi="Book Antiqua"/>
          <w:sz w:val="20"/>
        </w:rPr>
        <w:t xml:space="preserve"> term was the order of the eclipse so that for higher rotation speeds </w:t>
      </w:r>
      <m:oMath>
        <m:r>
          <w:rPr>
            <w:rFonts w:ascii="Cambria Math" w:hAnsi="Cambria Math"/>
            <w:sz w:val="20"/>
          </w:rPr>
          <m:t>q</m:t>
        </m:r>
      </m:oMath>
      <w:r w:rsidRPr="007F536A">
        <w:rPr>
          <w:rFonts w:ascii="Book Antiqua" w:hAnsi="Book Antiqua"/>
          <w:sz w:val="20"/>
        </w:rPr>
        <w:t xml:space="preserve"> was also higher. Dorsey derived a similar function [79]. Helmert’s correction was generally discussed, verified, and accepted, even as late as 1900, despite Cornu’s protestations at the treatment [80]. The Cornu-Helmert value was </w:t>
      </w:r>
      <m:oMath>
        <m:r>
          <w:rPr>
            <w:rFonts w:ascii="Cambria Math" w:hAnsi="Book Antiqua"/>
            <w:sz w:val="20"/>
          </w:rPr>
          <m:t xml:space="preserve">299,990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m:t>
        </m:r>
      </m:oMath>
      <w:r w:rsidRPr="007F536A">
        <w:rPr>
          <w:rFonts w:ascii="Book Antiqua" w:hAnsi="Book Antiqua"/>
          <w:sz w:val="20"/>
        </w:rPr>
        <w:t xml:space="preserve"> Dorsey, after considerable analysis, decided that </w:t>
      </w:r>
      <w:r w:rsidRPr="007F536A">
        <w:rPr>
          <w:rFonts w:ascii="Book Antiqua" w:hAnsi="Book Antiqua"/>
          <w:i/>
          <w:sz w:val="20"/>
        </w:rPr>
        <w:t>“The best value one can derive from the observations seems, from these data, to be 299.8 megametres/sec. in air with a possible range of ± 0.2”.</w:t>
      </w:r>
      <w:r w:rsidRPr="007F536A">
        <w:rPr>
          <w:rFonts w:ascii="Book Antiqua" w:hAnsi="Book Antiqua"/>
          <w:sz w:val="20"/>
        </w:rPr>
        <w:t xml:space="preserve"> [81] After applying a refractive index correction, the final Cornu-Dorsey vacuum</w:t>
      </w:r>
      <w:r w:rsidRPr="007F536A">
        <w:rPr>
          <w:rFonts w:ascii="Book Antiqua" w:hAnsi="Book Antiqua"/>
          <w:i/>
          <w:sz w:val="20"/>
        </w:rPr>
        <w:t xml:space="preserve"> c</w:t>
      </w:r>
      <w:r w:rsidRPr="007F536A">
        <w:rPr>
          <w:rFonts w:ascii="Book Antiqua" w:hAnsi="Book Antiqua"/>
          <w:sz w:val="20"/>
        </w:rPr>
        <w:t xml:space="preserve"> value was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200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mean dates for Cornu’s experiments were 1872.0 for his preliminary work at the Ecole Polytechnique, and 1874.8 for those at the Paris Observatory. It should be noted that Newcomb gives incorrect dates for these determinations and also attributes the value of 299,900 to a re-discussion of Cornu’s results by Listing</w:t>
      </w:r>
      <w:bookmarkStart w:id="64" w:name="21"/>
      <w:bookmarkEnd w:id="64"/>
      <w:r w:rsidRPr="007F536A">
        <w:rPr>
          <w:rFonts w:ascii="Book Antiqua" w:hAnsi="Book Antiqua"/>
          <w:sz w:val="20"/>
        </w:rPr>
        <w:t xml:space="preserve"> [8</w:t>
      </w:r>
      <w:hyperlink r:id="rId102" w:anchor="a21" w:history="1">
        <w:r w:rsidRPr="007F536A">
          <w:rPr>
            <w:rFonts w:ascii="Book Antiqua" w:hAnsi="Book Antiqua"/>
            <w:sz w:val="20"/>
          </w:rPr>
          <w:t>2</w:t>
        </w:r>
      </w:hyperlink>
      <w:r w:rsidRPr="007F536A">
        <w:rPr>
          <w:rFonts w:ascii="Book Antiqua" w:hAnsi="Book Antiqua"/>
          <w:sz w:val="20"/>
        </w:rPr>
        <w:t>]. Though Listing had just published a paper (Astron. Nachr., Vol. 93, p. 369, 1878) on solar parallax, Cornu’s results were accepted without discussion. This misinformation was transmitted by Michelson in his Tables</w:t>
      </w:r>
      <w:bookmarkStart w:id="65" w:name="22"/>
      <w:bookmarkEnd w:id="65"/>
      <w:r w:rsidRPr="007F536A">
        <w:rPr>
          <w:rFonts w:ascii="Book Antiqua" w:hAnsi="Book Antiqua"/>
          <w:sz w:val="20"/>
        </w:rPr>
        <w:t xml:space="preserve"> [83] and by Preston (‘The Theory of Light’, p. 511, 1901). Michelson furthermore quotes the value as Listing’s even when referencing a work that correctly attributes it to Helmert [84]. (Phil. Mag., 6th series, Vol. 3, 1902, p. 334). Later Michelson gave the result as </w:t>
      </w:r>
      <m:oMath>
        <m:r>
          <w:rPr>
            <w:rFonts w:ascii="Cambria Math" w:hAnsi="Book Antiqua"/>
            <w:sz w:val="20"/>
          </w:rPr>
          <m:t xml:space="preserve">299,950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different from Cornu, Helmert or Listing, leaving the origin of this figure lost in obscurity</w:t>
      </w:r>
      <w:bookmarkStart w:id="66" w:name="23"/>
      <w:bookmarkEnd w:id="66"/>
      <w:r w:rsidRPr="007F536A">
        <w:rPr>
          <w:rFonts w:ascii="Book Antiqua" w:hAnsi="Book Antiqua"/>
          <w:sz w:val="20"/>
        </w:rPr>
        <w:t xml:space="preserve"> [85].</w:t>
      </w:r>
    </w:p>
    <w:p w:rsidR="00821A88" w:rsidRDefault="00821A88" w:rsidP="00821A88">
      <w:pPr>
        <w:pStyle w:val="NoSpacing"/>
        <w:ind w:firstLine="720"/>
        <w:jc w:val="both"/>
        <w:rPr>
          <w:rFonts w:ascii="Book Antiqua" w:hAnsi="Book Antiqua"/>
          <w:sz w:val="20"/>
        </w:rPr>
      </w:pPr>
    </w:p>
    <w:p w:rsidR="007A2282" w:rsidRDefault="007A2282" w:rsidP="00821A88">
      <w:pPr>
        <w:pStyle w:val="NoSpacing"/>
        <w:ind w:firstLine="720"/>
        <w:jc w:val="both"/>
        <w:rPr>
          <w:rFonts w:ascii="Book Antiqua" w:hAnsi="Book Antiqua"/>
          <w:sz w:val="20"/>
        </w:rPr>
      </w:pPr>
    </w:p>
    <w:p w:rsidR="00821A88" w:rsidRPr="007254EC" w:rsidRDefault="00821A88" w:rsidP="00821A88">
      <w:pPr>
        <w:pStyle w:val="NoSpacing"/>
        <w:numPr>
          <w:ilvl w:val="1"/>
          <w:numId w:val="23"/>
        </w:numPr>
        <w:jc w:val="both"/>
        <w:rPr>
          <w:rFonts w:ascii="Book Antiqua" w:hAnsi="Book Antiqua"/>
          <w:i/>
          <w:sz w:val="20"/>
        </w:rPr>
      </w:pPr>
      <w:bookmarkStart w:id="67" w:name="Young"/>
      <w:bookmarkEnd w:id="67"/>
      <w:r w:rsidRPr="007254EC">
        <w:rPr>
          <w:rFonts w:ascii="Book Antiqua" w:hAnsi="Book Antiqua"/>
          <w:i/>
          <w:sz w:val="20"/>
        </w:rPr>
        <w:lastRenderedPageBreak/>
        <w:t>The Young/Forbes Result</w:t>
      </w:r>
    </w:p>
    <w:p w:rsidR="00835E53" w:rsidRDefault="00835E53" w:rsidP="00835E53">
      <w:pPr>
        <w:pStyle w:val="NoSpacing"/>
        <w:jc w:val="both"/>
        <w:rPr>
          <w:rFonts w:ascii="Book Antiqua" w:hAnsi="Book Antiqua"/>
          <w:i/>
          <w:sz w:val="20"/>
        </w:rPr>
      </w:pPr>
    </w:p>
    <w:p w:rsidR="00835E53" w:rsidRPr="007F536A" w:rsidRDefault="00835E53" w:rsidP="00835E53">
      <w:pPr>
        <w:pStyle w:val="NoSpacing"/>
        <w:jc w:val="both"/>
        <w:rPr>
          <w:rFonts w:ascii="Book Antiqua" w:hAnsi="Book Antiqua"/>
          <w:i/>
          <w:sz w:val="20"/>
        </w:rPr>
      </w:pPr>
    </w:p>
    <w:tbl>
      <w:tblPr>
        <w:tblStyle w:val="TableGrid"/>
        <w:tblW w:w="0" w:type="auto"/>
        <w:jc w:val="center"/>
        <w:tblLook w:val="04A0"/>
      </w:tblPr>
      <w:tblGrid>
        <w:gridCol w:w="3486"/>
        <w:gridCol w:w="3096"/>
      </w:tblGrid>
      <w:tr w:rsidR="00821A88" w:rsidRPr="007F536A" w:rsidTr="00363E70">
        <w:trPr>
          <w:jc w:val="center"/>
        </w:trPr>
        <w:tc>
          <w:tcPr>
            <w:tcW w:w="3486" w:type="dxa"/>
          </w:tcPr>
          <w:p w:rsidR="00821A88" w:rsidRPr="007F536A" w:rsidRDefault="00821A88" w:rsidP="00400B4E">
            <w:pPr>
              <w:pStyle w:val="NoSpacing"/>
              <w:jc w:val="center"/>
              <w:rPr>
                <w:rFonts w:ascii="Book Antiqua" w:hAnsi="Book Antiqua"/>
                <w:b/>
                <w:sz w:val="20"/>
              </w:rPr>
            </w:pPr>
            <w:r w:rsidRPr="007F536A">
              <w:rPr>
                <w:rFonts w:ascii="Book Antiqua" w:hAnsi="Book Antiqua"/>
                <w:b/>
                <w:noProof/>
                <w:sz w:val="20"/>
              </w:rPr>
              <w:drawing>
                <wp:inline distT="0" distB="0" distL="0" distR="0">
                  <wp:extent cx="2057400" cy="1914526"/>
                  <wp:effectExtent l="19050" t="0" r="0" b="0"/>
                  <wp:docPr id="95" name="Picture 5" descr="http://upload.wikimedia.org/wikipedia/commons/thumb/8/8d/Young_James_chemist.jpg/220px-Young_James_chemist.jpg"/>
                  <wp:cNvGraphicFramePr/>
                  <a:graphic xmlns:a="http://schemas.openxmlformats.org/drawingml/2006/main">
                    <a:graphicData uri="http://schemas.openxmlformats.org/drawingml/2006/picture">
                      <pic:pic xmlns:pic="http://schemas.openxmlformats.org/drawingml/2006/picture">
                        <pic:nvPicPr>
                          <pic:cNvPr id="4" name="Picture 3" descr="http://upload.wikimedia.org/wikipedia/commons/thumb/8/8d/Young_James_chemist.jpg/220px-Young_James_chemist.jpg"/>
                          <pic:cNvPicPr/>
                        </pic:nvPicPr>
                        <pic:blipFill>
                          <a:blip r:embed="rId103" cstate="print"/>
                          <a:srcRect l="15455" t="9498" r="9675" b="45911"/>
                          <a:stretch>
                            <a:fillRect/>
                          </a:stretch>
                        </pic:blipFill>
                        <pic:spPr bwMode="auto">
                          <a:xfrm>
                            <a:off x="0" y="0"/>
                            <a:ext cx="2057400" cy="1914526"/>
                          </a:xfrm>
                          <a:prstGeom prst="rect">
                            <a:avLst/>
                          </a:prstGeom>
                          <a:noFill/>
                          <a:ln w="9525">
                            <a:noFill/>
                            <a:miter lim="800000"/>
                            <a:headEnd/>
                            <a:tailEnd/>
                          </a:ln>
                        </pic:spPr>
                      </pic:pic>
                    </a:graphicData>
                  </a:graphic>
                </wp:inline>
              </w:drawing>
            </w:r>
          </w:p>
        </w:tc>
        <w:tc>
          <w:tcPr>
            <w:tcW w:w="3077" w:type="dxa"/>
          </w:tcPr>
          <w:p w:rsidR="00821A88" w:rsidRPr="007F536A" w:rsidRDefault="00821A88" w:rsidP="00400B4E">
            <w:pPr>
              <w:pStyle w:val="NoSpacing"/>
              <w:jc w:val="center"/>
              <w:rPr>
                <w:rFonts w:ascii="Book Antiqua" w:hAnsi="Book Antiqua"/>
                <w:b/>
                <w:sz w:val="20"/>
              </w:rPr>
            </w:pPr>
            <w:r w:rsidRPr="007F536A">
              <w:rPr>
                <w:rFonts w:ascii="Book Antiqua" w:hAnsi="Book Antiqua"/>
                <w:noProof/>
                <w:sz w:val="20"/>
              </w:rPr>
              <w:drawing>
                <wp:inline distT="0" distB="0" distL="0" distR="0">
                  <wp:extent cx="1803204" cy="1847850"/>
                  <wp:effectExtent l="19050" t="0" r="6546" b="0"/>
                  <wp:docPr id="3" name="Picture 290" descr="Keywords: Anderson's University, astronomers, astronomy, electrical engineering, London Underground, natural philosophy, Niagara Falls, physics, Pluto, power transmission, professors, scientists, speed of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Keywords: Anderson's University, astronomers, astronomy, electrical engineering, London Underground, natural philosophy, Niagara Falls, physics, Pluto, power transmission, professors, scientists, speed of light"/>
                          <pic:cNvPicPr>
                            <a:picLocks noChangeAspect="1" noChangeArrowheads="1"/>
                          </pic:cNvPicPr>
                        </pic:nvPicPr>
                        <pic:blipFill>
                          <a:blip r:embed="rId104" cstate="print">
                            <a:lum contrast="10000"/>
                          </a:blip>
                          <a:srcRect l="11915" t="8976" r="4135" b="33079"/>
                          <a:stretch>
                            <a:fillRect/>
                          </a:stretch>
                        </pic:blipFill>
                        <pic:spPr bwMode="auto">
                          <a:xfrm>
                            <a:off x="0" y="0"/>
                            <a:ext cx="1803204" cy="184785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b/>
          <w:sz w:val="20"/>
        </w:rPr>
      </w:pPr>
    </w:p>
    <w:p w:rsidR="00821A88" w:rsidRPr="00B65E31" w:rsidRDefault="00821A88" w:rsidP="00363E70">
      <w:pPr>
        <w:pStyle w:val="NoSpacing"/>
        <w:jc w:val="center"/>
        <w:rPr>
          <w:rFonts w:ascii="Book Antiqua" w:hAnsi="Book Antiqua"/>
          <w:i/>
          <w:sz w:val="18"/>
          <w:szCs w:val="18"/>
        </w:rPr>
      </w:pPr>
      <w:r w:rsidRPr="00B65E31">
        <w:rPr>
          <w:rFonts w:ascii="Book Antiqua" w:hAnsi="Book Antiqua"/>
          <w:b/>
          <w:i/>
          <w:sz w:val="18"/>
          <w:szCs w:val="18"/>
        </w:rPr>
        <w:t>Fig</w:t>
      </w:r>
      <w:r w:rsidR="00B65E31">
        <w:rPr>
          <w:rFonts w:ascii="Book Antiqua" w:hAnsi="Book Antiqua"/>
          <w:b/>
          <w:i/>
          <w:sz w:val="18"/>
          <w:szCs w:val="18"/>
        </w:rPr>
        <w:t xml:space="preserve">ure </w:t>
      </w:r>
      <w:r w:rsidRPr="00B65E31">
        <w:rPr>
          <w:rFonts w:ascii="Book Antiqua" w:hAnsi="Book Antiqua"/>
          <w:b/>
          <w:i/>
          <w:sz w:val="18"/>
          <w:szCs w:val="18"/>
        </w:rPr>
        <w:t xml:space="preserve"> 17: Left -</w:t>
      </w:r>
      <w:r w:rsidRPr="00B65E31">
        <w:rPr>
          <w:rFonts w:ascii="Book Antiqua" w:hAnsi="Book Antiqua"/>
          <w:i/>
          <w:sz w:val="18"/>
          <w:szCs w:val="18"/>
        </w:rPr>
        <w:t xml:space="preserve"> James Young 1811-1883. </w:t>
      </w:r>
      <w:r w:rsidRPr="00B65E31">
        <w:rPr>
          <w:rFonts w:ascii="Book Antiqua" w:hAnsi="Book Antiqua"/>
          <w:b/>
          <w:i/>
          <w:sz w:val="18"/>
          <w:szCs w:val="18"/>
        </w:rPr>
        <w:t>Right –</w:t>
      </w:r>
      <w:r w:rsidRPr="00B65E31">
        <w:rPr>
          <w:rFonts w:ascii="Book Antiqua" w:hAnsi="Book Antiqua"/>
          <w:i/>
          <w:sz w:val="18"/>
          <w:szCs w:val="18"/>
        </w:rPr>
        <w:t xml:space="preserve"> George Forbes 1849-1936.</w:t>
      </w:r>
    </w:p>
    <w:p w:rsidR="00D80849" w:rsidRDefault="00D80849" w:rsidP="00821A88">
      <w:pPr>
        <w:pStyle w:val="NoSpacing"/>
        <w:jc w:val="both"/>
        <w:rPr>
          <w:rFonts w:ascii="Book Antiqua" w:hAnsi="Book Antiqua"/>
          <w:sz w:val="20"/>
        </w:rPr>
      </w:pPr>
    </w:p>
    <w:p w:rsidR="007254EC" w:rsidRPr="007F536A" w:rsidRDefault="007254EC" w:rsidP="007254EC">
      <w:pPr>
        <w:pStyle w:val="NoSpacing"/>
        <w:ind w:firstLine="720"/>
        <w:jc w:val="both"/>
        <w:rPr>
          <w:rFonts w:ascii="Book Antiqua" w:hAnsi="Book Antiqua"/>
          <w:sz w:val="20"/>
        </w:rPr>
      </w:pPr>
      <w:r w:rsidRPr="007F536A">
        <w:rPr>
          <w:rFonts w:ascii="Book Antiqua" w:hAnsi="Book Antiqua"/>
          <w:sz w:val="20"/>
        </w:rPr>
        <w:t xml:space="preserve">One of the main problems facing the toothed wheel method was the estimation of the exact moment of eclipse of the light beam. Cornu overcame the problem by making pairs of observations on either side of the exact eclipse position and further pairing with reversed wheel rotation. James Young and George Forbes in Scotland in 1880 used a different technique. From an observing station at Wemyss Bay, light was sent across the Firth of Clyde to two distant reflectors, instead of the normal one, in the hills behind Inellan. The reflectors were in the same line but the nearer one was 16,835.0 feet (about 3.2 miles) from the observation post, and the other was at 18,212.2 feet distance (about 3.44 miles). The two </w:t>
      </w:r>
    </w:p>
    <w:p w:rsidR="00835E53" w:rsidRPr="007F536A" w:rsidRDefault="00835E53" w:rsidP="00835E53">
      <w:pPr>
        <w:pStyle w:val="NoSpacing"/>
        <w:jc w:val="both"/>
        <w:rPr>
          <w:rFonts w:ascii="Book Antiqua" w:hAnsi="Book Antiqua"/>
          <w:sz w:val="20"/>
        </w:rPr>
      </w:pPr>
      <w:r w:rsidRPr="007F536A">
        <w:rPr>
          <w:rFonts w:ascii="Book Antiqua" w:hAnsi="Book Antiqua"/>
          <w:sz w:val="20"/>
        </w:rPr>
        <w:t>images so formed were observed simultaneously. The position of the eclipses or the maximum was not needed. The speed of the cogwheel was measured instead at the time when both images appeared to be of equal intensity.</w:t>
      </w:r>
    </w:p>
    <w:p w:rsidR="00835E53" w:rsidRPr="007F536A" w:rsidRDefault="00835E53"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advantage of this method is that the eye is extremely sensitive to slight differences in the intensity of adjacent images. The extreme disadvantage of their arrangement consisted of the short base-line. Even taking the most distant reflector, the base was only 5551.07  meters long (about 3.5 miles). This was by far the shortest for this type of experiment being not quite two-thirds of Fizeau’s base-length. The problems of the short base asserted themselves, as did other experimental features that were not conducive to obtaining good results. Young and Forbes attributed the spread of results to </w:t>
      </w:r>
      <m:oMath>
        <m:r>
          <w:rPr>
            <w:rFonts w:ascii="Cambria Math" w:hAnsi="Cambria Math"/>
            <w:sz w:val="20"/>
          </w:rPr>
          <m:t>c</m:t>
        </m:r>
      </m:oMath>
      <w:r w:rsidRPr="007F536A">
        <w:rPr>
          <w:rFonts w:ascii="Book Antiqua" w:hAnsi="Book Antiqua"/>
          <w:sz w:val="20"/>
        </w:rPr>
        <w:t xml:space="preserve"> varying with wavelength [90]. Consequently, this determination was severely criticized by both Newcomb</w:t>
      </w:r>
      <w:bookmarkStart w:id="68" w:name="24"/>
      <w:bookmarkEnd w:id="68"/>
      <w:r w:rsidRPr="007F536A">
        <w:rPr>
          <w:rFonts w:ascii="Book Antiqua" w:hAnsi="Book Antiqua"/>
          <w:sz w:val="20"/>
        </w:rPr>
        <w:t xml:space="preserve"> [86] and Cornu</w:t>
      </w:r>
      <w:bookmarkStart w:id="69" w:name="25"/>
      <w:bookmarkEnd w:id="69"/>
      <w:r w:rsidRPr="007F536A">
        <w:rPr>
          <w:rFonts w:ascii="Book Antiqua" w:hAnsi="Book Antiqua"/>
          <w:sz w:val="20"/>
        </w:rPr>
        <w:t xml:space="preserve"> [87]. It is omitted in the definitive list of best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determinations treated by Birge</w:t>
      </w:r>
      <w:bookmarkStart w:id="70" w:name="26"/>
      <w:bookmarkEnd w:id="70"/>
      <w:r w:rsidRPr="007F536A">
        <w:rPr>
          <w:rFonts w:ascii="Book Antiqua" w:hAnsi="Book Antiqua"/>
          <w:sz w:val="20"/>
        </w:rPr>
        <w:t xml:space="preserve"> [88]. Dorsey comments, </w:t>
      </w:r>
      <w:r w:rsidRPr="007F536A">
        <w:rPr>
          <w:rFonts w:ascii="Book Antiqua" w:hAnsi="Book Antiqua"/>
          <w:i/>
          <w:sz w:val="20"/>
        </w:rPr>
        <w:t>“it is generally admitted that their work is seriously in error, and is reported unsatisfactorily.”</w:t>
      </w:r>
      <w:bookmarkStart w:id="71" w:name="27"/>
      <w:bookmarkEnd w:id="71"/>
      <w:r w:rsidRPr="007F536A">
        <w:rPr>
          <w:rFonts w:ascii="Book Antiqua" w:hAnsi="Book Antiqua"/>
          <w:sz w:val="20"/>
        </w:rPr>
        <w:t xml:space="preserve">[89] This Young/Forbes result was given as </w:t>
      </w:r>
      <m:oMath>
        <m:r>
          <w:rPr>
            <w:rFonts w:ascii="Cambria Math" w:hAnsi="Book Antiqua"/>
            <w:sz w:val="20"/>
          </w:rPr>
          <m:t xml:space="preserve">301,382 </m:t>
        </m:r>
        <m:r>
          <w:rPr>
            <w:rFonts w:ascii="Cambria Math" w:hAnsi="Cambria Math"/>
            <w:sz w:val="20"/>
          </w:rPr>
          <m:t>km</m:t>
        </m:r>
        <m:r>
          <w:rPr>
            <w:rFonts w:ascii="Cambria Math" w:hAnsi="Book Antiqua"/>
            <w:sz w:val="20"/>
          </w:rPr>
          <m:t>/</m:t>
        </m:r>
        <m:r>
          <w:rPr>
            <w:rFonts w:ascii="Cambria Math" w:hAnsi="Cambria Math"/>
            <w:sz w:val="20"/>
          </w:rPr>
          <m:t>s</m:t>
        </m:r>
      </m:oMath>
      <w:bookmarkStart w:id="72" w:name="28"/>
      <w:bookmarkEnd w:id="72"/>
      <w:r w:rsidRPr="007F536A">
        <w:rPr>
          <w:rFonts w:ascii="Book Antiqua" w:hAnsi="Book Antiqua"/>
          <w:sz w:val="20"/>
        </w:rPr>
        <w:t xml:space="preserve"> [90] </w:t>
      </w:r>
      <w:r w:rsidRPr="007F536A">
        <w:rPr>
          <w:rFonts w:ascii="Book Antiqua" w:hAnsi="Book Antiqua"/>
          <w:i/>
          <w:sz w:val="20"/>
        </w:rPr>
        <w:t>“with an unwarranted accuracy but they give no probable error.”</w:t>
      </w:r>
      <w:bookmarkStart w:id="73" w:name="29"/>
      <w:bookmarkEnd w:id="73"/>
      <w:r w:rsidRPr="007F536A">
        <w:rPr>
          <w:rFonts w:ascii="Book Antiqua" w:hAnsi="Book Antiqua"/>
          <w:sz w:val="20"/>
        </w:rPr>
        <w:t xml:space="preserve"> [91]</w:t>
      </w:r>
      <w:r w:rsidRPr="007F536A">
        <w:rPr>
          <w:rFonts w:ascii="Book Antiqua" w:hAnsi="Book Antiqua"/>
          <w:color w:val="FF0000"/>
          <w:sz w:val="20"/>
        </w:rPr>
        <w:t xml:space="preserve"> </w:t>
      </w:r>
    </w:p>
    <w:p w:rsidR="00821A88" w:rsidRPr="007F536A" w:rsidRDefault="00821A88" w:rsidP="00821A88">
      <w:pPr>
        <w:pStyle w:val="NoSpacing"/>
        <w:jc w:val="both"/>
        <w:rPr>
          <w:rFonts w:ascii="Book Antiqua" w:hAnsi="Book Antiqua"/>
          <w:sz w:val="20"/>
        </w:rPr>
      </w:pPr>
      <w:bookmarkStart w:id="74" w:name="PP"/>
      <w:bookmarkEnd w:id="74"/>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Perrotin’s Procedures and Results</w:t>
      </w:r>
    </w:p>
    <w:p w:rsidR="004532A2" w:rsidRDefault="004532A2" w:rsidP="004532A2">
      <w:pPr>
        <w:pStyle w:val="NoSpacing"/>
        <w:ind w:left="360"/>
        <w:jc w:val="both"/>
        <w:rPr>
          <w:rFonts w:ascii="Book Antiqua" w:hAnsi="Book Antiqua"/>
          <w:i/>
          <w:sz w:val="20"/>
        </w:rPr>
      </w:pPr>
    </w:p>
    <w:p w:rsidR="004532A2" w:rsidRDefault="004532A2" w:rsidP="004532A2">
      <w:pPr>
        <w:pStyle w:val="NoSpacing"/>
        <w:ind w:firstLine="720"/>
        <w:jc w:val="both"/>
        <w:rPr>
          <w:rFonts w:ascii="Book Antiqua" w:hAnsi="Book Antiqua"/>
          <w:sz w:val="20"/>
        </w:rPr>
      </w:pPr>
      <w:r w:rsidRPr="007F536A">
        <w:rPr>
          <w:rFonts w:ascii="Book Antiqua" w:hAnsi="Book Antiqua"/>
          <w:sz w:val="20"/>
        </w:rPr>
        <w:t>Henri Joseph Anastase Perrotin was born on 19 December</w:t>
      </w:r>
      <w:r>
        <w:rPr>
          <w:rFonts w:ascii="Book Antiqua" w:hAnsi="Book Antiqua"/>
          <w:sz w:val="20"/>
        </w:rPr>
        <w:t>,</w:t>
      </w:r>
      <w:r w:rsidRPr="007F536A">
        <w:rPr>
          <w:rFonts w:ascii="Book Antiqua" w:hAnsi="Book Antiqua"/>
          <w:sz w:val="20"/>
        </w:rPr>
        <w:t xml:space="preserve"> 1845</w:t>
      </w:r>
      <w:r>
        <w:rPr>
          <w:rFonts w:ascii="Book Antiqua" w:hAnsi="Book Antiqua"/>
          <w:sz w:val="20"/>
        </w:rPr>
        <w:t>,</w:t>
      </w:r>
      <w:r w:rsidRPr="007F536A">
        <w:rPr>
          <w:rFonts w:ascii="Book Antiqua" w:hAnsi="Book Antiqua"/>
          <w:sz w:val="20"/>
        </w:rPr>
        <w:t xml:space="preserve"> and was appointed as the Director of the Observatory at Nice in France in 1884. </w:t>
      </w:r>
      <w:r>
        <w:rPr>
          <w:rFonts w:ascii="Book Antiqua" w:hAnsi="Book Antiqua"/>
          <w:sz w:val="20"/>
        </w:rPr>
        <w:t xml:space="preserve"> </w:t>
      </w:r>
      <w:r w:rsidRPr="007F536A">
        <w:rPr>
          <w:rFonts w:ascii="Book Antiqua" w:hAnsi="Book Antiqua"/>
          <w:sz w:val="20"/>
        </w:rPr>
        <w:t xml:space="preserve">His assistant at the Nice Observatory was Prim, who had the details of their value of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by Fizeau’s method published in 1908</w:t>
      </w:r>
      <w:bookmarkStart w:id="75" w:name="30"/>
      <w:bookmarkEnd w:id="75"/>
      <w:r w:rsidRPr="007F536A">
        <w:rPr>
          <w:rFonts w:ascii="Book Antiqua" w:hAnsi="Book Antiqua"/>
          <w:sz w:val="20"/>
        </w:rPr>
        <w:t xml:space="preserve"> [92]. Cornu was still alive at the inception of the project in 1898, and gave his counsel throughout its duration. Cornu died in 1902, the year in which the experimental proceedings were finalized. Perrotin died shortly after, on February 29</w:t>
      </w:r>
      <w:r w:rsidRPr="007F536A">
        <w:rPr>
          <w:rFonts w:ascii="Book Antiqua" w:hAnsi="Book Antiqua"/>
          <w:sz w:val="20"/>
          <w:vertAlign w:val="superscript"/>
        </w:rPr>
        <w:t>th</w:t>
      </w:r>
      <w:r w:rsidRPr="007F536A">
        <w:rPr>
          <w:rFonts w:ascii="Book Antiqua" w:hAnsi="Book Antiqua"/>
          <w:sz w:val="20"/>
        </w:rPr>
        <w:t xml:space="preserve"> 1904, before completing the discussion, leaving Prim to release the final results in 1908.</w:t>
      </w:r>
      <w:r>
        <w:rPr>
          <w:rFonts w:ascii="Book Antiqua" w:hAnsi="Book Antiqua"/>
          <w:sz w:val="20"/>
        </w:rPr>
        <w:t xml:space="preserve">  </w:t>
      </w:r>
      <w:r w:rsidRPr="007F536A">
        <w:rPr>
          <w:rFonts w:ascii="Book Antiqua" w:hAnsi="Book Antiqua"/>
          <w:sz w:val="20"/>
        </w:rPr>
        <w:t>He has an asteroid</w:t>
      </w:r>
      <w:r>
        <w:rPr>
          <w:rFonts w:ascii="Book Antiqua" w:hAnsi="Book Antiqua"/>
          <w:sz w:val="20"/>
        </w:rPr>
        <w:t>,</w:t>
      </w:r>
      <w:r w:rsidRPr="007F536A">
        <w:rPr>
          <w:rFonts w:ascii="Book Antiqua" w:hAnsi="Book Antiqua"/>
          <w:sz w:val="20"/>
        </w:rPr>
        <w:t xml:space="preserve"> 1515 Perrotin</w:t>
      </w:r>
      <w:r>
        <w:rPr>
          <w:rFonts w:ascii="Book Antiqua" w:hAnsi="Book Antiqua"/>
          <w:sz w:val="20"/>
        </w:rPr>
        <w:t>,</w:t>
      </w:r>
      <w:r w:rsidRPr="007F536A">
        <w:rPr>
          <w:rFonts w:ascii="Book Antiqua" w:hAnsi="Book Antiqua"/>
          <w:sz w:val="20"/>
        </w:rPr>
        <w:t xml:space="preserve"> named after him.</w:t>
      </w:r>
    </w:p>
    <w:p w:rsidR="004532A2" w:rsidRDefault="004532A2" w:rsidP="004532A2">
      <w:pPr>
        <w:pStyle w:val="NoSpacing"/>
        <w:ind w:firstLine="720"/>
        <w:jc w:val="both"/>
        <w:rPr>
          <w:rFonts w:ascii="Book Antiqua" w:hAnsi="Book Antiqua"/>
          <w:sz w:val="20"/>
        </w:rPr>
      </w:pPr>
    </w:p>
    <w:p w:rsidR="004532A2" w:rsidRPr="007F536A" w:rsidRDefault="004532A2" w:rsidP="004532A2">
      <w:pPr>
        <w:pStyle w:val="NoSpacing"/>
        <w:ind w:firstLine="720"/>
        <w:jc w:val="both"/>
        <w:rPr>
          <w:rFonts w:ascii="Book Antiqua" w:hAnsi="Book Antiqua"/>
          <w:sz w:val="20"/>
        </w:rPr>
      </w:pPr>
      <w:r w:rsidRPr="007F536A">
        <w:rPr>
          <w:rFonts w:ascii="Book Antiqua" w:hAnsi="Book Antiqua"/>
          <w:sz w:val="20"/>
        </w:rPr>
        <w:t xml:space="preserve">In the initial work, centering about 1900.4, the base-line was from the Nice Observatory to the village of La Gaude, a distance of 11,862.2 metres. In the more extensive series, that centered around 1902.4, a longer path of 45,950.7 metres (about 28.7 miles) to Mont Vinaigre was employed. In the La Gaude series, a total of 1540 measurements of </w:t>
      </w:r>
      <m:oMath>
        <m:r>
          <w:rPr>
            <w:rFonts w:ascii="Cambria Math" w:hAnsi="Cambria Math"/>
            <w:sz w:val="20"/>
          </w:rPr>
          <m:t>c</m:t>
        </m:r>
      </m:oMath>
      <w:r w:rsidRPr="007F536A">
        <w:rPr>
          <w:rFonts w:ascii="Book Antiqua" w:hAnsi="Book Antiqua"/>
          <w:sz w:val="20"/>
        </w:rPr>
        <w:t xml:space="preserve"> were </w:t>
      </w:r>
      <w:r w:rsidRPr="007F536A">
        <w:rPr>
          <w:rFonts w:ascii="Book Antiqua" w:hAnsi="Book Antiqua"/>
          <w:sz w:val="20"/>
        </w:rPr>
        <w:lastRenderedPageBreak/>
        <w:t>made, 607 by Perrotin and 933 by Prim. The Mont Vinaigre experiment totaled 2465 measurements with Perrotin making 1452 and Prim 1013. In all, 4005 measurements gave the final value for the series</w:t>
      </w:r>
      <w:bookmarkStart w:id="76" w:name="31"/>
      <w:bookmarkEnd w:id="76"/>
      <w:r w:rsidRPr="007F536A">
        <w:rPr>
          <w:rFonts w:ascii="Book Antiqua" w:hAnsi="Book Antiqua"/>
          <w:sz w:val="20"/>
        </w:rPr>
        <w:t xml:space="preserve"> [9</w:t>
      </w:r>
      <w:hyperlink r:id="rId105" w:anchor="a31" w:history="1">
        <w:r w:rsidRPr="007F536A">
          <w:rPr>
            <w:rFonts w:ascii="Book Antiqua" w:hAnsi="Book Antiqua"/>
            <w:sz w:val="20"/>
          </w:rPr>
          <w:t>3</w:t>
        </w:r>
      </w:hyperlink>
      <w:r w:rsidRPr="007F536A">
        <w:rPr>
          <w:rFonts w:ascii="Book Antiqua" w:hAnsi="Book Antiqua"/>
          <w:sz w:val="20"/>
        </w:rPr>
        <w:t>].</w:t>
      </w:r>
    </w:p>
    <w:p w:rsidR="004532A2" w:rsidRPr="007F536A" w:rsidRDefault="004532A2" w:rsidP="004532A2">
      <w:pPr>
        <w:pStyle w:val="NoSpacing"/>
        <w:ind w:left="360"/>
        <w:jc w:val="both"/>
        <w:rPr>
          <w:rFonts w:ascii="Book Antiqua" w:hAnsi="Book Antiqua"/>
          <w:i/>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2508997" cy="1688800"/>
            <wp:effectExtent l="19050" t="0" r="5603" b="0"/>
            <wp:docPr id="61" name="il_fi" descr="http://4.bp.blogspot.com/-eYCgmbgA_m4/TflruY74VpI/AAAAAAAAAps/AD6Bjpl9oNo/s1600/HenriPerroti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eYCgmbgA_m4/TflruY74VpI/AAAAAAAAAps/AD6Bjpl9oNo/s1600/HenriPerrotin01.jpg"/>
                    <pic:cNvPicPr>
                      <a:picLocks noChangeAspect="1" noChangeArrowheads="1"/>
                    </pic:cNvPicPr>
                  </pic:nvPicPr>
                  <pic:blipFill>
                    <a:blip r:embed="rId106" cstate="print"/>
                    <a:srcRect t="3405" r="-78" b="35797"/>
                    <a:stretch>
                      <a:fillRect/>
                    </a:stretch>
                  </pic:blipFill>
                  <pic:spPr bwMode="auto">
                    <a:xfrm>
                      <a:off x="0" y="0"/>
                      <a:ext cx="2516626" cy="1693935"/>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20"/>
        </w:rPr>
      </w:pPr>
    </w:p>
    <w:p w:rsidR="00821A88" w:rsidRPr="00B65E31" w:rsidRDefault="00821A88" w:rsidP="004532A2">
      <w:pPr>
        <w:pStyle w:val="NoSpacing"/>
        <w:jc w:val="center"/>
        <w:rPr>
          <w:rFonts w:ascii="Book Antiqua" w:hAnsi="Book Antiqua"/>
          <w:i/>
          <w:sz w:val="18"/>
          <w:szCs w:val="18"/>
        </w:rPr>
      </w:pPr>
      <w:r w:rsidRPr="00B65E31">
        <w:rPr>
          <w:rFonts w:ascii="Book Antiqua" w:hAnsi="Book Antiqua"/>
          <w:b/>
          <w:i/>
          <w:sz w:val="18"/>
          <w:szCs w:val="18"/>
        </w:rPr>
        <w:t>Figure 18:</w:t>
      </w:r>
      <w:r w:rsidRPr="00B65E31">
        <w:rPr>
          <w:rFonts w:ascii="Book Antiqua" w:hAnsi="Book Antiqua"/>
          <w:i/>
          <w:sz w:val="18"/>
          <w:szCs w:val="18"/>
        </w:rPr>
        <w:t xml:space="preserve"> Henri Joseph Anastase Perrotin (1845-1904).</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With Cornu as advisor, much of the equipment and procedure was the same. The illuminator and the powering apparatus were those Cornu used, as were the chronograph, pendulums, and </w:t>
      </w:r>
      <m:oMath>
        <m:r>
          <w:rPr>
            <w:rFonts w:ascii="Cambria Math" w:hAnsi="Book Antiqua"/>
            <w:sz w:val="20"/>
          </w:rPr>
          <m:t>1/20</m:t>
        </m:r>
      </m:oMath>
      <w:r w:rsidRPr="007F536A">
        <w:rPr>
          <w:rFonts w:ascii="Book Antiqua" w:hAnsi="Book Antiqua"/>
          <w:sz w:val="20"/>
        </w:rPr>
        <w:t xml:space="preserve"> second oscillator. The microscope with variable magnification was also that used by Cornu in his determination</w:t>
      </w:r>
      <w:bookmarkStart w:id="77" w:name="32"/>
      <w:bookmarkEnd w:id="77"/>
      <w:r w:rsidRPr="007F536A">
        <w:rPr>
          <w:rFonts w:ascii="Book Antiqua" w:hAnsi="Book Antiqua"/>
          <w:sz w:val="20"/>
        </w:rPr>
        <w:t xml:space="preserve"> [94]. The only essentially different equipment items were the sending and collimator lenses and the toothed wheel itself. This latter was 35.5 mm. diameter, and comprised 150 triangular teeth. It differed from Cornu’s 150 toothed wheel only in the thickness of the aluminum, being 0.8 mm thick. The stage was thus set for an interesting comparison between Cornu’s and Perrotin’s results using virtually the same items of equipment, but separated by about 28 years.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bookmarkStart w:id="78" w:name="PPR"/>
      <w:bookmarkEnd w:id="78"/>
      <w:r w:rsidRPr="007F536A">
        <w:rPr>
          <w:rFonts w:ascii="Book Antiqua" w:hAnsi="Book Antiqua"/>
          <w:sz w:val="20"/>
        </w:rPr>
        <w:t xml:space="preserve">As soon as the necessary reductions had been carried out by Perrotin, it was announced that the La Gaude series gave a value of </w:t>
      </w:r>
      <m:oMath>
        <m:r>
          <w:rPr>
            <w:rFonts w:ascii="Cambria Math" w:hAnsi="Book Antiqua"/>
            <w:sz w:val="20"/>
          </w:rPr>
          <m:t xml:space="preserve">299,900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r>
          <w:rPr>
            <w:rFonts w:ascii="Cambria Math" w:hAnsi="Cambria Math"/>
            <w:sz w:val="20"/>
          </w:rPr>
          <m:t>s</m:t>
        </m:r>
      </m:oMath>
      <w:bookmarkStart w:id="79" w:name="33"/>
      <w:bookmarkEnd w:id="79"/>
      <w:r w:rsidRPr="007F536A">
        <w:rPr>
          <w:rFonts w:ascii="Book Antiqua" w:hAnsi="Book Antiqua"/>
          <w:sz w:val="20"/>
        </w:rPr>
        <w:t xml:space="preserve"> [95]. The mean date was 1900.4. Under similar circumstances, Perrotin published the Mont Vinaigre result as </w:t>
      </w:r>
      <m:oMath>
        <m:r>
          <w:rPr>
            <w:rFonts w:ascii="Cambria Math" w:hAnsi="Book Antiqua"/>
            <w:sz w:val="20"/>
          </w:rPr>
          <m:t xml:space="preserve">299,860 </m:t>
        </m:r>
        <m:r>
          <w:rPr>
            <w:rFonts w:ascii="Book Antiqua" w:hAnsi="Book Antiqua"/>
            <w:sz w:val="20"/>
          </w:rPr>
          <m:t>±</m:t>
        </m:r>
        <m:r>
          <w:rPr>
            <w:rFonts w:ascii="Cambria Math" w:hAnsi="Book Antiqua"/>
            <w:sz w:val="20"/>
          </w:rPr>
          <m:t xml:space="preserve"> 80 </m:t>
        </m:r>
        <m:r>
          <w:rPr>
            <w:rFonts w:ascii="Cambria Math" w:hAnsi="Cambria Math"/>
            <w:sz w:val="20"/>
          </w:rPr>
          <m:t>km</m:t>
        </m:r>
        <m:r>
          <w:rPr>
            <w:rFonts w:ascii="Cambria Math" w:hAnsi="Book Antiqua"/>
            <w:sz w:val="20"/>
          </w:rPr>
          <m:t>/</m:t>
        </m:r>
      </m:oMath>
      <w:r w:rsidRPr="007F536A">
        <w:rPr>
          <w:rFonts w:ascii="Book Antiqua" w:hAnsi="Book Antiqua"/>
          <w:sz w:val="20"/>
        </w:rPr>
        <w:t>s for a mean date of 1902.4</w:t>
      </w:r>
      <w:bookmarkStart w:id="80" w:name="34"/>
      <w:bookmarkEnd w:id="80"/>
      <w:r w:rsidRPr="007F536A">
        <w:rPr>
          <w:rFonts w:ascii="Book Antiqua" w:hAnsi="Book Antiqua"/>
          <w:sz w:val="20"/>
        </w:rPr>
        <w:t xml:space="preserve"> [96]. On this occasion, he discussed both results and issued their average as </w:t>
      </w:r>
      <m:oMath>
        <m:r>
          <w:rPr>
            <w:rFonts w:ascii="Cambria Math" w:hAnsi="Book Antiqua"/>
            <w:sz w:val="20"/>
          </w:rPr>
          <m:t xml:space="preserve">299,880 </m:t>
        </m:r>
        <m:r>
          <w:rPr>
            <w:rFonts w:ascii="Book Antiqua" w:hAnsi="Book Antiqua"/>
            <w:sz w:val="20"/>
          </w:rPr>
          <m:t>±</m:t>
        </m:r>
        <m:r>
          <w:rPr>
            <w:rFonts w:ascii="Cambria Math" w:hAnsi="Book Antiqua"/>
            <w:sz w:val="20"/>
          </w:rPr>
          <m:t xml:space="preserve"> 50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the mean date being 1901.4</w:t>
      </w:r>
      <w:bookmarkStart w:id="81" w:name="35"/>
      <w:bookmarkEnd w:id="81"/>
      <w:r w:rsidRPr="007F536A">
        <w:rPr>
          <w:rFonts w:ascii="Book Antiqua" w:hAnsi="Book Antiqua"/>
          <w:sz w:val="20"/>
        </w:rPr>
        <w:t xml:space="preserve"> [97]. This later figure was frequently quoted as Perrotin’s final definitive value.</w:t>
      </w:r>
    </w:p>
    <w:p w:rsidR="00D80849" w:rsidRPr="007F536A" w:rsidRDefault="00D80849"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Perrotin </w:t>
      </w:r>
      <w:r w:rsidR="007254EC">
        <w:rPr>
          <w:rFonts w:ascii="Book Antiqua" w:hAnsi="Book Antiqua"/>
          <w:sz w:val="20"/>
        </w:rPr>
        <w:t>had not finished</w:t>
      </w:r>
      <w:r w:rsidRPr="007F536A">
        <w:rPr>
          <w:rFonts w:ascii="Book Antiqua" w:hAnsi="Book Antiqua"/>
          <w:sz w:val="20"/>
        </w:rPr>
        <w:t xml:space="preserve"> writing up all the details of the two series</w:t>
      </w:r>
      <w:r w:rsidR="007254EC">
        <w:rPr>
          <w:rFonts w:ascii="Book Antiqua" w:hAnsi="Book Antiqua"/>
          <w:sz w:val="20"/>
        </w:rPr>
        <w:t xml:space="preserve"> by</w:t>
      </w:r>
      <w:r w:rsidRPr="007F536A">
        <w:rPr>
          <w:rFonts w:ascii="Book Antiqua" w:hAnsi="Book Antiqua"/>
          <w:sz w:val="20"/>
        </w:rPr>
        <w:t xml:space="preserve"> the time of his death in 1904. Prim </w:t>
      </w:r>
      <w:r w:rsidR="00682859">
        <w:rPr>
          <w:rFonts w:ascii="Book Antiqua" w:hAnsi="Book Antiqua"/>
          <w:sz w:val="20"/>
        </w:rPr>
        <w:t>finished the task in</w:t>
      </w:r>
      <w:r w:rsidRPr="007F536A">
        <w:rPr>
          <w:rFonts w:ascii="Book Antiqua" w:hAnsi="Book Antiqua"/>
          <w:sz w:val="20"/>
        </w:rPr>
        <w:t xml:space="preserve"> 1908, re-working the calculations in the process. </w:t>
      </w:r>
      <w:r w:rsidR="00682859">
        <w:rPr>
          <w:rFonts w:ascii="Book Antiqua" w:hAnsi="Book Antiqua"/>
          <w:sz w:val="20"/>
        </w:rPr>
        <w:t xml:space="preserve">But </w:t>
      </w:r>
      <w:r w:rsidRPr="007F536A">
        <w:rPr>
          <w:rFonts w:ascii="Book Antiqua" w:hAnsi="Book Antiqua"/>
          <w:sz w:val="20"/>
        </w:rPr>
        <w:t xml:space="preserve">Prim’s discussion makes no mention of the reports that were issued earlier. Instead, he derived a value for the La Gaude series of </w:t>
      </w:r>
      <m:oMath>
        <m:r>
          <w:rPr>
            <w:rFonts w:ascii="Cambria Math" w:hAnsi="Book Antiqua"/>
            <w:sz w:val="20"/>
          </w:rPr>
          <m:t xml:space="preserve">300,032 </m:t>
        </m:r>
        <m:r>
          <w:rPr>
            <w:rFonts w:ascii="Book Antiqua" w:hAnsi="Book Antiqua"/>
            <w:sz w:val="20"/>
          </w:rPr>
          <m:t>±</m:t>
        </m:r>
        <m:r>
          <w:rPr>
            <w:rFonts w:ascii="Cambria Math" w:hAnsi="Book Antiqua"/>
            <w:sz w:val="20"/>
          </w:rPr>
          <m:t xml:space="preserve"> 215 </m:t>
        </m:r>
        <m:r>
          <w:rPr>
            <w:rFonts w:ascii="Cambria Math" w:hAnsi="Cambria Math"/>
            <w:sz w:val="20"/>
          </w:rPr>
          <m:t>km</m:t>
        </m:r>
        <m:r>
          <w:rPr>
            <w:rFonts w:ascii="Cambria Math" w:hAnsi="Book Antiqua"/>
            <w:sz w:val="20"/>
          </w:rPr>
          <m:t>/</m:t>
        </m:r>
        <m:r>
          <w:rPr>
            <w:rFonts w:ascii="Cambria Math" w:hAnsi="Cambria Math"/>
            <w:sz w:val="20"/>
          </w:rPr>
          <m:t>s</m:t>
        </m:r>
      </m:oMath>
      <w:r w:rsidR="00682859">
        <w:rPr>
          <w:rFonts w:ascii="Book Antiqua" w:hAnsi="Book Antiqua"/>
          <w:sz w:val="20"/>
        </w:rPr>
        <w:t>, but</w:t>
      </w:r>
      <w:r w:rsidRPr="007F536A">
        <w:rPr>
          <w:rFonts w:ascii="Book Antiqua" w:hAnsi="Book Antiqua"/>
          <w:sz w:val="20"/>
        </w:rPr>
        <w:t xml:space="preserve"> was unhappy with the method used to obtain the result. The other option he considered was a least-squares treatment, but he felt that the number of observations over the La Gaude path was too few to justify this approach. Consequently, this La Gaude value was completely discarded as unsatisfactory</w:t>
      </w:r>
      <w:bookmarkStart w:id="82" w:name="36"/>
      <w:bookmarkEnd w:id="82"/>
      <w:r w:rsidRPr="007F536A">
        <w:rPr>
          <w:rFonts w:ascii="Book Antiqua" w:hAnsi="Book Antiqua"/>
          <w:sz w:val="20"/>
        </w:rPr>
        <w:t xml:space="preserve"> [98]. Prim then re-appraised the Mont Vinaigre experiments and treated them by the least-squares method to yield a final value of </w:t>
      </w:r>
      <m:oMath>
        <m:r>
          <w:rPr>
            <w:rFonts w:ascii="Cambria Math" w:hAnsi="Book Antiqua"/>
            <w:sz w:val="20"/>
          </w:rPr>
          <m:t xml:space="preserve">299,901 </m:t>
        </m:r>
        <m:r>
          <w:rPr>
            <w:rFonts w:ascii="Book Antiqua" w:hAnsi="Book Antiqua"/>
            <w:sz w:val="20"/>
          </w:rPr>
          <m:t>±</m:t>
        </m:r>
        <m:r>
          <w:rPr>
            <w:rFonts w:ascii="Cambria Math" w:hAnsi="Book Antiqua"/>
            <w:sz w:val="20"/>
          </w:rPr>
          <m:t xml:space="preserve"> 84</m:t>
        </m:r>
      </m:oMath>
      <w:r w:rsidRPr="007F536A">
        <w:rPr>
          <w:rFonts w:ascii="Book Antiqua" w:hAnsi="Book Antiqua"/>
          <w:sz w:val="20"/>
        </w:rPr>
        <w:t xml:space="preserve"> km/s at the mean date of 1902.4</w:t>
      </w:r>
      <w:bookmarkStart w:id="83" w:name="37"/>
      <w:bookmarkEnd w:id="83"/>
      <w:r w:rsidRPr="007F536A">
        <w:rPr>
          <w:rFonts w:ascii="Book Antiqua" w:hAnsi="Book Antiqua"/>
          <w:sz w:val="20"/>
        </w:rPr>
        <w:t xml:space="preserve"> [99]. Although Dorsey criticized this value, with no comment on the earlier reports, he did not derive a better one, despite extensive analysis.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issuing of </w:t>
      </w:r>
      <w:r w:rsidR="007254EC">
        <w:rPr>
          <w:rFonts w:ascii="Book Antiqua" w:hAnsi="Book Antiqua"/>
          <w:sz w:val="20"/>
        </w:rPr>
        <w:t>Prim’s</w:t>
      </w:r>
      <w:r w:rsidRPr="007F536A">
        <w:rPr>
          <w:rFonts w:ascii="Book Antiqua" w:hAnsi="Book Antiqua"/>
          <w:sz w:val="20"/>
        </w:rPr>
        <w:t xml:space="preserve"> final discussion resulted in some confusion, particularly since </w:t>
      </w:r>
      <w:r w:rsidR="007254EC">
        <w:rPr>
          <w:rFonts w:ascii="Book Antiqua" w:hAnsi="Book Antiqua"/>
          <w:sz w:val="20"/>
        </w:rPr>
        <w:t>his</w:t>
      </w:r>
      <w:r w:rsidRPr="007F536A">
        <w:rPr>
          <w:rFonts w:ascii="Book Antiqua" w:hAnsi="Book Antiqua"/>
          <w:sz w:val="20"/>
        </w:rPr>
        <w:t xml:space="preserve"> final declared value of </w:t>
      </w:r>
      <m:oMath>
        <m:r>
          <w:rPr>
            <w:rFonts w:ascii="Cambria Math" w:hAnsi="Book Antiqua"/>
            <w:sz w:val="20"/>
          </w:rPr>
          <m:t xml:space="preserve">299,901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for the Mont Vinaigre path was so close to the Perrotin value for the La Gaude path of </w:t>
      </w:r>
      <m:oMath>
        <m:r>
          <w:rPr>
            <w:rFonts w:ascii="Cambria Math" w:hAnsi="Book Antiqua"/>
            <w:sz w:val="20"/>
          </w:rPr>
          <m:t xml:space="preserve">299,900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Many failed to realize that they were from a different series of experiments over a different base-line. Even Michelson fell into this trap, quoting this final declared value as having been obtained over the shorter La Gaude path</w:t>
      </w:r>
      <w:bookmarkStart w:id="84" w:name="38"/>
      <w:bookmarkEnd w:id="84"/>
      <w:r w:rsidRPr="007F536A">
        <w:rPr>
          <w:rFonts w:ascii="Book Antiqua" w:hAnsi="Book Antiqua"/>
          <w:sz w:val="20"/>
        </w:rPr>
        <w:t xml:space="preserve"> [100].</w:t>
      </w:r>
    </w:p>
    <w:p w:rsidR="00821A88" w:rsidRPr="007F536A" w:rsidRDefault="00821A88" w:rsidP="00821A88">
      <w:pPr>
        <w:pStyle w:val="NoSpacing"/>
        <w:jc w:val="both"/>
        <w:rPr>
          <w:rFonts w:ascii="Book Antiqua" w:hAnsi="Book Antiqua"/>
          <w:b/>
          <w:sz w:val="20"/>
        </w:rPr>
      </w:pPr>
      <w:bookmarkStart w:id="85" w:name="concl"/>
      <w:bookmarkEnd w:id="85"/>
    </w:p>
    <w:p w:rsidR="00821A88" w:rsidRDefault="00821A88" w:rsidP="00821A88">
      <w:pPr>
        <w:pStyle w:val="NoSpacing"/>
        <w:numPr>
          <w:ilvl w:val="1"/>
          <w:numId w:val="23"/>
        </w:numPr>
        <w:jc w:val="both"/>
        <w:rPr>
          <w:rFonts w:ascii="Book Antiqua" w:hAnsi="Book Antiqua"/>
          <w:i/>
          <w:sz w:val="20"/>
        </w:rPr>
      </w:pPr>
      <w:r w:rsidRPr="007F536A">
        <w:rPr>
          <w:rFonts w:ascii="Book Antiqua" w:hAnsi="Book Antiqua"/>
          <w:i/>
          <w:sz w:val="20"/>
        </w:rPr>
        <w:t>Toothed-Wheel Method Summary</w:t>
      </w:r>
    </w:p>
    <w:p w:rsidR="00832D77" w:rsidRDefault="00832D77" w:rsidP="00832D77">
      <w:pPr>
        <w:pStyle w:val="NoSpacing"/>
        <w:jc w:val="both"/>
        <w:rPr>
          <w:rFonts w:ascii="Book Antiqua" w:hAnsi="Book Antiqua"/>
          <w:i/>
          <w:sz w:val="20"/>
        </w:rPr>
      </w:pPr>
    </w:p>
    <w:p w:rsidR="00832D77" w:rsidRDefault="00832D77" w:rsidP="00832D77">
      <w:pPr>
        <w:pStyle w:val="NoSpacing"/>
        <w:ind w:firstLine="720"/>
        <w:jc w:val="both"/>
        <w:rPr>
          <w:rFonts w:ascii="Book Antiqua" w:hAnsi="Book Antiqua"/>
          <w:sz w:val="20"/>
        </w:rPr>
      </w:pPr>
      <w:r w:rsidRPr="007F536A">
        <w:rPr>
          <w:rFonts w:ascii="Book Antiqua" w:hAnsi="Book Antiqua"/>
          <w:sz w:val="20"/>
        </w:rPr>
        <w:t>Table 8 summarizes the above results</w:t>
      </w:r>
      <w:r w:rsidR="007254EC">
        <w:rPr>
          <w:rFonts w:ascii="Book Antiqua" w:hAnsi="Book Antiqua"/>
          <w:sz w:val="20"/>
        </w:rPr>
        <w:t>,</w:t>
      </w:r>
      <w:r w:rsidRPr="007F536A">
        <w:rPr>
          <w:rFonts w:ascii="Book Antiqua" w:hAnsi="Book Antiqua"/>
          <w:sz w:val="20"/>
        </w:rPr>
        <w:t xml:space="preserve">  listing the fourteen values obtained by this method. A least squares linear fit to all these data points gives a light speed decline of 164 km/s per year (Figure 19). A fit to all values, omitting the two highest and two lowest outliers marked #, is in Figure 20. A fit to the most reliable values, marked [*] and included in the </w:t>
      </w:r>
      <w:r w:rsidRPr="007F536A">
        <w:rPr>
          <w:rFonts w:ascii="Book Antiqua" w:hAnsi="Book Antiqua"/>
          <w:sz w:val="20"/>
        </w:rPr>
        <w:lastRenderedPageBreak/>
        <w:t xml:space="preserve">final Table 17, gives a decline of </w:t>
      </w:r>
      <m:oMath>
        <m:r>
          <w:rPr>
            <w:rFonts w:ascii="Cambria Math" w:hAnsi="Book Antiqua"/>
            <w:sz w:val="20"/>
          </w:rPr>
          <m:t xml:space="preserve">2.17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with a confidence of 99.4% that </w:t>
      </w:r>
      <m:oMath>
        <m:r>
          <w:rPr>
            <w:rFonts w:ascii="Cambria Math" w:hAnsi="Cambria Math"/>
            <w:sz w:val="20"/>
          </w:rPr>
          <m:t>c</m:t>
        </m:r>
        <m:r>
          <w:rPr>
            <w:rFonts w:ascii="Cambria Math" w:hAnsi="Book Antiqua"/>
            <w:sz w:val="20"/>
          </w:rPr>
          <m:t xml:space="preserve"> </m:t>
        </m:r>
      </m:oMath>
      <w:r w:rsidRPr="007F536A">
        <w:rPr>
          <w:rFonts w:ascii="Book Antiqua" w:hAnsi="Book Antiqua"/>
          <w:sz w:val="20"/>
        </w:rPr>
        <w:t xml:space="preserve">was not constant at its present value during the period covered by these experiments. The Fizeau values have been described as pioneering experiments that were </w:t>
      </w:r>
      <w:r w:rsidRPr="007F536A">
        <w:rPr>
          <w:rFonts w:ascii="Book Antiqua" w:hAnsi="Book Antiqua"/>
          <w:i/>
          <w:sz w:val="20"/>
        </w:rPr>
        <w:t>“admittedly but rough approximations…intended to ascertain the possibilities of the method.”</w:t>
      </w:r>
      <w:bookmarkStart w:id="86" w:name="39"/>
      <w:bookmarkEnd w:id="86"/>
      <w:r w:rsidRPr="007F536A">
        <w:rPr>
          <w:rFonts w:ascii="Book Antiqua" w:hAnsi="Book Antiqua"/>
          <w:i/>
          <w:sz w:val="20"/>
        </w:rPr>
        <w:t xml:space="preserve"> </w:t>
      </w:r>
      <w:r w:rsidRPr="007F536A">
        <w:rPr>
          <w:rFonts w:ascii="Book Antiqua" w:hAnsi="Book Antiqua"/>
          <w:sz w:val="20"/>
        </w:rPr>
        <w:t xml:space="preserve">[101] The remaining unstarred values were rejected by the experimenters themselves or have been severely criticized as outlined above. Nevertheless, when all the data points are included, the decrease in </w:t>
      </w:r>
      <w:r w:rsidR="007254EC">
        <w:rPr>
          <w:rFonts w:ascii="Book Antiqua" w:hAnsi="Book Antiqua"/>
          <w:sz w:val="20"/>
        </w:rPr>
        <w:t>c</w:t>
      </w:r>
      <w:r w:rsidRPr="007F536A">
        <w:rPr>
          <w:rFonts w:ascii="Book Antiqua" w:hAnsi="Book Antiqua"/>
          <w:sz w:val="20"/>
        </w:rPr>
        <w:t xml:space="preserve"> is even more evident, as can be seen from Figure 19.</w:t>
      </w:r>
    </w:p>
    <w:p w:rsidR="00682859" w:rsidRDefault="00682859" w:rsidP="00832D77">
      <w:pPr>
        <w:pStyle w:val="NoSpacing"/>
        <w:ind w:firstLine="720"/>
        <w:jc w:val="both"/>
        <w:rPr>
          <w:rFonts w:ascii="Book Antiqua" w:hAnsi="Book Antiqua"/>
          <w:sz w:val="20"/>
        </w:rPr>
      </w:pPr>
    </w:p>
    <w:p w:rsidR="00682859" w:rsidRDefault="00682859" w:rsidP="004532A2">
      <w:pPr>
        <w:pStyle w:val="NoSpacing"/>
        <w:ind w:firstLine="720"/>
        <w:jc w:val="center"/>
        <w:rPr>
          <w:rFonts w:ascii="Book Antiqua" w:hAnsi="Book Antiqua"/>
          <w:sz w:val="20"/>
        </w:rPr>
      </w:pPr>
      <w:r w:rsidRPr="00682859">
        <w:rPr>
          <w:rFonts w:ascii="Book Antiqua" w:hAnsi="Book Antiqua"/>
          <w:noProof/>
          <w:sz w:val="20"/>
        </w:rPr>
        <w:drawing>
          <wp:inline distT="0" distB="0" distL="0" distR="0">
            <wp:extent cx="5210159" cy="1744276"/>
            <wp:effectExtent l="19050" t="0" r="9541" b="8324"/>
            <wp:docPr id="78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82859" w:rsidRDefault="00682859" w:rsidP="00832D77">
      <w:pPr>
        <w:pStyle w:val="NoSpacing"/>
        <w:ind w:firstLine="720"/>
        <w:jc w:val="both"/>
        <w:rPr>
          <w:rFonts w:ascii="Book Antiqua" w:hAnsi="Book Antiqua"/>
          <w:sz w:val="20"/>
        </w:rPr>
      </w:pPr>
    </w:p>
    <w:p w:rsidR="00682859" w:rsidRPr="00E64A28" w:rsidRDefault="00682859" w:rsidP="00682859">
      <w:pPr>
        <w:pStyle w:val="NormalWeb"/>
        <w:rPr>
          <w:rStyle w:val="style11"/>
          <w:rFonts w:ascii="Book Antiqua" w:hAnsi="Book Antiqua"/>
          <w:i/>
          <w:sz w:val="18"/>
          <w:szCs w:val="18"/>
        </w:rPr>
      </w:pPr>
      <w:r w:rsidRPr="00E64A28">
        <w:rPr>
          <w:rStyle w:val="style11"/>
          <w:rFonts w:ascii="Book Antiqua" w:hAnsi="Book Antiqua"/>
          <w:b/>
          <w:i/>
          <w:sz w:val="18"/>
          <w:szCs w:val="18"/>
        </w:rPr>
        <w:t>Figure 19:</w:t>
      </w:r>
      <w:r w:rsidRPr="00E64A28">
        <w:rPr>
          <w:rStyle w:val="style11"/>
          <w:rFonts w:ascii="Book Antiqua" w:hAnsi="Book Antiqua"/>
          <w:i/>
          <w:sz w:val="18"/>
          <w:szCs w:val="18"/>
        </w:rPr>
        <w:t xml:space="preserve"> Graph of all light speed values obtained by the toothed wheel method. Horizontal axis is the date of experiment. Vertical axis is light-speed in km/s. A linear fit to all the data gives a decline in c of 164 km/s per year.</w:t>
      </w:r>
    </w:p>
    <w:p w:rsidR="00832D77" w:rsidRPr="007F536A" w:rsidRDefault="00832D77" w:rsidP="00832D77">
      <w:pPr>
        <w:pStyle w:val="NoSpacing"/>
        <w:ind w:firstLine="720"/>
        <w:jc w:val="both"/>
        <w:rPr>
          <w:rFonts w:ascii="Book Antiqua" w:hAnsi="Book Antiqua"/>
          <w:sz w:val="20"/>
        </w:rPr>
      </w:pPr>
      <w:r w:rsidRPr="007F536A">
        <w:rPr>
          <w:rFonts w:ascii="Book Antiqua" w:hAnsi="Book Antiqua"/>
          <w:sz w:val="20"/>
        </w:rPr>
        <w:t xml:space="preserve">The comparison between Cornu’s re-worked values and those obtained with substantially the same items of equipment by Perrotin is of great interest. The Cornu mean is </w:t>
      </w:r>
      <m:oMath>
        <m:r>
          <w:rPr>
            <w:rFonts w:ascii="Cambria Math" w:hAnsi="Book Antiqua"/>
            <w:sz w:val="20"/>
          </w:rPr>
          <m:t xml:space="preserve">299,945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while the Perrotin mean is </w:t>
      </w:r>
      <m:oMath>
        <m:r>
          <w:rPr>
            <w:rFonts w:ascii="Cambria Math" w:hAnsi="Book Antiqua"/>
            <w:sz w:val="20"/>
          </w:rPr>
          <m:t xml:space="preserve">299,887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The drop measured by this same equipment is thus </w:t>
      </w:r>
      <m:oMath>
        <m:r>
          <w:rPr>
            <w:rFonts w:ascii="Cambria Math" w:hAnsi="Book Antiqua"/>
            <w:sz w:val="20"/>
          </w:rPr>
          <m:t xml:space="preserve">58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in 26.6 years. That is a decline of </w:t>
      </w:r>
      <m:oMath>
        <m:r>
          <w:rPr>
            <w:rFonts w:ascii="Cambria Math" w:hAnsi="Book Antiqua"/>
            <w:sz w:val="20"/>
          </w:rPr>
          <m:t xml:space="preserve">2.18 </m:t>
        </m:r>
        <m:r>
          <w:rPr>
            <w:rFonts w:ascii="Cambria Math" w:hAnsi="Cambria Math"/>
            <w:sz w:val="20"/>
          </w:rPr>
          <m:t>km</m:t>
        </m:r>
        <m:r>
          <w:rPr>
            <w:rFonts w:ascii="Cambria Math" w:hAnsi="Book Antiqua"/>
            <w:sz w:val="20"/>
          </w:rPr>
          <m:t>/</m:t>
        </m:r>
        <m:r>
          <w:rPr>
            <w:rFonts w:ascii="Cambria Math" w:hAnsi="Cambria Math"/>
            <w:sz w:val="20"/>
          </w:rPr>
          <m:t>s</m:t>
        </m:r>
        <m:r>
          <w:rPr>
            <w:rFonts w:ascii="Cambria Math" w:hAnsi="Book Antiqua"/>
            <w:sz w:val="20"/>
          </w:rPr>
          <m:t xml:space="preserve"> </m:t>
        </m:r>
        <m:r>
          <w:rPr>
            <w:rFonts w:ascii="Cambria Math" w:hAnsi="Cambria Math"/>
            <w:sz w:val="20"/>
          </w:rPr>
          <m:t>per</m:t>
        </m:r>
        <m:r>
          <w:rPr>
            <w:rFonts w:ascii="Cambria Math" w:hAnsi="Book Antiqua"/>
            <w:sz w:val="20"/>
          </w:rPr>
          <m:t xml:space="preserve"> </m:t>
        </m:r>
        <m:r>
          <w:rPr>
            <w:rFonts w:ascii="Cambria Math" w:hAnsi="Cambria Math"/>
            <w:sz w:val="20"/>
          </w:rPr>
          <m:t>year</m:t>
        </m:r>
      </m:oMath>
      <w:r w:rsidRPr="007F536A">
        <w:rPr>
          <w:rFonts w:ascii="Book Antiqua" w:hAnsi="Book Antiqua"/>
          <w:sz w:val="20"/>
        </w:rPr>
        <w:t xml:space="preserve">. It is fascinating to note that both Perrotin and Prim, despite problems with the analysis, independently obtained results in which the earliest determination resulted in a higher value for </w:t>
      </w:r>
      <m:oMath>
        <m:r>
          <w:rPr>
            <w:rFonts w:ascii="Cambria Math" w:hAnsi="Cambria Math"/>
            <w:sz w:val="20"/>
          </w:rPr>
          <m:t>c</m:t>
        </m:r>
      </m:oMath>
      <w:r w:rsidRPr="007F536A">
        <w:rPr>
          <w:rFonts w:ascii="Book Antiqua" w:hAnsi="Book Antiqua"/>
          <w:sz w:val="20"/>
        </w:rPr>
        <w:t xml:space="preserve"> than their later determinations.</w:t>
      </w:r>
    </w:p>
    <w:p w:rsidR="00832D77" w:rsidRPr="007F536A" w:rsidRDefault="00832D77" w:rsidP="00832D77">
      <w:pPr>
        <w:pStyle w:val="NoSpacing"/>
        <w:ind w:firstLine="720"/>
        <w:jc w:val="both"/>
        <w:rPr>
          <w:rFonts w:ascii="Book Antiqua" w:hAnsi="Book Antiqua"/>
          <w:sz w:val="20"/>
        </w:rPr>
      </w:pPr>
    </w:p>
    <w:p w:rsidR="00821A88" w:rsidRPr="00832D77" w:rsidRDefault="00821A88" w:rsidP="004532A2">
      <w:pPr>
        <w:pStyle w:val="NoSpacing"/>
        <w:jc w:val="center"/>
        <w:rPr>
          <w:rFonts w:ascii="Book Antiqua" w:hAnsi="Book Antiqua"/>
          <w:b/>
          <w:i/>
          <w:sz w:val="18"/>
          <w:szCs w:val="18"/>
        </w:rPr>
      </w:pPr>
      <w:r w:rsidRPr="00832D77">
        <w:rPr>
          <w:rFonts w:ascii="Book Antiqua" w:hAnsi="Book Antiqua"/>
          <w:b/>
          <w:sz w:val="18"/>
          <w:szCs w:val="18"/>
        </w:rPr>
        <w:t>Table 8:</w:t>
      </w:r>
      <w:r w:rsidRPr="00832D77">
        <w:rPr>
          <w:rFonts w:ascii="Book Antiqua" w:hAnsi="Book Antiqua"/>
          <w:b/>
          <w:i/>
          <w:sz w:val="18"/>
          <w:szCs w:val="18"/>
        </w:rPr>
        <w:t xml:space="preserve"> Toothed Wheel Experiments</w:t>
      </w:r>
    </w:p>
    <w:p w:rsidR="00821A88" w:rsidRPr="007F536A" w:rsidRDefault="00821A88" w:rsidP="00821A88">
      <w:pPr>
        <w:pStyle w:val="NoSpacing"/>
        <w:ind w:firstLine="720"/>
        <w:jc w:val="both"/>
        <w:rPr>
          <w:rFonts w:ascii="Book Antiqua" w:hAnsi="Book Antiqua"/>
          <w:sz w:val="20"/>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6"/>
        <w:gridCol w:w="802"/>
        <w:gridCol w:w="618"/>
        <w:gridCol w:w="791"/>
        <w:gridCol w:w="1369"/>
        <w:gridCol w:w="2902"/>
      </w:tblGrid>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Experimenter</w:t>
            </w:r>
          </w:p>
        </w:tc>
        <w:tc>
          <w:tcPr>
            <w:tcW w:w="8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Date</w:t>
            </w:r>
          </w:p>
        </w:tc>
        <w:tc>
          <w:tcPr>
            <w:tcW w:w="618"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of EXP.</w:t>
            </w:r>
          </w:p>
        </w:tc>
        <w:tc>
          <w:tcPr>
            <w:tcW w:w="791"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Base line (Meters) </w:t>
            </w:r>
          </w:p>
        </w:tc>
        <w:tc>
          <w:tcPr>
            <w:tcW w:w="1369"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 xml:space="preserve">c value in km/sec </w:t>
            </w:r>
          </w:p>
        </w:tc>
        <w:tc>
          <w:tcPr>
            <w:tcW w:w="2902" w:type="dxa"/>
            <w:tcBorders>
              <w:top w:val="outset" w:sz="6" w:space="0" w:color="auto"/>
              <w:left w:val="outset" w:sz="6" w:space="0" w:color="auto"/>
              <w:bottom w:val="outset" w:sz="6" w:space="0" w:color="auto"/>
              <w:right w:val="outset" w:sz="6" w:space="0" w:color="auto"/>
            </w:tcBorders>
            <w:vAlign w:val="center"/>
            <w:hideMark/>
          </w:tcPr>
          <w:p w:rsidR="00821A88" w:rsidRPr="00832D77" w:rsidRDefault="00821A88" w:rsidP="00400B4E">
            <w:pPr>
              <w:pStyle w:val="NoSpacing"/>
              <w:rPr>
                <w:rFonts w:ascii="Book Antiqua" w:hAnsi="Book Antiqua"/>
                <w:b/>
                <w:i/>
                <w:sz w:val="18"/>
                <w:szCs w:val="18"/>
              </w:rPr>
            </w:pPr>
            <w:r w:rsidRPr="00832D77">
              <w:rPr>
                <w:rFonts w:ascii="Book Antiqua" w:hAnsi="Book Antiqua"/>
                <w:b/>
                <w:i/>
                <w:sz w:val="18"/>
                <w:szCs w:val="18"/>
              </w:rPr>
              <w:t>Comments</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315,300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(journals)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1849.5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313,300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Base too short (textbooks)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305,650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No ref. Usually omitted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Fizeau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1855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8633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298,000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Bad citation for Foucault?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1872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658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10,310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298,500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rejected – serious errors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300,400 ± 300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Flawed analysis – 4 figures only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*Cornu/Helmert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299,990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1876 Accepted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*Cornu/Dorsey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1874.8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624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22,910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200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Reworked by Dorsey in 1944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Young/Forbes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1880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12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5551.07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301,382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Severely criticized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Perrotin/Prim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300,032 ± 215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1908 – discarded by Prim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1900.4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1540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11,862.2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1900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1901.4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299,880 ± 50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accepted mean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299,860 ± 80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Perrotin’s 1902 analysis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*Perrotin </w:t>
            </w:r>
          </w:p>
        </w:tc>
        <w:tc>
          <w:tcPr>
            <w:tcW w:w="8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1902.4 </w:t>
            </w:r>
          </w:p>
        </w:tc>
        <w:tc>
          <w:tcPr>
            <w:tcW w:w="618"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2465 </w:t>
            </w:r>
          </w:p>
        </w:tc>
        <w:tc>
          <w:tcPr>
            <w:tcW w:w="791"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45,950.7 </w:t>
            </w:r>
          </w:p>
        </w:tc>
        <w:tc>
          <w:tcPr>
            <w:tcW w:w="1369"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299,901 ± 84 </w:t>
            </w:r>
          </w:p>
        </w:tc>
        <w:tc>
          <w:tcPr>
            <w:tcW w:w="2902" w:type="dxa"/>
            <w:tcBorders>
              <w:top w:val="outset" w:sz="6" w:space="0" w:color="auto"/>
              <w:left w:val="outset" w:sz="6" w:space="0" w:color="auto"/>
              <w:bottom w:val="outset" w:sz="6" w:space="0" w:color="auto"/>
              <w:right w:val="outset" w:sz="6" w:space="0" w:color="auto"/>
            </w:tcBorders>
            <w:hideMark/>
          </w:tcPr>
          <w:p w:rsidR="00821A88" w:rsidRPr="00832D77" w:rsidRDefault="00821A88" w:rsidP="00400B4E">
            <w:pPr>
              <w:pStyle w:val="NoSpacing"/>
              <w:rPr>
                <w:rFonts w:ascii="Book Antiqua" w:hAnsi="Book Antiqua"/>
                <w:b/>
                <w:sz w:val="18"/>
                <w:szCs w:val="18"/>
              </w:rPr>
            </w:pPr>
            <w:r w:rsidRPr="00832D77">
              <w:rPr>
                <w:rFonts w:ascii="Book Antiqua" w:hAnsi="Book Antiqua"/>
                <w:b/>
                <w:sz w:val="18"/>
                <w:szCs w:val="18"/>
              </w:rPr>
              <w:t xml:space="preserve">Prim’s final declared value </w:t>
            </w:r>
          </w:p>
        </w:tc>
      </w:tr>
      <w:tr w:rsidR="00821A88" w:rsidRPr="007F536A" w:rsidTr="0033142E">
        <w:trPr>
          <w:tblCellSpacing w:w="0" w:type="dxa"/>
          <w:jc w:val="center"/>
        </w:trPr>
        <w:tc>
          <w:tcPr>
            <w:tcW w:w="1506"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8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618"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791"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1369"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c>
          <w:tcPr>
            <w:tcW w:w="2902" w:type="dxa"/>
            <w:tcBorders>
              <w:top w:val="outset" w:sz="6" w:space="0" w:color="auto"/>
              <w:left w:val="outset" w:sz="6" w:space="0" w:color="auto"/>
              <w:bottom w:val="outset" w:sz="6" w:space="0" w:color="auto"/>
              <w:right w:val="outset" w:sz="6" w:space="0" w:color="auto"/>
            </w:tcBorders>
            <w:hideMark/>
          </w:tcPr>
          <w:p w:rsidR="00821A88" w:rsidRPr="007F536A" w:rsidRDefault="00821A88" w:rsidP="00400B4E">
            <w:pPr>
              <w:pStyle w:val="NoSpacing"/>
              <w:rPr>
                <w:rFonts w:ascii="Book Antiqua" w:hAnsi="Book Antiqua"/>
                <w:sz w:val="20"/>
              </w:rPr>
            </w:pP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rmalWeb"/>
        <w:jc w:val="center"/>
        <w:rPr>
          <w:rStyle w:val="style11"/>
          <w:rFonts w:ascii="Book Antiqua" w:hAnsi="Book Antiqua"/>
          <w:i/>
          <w:sz w:val="20"/>
          <w:szCs w:val="20"/>
        </w:rPr>
      </w:pPr>
      <w:r w:rsidRPr="007F536A">
        <w:rPr>
          <w:rStyle w:val="style11"/>
          <w:rFonts w:ascii="Book Antiqua" w:hAnsi="Book Antiqua"/>
          <w:i/>
          <w:noProof/>
          <w:sz w:val="20"/>
          <w:szCs w:val="20"/>
        </w:rPr>
        <w:lastRenderedPageBreak/>
        <w:drawing>
          <wp:inline distT="0" distB="0" distL="0" distR="0">
            <wp:extent cx="4800600" cy="1666875"/>
            <wp:effectExtent l="19050" t="0" r="19050" b="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821A88" w:rsidRDefault="00821A88" w:rsidP="00821A88">
      <w:pPr>
        <w:pStyle w:val="NormalWeb"/>
        <w:rPr>
          <w:rStyle w:val="style11"/>
          <w:rFonts w:ascii="Book Antiqua" w:hAnsi="Book Antiqua"/>
          <w:i/>
          <w:sz w:val="18"/>
          <w:szCs w:val="18"/>
        </w:rPr>
      </w:pPr>
      <w:r w:rsidRPr="00E64A28">
        <w:rPr>
          <w:rStyle w:val="style11"/>
          <w:rFonts w:ascii="Book Antiqua" w:hAnsi="Book Antiqua"/>
          <w:b/>
          <w:i/>
          <w:sz w:val="18"/>
          <w:szCs w:val="18"/>
        </w:rPr>
        <w:t>Figure 20:</w:t>
      </w:r>
      <w:r w:rsidRPr="00E64A28">
        <w:rPr>
          <w:rStyle w:val="style11"/>
          <w:rFonts w:ascii="Book Antiqua" w:hAnsi="Book Antiqua"/>
          <w:i/>
          <w:sz w:val="18"/>
          <w:szCs w:val="18"/>
        </w:rPr>
        <w:t xml:space="preserve"> All values in Table 8 omitting the 4 outliers marked # (2 high and 2 low). Horizontal axis is the date; vertical axis is light-speed in km/s. A linear fit to these data gives a decline in light-speed of 76.9 km/s per year.</w:t>
      </w:r>
    </w:p>
    <w:p w:rsidR="004532A2" w:rsidRPr="007F536A" w:rsidRDefault="004532A2" w:rsidP="004532A2">
      <w:pPr>
        <w:pStyle w:val="NoSpacing"/>
        <w:ind w:firstLine="720"/>
        <w:jc w:val="both"/>
        <w:rPr>
          <w:rFonts w:ascii="Book Antiqua" w:hAnsi="Book Antiqua"/>
          <w:sz w:val="20"/>
        </w:rPr>
      </w:pPr>
      <w:r>
        <w:rPr>
          <w:rFonts w:ascii="Book Antiqua" w:hAnsi="Book Antiqua"/>
          <w:sz w:val="20"/>
        </w:rPr>
        <w:t>Ignoring</w:t>
      </w:r>
      <w:r w:rsidRPr="007F536A">
        <w:rPr>
          <w:rFonts w:ascii="Book Antiqua" w:hAnsi="Book Antiqua"/>
          <w:sz w:val="20"/>
        </w:rPr>
        <w:t xml:space="preserve"> the bad citation of 1855, the only values against the decay trend in Table 8 were those rejected by the experiment</w:t>
      </w:r>
      <w:r>
        <w:rPr>
          <w:rFonts w:ascii="Book Antiqua" w:hAnsi="Book Antiqua"/>
          <w:sz w:val="20"/>
        </w:rPr>
        <w:t>ers</w:t>
      </w:r>
      <w:r w:rsidRPr="007F536A">
        <w:rPr>
          <w:rFonts w:ascii="Book Antiqua" w:hAnsi="Book Antiqua"/>
          <w:sz w:val="20"/>
        </w:rPr>
        <w:t xml:space="preserve"> themselves or severely criticized by others. </w:t>
      </w:r>
      <w:r>
        <w:rPr>
          <w:rFonts w:ascii="Book Antiqua" w:hAnsi="Book Antiqua"/>
          <w:sz w:val="20"/>
        </w:rPr>
        <w:t>C</w:t>
      </w:r>
      <w:r w:rsidRPr="007F536A">
        <w:rPr>
          <w:rFonts w:ascii="Book Antiqua" w:hAnsi="Book Antiqua"/>
          <w:sz w:val="20"/>
        </w:rPr>
        <w:t xml:space="preserve">ombined with the results of the two astronomical </w:t>
      </w:r>
      <w:r>
        <w:rPr>
          <w:rFonts w:ascii="Book Antiqua" w:hAnsi="Book Antiqua"/>
          <w:sz w:val="20"/>
        </w:rPr>
        <w:t>methods</w:t>
      </w:r>
      <w:r w:rsidRPr="007F536A">
        <w:rPr>
          <w:rFonts w:ascii="Book Antiqua" w:hAnsi="Book Antiqua"/>
          <w:sz w:val="20"/>
        </w:rPr>
        <w:t xml:space="preserve">, the decay trend now appears in three different methods of measuring </w:t>
      </w:r>
      <m:oMath>
        <m:r>
          <w:rPr>
            <w:rFonts w:ascii="Cambria Math" w:hAnsi="Cambria Math"/>
            <w:sz w:val="20"/>
          </w:rPr>
          <m:t>c</m:t>
        </m:r>
      </m:oMath>
      <w:r w:rsidRPr="007F536A">
        <w:rPr>
          <w:rFonts w:ascii="Book Antiqua" w:hAnsi="Book Antiqua"/>
          <w:sz w:val="20"/>
        </w:rPr>
        <w:t xml:space="preserve">. These methods have involved about 30 different </w:t>
      </w:r>
      <m:oMath>
        <m:r>
          <w:rPr>
            <w:rFonts w:ascii="Cambria Math" w:hAnsi="Cambria Math"/>
            <w:sz w:val="20"/>
          </w:rPr>
          <m:t>c</m:t>
        </m:r>
      </m:oMath>
      <w:r w:rsidRPr="007F536A">
        <w:rPr>
          <w:rFonts w:ascii="Book Antiqua" w:hAnsi="Book Antiqua"/>
          <w:sz w:val="20"/>
        </w:rPr>
        <w:t xml:space="preserve"> measuring instruments, comprising at least six by the Roemer method, at least 21 for aberration, and at least three by the Fizeau method. A decay trend measured by 30 different instruments lengthens the odds against coincidence to roughly one in a billion.</w:t>
      </w:r>
    </w:p>
    <w:p w:rsidR="004532A2" w:rsidRDefault="004532A2" w:rsidP="00821A88">
      <w:pPr>
        <w:pStyle w:val="NoSpacing"/>
        <w:rPr>
          <w:rFonts w:ascii="Book Antiqua" w:hAnsi="Book Antiqua"/>
          <w:b/>
          <w:bCs/>
          <w:iCs/>
          <w:color w:val="000000"/>
          <w:sz w:val="20"/>
        </w:rPr>
      </w:pPr>
    </w:p>
    <w:p w:rsidR="00821A88" w:rsidRPr="007F536A" w:rsidRDefault="00821A88" w:rsidP="00821A88">
      <w:pPr>
        <w:pStyle w:val="NoSpacing"/>
        <w:rPr>
          <w:rFonts w:ascii="Book Antiqua" w:hAnsi="Book Antiqua"/>
          <w:b/>
          <w:bCs/>
          <w:iCs/>
          <w:color w:val="000000"/>
          <w:sz w:val="20"/>
        </w:rPr>
      </w:pPr>
      <w:r w:rsidRPr="007F536A">
        <w:rPr>
          <w:rFonts w:ascii="Book Antiqua" w:hAnsi="Book Antiqua"/>
          <w:b/>
          <w:bCs/>
          <w:iCs/>
          <w:color w:val="000000"/>
          <w:sz w:val="20"/>
        </w:rPr>
        <w:t>Section 4: Foucault and the Rotating Mirror Experiments.</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87" w:name="EFA"/>
      <w:bookmarkEnd w:id="87"/>
      <w:r w:rsidRPr="007F536A">
        <w:rPr>
          <w:rStyle w:val="Strong"/>
          <w:rFonts w:ascii="Book Antiqua" w:hAnsi="Book Antiqua"/>
          <w:b w:val="0"/>
          <w:i/>
          <w:sz w:val="20"/>
        </w:rPr>
        <w:t>4.1 English, French, and Americans in Rotation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color w:val="FF0000"/>
          <w:sz w:val="20"/>
        </w:rPr>
      </w:pPr>
      <w:r w:rsidRPr="007F536A">
        <w:rPr>
          <w:rFonts w:ascii="Book Antiqua" w:hAnsi="Book Antiqua"/>
          <w:noProof/>
          <w:sz w:val="20"/>
        </w:rPr>
        <w:drawing>
          <wp:inline distT="0" distB="0" distL="0" distR="0">
            <wp:extent cx="1905000" cy="2901950"/>
            <wp:effectExtent l="19050" t="0" r="0" b="0"/>
            <wp:docPr id="72" name="il_fi" descr="http://micro.magnet.fsu.edu/optics/timeline/people/antiqueimages/fouc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icro.magnet.fsu.edu/optics/timeline/people/antiqueimages/foucault.jpg"/>
                    <pic:cNvPicPr>
                      <a:picLocks noChangeAspect="1" noChangeArrowheads="1"/>
                    </pic:cNvPicPr>
                  </pic:nvPicPr>
                  <pic:blipFill>
                    <a:blip r:embed="rId109" cstate="print"/>
                    <a:srcRect/>
                    <a:stretch>
                      <a:fillRect/>
                    </a:stretch>
                  </pic:blipFill>
                  <pic:spPr bwMode="auto">
                    <a:xfrm>
                      <a:off x="0" y="0"/>
                      <a:ext cx="1905000" cy="2901950"/>
                    </a:xfrm>
                    <a:prstGeom prst="rect">
                      <a:avLst/>
                    </a:prstGeom>
                    <a:noFill/>
                    <a:ln w="9525">
                      <a:noFill/>
                      <a:miter lim="800000"/>
                      <a:headEnd/>
                      <a:tailEnd/>
                    </a:ln>
                  </pic:spPr>
                </pic:pic>
              </a:graphicData>
            </a:graphic>
          </wp:inline>
        </w:drawing>
      </w:r>
    </w:p>
    <w:p w:rsidR="00E64A2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21:</w:t>
      </w:r>
      <w:r w:rsidRPr="00E64A28">
        <w:rPr>
          <w:rFonts w:ascii="Book Antiqua" w:hAnsi="Book Antiqua"/>
          <w:i/>
          <w:sz w:val="18"/>
          <w:szCs w:val="18"/>
        </w:rPr>
        <w:t xml:space="preserve"> J.B.L. Foucault (1819-1868)</w:t>
      </w:r>
    </w:p>
    <w:p w:rsidR="00B817A8" w:rsidRDefault="00B817A8" w:rsidP="00B817A8">
      <w:pPr>
        <w:pStyle w:val="NoSpacing"/>
        <w:ind w:firstLine="720"/>
        <w:jc w:val="both"/>
        <w:rPr>
          <w:rFonts w:ascii="Book Antiqua" w:hAnsi="Book Antiqua"/>
          <w:sz w:val="20"/>
        </w:rPr>
      </w:pPr>
    </w:p>
    <w:p w:rsidR="00B817A8" w:rsidRPr="007F536A" w:rsidRDefault="00B817A8" w:rsidP="00B817A8">
      <w:pPr>
        <w:pStyle w:val="NoSpacing"/>
        <w:ind w:firstLine="720"/>
        <w:jc w:val="both"/>
        <w:rPr>
          <w:rFonts w:ascii="Book Antiqua" w:hAnsi="Book Antiqua"/>
          <w:color w:val="FF0000"/>
          <w:sz w:val="20"/>
        </w:rPr>
      </w:pPr>
      <w:r w:rsidRPr="007F536A">
        <w:rPr>
          <w:rFonts w:ascii="Book Antiqua" w:hAnsi="Book Antiqua"/>
          <w:sz w:val="20"/>
        </w:rPr>
        <w:t xml:space="preserve">In 1834, at 32 years of age, Sir Charles Wheatstone of England (1802-1875), after whom the electrical circuitry known as the Wheatstone Bridge is named, entered the discussion on the speed of light. He was the first to suggest the method that incorporated a rotating mirror for the measurement of </w:t>
      </w:r>
      <m:oMath>
        <m:r>
          <w:rPr>
            <w:rStyle w:val="Emphasis"/>
            <w:rFonts w:ascii="Cambria Math" w:hAnsi="Cambria Math"/>
            <w:sz w:val="20"/>
          </w:rPr>
          <m:t>c</m:t>
        </m:r>
      </m:oMath>
      <w:r w:rsidRPr="007F536A">
        <w:rPr>
          <w:rFonts w:ascii="Book Antiqua" w:hAnsi="Book Antiqua"/>
          <w:sz w:val="20"/>
        </w:rPr>
        <w:t xml:space="preserve"> [102].</w:t>
      </w:r>
      <w:r w:rsidRPr="007F536A">
        <w:rPr>
          <w:rFonts w:ascii="Book Antiqua" w:hAnsi="Book Antiqua"/>
          <w:color w:val="FF0000"/>
          <w:sz w:val="20"/>
        </w:rPr>
        <w:t xml:space="preserve"> </w:t>
      </w:r>
      <w:r w:rsidRPr="007F536A">
        <w:rPr>
          <w:rFonts w:ascii="Book Antiqua" w:hAnsi="Book Antiqua"/>
          <w:sz w:val="20"/>
        </w:rPr>
        <w:t xml:space="preserve">Unfortunately for England in the debate about the value for </w:t>
      </w:r>
      <m:oMath>
        <m:r>
          <w:rPr>
            <w:rStyle w:val="Emphasis"/>
            <w:rFonts w:ascii="Cambria Math" w:hAnsi="Cambria Math"/>
            <w:sz w:val="20"/>
          </w:rPr>
          <m:t>c</m:t>
        </m:r>
      </m:oMath>
      <w:r w:rsidRPr="007F536A">
        <w:rPr>
          <w:rFonts w:ascii="Book Antiqua" w:hAnsi="Book Antiqua"/>
          <w:sz w:val="20"/>
        </w:rPr>
        <w:t xml:space="preserve">, Sir Charles’ suggestion was not taken up by his countrymen. However, the suggestion regarding the rotating mirror was picked up four years later, in 1838, by the noted Parisian astronomer and physicist D. F. J. Arago </w:t>
      </w:r>
      <w:r w:rsidRPr="007F536A">
        <w:rPr>
          <w:rFonts w:ascii="Book Antiqua" w:hAnsi="Book Antiqua"/>
          <w:sz w:val="20"/>
        </w:rPr>
        <w:lastRenderedPageBreak/>
        <w:t xml:space="preserve">(1786-1853). </w:t>
      </w:r>
      <w:r w:rsidRPr="007F536A">
        <w:rPr>
          <w:rStyle w:val="FootnoteReference"/>
          <w:rFonts w:ascii="Book Antiqua" w:hAnsi="Book Antiqua"/>
          <w:sz w:val="20"/>
        </w:rPr>
        <w:footnoteReference w:id="1"/>
      </w:r>
      <w:r w:rsidRPr="007F536A">
        <w:rPr>
          <w:rFonts w:ascii="Book Antiqua" w:hAnsi="Book Antiqua"/>
          <w:sz w:val="20"/>
        </w:rPr>
        <w:t xml:space="preserve"> Arago polished the suggestion, [105], which was then examined in detail by his collaborating French fellow scientists, Fizeau and Foucault, between 1845 and 1849. Following a difference of opinion, Fizeau dropped out, leaving Foucault to pursue the issue independently [106].</w:t>
      </w:r>
    </w:p>
    <w:p w:rsidR="00821A88" w:rsidRPr="007F536A" w:rsidRDefault="00821A88" w:rsidP="00E64A28">
      <w:pPr>
        <w:pStyle w:val="NoSpacing"/>
        <w:ind w:firstLine="720"/>
        <w:jc w:val="both"/>
        <w:rPr>
          <w:rFonts w:ascii="Book Antiqua" w:hAnsi="Book Antiqua"/>
          <w:sz w:val="20"/>
        </w:rPr>
      </w:pPr>
      <w:r w:rsidRPr="007F536A">
        <w:rPr>
          <w:rFonts w:ascii="Book Antiqua" w:hAnsi="Book Antiqua"/>
          <w:sz w:val="20"/>
        </w:rPr>
        <w:t xml:space="preserve">Jean Bernard Leon Foucault (1819-1868), who preferred the name Leon, is remembered for the Foucault pendulum, whereby he demonstrated the rotation of the earth. (In optics, the Foucault knife-edge test bears his name, a test which many amateur astronomers use to try their concave mirrors for accuracy.) His association with Fizeau led him into dealings with light; his doctoral thesis in 1851 comprised his research into the velocity of light in water. One year prior to this, he had been researching possible problems with the rotating mirror method of discovering the speed of light.  He continued studying in this area for several years.  By 1862 he had overcome these difficulties sufficiently to obtain a pioneering result for </w:t>
      </w:r>
      <w:r w:rsidRPr="007F536A">
        <w:rPr>
          <w:rStyle w:val="Emphasis"/>
          <w:rFonts w:ascii="Book Antiqua" w:hAnsi="Book Antiqua"/>
          <w:sz w:val="20"/>
        </w:rPr>
        <w:t>c</w:t>
      </w:r>
      <w:r w:rsidRPr="007F536A">
        <w:rPr>
          <w:rFonts w:ascii="Book Antiqua" w:hAnsi="Book Antiqua"/>
          <w:sz w:val="20"/>
        </w:rPr>
        <w:t xml:space="preserve"> by the method that now bears his name. </w:t>
      </w:r>
    </w:p>
    <w:p w:rsidR="00821A88" w:rsidRPr="007F536A" w:rsidRDefault="00821A88" w:rsidP="00821A88">
      <w:pPr>
        <w:pStyle w:val="NoSpacing"/>
        <w:ind w:firstLine="720"/>
        <w:rPr>
          <w:rFonts w:ascii="Book Antiqua" w:hAnsi="Book Antiqua"/>
          <w:sz w:val="20"/>
        </w:rPr>
      </w:pPr>
    </w:p>
    <w:p w:rsidR="00821A88" w:rsidRPr="007F536A" w:rsidRDefault="00821A88" w:rsidP="00821A88">
      <w:pPr>
        <w:pStyle w:val="NoSpacing"/>
        <w:rPr>
          <w:rFonts w:ascii="Book Antiqua" w:hAnsi="Book Antiqua"/>
          <w:b/>
          <w:i/>
          <w:sz w:val="20"/>
        </w:rPr>
      </w:pPr>
      <w:bookmarkStart w:id="88" w:name="FRM"/>
      <w:bookmarkEnd w:id="88"/>
      <w:r w:rsidRPr="007F536A">
        <w:rPr>
          <w:rStyle w:val="Strong"/>
          <w:rFonts w:ascii="Book Antiqua" w:hAnsi="Book Antiqua"/>
          <w:b w:val="0"/>
          <w:i/>
          <w:sz w:val="20"/>
        </w:rPr>
        <w:t xml:space="preserve">4.2  Foucault’s Rotating Mirror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5714731" cy="2543175"/>
            <wp:effectExtent l="19050" t="0" r="269" b="0"/>
            <wp:docPr id="37" name="il_fi" descr="speed_of_light_Fouc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peed_of_light_Foucault"/>
                    <pic:cNvPicPr>
                      <a:picLocks noChangeAspect="1" noChangeArrowheads="1"/>
                    </pic:cNvPicPr>
                  </pic:nvPicPr>
                  <pic:blipFill>
                    <a:blip r:embed="rId110" cstate="print">
                      <a:lum contrast="40000"/>
                    </a:blip>
                    <a:srcRect/>
                    <a:stretch>
                      <a:fillRect/>
                    </a:stretch>
                  </pic:blipFill>
                  <pic:spPr bwMode="auto">
                    <a:xfrm>
                      <a:off x="0" y="0"/>
                      <a:ext cx="5721339" cy="2546116"/>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E64A28" w:rsidRDefault="00821A88" w:rsidP="004532A2">
      <w:pPr>
        <w:pStyle w:val="NoSpacing"/>
        <w:jc w:val="center"/>
        <w:rPr>
          <w:rFonts w:ascii="Book Antiqua" w:hAnsi="Book Antiqua"/>
          <w:i/>
          <w:sz w:val="18"/>
          <w:szCs w:val="18"/>
        </w:rPr>
      </w:pPr>
      <w:r w:rsidRPr="00E64A28">
        <w:rPr>
          <w:rFonts w:ascii="Book Antiqua" w:hAnsi="Book Antiqua"/>
          <w:b/>
          <w:i/>
          <w:sz w:val="18"/>
          <w:szCs w:val="18"/>
        </w:rPr>
        <w:t>Figure 22:</w:t>
      </w:r>
      <w:r w:rsidRPr="00E64A28">
        <w:rPr>
          <w:rFonts w:ascii="Book Antiqua" w:hAnsi="Book Antiqua"/>
          <w:i/>
          <w:sz w:val="18"/>
          <w:szCs w:val="18"/>
        </w:rPr>
        <w:t xml:space="preserve"> Foucault’s Rotating Mirror arrangement for determining “</w:t>
      </w:r>
      <m:oMath>
        <m:r>
          <w:rPr>
            <w:rFonts w:ascii="Cambria Math" w:hAnsi="Book Antiqua"/>
            <w:sz w:val="18"/>
            <w:szCs w:val="18"/>
          </w:rPr>
          <m:t>c</m:t>
        </m:r>
      </m:oMath>
      <w:r w:rsidRPr="00E64A28">
        <w:rPr>
          <w:rFonts w:ascii="Book Antiqua" w:hAnsi="Book Antiqua"/>
          <w:i/>
          <w:sz w:val="18"/>
          <w:szCs w:val="18"/>
        </w:rPr>
        <w: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Foucault’s method, a source of light passes through a semi-transparent plate of glass and is reflected from the rotating mirror. The reflected light is then focused through the lens onto a concave mirror, which then returns the light to the rotating mirror. If the rotating mirror is stationary, light is reflected back to the semi-transparent plate of glass, from which it is reflected to the observer. If the mirror is rotating, the position of the image will have moved through a small angle. The distance between the original position of the image and its position when the mirror rotates (in other words, its deflection), depends primarily on the rate of rotation of the mirror and the total distance that the light has to travel. Knowing the details of a given experimental setup allows the velocity of light to be calculated for a given deflection of the image [107].</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used a flat glass disk that was silvered on one side and blackened on the other as his rotating mirror. It was just 14 mm in diameter and mounted in a ring that was part of the vertical axis of a 24 vane turbine driven by compressed air. The total air pressure was kept constant at 30 centimeters of water, to within 0.2 mm, and the air was delivered to the turbine by a regulated precision blower. A continuous flow of oil at constant pressure lubricated all bearings. A toothed disk performing two rotations per second under precision clockwork was used as a stroboscope for </w:t>
      </w:r>
      <w:r w:rsidRPr="007F536A">
        <w:rPr>
          <w:rFonts w:ascii="Book Antiqua" w:hAnsi="Book Antiqua"/>
          <w:sz w:val="20"/>
        </w:rPr>
        <w:lastRenderedPageBreak/>
        <w:t>determining the speed of the mirror. Though Foucault rotated the mirror at 500 turns per second, [108],</w:t>
      </w:r>
      <w:r w:rsidRPr="007F536A">
        <w:rPr>
          <w:rFonts w:ascii="Book Antiqua" w:hAnsi="Book Antiqua"/>
          <w:color w:val="FF0000"/>
          <w:sz w:val="20"/>
        </w:rPr>
        <w:t xml:space="preserve"> </w:t>
      </w:r>
      <w:r w:rsidRPr="007F536A">
        <w:rPr>
          <w:rFonts w:ascii="Book Antiqua" w:hAnsi="Book Antiqua"/>
          <w:sz w:val="20"/>
        </w:rPr>
        <w:t>he stated that the mirror and the disk would keep in step within one part in 10,000 for minutes at a time when the mirror was rotating at 400 turns per second [109].</w:t>
      </w:r>
    </w:p>
    <w:p w:rsidR="006E57E7" w:rsidRDefault="006E57E7"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89" w:name="FP"/>
      <w:bookmarkEnd w:id="89"/>
      <w:r w:rsidRPr="007F536A">
        <w:rPr>
          <w:rStyle w:val="Strong"/>
          <w:rFonts w:ascii="Book Antiqua" w:hAnsi="Book Antiqua"/>
          <w:b w:val="0"/>
          <w:i/>
          <w:sz w:val="20"/>
        </w:rPr>
        <w:t>4.3  Foucault’s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One of the problems inherent in Foucault’s method was diffraction. The small size of the rotating mirror accentuated this, resulting in a returned image whose sharpness was impaired and whose contours were altered. To overcome this problem, Foucault used a grid of ten equal and parallel lines to the millimeter at the light source.  The resulting image was thus composed of a series of lines of maximum and minimum intensity. The distance apart of the maxima would be the same as that of the lines of light in the grid itself, and so also for the minima.</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second problem in the technique that Foucault addressed was that the intensity of the returned image dropped off with the cube of the distance between the mirrors. Looking at Figure 22, the distance between the revolving flat mirror and the concave mirror which reflected the beam back is the critical distance.  If that distance is too large, the returned image is too faint. He overcame this problem by using a chain of five mirrors (although initially he suggested a series of convex lenses) [110]. This allowed him to have a folded light path of 20 meters within the confines of a room.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0" w:name="FMCV"/>
      <w:bookmarkEnd w:id="90"/>
      <w:r w:rsidRPr="007F536A">
        <w:rPr>
          <w:rStyle w:val="Strong"/>
          <w:rFonts w:ascii="Book Antiqua" w:hAnsi="Book Antiqua"/>
          <w:b w:val="0"/>
          <w:i/>
          <w:sz w:val="20"/>
        </w:rPr>
        <w:t xml:space="preserve">4.4  Foucault’s Micrometer and </w:t>
      </w:r>
      <m:oMath>
        <m:r>
          <m:rPr>
            <m:sty m:val="bi"/>
          </m:rPr>
          <w:rPr>
            <w:rStyle w:val="Emphasis"/>
            <w:rFonts w:ascii="Cambria Math" w:hAnsi="Cambria Math"/>
            <w:sz w:val="20"/>
          </w:rPr>
          <m:t>c</m:t>
        </m:r>
      </m:oMath>
      <w:r w:rsidRPr="007F536A">
        <w:rPr>
          <w:rStyle w:val="Strong"/>
          <w:rFonts w:ascii="Book Antiqua" w:hAnsi="Book Antiqua"/>
          <w:b w:val="0"/>
          <w:i/>
          <w:sz w:val="20"/>
        </w:rPr>
        <w:t xml:space="preserve"> Value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Measurement of the deflection distance between the direct image and the returned image was achieved by a micrometer and is the vital part in the whole exercise. The larger distance between the rotating and concave mirrors, the greater will be the displacement.  The greater the displacement between the two images, the smaller will be the relative error in measurement and the more accurate the value of </w:t>
      </w:r>
      <m:oMath>
        <m:r>
          <w:rPr>
            <w:rFonts w:ascii="Cambria Math" w:hAnsi="Cambria Math"/>
            <w:sz w:val="20"/>
          </w:rPr>
          <m:t>c</m:t>
        </m:r>
        <m:r>
          <w:rPr>
            <w:rFonts w:ascii="Cambria Math" w:hAnsi="Book Antiqua"/>
            <w:sz w:val="20"/>
          </w:rPr>
          <m:t>.</m:t>
        </m:r>
      </m:oMath>
      <w:r w:rsidRPr="007F536A">
        <w:rPr>
          <w:rFonts w:ascii="Book Antiqua" w:hAnsi="Book Antiqua"/>
          <w:sz w:val="20"/>
        </w:rPr>
        <w:t xml:space="preserve"> It is at this point that Foucault’s measurement problems began. The short base-line of 20 meters allowed only a small displacement with the rate at which the mirror could reliably rotate. To get the optimum displacement he took the rotation rate to 500 turns per second rather than, as outlined above, the more desirable 400. This fixed rotation rate appears to have been used for all experiments [108].</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Foucault initially determined the displacement by means of the screw of the micrometer eyepiece. The calibration of the micrometer was performed by its measurements of ten spaces of the grid on the light source. This grid had been accurately made with great care by Froment and served as the length standard for the micrometer, having ten spaces of the grid to the millimeter. However, Foucault discovered that the screw was not as good as he had expected, and discarded this method of using it [112].</w:t>
      </w:r>
      <w:r w:rsidRPr="007F536A">
        <w:rPr>
          <w:rFonts w:ascii="Book Antiqua" w:hAnsi="Book Antiqua"/>
          <w:color w:val="FF0000"/>
          <w:sz w:val="20"/>
        </w:rPr>
        <w:t xml:space="preserve"> </w:t>
      </w:r>
      <w:r w:rsidRPr="007F536A">
        <w:rPr>
          <w:rFonts w:ascii="Book Antiqua" w:hAnsi="Book Antiqua"/>
          <w:sz w:val="20"/>
        </w:rPr>
        <w:t xml:space="preserve">Instead he fixed the micrometer at a setting of seven divisions of the grid or 0.7mm., and adjusted the distance of the mirrors to get that exact displacement. In a </w:t>
      </w:r>
      <w:r w:rsidR="00F7636C">
        <w:rPr>
          <w:rFonts w:ascii="Book Antiqua" w:hAnsi="Book Antiqua"/>
          <w:sz w:val="20"/>
        </w:rPr>
        <w:t>trial se</w:t>
      </w:r>
      <w:r w:rsidRPr="007F536A">
        <w:rPr>
          <w:rFonts w:ascii="Book Antiqua" w:hAnsi="Book Antiqua"/>
          <w:sz w:val="20"/>
        </w:rPr>
        <w:t xml:space="preserve">t of twenty measurements, the micrometer </w:t>
      </w:r>
      <w:r w:rsidR="00F7636C">
        <w:rPr>
          <w:rFonts w:ascii="Book Antiqua" w:hAnsi="Book Antiqua"/>
          <w:sz w:val="20"/>
        </w:rPr>
        <w:t xml:space="preserve">was </w:t>
      </w:r>
      <w:r w:rsidRPr="007F536A">
        <w:rPr>
          <w:rFonts w:ascii="Book Antiqua" w:hAnsi="Book Antiqua"/>
          <w:sz w:val="20"/>
        </w:rPr>
        <w:t xml:space="preserve">fixed at 0.7 mm, the mirror rotated 500 turns per second, </w:t>
      </w:r>
      <w:r w:rsidR="00F7636C">
        <w:rPr>
          <w:rFonts w:ascii="Book Antiqua" w:hAnsi="Book Antiqua"/>
          <w:sz w:val="20"/>
        </w:rPr>
        <w:t xml:space="preserve">and </w:t>
      </w:r>
      <w:r w:rsidRPr="007F536A">
        <w:rPr>
          <w:rFonts w:ascii="Book Antiqua" w:hAnsi="Book Antiqua"/>
          <w:sz w:val="20"/>
        </w:rPr>
        <w:t xml:space="preserve">the mirror distance </w:t>
      </w:r>
      <w:r w:rsidR="00F7636C">
        <w:rPr>
          <w:rFonts w:ascii="Book Antiqua" w:hAnsi="Book Antiqua"/>
          <w:sz w:val="20"/>
        </w:rPr>
        <w:t>varied just</w:t>
      </w:r>
      <w:r w:rsidRPr="007F536A">
        <w:rPr>
          <w:rFonts w:ascii="Book Antiqua" w:hAnsi="Book Antiqua"/>
          <w:sz w:val="20"/>
        </w:rPr>
        <w:t xml:space="preserve"> 5 mm [113].</w:t>
      </w:r>
    </w:p>
    <w:p w:rsidR="00821A88" w:rsidRPr="007F536A" w:rsidRDefault="00821A88" w:rsidP="00821A88">
      <w:pPr>
        <w:pStyle w:val="NoSpacing"/>
        <w:ind w:firstLine="720"/>
        <w:jc w:val="both"/>
        <w:rPr>
          <w:rFonts w:ascii="Book Antiqua" w:hAnsi="Book Antiqua"/>
          <w:sz w:val="20"/>
        </w:rPr>
      </w:pPr>
    </w:p>
    <w:p w:rsidR="00821A88" w:rsidRPr="007F536A" w:rsidRDefault="00B817A8" w:rsidP="00821A88">
      <w:pPr>
        <w:pStyle w:val="NoSpacing"/>
        <w:ind w:firstLine="720"/>
        <w:jc w:val="both"/>
        <w:rPr>
          <w:rFonts w:ascii="Book Antiqua" w:hAnsi="Book Antiqua"/>
          <w:sz w:val="20"/>
        </w:rPr>
      </w:pPr>
      <w:r>
        <w:rPr>
          <w:rFonts w:ascii="Book Antiqua" w:hAnsi="Book Antiqua"/>
          <w:sz w:val="20"/>
        </w:rPr>
        <w:t>There</w:t>
      </w:r>
      <w:r w:rsidR="00821A88" w:rsidRPr="007F536A">
        <w:rPr>
          <w:rFonts w:ascii="Book Antiqua" w:hAnsi="Book Antiqua"/>
          <w:sz w:val="20"/>
        </w:rPr>
        <w:t xml:space="preserve"> were some further difficulties in using the micrometer in this fashion. We don’t know how the micrometer was set, as no record was left of this. In the best case, with the mirror at rest, setting on the seventh division from the center of the grid may </w:t>
      </w:r>
      <w:r>
        <w:rPr>
          <w:rFonts w:ascii="Book Antiqua" w:hAnsi="Book Antiqua"/>
          <w:sz w:val="20"/>
        </w:rPr>
        <w:t xml:space="preserve">have </w:t>
      </w:r>
      <w:r w:rsidR="00821A88" w:rsidRPr="007F536A">
        <w:rPr>
          <w:rFonts w:ascii="Book Antiqua" w:hAnsi="Book Antiqua"/>
          <w:sz w:val="20"/>
        </w:rPr>
        <w:t>involve</w:t>
      </w:r>
      <w:r>
        <w:rPr>
          <w:rFonts w:ascii="Book Antiqua" w:hAnsi="Book Antiqua"/>
          <w:sz w:val="20"/>
        </w:rPr>
        <w:t>d</w:t>
      </w:r>
      <w:r w:rsidR="00821A88" w:rsidRPr="007F536A">
        <w:rPr>
          <w:rFonts w:ascii="Book Antiqua" w:hAnsi="Book Antiqua"/>
          <w:sz w:val="20"/>
        </w:rPr>
        <w:t xml:space="preserve"> some uncertainty</w:t>
      </w:r>
      <w:r>
        <w:rPr>
          <w:rFonts w:ascii="Book Antiqua" w:hAnsi="Book Antiqua"/>
          <w:sz w:val="20"/>
        </w:rPr>
        <w:t xml:space="preserve"> due to</w:t>
      </w:r>
      <w:r w:rsidR="00821A88" w:rsidRPr="007F536A">
        <w:rPr>
          <w:rFonts w:ascii="Book Antiqua" w:hAnsi="Book Antiqua"/>
          <w:sz w:val="20"/>
        </w:rPr>
        <w:t xml:space="preserve"> uncertainty in the accuracy of the original marking of the grid lines and from the breadth of the images from the grid, particularly under brilliant illumination.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 that as it may, a more important problem arises since it was admitted that the returned image was altered in contour by the very effects of diffraction that he was trying to avoid. Dorsey points out that the position of the displaced lines of maximum and minimum intensity were themselves probably changed by this effect with respect to their true position if the contours had not been altered [113]. In other words, with the mirror rotating, the position of the image of the center of the grid was systematically changed by diffraction so that the 0.7 mm was not its true displacement after all. All Foucault’s </w:t>
      </w:r>
      <m:oMath>
        <m:r>
          <w:rPr>
            <w:rStyle w:val="Emphasis"/>
            <w:rFonts w:ascii="Cambria Math" w:hAnsi="Cambria Math"/>
            <w:sz w:val="20"/>
          </w:rPr>
          <m:t>c</m:t>
        </m:r>
      </m:oMath>
      <w:r w:rsidRPr="007F536A">
        <w:rPr>
          <w:rFonts w:ascii="Book Antiqua" w:hAnsi="Book Antiqua"/>
          <w:sz w:val="20"/>
        </w:rPr>
        <w:t xml:space="preserve"> values would be systematically affected as a result of these micrometer/diffraction problems which give a large relative error due to the small value of the displacement.</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Foucault worked on his speed of light observations from May 22 until September 21 of 1862, and quoted his final value in 1878 as </w:t>
      </w:r>
      <m:oMath>
        <m:r>
          <w:rPr>
            <w:rFonts w:ascii="Cambria Math" w:hAnsi="Book Antiqua"/>
            <w:sz w:val="20"/>
          </w:rPr>
          <m:t xml:space="preserve">298,000 </m:t>
        </m:r>
        <m:r>
          <w:rPr>
            <w:rFonts w:ascii="Book Antiqua" w:hAnsi="Book Antiqua"/>
            <w:sz w:val="20"/>
          </w:rPr>
          <m:t>±</m:t>
        </m:r>
        <m:r>
          <w:rPr>
            <w:rFonts w:ascii="Cambria Math" w:hAnsi="Book Antiqua"/>
            <w:sz w:val="20"/>
          </w:rPr>
          <m:t xml:space="preserve"> 500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sz w:val="20"/>
        </w:rPr>
        <w:t xml:space="preserve"> [108]. Analyses of his work and results were published in both the United States </w:t>
      </w:r>
      <w:r w:rsidRPr="007F536A">
        <w:rPr>
          <w:rFonts w:ascii="Book Antiqua" w:hAnsi="Book Antiqua"/>
          <w:sz w:val="20"/>
        </w:rPr>
        <w:lastRenderedPageBreak/>
        <w:t>[107] and England [114].   In the United States, Professor William Harkness</w:t>
      </w:r>
      <w:r w:rsidRPr="007F536A">
        <w:rPr>
          <w:rStyle w:val="FootnoteReference"/>
          <w:rFonts w:ascii="Book Antiqua" w:hAnsi="Book Antiqua"/>
          <w:sz w:val="20"/>
        </w:rPr>
        <w:footnoteReference w:id="2"/>
      </w:r>
      <w:r w:rsidRPr="007F536A">
        <w:rPr>
          <w:rFonts w:ascii="Book Antiqua" w:hAnsi="Book Antiqua"/>
          <w:sz w:val="20"/>
        </w:rPr>
        <w:t xml:space="preserve"> stated that the final results from Foucault’s 80 observations made on September 16, 18 and 21 of 1862 is </w:t>
      </w:r>
      <m:oMath>
        <m:r>
          <w:rPr>
            <w:rFonts w:ascii="Cambria Math" w:hAnsi="Book Antiqua"/>
            <w:sz w:val="20"/>
          </w:rPr>
          <m:t xml:space="preserve">298,574 </m:t>
        </m:r>
        <m:r>
          <w:rPr>
            <w:rFonts w:ascii="Book Antiqua" w:hAnsi="Book Antiqua"/>
            <w:sz w:val="20"/>
          </w:rPr>
          <m:t>±</m:t>
        </m:r>
        <m:r>
          <w:rPr>
            <w:rFonts w:ascii="Cambria Math" w:hAnsi="Book Antiqua"/>
            <w:sz w:val="20"/>
          </w:rPr>
          <m:t xml:space="preserve"> 204 </m:t>
        </m:r>
        <m:r>
          <w:rPr>
            <w:rFonts w:ascii="Cambria Math" w:hAnsi="Cambria Math"/>
            <w:sz w:val="20"/>
          </w:rPr>
          <m:t>km</m:t>
        </m:r>
        <m:r>
          <w:rPr>
            <w:rFonts w:ascii="Cambria Math" w:hAnsi="Book Antiqua"/>
            <w:sz w:val="20"/>
          </w:rPr>
          <m:t>/</m:t>
        </m:r>
        <m:r>
          <w:rPr>
            <w:rFonts w:ascii="Cambria Math" w:hAnsi="Cambria Math"/>
            <w:sz w:val="20"/>
          </w:rPr>
          <m:t>s</m:t>
        </m:r>
      </m:oMath>
      <w:r w:rsidRPr="007F536A">
        <w:rPr>
          <w:rFonts w:ascii="Book Antiqua" w:hAnsi="Book Antiqua"/>
          <w:color w:val="FF0000"/>
          <w:sz w:val="20"/>
        </w:rPr>
        <w:t xml:space="preserve"> </w:t>
      </w:r>
      <w:r w:rsidRPr="007F536A">
        <w:rPr>
          <w:rFonts w:ascii="Book Antiqua" w:hAnsi="Book Antiqua"/>
          <w:sz w:val="20"/>
        </w:rPr>
        <w:t>[115].  Foucault, using the same series of observations, had come to a different speed of light.  It is not known how Harkness obtained his result.  Harkness’ values almost certainly result from the micrometer/diffraction problem mentioned above. This pioneer experiment could have been built on by the French, but it seems that the influence of Fizeau and Cornu concentrated attention on the toothed wheel method, as evidenced by the Perrotin series. This open</w:t>
      </w:r>
      <w:r w:rsidR="00F7636C">
        <w:rPr>
          <w:rFonts w:ascii="Book Antiqua" w:hAnsi="Book Antiqua"/>
          <w:sz w:val="20"/>
        </w:rPr>
        <w:t>ed the way</w:t>
      </w:r>
      <w:r w:rsidRPr="007F536A">
        <w:rPr>
          <w:rFonts w:ascii="Book Antiqua" w:hAnsi="Book Antiqua"/>
          <w:sz w:val="20"/>
        </w:rPr>
        <w:t xml:space="preserve"> for others to </w:t>
      </w:r>
      <w:r w:rsidR="00F7636C">
        <w:rPr>
          <w:rFonts w:ascii="Book Antiqua" w:hAnsi="Book Antiqua"/>
          <w:sz w:val="20"/>
        </w:rPr>
        <w:t xml:space="preserve">assess </w:t>
      </w:r>
      <w:r w:rsidRPr="007F536A">
        <w:rPr>
          <w:rFonts w:ascii="Book Antiqua" w:hAnsi="Book Antiqua"/>
          <w:sz w:val="20"/>
        </w:rPr>
        <w:t>the method</w:t>
      </w:r>
      <w:r w:rsidR="00F7636C">
        <w:rPr>
          <w:rFonts w:ascii="Book Antiqua" w:hAnsi="Book Antiqua"/>
          <w:sz w:val="20"/>
        </w:rPr>
        <w:t>’s possibilities</w:t>
      </w:r>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long run, due to the micrometer deflection problems, Foucoult discounted his own findings.  The tiny 0.7 mm deflection was miniscule compared to what later experiments were able to achieve with this method.  Later analysis by Dorsey also showed that the micrometer was the source of Foucault’s problems [107].</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Style w:val="Strong"/>
          <w:rFonts w:ascii="Book Antiqua" w:hAnsi="Book Antiqua"/>
          <w:b w:val="0"/>
          <w:bCs w:val="0"/>
          <w:i/>
          <w:sz w:val="20"/>
        </w:rPr>
      </w:pPr>
      <w:bookmarkStart w:id="91" w:name="EA"/>
      <w:bookmarkEnd w:id="91"/>
      <w:r w:rsidRPr="007F536A">
        <w:rPr>
          <w:rStyle w:val="Strong"/>
          <w:rFonts w:ascii="Book Antiqua" w:hAnsi="Book Antiqua"/>
          <w:b w:val="0"/>
          <w:i/>
          <w:sz w:val="20"/>
        </w:rPr>
        <w:t>4.5  Enter the Americans</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Encouraged by Foucault’s success, Michelson followed on in the U.S.A., using the rotating mirror pattern to perform a series of experiments from 1878 until 1926. His compatriot, Newcomb, also performed several determinations from about 1880 to 1883. The final determination by a form of this method coupled with a toothed-wheel type of effect was later performed by Pease and Pearson in California and reported in 1935.</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Simon Newcomb (1835 – 1909) was a distinguished astronomer who was associated with both the United States Naval Observatory and Johns Hopkins University. Among many other feats, he formulated a precise theoretical expression for the changing tilt of the earth’s axis by taking into account the effects of the pull of the sun, moon and planets on the earth’s equatorial bulge. It is still known today as ‘Newcomb’s Formula.’</w:t>
      </w:r>
      <w:r w:rsidRPr="007F536A">
        <w:rPr>
          <w:rStyle w:val="FootnoteReference"/>
          <w:rFonts w:ascii="Book Antiqua" w:hAnsi="Book Antiqua"/>
          <w:sz w:val="20"/>
        </w:rPr>
        <w:footnoteReference w:id="3"/>
      </w:r>
    </w:p>
    <w:p w:rsidR="00821A88" w:rsidRPr="007F536A" w:rsidRDefault="00821A88" w:rsidP="00821A88">
      <w:pPr>
        <w:pStyle w:val="NoSpacing"/>
        <w:ind w:firstLine="360"/>
        <w:jc w:val="both"/>
        <w:rPr>
          <w:rFonts w:ascii="Book Antiqua" w:hAnsi="Book Antiqua"/>
          <w:sz w:val="20"/>
        </w:rPr>
      </w:pPr>
    </w:p>
    <w:tbl>
      <w:tblPr>
        <w:tblStyle w:val="TableGrid"/>
        <w:tblW w:w="0" w:type="auto"/>
        <w:jc w:val="center"/>
        <w:tblLook w:val="04A0"/>
      </w:tblPr>
      <w:tblGrid>
        <w:gridCol w:w="3396"/>
        <w:gridCol w:w="3726"/>
      </w:tblGrid>
      <w:tr w:rsidR="00821A88" w:rsidRPr="007F536A" w:rsidTr="004532A2">
        <w:trPr>
          <w:jc w:val="center"/>
        </w:trPr>
        <w:tc>
          <w:tcPr>
            <w:tcW w:w="3396" w:type="dxa"/>
          </w:tcPr>
          <w:p w:rsidR="00821A88" w:rsidRPr="007F536A" w:rsidRDefault="00821A88" w:rsidP="00400B4E">
            <w:pPr>
              <w:pStyle w:val="NoSpacing"/>
              <w:jc w:val="both"/>
              <w:rPr>
                <w:rFonts w:ascii="Book Antiqua" w:hAnsi="Book Antiqua"/>
                <w:color w:val="FF0000"/>
                <w:sz w:val="20"/>
              </w:rPr>
            </w:pPr>
            <w:r w:rsidRPr="007F536A">
              <w:rPr>
                <w:rFonts w:ascii="Book Antiqua" w:hAnsi="Book Antiqua"/>
                <w:noProof/>
                <w:sz w:val="20"/>
              </w:rPr>
              <w:drawing>
                <wp:inline distT="0" distB="0" distL="0" distR="0">
                  <wp:extent cx="2000250" cy="2402842"/>
                  <wp:effectExtent l="19050" t="0" r="0" b="0"/>
                  <wp:docPr id="27" name="il_fi" descr="http://www.physics.csbsju.edu/astro/newcomb/Newcom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csbsju.edu/astro/newcomb/Newcomb2.jpg"/>
                          <pic:cNvPicPr>
                            <a:picLocks noChangeAspect="1" noChangeArrowheads="1"/>
                          </pic:cNvPicPr>
                        </pic:nvPicPr>
                        <pic:blipFill>
                          <a:blip r:embed="rId111" cstate="print"/>
                          <a:srcRect l="8980" t="2597" r="5629" b="15724"/>
                          <a:stretch>
                            <a:fillRect/>
                          </a:stretch>
                        </pic:blipFill>
                        <pic:spPr bwMode="auto">
                          <a:xfrm>
                            <a:off x="0" y="0"/>
                            <a:ext cx="2000250" cy="2402842"/>
                          </a:xfrm>
                          <a:prstGeom prst="rect">
                            <a:avLst/>
                          </a:prstGeom>
                          <a:noFill/>
                          <a:ln w="9525">
                            <a:noFill/>
                            <a:miter lim="800000"/>
                            <a:headEnd/>
                            <a:tailEnd/>
                          </a:ln>
                        </pic:spPr>
                      </pic:pic>
                    </a:graphicData>
                  </a:graphic>
                </wp:inline>
              </w:drawing>
            </w:r>
          </w:p>
        </w:tc>
        <w:tc>
          <w:tcPr>
            <w:tcW w:w="3726" w:type="dxa"/>
          </w:tcPr>
          <w:p w:rsidR="00821A88" w:rsidRPr="007F536A" w:rsidRDefault="00390245" w:rsidP="00400B4E">
            <w:pPr>
              <w:pStyle w:val="NoSpacing"/>
              <w:jc w:val="center"/>
              <w:rPr>
                <w:rFonts w:ascii="Book Antiqua" w:hAnsi="Book Antiqua"/>
                <w:color w:val="FF0000"/>
                <w:sz w:val="20"/>
              </w:rPr>
            </w:pPr>
            <w:r w:rsidRPr="007F536A">
              <w:rPr>
                <w:rFonts w:ascii="Book Antiqua" w:hAnsi="Book Antiqua"/>
                <w:noProof/>
                <w:color w:val="FF0000"/>
                <w:sz w:val="20"/>
              </w:rPr>
              <w:drawing>
                <wp:inline distT="0" distB="0" distL="0" distR="0">
                  <wp:extent cx="2200275" cy="2400300"/>
                  <wp:effectExtent l="19050" t="0" r="9525" b="0"/>
                  <wp:docPr id="133" name="Picture 93" descr="http://t2.gstatic.com/images?q=tbn:ANd9GcSUG0oab64SiVvmBfwQXy2LvlNagM4_O3hFZPav2n3YMLROd2whmw"/>
                  <wp:cNvGraphicFramePr/>
                  <a:graphic xmlns:a="http://schemas.openxmlformats.org/drawingml/2006/main">
                    <a:graphicData uri="http://schemas.openxmlformats.org/drawingml/2006/picture">
                      <pic:pic xmlns:pic="http://schemas.openxmlformats.org/drawingml/2006/picture">
                        <pic:nvPicPr>
                          <pic:cNvPr id="4" name="rg_hi" descr="http://t2.gstatic.com/images?q=tbn:ANd9GcSUG0oab64SiVvmBfwQXy2LvlNagM4_O3hFZPav2n3YMLROd2whmw"/>
                          <pic:cNvPicPr/>
                        </pic:nvPicPr>
                        <pic:blipFill>
                          <a:blip r:embed="rId112" cstate="print"/>
                          <a:srcRect t="5637" r="5415" b="18873"/>
                          <a:stretch>
                            <a:fillRect/>
                          </a:stretch>
                        </pic:blipFill>
                        <pic:spPr bwMode="auto">
                          <a:xfrm>
                            <a:off x="0" y="0"/>
                            <a:ext cx="2200275" cy="2400300"/>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color w:val="FF0000"/>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23: Left</w:t>
      </w:r>
      <w:r w:rsidRPr="001C099A">
        <w:rPr>
          <w:rFonts w:ascii="Book Antiqua" w:hAnsi="Book Antiqua"/>
          <w:i/>
          <w:sz w:val="18"/>
          <w:szCs w:val="18"/>
        </w:rPr>
        <w:t xml:space="preserve"> - Simon Newcomb 1835-1909; </w:t>
      </w:r>
      <w:r w:rsidRPr="001C099A">
        <w:rPr>
          <w:rFonts w:ascii="Book Antiqua" w:hAnsi="Book Antiqua"/>
          <w:b/>
          <w:i/>
          <w:sz w:val="18"/>
          <w:szCs w:val="18"/>
        </w:rPr>
        <w:t>Right -</w:t>
      </w:r>
      <w:r w:rsidRPr="001C099A">
        <w:rPr>
          <w:rFonts w:ascii="Book Antiqua" w:hAnsi="Book Antiqua"/>
          <w:i/>
          <w:sz w:val="18"/>
          <w:szCs w:val="18"/>
        </w:rPr>
        <w:t xml:space="preserve"> Albert A. Michelson 1852-1931.</w:t>
      </w:r>
    </w:p>
    <w:p w:rsidR="004532A2" w:rsidRDefault="004532A2" w:rsidP="004532A2">
      <w:pPr>
        <w:pStyle w:val="NoSpacing"/>
        <w:jc w:val="both"/>
        <w:rPr>
          <w:rFonts w:ascii="Book Antiqua" w:hAnsi="Book Antiqua"/>
          <w:sz w:val="20"/>
        </w:rPr>
      </w:pPr>
    </w:p>
    <w:p w:rsidR="004532A2" w:rsidRPr="007F536A" w:rsidRDefault="004532A2" w:rsidP="004532A2">
      <w:pPr>
        <w:pStyle w:val="NoSpacing"/>
        <w:jc w:val="both"/>
        <w:rPr>
          <w:rFonts w:ascii="Book Antiqua" w:hAnsi="Book Antiqua"/>
          <w:color w:val="FF0000"/>
          <w:sz w:val="20"/>
        </w:rPr>
      </w:pPr>
      <w:r w:rsidRPr="007F536A">
        <w:rPr>
          <w:rFonts w:ascii="Book Antiqua" w:hAnsi="Book Antiqua"/>
          <w:sz w:val="20"/>
        </w:rPr>
        <w:t xml:space="preserve">Newcomb’s extensive report of his determinations of </w:t>
      </w:r>
      <m:oMath>
        <m:r>
          <w:rPr>
            <w:rStyle w:val="Emphasis"/>
            <w:rFonts w:ascii="Cambria Math" w:hAnsi="Cambria Math"/>
            <w:sz w:val="20"/>
          </w:rPr>
          <m:t>c</m:t>
        </m:r>
      </m:oMath>
      <w:r w:rsidRPr="007F536A">
        <w:rPr>
          <w:rFonts w:ascii="Book Antiqua" w:hAnsi="Book Antiqua"/>
          <w:sz w:val="20"/>
        </w:rPr>
        <w:t xml:space="preserve"> during 1880-1882 appeared in 1891 [117]. It seems that he had been considering the project since 1867. However, it was not until March of 1879 that Congress gave him the necessary appropriation for the work. By then Michelson had already performed preliminary experiments and was working towards a more definitive value for </w:t>
      </w:r>
      <m:oMath>
        <m:r>
          <w:rPr>
            <w:rStyle w:val="Emphasis"/>
            <w:rFonts w:ascii="Cambria Math" w:hAnsi="Cambria Math"/>
            <w:sz w:val="20"/>
          </w:rPr>
          <m:t>c</m:t>
        </m:r>
      </m:oMath>
      <w:r w:rsidRPr="007F536A">
        <w:rPr>
          <w:rFonts w:ascii="Book Antiqua" w:hAnsi="Book Antiqua"/>
          <w:sz w:val="20"/>
        </w:rPr>
        <w:t xml:space="preserve">. Michelson’s results were published in 1878 and 1880 respectively. He had </w:t>
      </w:r>
      <w:r w:rsidRPr="007F536A">
        <w:rPr>
          <w:rFonts w:ascii="Book Antiqua" w:hAnsi="Book Antiqua"/>
          <w:sz w:val="20"/>
        </w:rPr>
        <w:lastRenderedPageBreak/>
        <w:t>performed his experiments at the Naval Academy, Annapolis, where he was an instructor, and submitted his results to the Secretary of the Navy. As the protocol required, the Naval Secretary forwarded the manuscript to the Nautical Almanac Office, whose Superintendent was none other than Newcomb [118].</w:t>
      </w:r>
    </w:p>
    <w:p w:rsidR="004532A2" w:rsidRDefault="004532A2" w:rsidP="004532A2">
      <w:pPr>
        <w:pStyle w:val="NoSpacing"/>
        <w:jc w:val="both"/>
        <w:rPr>
          <w:rFonts w:ascii="Book Antiqua" w:hAnsi="Book Antiqua"/>
          <w:sz w:val="20"/>
        </w:rPr>
      </w:pPr>
    </w:p>
    <w:p w:rsidR="00821A88" w:rsidRPr="007F536A" w:rsidRDefault="00821A88" w:rsidP="00821A88">
      <w:pPr>
        <w:pStyle w:val="NoSpacing"/>
        <w:ind w:firstLine="360"/>
        <w:jc w:val="both"/>
        <w:rPr>
          <w:rStyle w:val="Emphasis"/>
          <w:rFonts w:ascii="Book Antiqua" w:hAnsi="Book Antiqua"/>
          <w:sz w:val="20"/>
        </w:rPr>
      </w:pPr>
      <w:r w:rsidRPr="007F536A">
        <w:rPr>
          <w:rFonts w:ascii="Book Antiqua" w:hAnsi="Book Antiqua"/>
          <w:sz w:val="20"/>
        </w:rPr>
        <w:t xml:space="preserve">Newcomb thereupon requested that Michelson be seconded to assist him with his determination. The required assistance was rendered during a portion of Newcomb’s first series, until September 13, 1880. By then, Michelson had accepted an appointment to the Case Institute and moved to Cleveland, Ohio, terminating his association with Newcomb. However, Newcomb encouraged Michelson to make an entirely new determination of </w:t>
      </w:r>
      <m:oMath>
        <m:r>
          <w:rPr>
            <w:rStyle w:val="Emphasis"/>
            <w:rFonts w:ascii="Book Antiqua" w:hAnsi="Cambria Math"/>
            <w:sz w:val="20"/>
          </w:rPr>
          <m:t>c</m:t>
        </m:r>
      </m:oMath>
      <w:r w:rsidRPr="007F536A">
        <w:rPr>
          <w:rFonts w:ascii="Book Antiqua" w:hAnsi="Book Antiqua"/>
          <w:sz w:val="20"/>
        </w:rPr>
        <w:t xml:space="preserve"> there at Cleveland, which was done in 1882, and wrote the introductory note to Michelson’s report in 1891. Michelson continued with a more extensive series of determinations of</w:t>
      </w:r>
      <m:oMath>
        <m:r>
          <w:rPr>
            <w:rFonts w:ascii="Book Antiqua" w:hAnsi="Book Antiqua"/>
            <w:sz w:val="20"/>
          </w:rPr>
          <m:t xml:space="preserve"> </m:t>
        </m:r>
        <m:r>
          <w:rPr>
            <w:rStyle w:val="Emphasis"/>
            <w:rFonts w:ascii="Book Antiqua" w:hAnsi="Cambria Math"/>
            <w:sz w:val="20"/>
          </w:rPr>
          <m:t>c</m:t>
        </m:r>
      </m:oMath>
      <w:r w:rsidRPr="007F536A">
        <w:rPr>
          <w:rStyle w:val="Emphasis"/>
          <w:rFonts w:ascii="Book Antiqua" w:hAnsi="Book Antiqua"/>
          <w:sz w:val="20"/>
        </w:rPr>
        <w:t>.</w:t>
      </w:r>
    </w:p>
    <w:p w:rsidR="00821A88" w:rsidRPr="007F536A" w:rsidRDefault="00821A88" w:rsidP="00821A88">
      <w:pPr>
        <w:pStyle w:val="NoSpacing"/>
        <w:rPr>
          <w:rStyle w:val="Strong"/>
          <w:rFonts w:ascii="Book Antiqua" w:hAnsi="Book Antiqua"/>
          <w:b w:val="0"/>
          <w:i/>
          <w:sz w:val="20"/>
        </w:rPr>
      </w:pPr>
      <w:bookmarkStart w:id="92" w:name="NX"/>
      <w:bookmarkEnd w:id="92"/>
    </w:p>
    <w:p w:rsidR="00821A88" w:rsidRPr="007F536A" w:rsidRDefault="00821A88" w:rsidP="00821A88">
      <w:pPr>
        <w:pStyle w:val="NoSpacing"/>
        <w:numPr>
          <w:ilvl w:val="1"/>
          <w:numId w:val="25"/>
        </w:numPr>
        <w:rPr>
          <w:rFonts w:ascii="Book Antiqua" w:hAnsi="Book Antiqua"/>
          <w:b/>
          <w:i/>
          <w:sz w:val="20"/>
        </w:rPr>
      </w:pPr>
      <w:r w:rsidRPr="007F536A">
        <w:rPr>
          <w:rStyle w:val="Strong"/>
          <w:rFonts w:ascii="Book Antiqua" w:hAnsi="Book Antiqua"/>
          <w:b w:val="0"/>
          <w:i/>
          <w:sz w:val="20"/>
        </w:rPr>
        <w:t>Newcomb’s Experiments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Newcomb utilized a square steel prism as his rotating mirror.  It was 85 mm. long and 37.5 mm. square. All four faces were nickel-plated and polished. The prism was rotated on its long axis inside a metal housing that had two open windows opposite each other. Rotation of the prism was effected by a stream of air directed through the windows against the 12 vanes in each of the two fan wheels rigidly attached to either end of the prism. It appears from Newcomb’s Figure 5 of Plate VI that four of the vanes were pointing in the direction of the corners of the prism on the lower wheel. However, the prism corners were midway between vanes for the upper wheel. </w:t>
      </w:r>
      <w:r w:rsidR="00DA69B6">
        <w:rPr>
          <w:rFonts w:ascii="Book Antiqua" w:hAnsi="Book Antiqua"/>
          <w:sz w:val="20"/>
        </w:rPr>
        <w:t xml:space="preserve">Some years later, in an effort to discount any change in the speed of light, </w:t>
      </w:r>
      <w:r w:rsidRPr="007F536A">
        <w:rPr>
          <w:rFonts w:ascii="Book Antiqua" w:hAnsi="Book Antiqua"/>
          <w:sz w:val="20"/>
        </w:rPr>
        <w:t>Dorsey suggested that wheels of 13 vanes may have been better for symmetry and to overcome any potential problems caused by any absence of symmetry [119].</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6076568" cy="2438400"/>
            <wp:effectExtent l="19050" t="0" r="382"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lum contrast="2000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9800" cy="2439697"/>
                    </a:xfrm>
                    <a:prstGeom prst="rect">
                      <a:avLst/>
                    </a:prstGeom>
                    <a:noFill/>
                    <a:ln>
                      <a:noFill/>
                    </a:ln>
                  </pic:spPr>
                </pic:pic>
              </a:graphicData>
            </a:graphic>
          </wp:inline>
        </w:drawing>
      </w:r>
    </w:p>
    <w:p w:rsidR="00821A88" w:rsidRPr="007F536A" w:rsidRDefault="00821A88" w:rsidP="00821A88">
      <w:pPr>
        <w:pStyle w:val="NoSpacing"/>
        <w:rPr>
          <w:rFonts w:ascii="Book Antiqua" w:hAnsi="Book Antiqua"/>
          <w:sz w:val="18"/>
          <w:szCs w:val="18"/>
        </w:rPr>
      </w:pPr>
    </w:p>
    <w:p w:rsidR="00821A88" w:rsidRPr="001C099A" w:rsidRDefault="00821A88" w:rsidP="00821A88">
      <w:pPr>
        <w:pStyle w:val="NoSpacing"/>
        <w:rPr>
          <w:rFonts w:ascii="Book Antiqua" w:eastAsiaTheme="minorHAnsi" w:hAnsi="Book Antiqua"/>
          <w:i/>
          <w:sz w:val="18"/>
          <w:szCs w:val="18"/>
        </w:rPr>
      </w:pPr>
      <w:r w:rsidRPr="001C099A">
        <w:rPr>
          <w:rFonts w:ascii="Book Antiqua" w:eastAsiaTheme="minorHAnsi" w:hAnsi="Book Antiqua"/>
          <w:b/>
          <w:i/>
          <w:sz w:val="18"/>
          <w:szCs w:val="18"/>
        </w:rPr>
        <w:t>Figure 24:</w:t>
      </w:r>
      <w:r w:rsidRPr="001C099A">
        <w:rPr>
          <w:rFonts w:ascii="Book Antiqua" w:eastAsiaTheme="minorHAnsi" w:hAnsi="Book Antiqua"/>
          <w:i/>
          <w:sz w:val="18"/>
          <w:szCs w:val="18"/>
        </w:rPr>
        <w:t xml:space="preserve"> This simplified sketch shows the general layout of the optical components used for the Newcomb-Michelson Washington D.C. velocity of light experiments. S was the light source (illuminated slit), G was a beam splitter, R was the rotating mirror, L was the objective lens, M was a fixed spherical mirror, and E was the observer’s eyepiece. The image returning from the fixed mirror was displaced by twice the angle through which R rotated during the time interval that it took for the light to travel from R to M. By measuring the angular velocity of R, the angular deviation 2a, and the distance RM, it was possible to compute the velocity of light.</w:t>
      </w:r>
    </w:p>
    <w:p w:rsidR="00821A88" w:rsidRPr="007F536A" w:rsidRDefault="00821A88" w:rsidP="00821A88">
      <w:pPr>
        <w:pStyle w:val="NoSpacing"/>
        <w:jc w:val="both"/>
        <w:rPr>
          <w:rFonts w:ascii="Book Antiqua" w:eastAsiaTheme="minorHAnsi" w:hAnsi="Book Antiqua"/>
          <w:i/>
          <w:iCs/>
          <w:sz w:val="20"/>
        </w:rPr>
      </w:pPr>
    </w:p>
    <w:p w:rsidR="00CF20BB" w:rsidRPr="007F536A" w:rsidRDefault="00192315" w:rsidP="00DA69B6">
      <w:pPr>
        <w:pStyle w:val="NoSpacing"/>
        <w:ind w:firstLine="720"/>
        <w:jc w:val="both"/>
        <w:rPr>
          <w:rFonts w:ascii="Book Antiqua" w:hAnsi="Book Antiqua"/>
          <w:sz w:val="20"/>
        </w:rPr>
      </w:pPr>
      <w:r w:rsidRPr="007F536A">
        <w:rPr>
          <w:rFonts w:ascii="Book Antiqua" w:hAnsi="Book Antiqua"/>
          <w:sz w:val="20"/>
        </w:rPr>
        <w:t xml:space="preserve">A stiff frame carrying the observing telescope swung about an axis coincident with that of the rotating prism. At its other end was a pair of microscopes for reading the deflection. The radius of the arc over which it swung was 2.4 meters. The sending telescope was placed immediately above the observing ‘scope and had as its light source an adjustable slit illuminated by sunlight reflected from </w:t>
      </w:r>
      <w:r w:rsidR="00CF20BB" w:rsidRPr="007F536A">
        <w:rPr>
          <w:rFonts w:ascii="Book Antiqua" w:hAnsi="Book Antiqua"/>
          <w:sz w:val="20"/>
        </w:rPr>
        <w:t>the heliostat. Light from the slit was directed to the upper half of one of the rotating prism’s faces. Following its return from the distant concave mirror, the light beam was reflected from the lower half of the same face into the observing telescope.</w:t>
      </w:r>
    </w:p>
    <w:p w:rsidR="00CF20BB" w:rsidRPr="007F536A" w:rsidRDefault="00CF20BB" w:rsidP="00821A88">
      <w:pPr>
        <w:pStyle w:val="NoSpacing"/>
        <w:jc w:val="both"/>
        <w:rPr>
          <w:rFonts w:ascii="Book Antiqua" w:eastAsiaTheme="minorHAnsi" w:hAnsi="Book Antiqua"/>
          <w:i/>
          <w:iCs/>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In his initial work, centering about 1880.9, the base-line was 2550.95 meters from Fort Meyer to the U.S. Naval Observatory. For this series he used mirror speeds ranging from 114 to 254 turns per second. In his second and third series, centered in 1881.7 and 1882.7 respectively, the base was lengthened to 3721.21 meters from Fort Meyer to the Washington Monument. The base-line was measured by the United States Coast and Geodetic Survey. This time, mirror speeds of 176 to 268 turns per second were employed. The mirror rotation rate was obtained from a chronograph record of every 28 turns of the mirror, the time being recorded by a rated chronometer.</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placed the observing telescope in a suitable position and adjusted the rotation rate of the prism until the returned image was just on the cross hairs. The prism rotation rate was then held steady until a long enough chronograph record had been obtained. The observing scope was then swung equally far on the other side of the zero deflection position, and the prism rotated in the opposite direction while the necessary quantities were noted.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method overcame the problem of getting an accurate setting on the un-deflected beam due to its brilliance and the width of the slit. Additionally, the trouble suffered by Foucault with the lack of symmetry in the diffraction pattern was eliminated. The difficulty of Foucault’s miniscule deflection of 0.7 mm was well under control. The first series with the shortest base line gave double angles ranging from 10,500 arc seconds to 22,300” with an average of 15,000”. That is an average of 4.2 degrees, which translates into about 17.5 cm for the linear deflection, the range being roughly 12 cm to 26 cm for the double angle. This average is just 125 times the linear deflection of Foucault’s pioneer result if the single angle is taken.</w:t>
      </w:r>
      <w:bookmarkStart w:id="93" w:name="NP"/>
      <w:bookmarkEnd w:id="93"/>
    </w:p>
    <w:p w:rsidR="00821A88" w:rsidRPr="007F536A" w:rsidRDefault="00821A88" w:rsidP="00821A88">
      <w:pPr>
        <w:pStyle w:val="NoSpacing"/>
        <w:jc w:val="both"/>
        <w:rPr>
          <w:rStyle w:val="Strong"/>
          <w:rFonts w:ascii="Book Antiqua" w:hAnsi="Book Antiqua"/>
          <w:b w:val="0"/>
          <w:bCs w:val="0"/>
          <w:i/>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r w:rsidRPr="007F536A">
        <w:rPr>
          <w:rStyle w:val="Strong"/>
          <w:rFonts w:ascii="Book Antiqua" w:hAnsi="Book Antiqua"/>
          <w:b w:val="0"/>
          <w:i/>
          <w:sz w:val="20"/>
        </w:rPr>
        <w:t>Newcomb’s Problems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All told, there were three distinct series of experiments. Michelson assisted Newcomb for part of the first series from June 28 until September 13, 1880. The series continued until April 15, 1881, by which time 150 experiments had been performed. Of these, Michelson had been involved with 99. The second series went from August 8, 1881, until September 24, with 39 experiments performed. The third series, in which Newcomb was assisted by Holcombe, extended from July 24, 1882, to September 5 of that year for a total of 66 experiments. This made a grand total of 255 experiments.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However, they were not all equally successful. The first series over the short path from Fort Meyer to the Naval Observatory seemed to go smoothly, but all was not as it seemed. The second series over the longer path from Fort Meyer to the Washington Monument demonstrated a problem. Newcomb had the pivots of the mirror examined and re-ground by the manufacturers at the beginning of each series [120]. As the second series proceeded, abnormalities were noticed. Different mirror faces appeared to give slightly different displacements of portions of the image. By the 12th of September, 1881, there was no doubt. The image was split into two pairs of parts. The arrangement indicated that an axial vibration of the mirror was responsible with its period being half the time of rotation.  The problem with the vibration was not noticeable below a certain speed, which is why it had not been seen previously [121].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Newcomb sent the mirror to the maker on September 14th. There, two troubles were discovered by the maker. First, he reported the mirror was out of balance, a condition that seems to have existed from the beginning, thereby affecting the first series. The second problem was that the pivot was not perfectly round. These problems were fixed and experimentation began again on the 19th, but by the 24th the pivot problem had reasserted itself. The pivot by then had “</w:t>
      </w:r>
      <w:r w:rsidRPr="007F536A">
        <w:rPr>
          <w:rStyle w:val="Emphasis"/>
          <w:rFonts w:ascii="Book Antiqua" w:hAnsi="Book Antiqua"/>
          <w:sz w:val="20"/>
        </w:rPr>
        <w:t>cohered to its conical cap, and the mirror was sent to the makers for another thorough overhauling of its pivots</w:t>
      </w:r>
      <w:r w:rsidRPr="007F536A">
        <w:rPr>
          <w:rFonts w:ascii="Book Antiqua" w:hAnsi="Book Antiqua"/>
          <w:sz w:val="20"/>
        </w:rPr>
        <w:t>.”[122]</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At the same time, Newcomb arranged for the sending and receiving telescopes to have their positions interchangeable. If the mirror was out of balance, or if there were torsional vibrations of the mirror in which the top was in a different position relative to the bottom, then interchanging the telescopes would change the sign of the systematic error. The problem could thus be picked up and estimated, or eliminated. Newcomb suspected that such torsional vibrations may have been present due to a static twist from the offset vanes in the fan wheels, as well as the mirror imbalance already noted. Recognizing this allowed both problems to be corrected. However, after analysis, Dorsey </w:t>
      </w:r>
      <w:r w:rsidRPr="007F536A">
        <w:rPr>
          <w:rFonts w:ascii="Book Antiqua" w:hAnsi="Book Antiqua"/>
          <w:sz w:val="20"/>
        </w:rPr>
        <w:lastRenderedPageBreak/>
        <w:t>decided that the magnitude of the force needed for such a static twist, whether from fan wheels or any other cause, was too high to have caused these problems. Furthermore, in the third series that was conducted in 1882, the reversal of the two telescopes produced a difference “</w:t>
      </w:r>
      <w:r w:rsidRPr="007F536A">
        <w:rPr>
          <w:rStyle w:val="Emphasis"/>
          <w:rFonts w:ascii="Book Antiqua" w:hAnsi="Book Antiqua"/>
          <w:sz w:val="20"/>
        </w:rPr>
        <w:t>too small for taking account of</w:t>
      </w:r>
      <w:r w:rsidRPr="007F536A">
        <w:rPr>
          <w:rFonts w:ascii="Book Antiqua" w:hAnsi="Book Antiqua"/>
          <w:sz w:val="20"/>
        </w:rPr>
        <w:t>.” [123]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Thus, the third series ran smoothly, with no mirror imbalance and no upsetting vibrations detected. The first series appeared to be affected by the presence of the vibration from the mirror imbalance. It could not have been detected without the telescope reversals unless its period happened to be some high multiple of the time for quarter of a revolution. This was only attained in some of the observations of series 2. Newcomb therefore based his value of </w:t>
      </w:r>
      <w:r w:rsidRPr="007F536A">
        <w:rPr>
          <w:rStyle w:val="Emphasis"/>
          <w:rFonts w:ascii="Book Antiqua" w:hAnsi="Book Antiqua"/>
          <w:sz w:val="20"/>
        </w:rPr>
        <w:t>c</w:t>
      </w:r>
      <w:r w:rsidRPr="007F536A">
        <w:rPr>
          <w:rFonts w:ascii="Book Antiqua" w:hAnsi="Book Antiqua"/>
          <w:sz w:val="20"/>
        </w:rPr>
        <w:t xml:space="preserve"> solely on the results of </w:t>
      </w:r>
      <w:r w:rsidR="00DA69B6">
        <w:rPr>
          <w:rFonts w:ascii="Book Antiqua" w:hAnsi="Book Antiqua"/>
          <w:sz w:val="20"/>
        </w:rPr>
        <w:t xml:space="preserve">the third </w:t>
      </w:r>
      <w:r w:rsidRPr="007F536A">
        <w:rPr>
          <w:rFonts w:ascii="Book Antiqua" w:hAnsi="Book Antiqua"/>
          <w:sz w:val="20"/>
        </w:rPr>
        <w:t>series. He stated, “</w:t>
      </w:r>
      <w:r w:rsidRPr="007F536A">
        <w:rPr>
          <w:rStyle w:val="Emphasis"/>
          <w:rFonts w:ascii="Book Antiqua" w:hAnsi="Book Antiqua"/>
          <w:sz w:val="20"/>
        </w:rPr>
        <w:t>The preceding investigations and discussions seem to show that our results should depend entirely on the measures of 1882</w:t>
      </w:r>
      <w:r w:rsidRPr="007F536A">
        <w:rPr>
          <w:rFonts w:ascii="Book Antiqua" w:hAnsi="Book Antiqua"/>
          <w:sz w:val="20"/>
        </w:rPr>
        <w:t>.” [124]</w:t>
      </w:r>
    </w:p>
    <w:p w:rsidR="00821A88" w:rsidRPr="007F536A" w:rsidRDefault="00821A88" w:rsidP="00821A88">
      <w:pPr>
        <w:pStyle w:val="NoSpacing"/>
        <w:jc w:val="both"/>
        <w:rPr>
          <w:rStyle w:val="Strong"/>
          <w:rFonts w:ascii="Book Antiqua" w:hAnsi="Book Antiqua"/>
          <w:b w:val="0"/>
          <w:bCs w:val="0"/>
          <w:sz w:val="20"/>
        </w:rPr>
      </w:pPr>
      <w:bookmarkStart w:id="94" w:name="NR"/>
      <w:bookmarkEnd w:id="94"/>
    </w:p>
    <w:p w:rsidR="00821A88" w:rsidRPr="007F536A" w:rsidRDefault="00821A88" w:rsidP="00821A88">
      <w:pPr>
        <w:pStyle w:val="NoSpacing"/>
        <w:numPr>
          <w:ilvl w:val="1"/>
          <w:numId w:val="24"/>
        </w:numPr>
        <w:jc w:val="both"/>
        <w:rPr>
          <w:rFonts w:ascii="Book Antiqua" w:hAnsi="Book Antiqua"/>
          <w:b/>
          <w:i/>
          <w:sz w:val="20"/>
        </w:rPr>
      </w:pPr>
      <w:r w:rsidRPr="007F536A">
        <w:rPr>
          <w:rStyle w:val="Strong"/>
          <w:rFonts w:ascii="Book Antiqua" w:hAnsi="Book Antiqua"/>
          <w:b w:val="0"/>
          <w:i/>
          <w:sz w:val="20"/>
        </w:rPr>
        <w:t>Newcomb’s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result from Newcomb’s first series of 150 experiments centering on 1880.9 over the 2550.95 meter path (about 1.6 miles) was </w:t>
      </w:r>
      <m:oMath>
        <m:r>
          <w:rPr>
            <w:rFonts w:ascii="Book Antiqua" w:hAnsi="Book Antiqua"/>
            <w:sz w:val="20"/>
          </w:rPr>
          <m:t xml:space="preserve">299,627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The result from the second series of 39 experiments over the 3721.21 meters ( about 2.3 miles) for a mean date of 1881.7 was </w:t>
      </w:r>
      <m:oMath>
        <m:r>
          <w:rPr>
            <w:rFonts w:ascii="Book Antiqua" w:hAnsi="Book Antiqua"/>
            <w:sz w:val="20"/>
          </w:rPr>
          <m:t xml:space="preserve">299,694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Both of these values are for the speed of light in air. Newcomb did not even bother to reduce them to a vacuum or even mention their probable errors because of the problems associated with these two series. The result from the third series of 66 experiments over 3721.21 meters (about 2.3 miles) with a mean date of 1882.7 was </w:t>
      </w:r>
      <m:oMath>
        <m:r>
          <w:rPr>
            <w:rFonts w:ascii="Book Antiqua" w:hAnsi="Book Antiqua"/>
            <w:sz w:val="20"/>
          </w:rPr>
          <m:t xml:space="preserve">299,860 ± 30 </m:t>
        </m:r>
        <m:r>
          <w:rPr>
            <w:rFonts w:ascii="Book Antiqua" w:hAnsi="Cambria Math"/>
            <w:sz w:val="20"/>
          </w:rPr>
          <m:t>km</m:t>
        </m:r>
        <m:r>
          <w:rPr>
            <w:rFonts w:ascii="Book Antiqua" w:hAnsi="Book Antiqua"/>
            <w:sz w:val="20"/>
          </w:rPr>
          <m:t>/</m:t>
        </m:r>
      </m:oMath>
      <w:r w:rsidRPr="007F536A">
        <w:rPr>
          <w:rFonts w:ascii="Book Antiqua" w:hAnsi="Book Antiqua"/>
          <w:sz w:val="20"/>
        </w:rPr>
        <w:t xml:space="preserve">s in a vacuum. This was the result he favored [124]. However, with some reluctance, and only in order to avoid criticism, he included the first two series in a mean value with the third, resulting in </w:t>
      </w:r>
      <m:oMath>
        <m:r>
          <w:rPr>
            <w:rFonts w:ascii="Book Antiqua" w:hAnsi="Book Antiqua"/>
            <w:sz w:val="20"/>
          </w:rPr>
          <m:t xml:space="preserve">299,810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for a vacuum</w:t>
      </w:r>
      <w:bookmarkStart w:id="95" w:name="b23"/>
      <w:bookmarkEnd w:id="95"/>
      <w:r w:rsidRPr="007F536A">
        <w:rPr>
          <w:rFonts w:ascii="Book Antiqua" w:hAnsi="Book Antiqua"/>
          <w:sz w:val="20"/>
        </w:rPr>
        <w:t xml:space="preserve"> [124]. No probable error was given for this mean because of Newcomb’s dissatisfaction with it.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Style w:val="Strong"/>
          <w:rFonts w:ascii="Book Antiqua" w:hAnsi="Book Antiqua"/>
          <w:b w:val="0"/>
          <w:bCs w:val="0"/>
          <w:i/>
          <w:sz w:val="20"/>
        </w:rPr>
      </w:pPr>
      <w:bookmarkStart w:id="96" w:name="BWM"/>
      <w:bookmarkEnd w:id="96"/>
      <w:r w:rsidRPr="007F536A">
        <w:rPr>
          <w:rStyle w:val="Strong"/>
          <w:rFonts w:ascii="Book Antiqua" w:hAnsi="Book Antiqua"/>
          <w:b w:val="0"/>
          <w:i/>
          <w:sz w:val="20"/>
        </w:rPr>
        <w:t>The Beginnings with Michelson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Albert Abraham Michelson was an American physicist born in 1852. Prior to his death in 1931, he had been Professor of Physics at the University of Chicago where many famous experiments on the interference of light were done. He had been an instructor in physics and chemistry at the U.S. Naval Academy after he had graduated in 1873. His Superintendent questioned his </w:t>
      </w:r>
      <w:r w:rsidRPr="007F536A">
        <w:rPr>
          <w:rFonts w:ascii="Book Antiqua" w:hAnsi="Book Antiqua"/>
          <w:i/>
          <w:sz w:val="20"/>
        </w:rPr>
        <w:t>“useless experiments”</w:t>
      </w:r>
      <w:r w:rsidRPr="007F536A">
        <w:rPr>
          <w:rFonts w:ascii="Book Antiqua" w:hAnsi="Book Antiqua"/>
          <w:sz w:val="20"/>
        </w:rPr>
        <w:t xml:space="preserve"> on light that were done while he was there. He continued his light velocity experiments during his ten years at the Case Institute of Technology, and his work was rewarded in 1907 with the Nobel Prize [125].</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Michelson’s first two determinations of </w:t>
      </w:r>
      <w:r w:rsidRPr="007F536A">
        <w:rPr>
          <w:rStyle w:val="Emphasis"/>
          <w:rFonts w:ascii="Book Antiqua" w:hAnsi="Book Antiqua"/>
          <w:sz w:val="20"/>
        </w:rPr>
        <w:t>c</w:t>
      </w:r>
      <w:r w:rsidRPr="007F536A">
        <w:rPr>
          <w:rFonts w:ascii="Book Antiqua" w:hAnsi="Book Antiqua"/>
          <w:sz w:val="20"/>
        </w:rPr>
        <w:t xml:space="preserve"> were performed entirely independently of Newcomb</w:t>
      </w:r>
      <w:r w:rsidR="00DA69B6">
        <w:rPr>
          <w:rFonts w:ascii="Book Antiqua" w:hAnsi="Book Antiqua"/>
          <w:sz w:val="20"/>
        </w:rPr>
        <w:t>.  They</w:t>
      </w:r>
      <w:r w:rsidRPr="007F536A">
        <w:rPr>
          <w:rFonts w:ascii="Book Antiqua" w:hAnsi="Book Antiqua"/>
          <w:sz w:val="20"/>
        </w:rPr>
        <w:t xml:space="preserve"> were personally initiated by him and privately funded. His initial aim in the first series in 1878 was to prove that a much larger displacement was possible than Foucault obtained with his apparatus [126]. His base line was 500 feet, or 152.4 meters. The rotating mirror was thirty feet from the slit and eyepiece and achieved 130 turns per second. Given the final result, it appears that the displacement, about 7.58 mm, was about ten times greater than Foucault’s. In doing this, Michelson achieved his initial purpose in showing that the procedure worked.  However, whereas Foucault was able use a chain of mirrors and so achieved a folded light path of 20 meters within the confines of a room, it appears that Michelson failed to appreciate this light-saving technique [110].</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Later experimenters overcame these problems in another way that allowed for a much longer light-path and a vastly increased deflection distance between the images. In Michelson’s work, the main biconvex lens, was of much longer focal length, and the light source was placed closer to the apparatus. Thus, in later experiments, when an appropriate focal length was chosen, the concave mirror could be placed several miles away. When viewed through the micrometer eyepiece, there is the direct reflection from the revolving mirror and beside it the returned image at a distance dependent upon the rotation rate. For Foucault’s arrangement, the mirror reflected the light back to the eyepiece once every revolution, giving a flickering effect until a high enough rotation rate was achieved</w:t>
      </w:r>
      <w:r w:rsidRPr="007F536A">
        <w:rPr>
          <w:rFonts w:ascii="Book Antiqua" w:hAnsi="Book Antiqua"/>
          <w:color w:val="FF0000"/>
          <w:sz w:val="20"/>
        </w:rPr>
        <w:t xml:space="preserve"> </w:t>
      </w:r>
      <w:r w:rsidRPr="007F536A">
        <w:rPr>
          <w:rFonts w:ascii="Book Antiqua" w:hAnsi="Book Antiqua"/>
          <w:sz w:val="20"/>
        </w:rPr>
        <w:t>[111].</w:t>
      </w:r>
      <w:r w:rsidRPr="007F536A">
        <w:rPr>
          <w:rFonts w:ascii="Book Antiqua" w:hAnsi="Book Antiqua"/>
          <w:color w:val="FF0000"/>
          <w:sz w:val="20"/>
        </w:rPr>
        <w:t xml:space="preserve"> </w:t>
      </w:r>
      <w:r w:rsidRPr="007F536A">
        <w:rPr>
          <w:rFonts w:ascii="Book Antiqua" w:hAnsi="Book Antiqua"/>
          <w:sz w:val="20"/>
        </w:rPr>
        <w:t>Newcomb and Michelson used mirrors of four or more reflecting faces which also gave a brighter image.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Because of a funding situation, Michelson’s equipment was simple for the first series. The circular mirror was silvered on one side and about one inch in diameter. The drive comprised a blast of air that was directed against the </w:t>
      </w:r>
      <w:r w:rsidRPr="007F536A">
        <w:rPr>
          <w:rFonts w:ascii="Book Antiqua" w:hAnsi="Book Antiqua"/>
          <w:sz w:val="20"/>
        </w:rPr>
        <w:lastRenderedPageBreak/>
        <w:t xml:space="preserve">mirror itself. The rotation rate was measured stroboscopically. This initial apparatus was used to obtain ten measurements of </w:t>
      </w:r>
      <w:r w:rsidRPr="007F536A">
        <w:rPr>
          <w:rFonts w:ascii="Book Antiqua" w:hAnsi="Book Antiqua"/>
          <w:i/>
          <w:sz w:val="20"/>
        </w:rPr>
        <w:t>c</w:t>
      </w:r>
      <w:r w:rsidRPr="007F536A">
        <w:rPr>
          <w:rFonts w:ascii="Book Antiqua" w:hAnsi="Book Antiqua"/>
          <w:sz w:val="20"/>
        </w:rPr>
        <w:t xml:space="preserve"> for 1878.0, the result being </w:t>
      </w:r>
      <m:oMath>
        <m:r>
          <w:rPr>
            <w:rFonts w:ascii="Book Antiqua" w:hAnsi="Book Antiqua"/>
            <w:sz w:val="20"/>
          </w:rPr>
          <m:t xml:space="preserve">186,500 ± 300 </m:t>
        </m:r>
        <m:r>
          <w:rPr>
            <w:rFonts w:ascii="Book Antiqua" w:hAnsi="Cambria Math"/>
            <w:sz w:val="20"/>
          </w:rPr>
          <m:t>miles</m:t>
        </m:r>
        <m:r>
          <w:rPr>
            <w:rFonts w:ascii="Book Antiqua" w:hAnsi="Book Antiqua"/>
            <w:sz w:val="20"/>
          </w:rPr>
          <m:t>/</m:t>
        </m:r>
        <m:r>
          <w:rPr>
            <w:rFonts w:ascii="Book Antiqua" w:hAnsi="Cambria Math"/>
            <w:sz w:val="20"/>
          </w:rPr>
          <m:t>s</m:t>
        </m:r>
      </m:oMath>
      <w:r w:rsidRPr="007F536A">
        <w:rPr>
          <w:rFonts w:ascii="Book Antiqua" w:hAnsi="Book Antiqua"/>
          <w:sz w:val="20"/>
        </w:rPr>
        <w:t xml:space="preserve"> or </w:t>
      </w:r>
      <m:oMath>
        <m:r>
          <w:rPr>
            <w:rFonts w:ascii="Book Antiqua" w:hAnsi="Book Antiqua"/>
            <w:sz w:val="20"/>
          </w:rPr>
          <m:t xml:space="preserve">300,140 ± 480 </m:t>
        </m:r>
        <m:r>
          <w:rPr>
            <w:rFonts w:ascii="Book Antiqua" w:hAnsi="Cambria Math"/>
            <w:sz w:val="20"/>
          </w:rPr>
          <m:t>km</m:t>
        </m:r>
        <m:r>
          <w:rPr>
            <w:rFonts w:ascii="Book Antiqua" w:hAnsi="Book Antiqua"/>
            <w:sz w:val="20"/>
          </w:rPr>
          <m:t>/</m:t>
        </m:r>
        <m:r>
          <w:rPr>
            <w:rFonts w:ascii="Book Antiqua" w:hAnsi="Cambria Math"/>
            <w:sz w:val="20"/>
          </w:rPr>
          <m:t>s</m:t>
        </m:r>
        <m:r>
          <w:rPr>
            <w:rFonts w:ascii="Book Antiqua" w:hAnsi="Book Antiqua"/>
            <w:sz w:val="20"/>
          </w:rPr>
          <m:t>.</m:t>
        </m:r>
      </m:oMath>
      <w:r w:rsidRPr="007F536A">
        <w:rPr>
          <w:rFonts w:ascii="Book Antiqua" w:hAnsi="Book Antiqua"/>
          <w:sz w:val="20"/>
        </w:rPr>
        <w:t xml:space="preserve"> Note that Gheury de Bray retains the probable error of </w:t>
      </w:r>
      <m:oMath>
        <m:r>
          <w:rPr>
            <w:rFonts w:ascii="Book Antiqua" w:hAnsi="Book Antiqua"/>
            <w:sz w:val="20"/>
          </w:rPr>
          <m:t xml:space="preserve">±300 </m:t>
        </m:r>
        <m:r>
          <w:rPr>
            <w:rFonts w:ascii="Book Antiqua" w:hAnsi="Cambria Math"/>
            <w:sz w:val="20"/>
          </w:rPr>
          <m:t>miles</m:t>
        </m:r>
        <m:r>
          <w:rPr>
            <w:rFonts w:ascii="Book Antiqua" w:hAnsi="Book Antiqua"/>
            <w:sz w:val="20"/>
          </w:rPr>
          <m:t>/</m:t>
        </m:r>
        <m:r>
          <w:rPr>
            <w:rFonts w:ascii="Book Antiqua" w:hAnsi="Cambria Math"/>
            <w:sz w:val="20"/>
          </w:rPr>
          <m:t>s</m:t>
        </m:r>
        <m:r>
          <w:rPr>
            <w:rFonts w:ascii="Book Antiqua" w:hAnsi="Book Antiqua"/>
            <w:sz w:val="20"/>
          </w:rPr>
          <m:t xml:space="preserve"> </m:t>
        </m:r>
        <m:r>
          <w:rPr>
            <w:rFonts w:ascii="Book Antiqua" w:hAnsi="Cambria Math"/>
            <w:sz w:val="20"/>
          </w:rPr>
          <m:t>as</m:t>
        </m:r>
        <m:r>
          <w:rPr>
            <w:rFonts w:ascii="Book Antiqua" w:hAnsi="Book Antiqua"/>
            <w:sz w:val="20"/>
          </w:rPr>
          <m:t xml:space="preserve"> ± 300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(without any conversion) and gives the base line the same as the second series</w:t>
      </w:r>
      <w:bookmarkStart w:id="97" w:name="a13"/>
      <w:bookmarkEnd w:id="97"/>
      <w:r w:rsidRPr="007F536A">
        <w:rPr>
          <w:rFonts w:ascii="Book Antiqua" w:hAnsi="Book Antiqua"/>
          <w:sz w:val="20"/>
        </w:rPr>
        <w:t xml:space="preserve"> [114].</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refers to this result </w:t>
      </w:r>
      <w:r w:rsidRPr="007F536A">
        <w:rPr>
          <w:rFonts w:ascii="Book Antiqua" w:hAnsi="Book Antiqua"/>
          <w:i/>
          <w:sz w:val="20"/>
        </w:rPr>
        <w:t>as “merely an exploratory determination”</w:t>
      </w:r>
      <w:r w:rsidRPr="007F536A">
        <w:rPr>
          <w:rFonts w:ascii="Book Antiqua" w:hAnsi="Book Antiqua"/>
          <w:sz w:val="20"/>
        </w:rPr>
        <w:t>, [127]</w:t>
      </w:r>
      <w:r w:rsidRPr="007F536A">
        <w:rPr>
          <w:rFonts w:ascii="Book Antiqua" w:hAnsi="Book Antiqua"/>
          <w:color w:val="FF0000"/>
          <w:sz w:val="20"/>
        </w:rPr>
        <w:t xml:space="preserve"> </w:t>
      </w:r>
      <w:r w:rsidRPr="007F536A">
        <w:rPr>
          <w:rFonts w:ascii="Book Antiqua" w:hAnsi="Book Antiqua"/>
          <w:sz w:val="20"/>
        </w:rPr>
        <w:t>while Michelson himself discarded it owing to its large probable error. Michelson’s 1880 paper dealing with both this exploratory determination and the second, more sophisticated series, commented on the limitations of the initial equipment. Referring to the mirror drive, he states “</w:t>
      </w:r>
      <w:r w:rsidRPr="007F536A">
        <w:rPr>
          <w:rStyle w:val="Emphasis"/>
          <w:rFonts w:ascii="Book Antiqua" w:hAnsi="Book Antiqua"/>
          <w:sz w:val="20"/>
        </w:rPr>
        <w:t>This crude piece of apparatus is now supplanted by a turbine wheel which insures a steadier and more uniform motion.</w:t>
      </w:r>
      <w:r w:rsidRPr="007F536A">
        <w:rPr>
          <w:rFonts w:ascii="Book Antiqua" w:hAnsi="Book Antiqua"/>
          <w:sz w:val="20"/>
        </w:rPr>
        <w:t>” [128]</w:t>
      </w:r>
      <w:r w:rsidRPr="007F536A">
        <w:rPr>
          <w:rFonts w:ascii="Book Antiqua" w:hAnsi="Book Antiqua"/>
          <w:color w:val="FF0000"/>
          <w:sz w:val="20"/>
        </w:rPr>
        <w:t xml:space="preserve"> </w:t>
      </w:r>
      <w:r w:rsidRPr="007F536A">
        <w:rPr>
          <w:rFonts w:ascii="Book Antiqua" w:hAnsi="Book Antiqua"/>
          <w:sz w:val="20"/>
        </w:rPr>
        <w:t>Due to these factors, this initial series is not held to be definitive by anyone.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4"/>
        </w:numPr>
        <w:jc w:val="both"/>
        <w:rPr>
          <w:rFonts w:ascii="Book Antiqua" w:hAnsi="Book Antiqua"/>
          <w:b/>
          <w:i/>
          <w:sz w:val="20"/>
        </w:rPr>
      </w:pPr>
      <w:bookmarkStart w:id="98" w:name="MNA"/>
      <w:bookmarkEnd w:id="98"/>
      <w:r w:rsidRPr="007F536A">
        <w:rPr>
          <w:rStyle w:val="Strong"/>
          <w:rFonts w:ascii="Book Antiqua" w:hAnsi="Book Antiqua"/>
          <w:sz w:val="20"/>
        </w:rPr>
        <w:t xml:space="preserve"> </w:t>
      </w:r>
      <w:r w:rsidRPr="007F536A">
        <w:rPr>
          <w:rStyle w:val="Strong"/>
          <w:rFonts w:ascii="Book Antiqua" w:hAnsi="Book Antiqua"/>
          <w:b w:val="0"/>
          <w:i/>
          <w:sz w:val="20"/>
        </w:rPr>
        <w:t>Michelson’s New Apparatus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By mid-1878, Michelson had received a contribution of $2000 from Mr. A.G. Hemingway of New York, to be used towards another determination of </w:t>
      </w:r>
      <m:oMath>
        <m:r>
          <w:rPr>
            <w:rStyle w:val="Emphasis"/>
            <w:rFonts w:ascii="Book Antiqua" w:hAnsi="Cambria Math"/>
            <w:sz w:val="20"/>
          </w:rPr>
          <m:t>c</m:t>
        </m:r>
        <m:r>
          <m:rPr>
            <m:sty m:val="p"/>
          </m:rPr>
          <w:rPr>
            <w:rFonts w:ascii="Book Antiqua" w:hAnsi="Book Antiqua"/>
            <w:sz w:val="20"/>
          </w:rPr>
          <m:t xml:space="preserve"> </m:t>
        </m:r>
      </m:oMath>
      <w:r w:rsidRPr="007F536A">
        <w:rPr>
          <w:rFonts w:ascii="Book Antiqua" w:hAnsi="Book Antiqua"/>
          <w:sz w:val="20"/>
        </w:rPr>
        <w:t>[128]. This allowed new instruments to be constructed. A much longer path was envisaged. As it eventuated, the path at the U.S. Naval Academy was 1986.23 feet between mirrors, or 605.40 meters [129]. A new mirror was made of a disk of glass 1.25 inches in diameter, 0.2 inches thick, and silvered on one side only. It was mounted in a metal ring that was part of a spinning axle having six outlets exhausting air as a form of air turbine with constant thrust. This system overcame any erratic motion arising from Newcomb’s type of drive. However, the disadvantage was that it could not rotate in both directions.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mirror speed was stroboscopically determined by an electrically driven tuning fork compared with a freely vibrating standard Koenig fork on a resonator. Comparison was made via the beat phenomenon (the tuning fork was driven by the rotating mirrors and its frequency was then compared with the standard set by the Koenig fork). After the series was completed on the 2</w:t>
      </w:r>
      <w:r w:rsidRPr="007F536A">
        <w:rPr>
          <w:rFonts w:ascii="Book Antiqua" w:hAnsi="Book Antiqua"/>
          <w:sz w:val="20"/>
          <w:vertAlign w:val="superscript"/>
        </w:rPr>
        <w:t>nd</w:t>
      </w:r>
      <w:r w:rsidRPr="007F536A">
        <w:rPr>
          <w:rFonts w:ascii="Book Antiqua" w:hAnsi="Book Antiqua"/>
          <w:sz w:val="20"/>
        </w:rPr>
        <w:t xml:space="preserve"> of July, 1879, the arrangement was carefully studied by Professor A. M. Mayer of Stevens Institute, Hoboken, on July 4. Two series of measurements were made averaging 256.072 and 256.068 vibrations per second at 18.3 degrees centigrade. Originally, the tuning fork was armed with a tip of copper foil which was somehow lost and a platinum tip of 4.6 milligrams was then used as its replacement. The copper tip seems to have given 256.180 vibrations per second. All work prior to the platinum tip replacement on June 4th, 1879, was discarded [130]. This comprised the 30 sets of observations taken from April 2 to June 5, while the equipment was being set up and adjusted. In the formal series itself, from June 5</w:t>
      </w:r>
      <w:r w:rsidRPr="007F536A">
        <w:rPr>
          <w:rFonts w:ascii="Book Antiqua" w:hAnsi="Book Antiqua"/>
          <w:sz w:val="20"/>
          <w:vertAlign w:val="superscript"/>
        </w:rPr>
        <w:t>th</w:t>
      </w:r>
      <w:r w:rsidRPr="007F536A">
        <w:rPr>
          <w:rFonts w:ascii="Book Antiqua" w:hAnsi="Book Antiqua"/>
          <w:sz w:val="20"/>
        </w:rPr>
        <w:t xml:space="preserve"> on, the electric fork was compared by beats with the standard two or three times before every set of observations and the temperature read concurrently.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speed of the mirror was usually 257.3 turns per second, but four sets of experiments were made on July 2nd at speeds of about 193, 128.6,   96.5, and 64.3 turns per second. This test indicated no untoward effects or systematic errors. However, Dorsey points out that they are harmonics of one-eighth the usual speed and any error in that harmonic could not be found [131].</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Because Michelson used a single lens of 45.7 meters focal length between the two mirrors instead of two telescopes, the mirror rotation axis had to be very slightly inclined to the vertical to avoid the mirror flashing light into the eyes of the observer. The effect of this change in azimuth was tested by Michelson to see if there was any variation in speed in the mirror on that account. His testing procedure was designed to pick up any variation due to the frame holding the mirror, friction from the pivots, or the sockets. The azimuth angle was varied both ways and the mirror was inverted on its bearings. These tests were carried out on June 7 and 9 for the frame inclined at various angles (ten sets of experiments), on June 30 and July 1 for the mirror inversion (8 sets). He reported “</w:t>
      </w:r>
      <w:r w:rsidRPr="007F536A">
        <w:rPr>
          <w:rStyle w:val="Emphasis"/>
          <w:rFonts w:ascii="Book Antiqua" w:hAnsi="Book Antiqua"/>
          <w:sz w:val="20"/>
        </w:rPr>
        <w:t>The results were unchanged, showing that any such variation was too small to affect the result</w:t>
      </w:r>
      <w:r w:rsidRPr="007F536A">
        <w:rPr>
          <w:rFonts w:ascii="Book Antiqua" w:hAnsi="Book Antiqua"/>
          <w:sz w:val="20"/>
        </w:rPr>
        <w:t>.” [132]</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was only possible to conduct experiments for an hour after sunrise and an hour before sunset, as an electric lamp illumination of the source slit was found unsuitable after the first experimental set, and so the sun had to be employed. The source slit was firmly clamped to the frame of the micrometer screw that moved the eyepiece. The </w:t>
      </w:r>
      <w:r w:rsidRPr="007F536A">
        <w:rPr>
          <w:rFonts w:ascii="Book Antiqua" w:hAnsi="Book Antiqua"/>
          <w:sz w:val="20"/>
        </w:rPr>
        <w:lastRenderedPageBreak/>
        <w:t>distance from the micrometer and source slit to the rotating mirror was either of two values: 8.60 or 10.15 meters. The average displacement from each was about 112.6 or 133.2 mm respectively.</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micrometer screw calibration was checked by the aforementioned Professor Mayer. Each ‘set’ of observations consisted of the mean of ten consecutive settings of the micrometer, along with other relevant values. Michelson invited other observers to make the micrometer readings on a number of occasions. There were three sets on both of the evenings of June 14th and 17th made by other observers. Their values were in close agreement with Michelson’s final mean of all observations. In this way a lack of bias in the micrometer settings was assured.</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b/>
          <w:i/>
          <w:sz w:val="20"/>
        </w:rPr>
      </w:pPr>
      <w:bookmarkStart w:id="99" w:name="MSSR"/>
      <w:bookmarkEnd w:id="99"/>
      <w:r w:rsidRPr="007F536A">
        <w:rPr>
          <w:rStyle w:val="Strong"/>
          <w:rFonts w:ascii="Book Antiqua" w:hAnsi="Book Antiqua"/>
          <w:sz w:val="20"/>
        </w:rPr>
        <w:t xml:space="preserve"> 4.11 </w:t>
      </w:r>
      <w:r w:rsidRPr="007F536A">
        <w:rPr>
          <w:rStyle w:val="Strong"/>
          <w:rFonts w:ascii="Book Antiqua" w:hAnsi="Book Antiqua"/>
          <w:b w:val="0"/>
          <w:i/>
          <w:sz w:val="20"/>
        </w:rPr>
        <w:t>Michelson’s Second Series Results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setting up and testing his apparatus from April 2 to June 5 of 1879, Michelson made 30 observations which were not considered in his final analysis and were not even recorded in any of his reports. His series proper began on June 5, and concluded on July 2 that same year, and comprised precisely 100 sets of experiments. Each set consisted of a group of ten readings as mentioned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Initially, Michelson gave his result as </w:t>
      </w:r>
      <m:oMath>
        <m:r>
          <w:rPr>
            <w:rFonts w:ascii="Book Antiqua" w:hAnsi="Book Antiqua"/>
            <w:sz w:val="20"/>
          </w:rPr>
          <m:t xml:space="preserve">299,944 ± 51 </m:t>
        </m:r>
        <m:r>
          <w:rPr>
            <w:rFonts w:ascii="Book Antiqua" w:hAnsi="Cambria Math"/>
            <w:sz w:val="20"/>
          </w:rPr>
          <m:t>km</m:t>
        </m:r>
        <m:r>
          <w:rPr>
            <w:rFonts w:ascii="Book Antiqua" w:hAnsi="Book Antiqua"/>
            <w:sz w:val="20"/>
          </w:rPr>
          <m:t>/</m:t>
        </m:r>
        <m:r>
          <w:rPr>
            <w:rFonts w:ascii="Book Antiqua" w:hAnsi="Cambria Math"/>
            <w:sz w:val="20"/>
          </w:rPr>
          <m:t>s</m:t>
        </m:r>
        <m:r>
          <w:rPr>
            <w:rFonts w:ascii="Book Antiqua" w:hAnsi="Book Antiqua"/>
            <w:sz w:val="20"/>
          </w:rPr>
          <m:t xml:space="preserve"> </m:t>
        </m:r>
      </m:oMath>
      <w:r w:rsidRPr="007F536A">
        <w:rPr>
          <w:rFonts w:ascii="Book Antiqua" w:hAnsi="Book Antiqua"/>
          <w:sz w:val="20"/>
        </w:rPr>
        <w:t>and then rounded to</w:t>
      </w:r>
      <m:oMath>
        <m:r>
          <w:rPr>
            <w:rFonts w:ascii="Book Antiqua" w:hAnsi="Book Antiqua"/>
            <w:sz w:val="20"/>
          </w:rPr>
          <m:t xml:space="preserve"> 299,940 ± 50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[132]. This value was then revised for both a false temperature correction and a trigonometrical misinterpretation of the micrometer readings. When this was done, the final corrected value for </w:t>
      </w:r>
      <m:oMath>
        <m:r>
          <w:rPr>
            <w:rStyle w:val="Emphasis"/>
            <w:rFonts w:ascii="Book Antiqua" w:hAnsi="Cambria Math"/>
            <w:sz w:val="20"/>
          </w:rPr>
          <m:t>c</m:t>
        </m:r>
      </m:oMath>
      <w:r w:rsidRPr="007F536A">
        <w:rPr>
          <w:rFonts w:ascii="Book Antiqua" w:hAnsi="Book Antiqua"/>
          <w:sz w:val="20"/>
        </w:rPr>
        <w:t xml:space="preserve"> was given as </w:t>
      </w:r>
      <m:oMath>
        <m:r>
          <w:rPr>
            <w:rFonts w:ascii="Book Antiqua" w:hAnsi="Book Antiqua"/>
            <w:sz w:val="20"/>
          </w:rPr>
          <m:t xml:space="preserve">299,910 ± 50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for a vacuum</w:t>
      </w:r>
      <w:r w:rsidRPr="007F536A">
        <w:rPr>
          <w:rFonts w:ascii="Book Antiqua" w:hAnsi="Book Antiqua"/>
          <w:color w:val="FF0000"/>
          <w:sz w:val="20"/>
        </w:rPr>
        <w:t xml:space="preserve"> </w:t>
      </w:r>
      <w:r w:rsidRPr="007F536A">
        <w:rPr>
          <w:rFonts w:ascii="Book Antiqua" w:hAnsi="Book Antiqua"/>
          <w:sz w:val="20"/>
        </w:rPr>
        <w:t xml:space="preserve">[133]. Dorsey felt that a value </w:t>
      </w:r>
      <w:bookmarkStart w:id="100" w:name="_ednref33"/>
      <w:r w:rsidRPr="007F536A">
        <w:rPr>
          <w:rFonts w:ascii="Book Antiqua" w:hAnsi="Book Antiqua"/>
          <w:sz w:val="20"/>
        </w:rPr>
        <w:t xml:space="preserve">of </w:t>
      </w:r>
      <m:oMath>
        <m:r>
          <w:rPr>
            <w:rFonts w:ascii="Book Antiqua" w:hAnsi="Book Antiqua"/>
            <w:sz w:val="20"/>
          </w:rPr>
          <m:t xml:space="preserve">299,900 </m:t>
        </m:r>
      </m:oMath>
      <w:r w:rsidRPr="007F536A">
        <w:rPr>
          <w:rFonts w:ascii="Book Antiqua" w:hAnsi="Book Antiqua"/>
          <w:sz w:val="20"/>
        </w:rPr>
        <w:t>might be justifiable [134</w:t>
      </w:r>
      <w:bookmarkEnd w:id="100"/>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When Newcomb mentioned the correction, he misquoted the value as </w:t>
      </w:r>
      <m:oMath>
        <m:r>
          <w:rPr>
            <w:rFonts w:ascii="Book Antiqua" w:hAnsi="Book Antiqua"/>
            <w:sz w:val="20"/>
          </w:rPr>
          <m:t xml:space="preserve">299,942 </m:t>
        </m:r>
        <m:r>
          <w:rPr>
            <w:rFonts w:ascii="Book Antiqua" w:hAnsi="Cambria Math"/>
            <w:sz w:val="20"/>
          </w:rPr>
          <m:t>km</m:t>
        </m:r>
        <m:r>
          <w:rPr>
            <w:rFonts w:ascii="Book Antiqua" w:hAnsi="Book Antiqua"/>
            <w:sz w:val="20"/>
          </w:rPr>
          <m:t>/</m:t>
        </m:r>
        <m:r>
          <w:rPr>
            <w:rFonts w:ascii="Book Antiqua" w:hAnsi="Cambria Math"/>
            <w:sz w:val="20"/>
          </w:rPr>
          <m:t>s</m:t>
        </m:r>
        <w:bookmarkStart w:id="101" w:name="_ednref34"/>
        <m:r>
          <w:rPr>
            <w:rFonts w:ascii="Book Antiqua" w:hAnsi="Book Antiqua"/>
            <w:sz w:val="20"/>
          </w:rPr>
          <m:t xml:space="preserve"> </m:t>
        </m:r>
      </m:oMath>
      <w:r w:rsidRPr="007F536A">
        <w:rPr>
          <w:rFonts w:ascii="Book Antiqua" w:hAnsi="Book Antiqua"/>
          <w:sz w:val="20"/>
        </w:rPr>
        <w:t>[135</w:t>
      </w:r>
      <w:bookmarkEnd w:id="101"/>
      <w:r w:rsidRPr="007F536A">
        <w:rPr>
          <w:rFonts w:ascii="Book Antiqua" w:hAnsi="Book Antiqua"/>
          <w:sz w:val="20"/>
        </w:rPr>
        <w:t xml:space="preserve">]. Todd’s discussion refers to this value as given in the ‘corrected slip’ but quotes </w:t>
      </w:r>
      <m:oMath>
        <m:r>
          <w:rPr>
            <w:rFonts w:ascii="Book Antiqua" w:hAnsi="Book Antiqua"/>
            <w:sz w:val="20"/>
          </w:rPr>
          <m:t xml:space="preserve">299,930 </m:t>
        </m:r>
        <m:r>
          <w:rPr>
            <w:rFonts w:ascii="Book Antiqua" w:hAnsi="Cambria Math"/>
            <w:sz w:val="20"/>
          </w:rPr>
          <m:t>km</m:t>
        </m:r>
        <m:r>
          <w:rPr>
            <w:rFonts w:ascii="Book Antiqua" w:hAnsi="Book Antiqua"/>
            <w:sz w:val="20"/>
          </w:rPr>
          <m:t>/</m:t>
        </m:r>
        <m:r>
          <w:rPr>
            <w:rFonts w:ascii="Book Antiqua" w:hAnsi="Cambria Math"/>
            <w:sz w:val="20"/>
          </w:rPr>
          <m:t>s</m:t>
        </m:r>
      </m:oMath>
      <w:bookmarkStart w:id="102" w:name="_ednref35"/>
      <w:r w:rsidRPr="007F536A">
        <w:rPr>
          <w:rFonts w:ascii="Book Antiqua" w:hAnsi="Book Antiqua"/>
          <w:sz w:val="20"/>
        </w:rPr>
        <w:t xml:space="preserve"> [136</w:t>
      </w:r>
      <w:bookmarkEnd w:id="102"/>
      <w:r w:rsidRPr="007F536A">
        <w:rPr>
          <w:rFonts w:ascii="Book Antiqua" w:hAnsi="Book Antiqua"/>
          <w:sz w:val="20"/>
        </w:rPr>
        <w:t>]. Some of this confusion may be traced to Michelson’s report to the American Association</w:t>
      </w:r>
      <w:bookmarkStart w:id="103" w:name="_ednref36"/>
      <w:r w:rsidRPr="007F536A">
        <w:rPr>
          <w:rFonts w:ascii="Book Antiqua" w:hAnsi="Book Antiqua"/>
          <w:sz w:val="20"/>
        </w:rPr>
        <w:t xml:space="preserve"> for the Advancement of Science [137</w:t>
      </w:r>
      <w:bookmarkEnd w:id="103"/>
      <w:r w:rsidRPr="007F536A">
        <w:rPr>
          <w:rFonts w:ascii="Book Antiqua" w:hAnsi="Book Antiqua"/>
          <w:sz w:val="20"/>
        </w:rPr>
        <w:t>]. The report itself was published accurately. However, an Abstract of Michelson’s report was then circulated. The Table of values that appeared in the Abstract, and those in the ‘corrected slip’ associated w</w:t>
      </w:r>
      <w:bookmarkStart w:id="104" w:name="_ednref37"/>
      <w:r w:rsidRPr="007F536A">
        <w:rPr>
          <w:rFonts w:ascii="Book Antiqua" w:hAnsi="Book Antiqua"/>
          <w:sz w:val="20"/>
        </w:rPr>
        <w:t>ith the Abstract were erroneous [138</w:t>
      </w:r>
      <w:bookmarkEnd w:id="104"/>
      <w:r w:rsidRPr="007F536A">
        <w:rPr>
          <w:rFonts w:ascii="Book Antiqua" w:hAnsi="Book Antiqua"/>
          <w:sz w:val="20"/>
        </w:rPr>
        <w:t>]. Todd’s discussion was based on these incorrect values and so must be discounted.</w:t>
      </w:r>
    </w:p>
    <w:p w:rsidR="00821A88" w:rsidRPr="007F536A" w:rsidRDefault="00821A88" w:rsidP="00821A88">
      <w:pPr>
        <w:pStyle w:val="NoSpacing"/>
        <w:jc w:val="both"/>
        <w:rPr>
          <w:rStyle w:val="Strong"/>
          <w:rFonts w:ascii="Book Antiqua" w:hAnsi="Book Antiqua"/>
          <w:b w:val="0"/>
          <w:bCs w:val="0"/>
          <w:sz w:val="20"/>
        </w:rPr>
      </w:pPr>
      <w:bookmarkStart w:id="105" w:name="MTS"/>
      <w:bookmarkEnd w:id="105"/>
    </w:p>
    <w:p w:rsidR="00821A88" w:rsidRPr="007F536A" w:rsidRDefault="00821A88" w:rsidP="00821A88">
      <w:pPr>
        <w:pStyle w:val="NoSpacing"/>
        <w:jc w:val="both"/>
        <w:rPr>
          <w:rFonts w:ascii="Book Antiqua" w:hAnsi="Book Antiqua"/>
          <w:b/>
          <w:i/>
          <w:sz w:val="20"/>
        </w:rPr>
      </w:pPr>
      <w:r w:rsidRPr="007F536A">
        <w:rPr>
          <w:rStyle w:val="Strong"/>
          <w:rFonts w:ascii="Book Antiqua" w:hAnsi="Book Antiqua"/>
          <w:b w:val="0"/>
          <w:i/>
          <w:sz w:val="20"/>
        </w:rPr>
        <w:t>4.12 Michelson’s Third Series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After moving to the Case Institute, Michelson was prompted by Newcomb to continue his investigation into the </w:t>
      </w:r>
      <w:r w:rsidRPr="00BD7068">
        <w:rPr>
          <w:rFonts w:ascii="Book Antiqua" w:hAnsi="Book Antiqua"/>
          <w:sz w:val="20"/>
        </w:rPr>
        <w:t>value of</w:t>
      </w:r>
      <w:r w:rsidR="00BD7068">
        <w:rPr>
          <w:rFonts w:ascii="Book Antiqua" w:hAnsi="Book Antiqua"/>
          <w:sz w:val="20"/>
        </w:rPr>
        <w:t xml:space="preserve"> </w:t>
      </w:r>
      <m:oMath>
        <m:r>
          <w:rPr>
            <w:rFonts w:ascii="Cambria Math" w:hAnsi="Cambria Math"/>
            <w:sz w:val="20"/>
          </w:rPr>
          <m:t>c</m:t>
        </m:r>
        <m:r>
          <w:rPr>
            <w:rStyle w:val="Emphasis"/>
            <w:rFonts w:ascii="Book Antiqua" w:hAnsi="Cambria Math"/>
            <w:sz w:val="20"/>
          </w:rPr>
          <m:t>c</m:t>
        </m:r>
      </m:oMath>
      <w:r w:rsidRPr="00BD7068">
        <w:rPr>
          <w:rFonts w:ascii="Book Antiqua" w:hAnsi="Book Antiqua"/>
          <w:sz w:val="20"/>
        </w:rPr>
        <w:t>.</w:t>
      </w:r>
      <w:r w:rsidRPr="007F536A">
        <w:rPr>
          <w:rFonts w:ascii="Book Antiqua" w:hAnsi="Book Antiqua"/>
          <w:sz w:val="20"/>
        </w:rPr>
        <w:t xml:space="preserve"> This was carried out in 1882, essentially concurrent with Newcomb’s final series. Michelson used virtually the same equipme</w:t>
      </w:r>
      <w:bookmarkStart w:id="106" w:name="_ednref38"/>
      <w:r w:rsidRPr="007F536A">
        <w:rPr>
          <w:rFonts w:ascii="Book Antiqua" w:hAnsi="Book Antiqua"/>
          <w:sz w:val="20"/>
        </w:rPr>
        <w:t>nt as that in his second series [139</w:t>
      </w:r>
      <w:bookmarkEnd w:id="106"/>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The same micrometer, the same rotating mirror, lens, and air drive were used both times. The general optical arrangements were the same. The main differences were the path length of 624.546 meters (the old one was 605.4 meters) and the distant fixed mirror, which was slightly concave and fifteen inches in diameter compared with seven inches for the old. The same tape was used for measuring as was the previous calibration of the micrometer screw. The new cross-checks and comparisons indicated that all was satisfactory, which, years later, Dorsey also agreed to.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other main difference was the stroboscopic speed measurement. The electrically driven fork made 128 vibrations per second (the old was 256), and compared by beats with the freely vibrating standard. A clock comparison was made with the standard. It was thus determined that the standard had 128 vibrations per second from 71 degrees F down to a low of 54 degrees F. Everything else was the same as the previous series. Dorsey admits that “</w:t>
      </w:r>
      <w:r w:rsidRPr="007F536A">
        <w:rPr>
          <w:rStyle w:val="Emphasis"/>
          <w:rFonts w:ascii="Book Antiqua" w:hAnsi="Book Antiqua"/>
          <w:sz w:val="20"/>
        </w:rPr>
        <w:t>One would expect the result to be essentially the same for each</w:t>
      </w:r>
      <w:r w:rsidRPr="007F536A">
        <w:rPr>
          <w:rFonts w:ascii="Book Antiqua" w:hAnsi="Book Antiqua"/>
          <w:sz w:val="20"/>
        </w:rPr>
        <w:t>.” [139] Accordingly, the stage was set for an interesting comparison of results, as this new series virtually differed only in location.</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bookmarkStart w:id="107" w:name="MTSR"/>
      <w:bookmarkEnd w:id="107"/>
      <w:r w:rsidRPr="007F536A">
        <w:rPr>
          <w:rStyle w:val="Strong"/>
          <w:rFonts w:ascii="Book Antiqua" w:hAnsi="Book Antiqua"/>
          <w:b w:val="0"/>
          <w:i/>
          <w:sz w:val="20"/>
        </w:rPr>
        <w:t xml:space="preserve"> Michelson’s Third Series Results</w:t>
      </w:r>
    </w:p>
    <w:p w:rsidR="00821A88" w:rsidRPr="007F536A" w:rsidRDefault="00821A88" w:rsidP="00821A88">
      <w:pPr>
        <w:pStyle w:val="NoSpacing"/>
        <w:jc w:val="both"/>
        <w:rPr>
          <w:rFonts w:ascii="Book Antiqua" w:hAnsi="Book Antiqua"/>
          <w:sz w:val="20"/>
        </w:rPr>
      </w:pPr>
    </w:p>
    <w:p w:rsidR="001C099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conducted 563 experiments between October 12 and November 14, 1883. The mirror was rotated at speeds ranging from 128.927 turns per second up to 258.754 with the usual speed being close to 258 turns per second. These speeds resulted in deflections from 68.907 mm. up to 138.233 mm with the average being close to 138 mm. The </w:t>
      </w:r>
      <w:r w:rsidRPr="007F536A">
        <w:rPr>
          <w:rFonts w:ascii="Book Antiqua" w:hAnsi="Book Antiqua"/>
          <w:sz w:val="20"/>
        </w:rPr>
        <w:lastRenderedPageBreak/>
        <w:t xml:space="preserve">distance from the rotating mirror to the micrometer was 10.15 meters, the same as the largest separation in the second series. Michelson’s definitive value for a vacuum in this series was </w:t>
      </w:r>
      <m:oMath>
        <m:r>
          <w:rPr>
            <w:rFonts w:ascii="Book Antiqua" w:hAnsi="Book Antiqua"/>
            <w:sz w:val="20"/>
          </w:rPr>
          <m:t xml:space="preserve">299,853 ± 60 </m:t>
        </m:r>
        <m:r>
          <w:rPr>
            <w:rFonts w:ascii="Book Antiqua" w:hAnsi="Cambria Math"/>
            <w:sz w:val="20"/>
          </w:rPr>
          <m:t>km</m:t>
        </m:r>
        <m:r>
          <w:rPr>
            <w:rFonts w:ascii="Book Antiqua" w:hAnsi="Book Antiqua"/>
            <w:sz w:val="20"/>
          </w:rPr>
          <m:t>/</m:t>
        </m:r>
        <m:r>
          <w:rPr>
            <w:rFonts w:ascii="Book Antiqua" w:hAnsi="Cambria Math"/>
            <w:sz w:val="20"/>
          </w:rPr>
          <m:t>s</m:t>
        </m:r>
      </m:oMath>
      <w:r w:rsidRPr="007F536A">
        <w:rPr>
          <w:rFonts w:ascii="Book Antiqua" w:hAnsi="Book Antiqua"/>
          <w:sz w:val="20"/>
        </w:rPr>
        <w:t xml:space="preserve">. </w:t>
      </w:r>
    </w:p>
    <w:p w:rsidR="001C099A" w:rsidRDefault="001C099A"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As Dorsey notes, no reason is given why the probable error for this series is </w:t>
      </w:r>
      <m:oMath>
        <m:r>
          <w:rPr>
            <w:rFonts w:ascii="Cambria Math" w:hAnsi="Cambria Math"/>
            <w:sz w:val="20"/>
          </w:rPr>
          <m:t>10 km/s</m:t>
        </m:r>
      </m:oMath>
      <w:r w:rsidRPr="007F536A">
        <w:rPr>
          <w:rFonts w:ascii="Book Antiqua" w:hAnsi="Book Antiqua"/>
          <w:sz w:val="20"/>
        </w:rPr>
        <w:t xml:space="preserve"> larger than for the previous one. Dorsey also admits that a value of </w:t>
      </w:r>
      <m:oMath>
        <m:r>
          <w:rPr>
            <w:rFonts w:ascii="Cambria Math" w:hAnsi="Cambria Math"/>
            <w:sz w:val="20"/>
          </w:rPr>
          <m:t>299,850 km/s</m:t>
        </m:r>
      </m:oMath>
      <w:r w:rsidRPr="007F536A">
        <w:rPr>
          <w:rFonts w:ascii="Book Antiqua" w:hAnsi="Book Antiqua"/>
          <w:sz w:val="20"/>
        </w:rPr>
        <w:t xml:space="preserve"> might be justifiable. Thus, taking either the values issued by Michelson, or Dorsey’s approximation of them, the result was a lower value for </w:t>
      </w:r>
      <w:r w:rsidRPr="007F536A">
        <w:rPr>
          <w:rStyle w:val="Emphasis"/>
          <w:rFonts w:ascii="Book Antiqua" w:hAnsi="Book Antiqua"/>
          <w:sz w:val="20"/>
        </w:rPr>
        <w:t>c</w:t>
      </w:r>
      <w:r w:rsidRPr="007F536A">
        <w:rPr>
          <w:rFonts w:ascii="Book Antiqua" w:hAnsi="Book Antiqua"/>
          <w:sz w:val="20"/>
        </w:rPr>
        <w:t xml:space="preserve"> at the later date.</w:t>
      </w:r>
    </w:p>
    <w:p w:rsidR="001C099A" w:rsidRDefault="001C099A" w:rsidP="00821A88">
      <w:pPr>
        <w:pStyle w:val="NoSpacing"/>
        <w:ind w:firstLine="720"/>
        <w:jc w:val="both"/>
        <w:rPr>
          <w:rFonts w:ascii="Book Antiqua" w:hAnsi="Book Antiqua"/>
          <w:sz w:val="20"/>
        </w:rPr>
      </w:pPr>
    </w:p>
    <w:p w:rsidR="00FF18D0" w:rsidRPr="007F536A" w:rsidRDefault="00FF18D0" w:rsidP="00821A88">
      <w:pPr>
        <w:pStyle w:val="NoSpacing"/>
        <w:ind w:firstLine="720"/>
        <w:jc w:val="both"/>
        <w:rPr>
          <w:rFonts w:ascii="Book Antiqua" w:hAnsi="Book Antiqua"/>
          <w:sz w:val="20"/>
        </w:rPr>
      </w:pPr>
    </w:p>
    <w:p w:rsidR="00821A88" w:rsidRPr="00965DCB" w:rsidRDefault="00821A88" w:rsidP="00821A88">
      <w:pPr>
        <w:pStyle w:val="NoSpacing"/>
        <w:numPr>
          <w:ilvl w:val="1"/>
          <w:numId w:val="26"/>
        </w:numPr>
        <w:jc w:val="both"/>
        <w:rPr>
          <w:rStyle w:val="Strong"/>
          <w:rFonts w:ascii="Book Antiqua" w:hAnsi="Book Antiqua"/>
          <w:bCs w:val="0"/>
          <w:i/>
          <w:sz w:val="20"/>
        </w:rPr>
      </w:pPr>
      <w:bookmarkStart w:id="108" w:name="MTA"/>
      <w:bookmarkEnd w:id="108"/>
      <w:r w:rsidRPr="007F536A">
        <w:rPr>
          <w:rStyle w:val="Strong"/>
          <w:rFonts w:ascii="Book Antiqua" w:hAnsi="Book Antiqua"/>
          <w:b w:val="0"/>
          <w:i/>
          <w:sz w:val="20"/>
        </w:rPr>
        <w:t>Michelson Tries Again</w:t>
      </w:r>
    </w:p>
    <w:p w:rsidR="00965DCB" w:rsidRDefault="00965DCB" w:rsidP="00965DCB">
      <w:pPr>
        <w:pStyle w:val="NoSpacing"/>
        <w:ind w:left="360"/>
        <w:jc w:val="both"/>
        <w:rPr>
          <w:rStyle w:val="Strong"/>
          <w:rFonts w:ascii="Book Antiqua" w:hAnsi="Book Antiqua"/>
          <w:b w:val="0"/>
          <w:i/>
          <w:sz w:val="20"/>
        </w:rPr>
      </w:pPr>
    </w:p>
    <w:p w:rsidR="00965DCB" w:rsidRPr="007F536A" w:rsidRDefault="00965DCB" w:rsidP="00965DCB">
      <w:pPr>
        <w:pStyle w:val="NoSpacing"/>
        <w:ind w:firstLine="720"/>
        <w:jc w:val="both"/>
        <w:rPr>
          <w:rFonts w:ascii="Book Antiqua" w:hAnsi="Book Antiqua"/>
          <w:sz w:val="20"/>
        </w:rPr>
      </w:pPr>
      <w:r w:rsidRPr="007F536A">
        <w:rPr>
          <w:rFonts w:ascii="Book Antiqua" w:hAnsi="Book Antiqua"/>
          <w:sz w:val="20"/>
        </w:rPr>
        <w:t xml:space="preserve">Years later, Michelson was willing to try again. He may have been somewhat influenced by the fact that his earlier determinations of </w:t>
      </w:r>
      <w:r w:rsidRPr="007F536A">
        <w:rPr>
          <w:rFonts w:ascii="Book Antiqua" w:hAnsi="Book Antiqua"/>
          <w:i/>
          <w:sz w:val="20"/>
        </w:rPr>
        <w:t>c</w:t>
      </w:r>
      <w:r w:rsidRPr="007F536A">
        <w:rPr>
          <w:rFonts w:ascii="Book Antiqua" w:hAnsi="Book Antiqua"/>
          <w:sz w:val="20"/>
        </w:rPr>
        <w:t xml:space="preserve"> had been privately funded. This time the Carnegie Institute of Washington offered to back the enterprise. Accordingly, an improved method, a longer path and fewer financial restrictions saw Michelson rising to the challenge and conducting a new series of experiments in August of 1924, when he was 72.</w:t>
      </w:r>
    </w:p>
    <w:p w:rsidR="00965DCB" w:rsidRPr="007F536A" w:rsidRDefault="00965DCB" w:rsidP="00965DCB">
      <w:pPr>
        <w:pStyle w:val="NoSpacing"/>
        <w:ind w:left="360"/>
        <w:jc w:val="both"/>
        <w:rPr>
          <w:rFonts w:ascii="Book Antiqua" w:hAnsi="Book Antiqua"/>
          <w:b/>
          <w:i/>
          <w:sz w:val="20"/>
        </w:rPr>
      </w:pPr>
    </w:p>
    <w:tbl>
      <w:tblPr>
        <w:tblStyle w:val="TableGrid"/>
        <w:tblW w:w="0" w:type="auto"/>
        <w:jc w:val="center"/>
        <w:tblLook w:val="04A0"/>
      </w:tblPr>
      <w:tblGrid>
        <w:gridCol w:w="2588"/>
        <w:gridCol w:w="2766"/>
        <w:gridCol w:w="3126"/>
      </w:tblGrid>
      <w:tr w:rsidR="00821A88" w:rsidRPr="007F536A" w:rsidTr="00B77C92">
        <w:trPr>
          <w:trHeight w:val="2130"/>
          <w:jc w:val="center"/>
        </w:trPr>
        <w:tc>
          <w:tcPr>
            <w:tcW w:w="2588"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487066" cy="1714500"/>
                  <wp:effectExtent l="19050" t="0" r="0" b="0"/>
                  <wp:docPr id="84" name="il_fi" descr="http://upload.wikimedia.org/wikipedia/commons/thumb/d/d6/Albert_Abraham_Michelson_1918.jpg/230px-Albert_Abraham_Michelson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d/d6/Albert_Abraham_Michelson_1918.jpg/230px-Albert_Abraham_Michelson_1918.jpg"/>
                          <pic:cNvPicPr>
                            <a:picLocks noChangeAspect="1" noChangeArrowheads="1"/>
                          </pic:cNvPicPr>
                        </pic:nvPicPr>
                        <pic:blipFill>
                          <a:blip r:embed="rId114" cstate="print"/>
                          <a:srcRect l="19568" r="21781" b="51915"/>
                          <a:stretch>
                            <a:fillRect/>
                          </a:stretch>
                        </pic:blipFill>
                        <pic:spPr bwMode="auto">
                          <a:xfrm>
                            <a:off x="0" y="0"/>
                            <a:ext cx="1497316" cy="1726317"/>
                          </a:xfrm>
                          <a:prstGeom prst="rect">
                            <a:avLst/>
                          </a:prstGeom>
                          <a:noFill/>
                          <a:ln w="9525">
                            <a:noFill/>
                            <a:miter lim="800000"/>
                            <a:headEnd/>
                            <a:tailEnd/>
                          </a:ln>
                        </pic:spPr>
                      </pic:pic>
                    </a:graphicData>
                  </a:graphic>
                </wp:inline>
              </w:drawing>
            </w:r>
          </w:p>
        </w:tc>
        <w:tc>
          <w:tcPr>
            <w:tcW w:w="276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591969" cy="1714500"/>
                  <wp:effectExtent l="19050" t="0" r="8231" b="0"/>
                  <wp:docPr id="7" name="il_fi" descr="http://upload.wikimedia.org/wikipedia/commons/thumb/9/9e/Albert_Abraham_Michelson2.jpg/220px-Albert_Abraham_Michels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9/9e/Albert_Abraham_Michelson2.jpg/220px-Albert_Abraham_Michelson2.jpg"/>
                          <pic:cNvPicPr>
                            <a:picLocks noChangeAspect="1" noChangeArrowheads="1"/>
                          </pic:cNvPicPr>
                        </pic:nvPicPr>
                        <pic:blipFill>
                          <a:blip r:embed="rId115" cstate="print"/>
                          <a:srcRect r="-506" b="22517"/>
                          <a:stretch>
                            <a:fillRect/>
                          </a:stretch>
                        </pic:blipFill>
                        <pic:spPr bwMode="auto">
                          <a:xfrm>
                            <a:off x="0" y="0"/>
                            <a:ext cx="1600570" cy="1723763"/>
                          </a:xfrm>
                          <a:prstGeom prst="rect">
                            <a:avLst/>
                          </a:prstGeom>
                          <a:noFill/>
                          <a:ln w="9525">
                            <a:noFill/>
                            <a:miter lim="800000"/>
                            <a:headEnd/>
                            <a:tailEnd/>
                          </a:ln>
                        </pic:spPr>
                      </pic:pic>
                    </a:graphicData>
                  </a:graphic>
                </wp:inline>
              </w:drawing>
            </w:r>
          </w:p>
        </w:tc>
        <w:tc>
          <w:tcPr>
            <w:tcW w:w="3126" w:type="dxa"/>
          </w:tcPr>
          <w:p w:rsidR="00821A88" w:rsidRPr="007F536A" w:rsidRDefault="00821A88" w:rsidP="00400B4E">
            <w:pPr>
              <w:pStyle w:val="NoSpacing"/>
              <w:jc w:val="both"/>
              <w:rPr>
                <w:rFonts w:ascii="Book Antiqua" w:hAnsi="Book Antiqua"/>
                <w:sz w:val="20"/>
              </w:rPr>
            </w:pPr>
            <w:r w:rsidRPr="007F536A">
              <w:rPr>
                <w:rFonts w:ascii="Book Antiqua" w:hAnsi="Book Antiqua"/>
                <w:noProof/>
                <w:sz w:val="20"/>
              </w:rPr>
              <w:drawing>
                <wp:inline distT="0" distB="0" distL="0" distR="0">
                  <wp:extent cx="1822589" cy="1714500"/>
                  <wp:effectExtent l="19050" t="0" r="6211" b="0"/>
                  <wp:docPr id="10" name="il_fi" descr="http://www.nndb.com/people/501/000099204/albert-michelson-1-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ndb.com/people/501/000099204/albert-michelson-1-sized.jpg"/>
                          <pic:cNvPicPr>
                            <a:picLocks noChangeAspect="1" noChangeArrowheads="1"/>
                          </pic:cNvPicPr>
                        </pic:nvPicPr>
                        <pic:blipFill>
                          <a:blip r:embed="rId116" cstate="print"/>
                          <a:srcRect r="-132" b="23838"/>
                          <a:stretch>
                            <a:fillRect/>
                          </a:stretch>
                        </pic:blipFill>
                        <pic:spPr bwMode="auto">
                          <a:xfrm>
                            <a:off x="0" y="0"/>
                            <a:ext cx="1839692" cy="1730589"/>
                          </a:xfrm>
                          <a:prstGeom prst="rect">
                            <a:avLst/>
                          </a:prstGeom>
                          <a:noFill/>
                          <a:ln w="9525">
                            <a:noFill/>
                            <a:miter lim="800000"/>
                            <a:headEnd/>
                            <a:tailEnd/>
                          </a:ln>
                        </pic:spPr>
                      </pic:pic>
                    </a:graphicData>
                  </a:graphic>
                </wp:inline>
              </w:drawing>
            </w:r>
          </w:p>
        </w:tc>
      </w:tr>
    </w:tbl>
    <w:p w:rsidR="00821A88" w:rsidRPr="007F536A" w:rsidRDefault="00821A88" w:rsidP="00821A88">
      <w:pPr>
        <w:pStyle w:val="NoSpacing"/>
        <w:jc w:val="both"/>
        <w:rPr>
          <w:rFonts w:ascii="Book Antiqua" w:hAnsi="Book Antiqua"/>
          <w:sz w:val="20"/>
        </w:rPr>
      </w:pPr>
    </w:p>
    <w:p w:rsidR="00821A88" w:rsidRPr="001C099A" w:rsidRDefault="00821A88" w:rsidP="004532A2">
      <w:pPr>
        <w:pStyle w:val="NoSpacing"/>
        <w:jc w:val="center"/>
        <w:rPr>
          <w:rFonts w:ascii="Book Antiqua" w:hAnsi="Book Antiqua"/>
          <w:i/>
          <w:sz w:val="18"/>
          <w:szCs w:val="18"/>
        </w:rPr>
      </w:pPr>
      <w:r w:rsidRPr="001C099A">
        <w:rPr>
          <w:rFonts w:ascii="Book Antiqua" w:hAnsi="Book Antiqua"/>
          <w:b/>
          <w:i/>
          <w:sz w:val="18"/>
          <w:szCs w:val="18"/>
        </w:rPr>
        <w:t>Figure 25:</w:t>
      </w:r>
      <w:r w:rsidRPr="001C099A">
        <w:rPr>
          <w:rFonts w:ascii="Book Antiqua" w:hAnsi="Book Antiqua"/>
          <w:i/>
          <w:sz w:val="18"/>
          <w:szCs w:val="18"/>
        </w:rPr>
        <w:t xml:space="preserve"> Albert Abraham Michelson at three stages of his life.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new method, which has been described as a special case of the rotating mirror experiment, actually combined features of both the old toothed wheel system and the Foucault arrangement. It is illustrated in Figure 26.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center"/>
        <w:rPr>
          <w:rFonts w:ascii="Book Antiqua" w:hAnsi="Book Antiqua"/>
          <w:sz w:val="20"/>
        </w:rPr>
      </w:pPr>
      <w:r w:rsidRPr="007F536A">
        <w:rPr>
          <w:rFonts w:ascii="Book Antiqua" w:hAnsi="Book Antiqua"/>
          <w:noProof/>
          <w:sz w:val="20"/>
        </w:rPr>
        <w:drawing>
          <wp:inline distT="0" distB="0" distL="0" distR="0">
            <wp:extent cx="3107958" cy="2343630"/>
            <wp:effectExtent l="19050" t="0" r="0" b="0"/>
            <wp:docPr id="38" name="Picture 65" descr="The Michelson light speed appara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Michelson light speed apparatus ."/>
                    <pic:cNvPicPr>
                      <a:picLocks noChangeAspect="1" noChangeArrowheads="1"/>
                    </pic:cNvPicPr>
                  </pic:nvPicPr>
                  <pic:blipFill>
                    <a:blip r:embed="rId117" cstate="print"/>
                    <a:srcRect/>
                    <a:stretch>
                      <a:fillRect/>
                    </a:stretch>
                  </pic:blipFill>
                  <pic:spPr bwMode="auto">
                    <a:xfrm>
                      <a:off x="0" y="0"/>
                      <a:ext cx="3119073" cy="2352012"/>
                    </a:xfrm>
                    <a:prstGeom prst="rect">
                      <a:avLst/>
                    </a:prstGeom>
                    <a:noFill/>
                    <a:ln w="9525">
                      <a:noFill/>
                      <a:miter lim="800000"/>
                      <a:headEnd/>
                      <a:tailEnd/>
                    </a:ln>
                  </pic:spPr>
                </pic:pic>
              </a:graphicData>
            </a:graphic>
          </wp:inline>
        </w:drawing>
      </w:r>
    </w:p>
    <w:p w:rsidR="00821A88" w:rsidRPr="007F536A" w:rsidRDefault="00821A88" w:rsidP="00821A88">
      <w:pPr>
        <w:pStyle w:val="NoSpacing"/>
        <w:ind w:firstLine="720"/>
        <w:jc w:val="both"/>
        <w:rPr>
          <w:rFonts w:ascii="Book Antiqua" w:hAnsi="Book Antiqua"/>
          <w:sz w:val="18"/>
          <w:szCs w:val="18"/>
        </w:rPr>
      </w:pPr>
    </w:p>
    <w:p w:rsidR="00821A88" w:rsidRPr="001C099A" w:rsidRDefault="00821A88" w:rsidP="00F050C2">
      <w:pPr>
        <w:pStyle w:val="NoSpacing"/>
        <w:jc w:val="center"/>
        <w:rPr>
          <w:rFonts w:ascii="Book Antiqua" w:hAnsi="Book Antiqua"/>
          <w:i/>
          <w:sz w:val="18"/>
          <w:szCs w:val="18"/>
        </w:rPr>
      </w:pPr>
      <w:r w:rsidRPr="001C099A">
        <w:rPr>
          <w:rFonts w:ascii="Book Antiqua" w:hAnsi="Book Antiqua"/>
          <w:b/>
          <w:i/>
          <w:sz w:val="18"/>
          <w:szCs w:val="18"/>
        </w:rPr>
        <w:t>Figure 26:</w:t>
      </w:r>
      <w:r w:rsidRPr="001C099A">
        <w:rPr>
          <w:rFonts w:ascii="Book Antiqua" w:hAnsi="Book Antiqua"/>
          <w:i/>
          <w:sz w:val="18"/>
          <w:szCs w:val="18"/>
        </w:rPr>
        <w:t xml:space="preserve"> Michelson’s 8-Faced Rotating Mirror</w:t>
      </w:r>
    </w:p>
    <w:p w:rsidR="00FF18D0" w:rsidRDefault="00FF18D0" w:rsidP="00965DCB">
      <w:pPr>
        <w:pStyle w:val="NoSpacing"/>
        <w:ind w:firstLine="720"/>
        <w:jc w:val="both"/>
        <w:rPr>
          <w:rFonts w:ascii="Book Antiqua" w:hAnsi="Book Antiqua"/>
          <w:sz w:val="20"/>
        </w:rPr>
      </w:pPr>
    </w:p>
    <w:p w:rsidR="00F050C2" w:rsidRPr="007F536A" w:rsidRDefault="00F050C2" w:rsidP="00F050C2">
      <w:pPr>
        <w:pStyle w:val="NoSpacing"/>
        <w:ind w:firstLine="720"/>
        <w:jc w:val="both"/>
        <w:rPr>
          <w:rFonts w:ascii="Book Antiqua" w:hAnsi="Book Antiqua"/>
          <w:sz w:val="20"/>
        </w:rPr>
      </w:pPr>
      <w:r w:rsidRPr="007F536A">
        <w:rPr>
          <w:rFonts w:ascii="Book Antiqua" w:hAnsi="Book Antiqua"/>
          <w:sz w:val="20"/>
        </w:rPr>
        <w:lastRenderedPageBreak/>
        <w:t>The source of light was a Sperry arc focused on a slit. This light then passes to one face of the octagonal rotating mirror, and via a system of small optically flat mirrors to a large concave mirror. This sent a parallel beam of light to its twin mirror, M</w:t>
      </w:r>
      <w:r w:rsidRPr="007F536A">
        <w:rPr>
          <w:rFonts w:ascii="Book Antiqua" w:hAnsi="Book Antiqua"/>
          <w:sz w:val="20"/>
          <w:vertAlign w:val="subscript"/>
        </w:rPr>
        <w:t>2</w:t>
      </w:r>
      <w:r w:rsidRPr="007F536A">
        <w:rPr>
          <w:rFonts w:ascii="Book Antiqua" w:hAnsi="Book Antiqua"/>
          <w:sz w:val="20"/>
        </w:rPr>
        <w:t xml:space="preserve">, 22.5 miles away. From there, the mirror reflected it back to the eyes of the observer, at the telescope, by the system of optical flats and the opposite face of the octagonal mirror. </w:t>
      </w:r>
    </w:p>
    <w:p w:rsidR="00F050C2" w:rsidRDefault="00F050C2" w:rsidP="00965DCB">
      <w:pPr>
        <w:pStyle w:val="NoSpacing"/>
        <w:ind w:firstLine="720"/>
        <w:jc w:val="both"/>
        <w:rPr>
          <w:rFonts w:ascii="Book Antiqua" w:hAnsi="Book Antiqua"/>
          <w:sz w:val="20"/>
        </w:rPr>
      </w:pPr>
    </w:p>
    <w:p w:rsidR="00821A88" w:rsidRPr="007F536A" w:rsidRDefault="00965DCB" w:rsidP="00965DCB">
      <w:pPr>
        <w:pStyle w:val="NoSpacing"/>
        <w:ind w:firstLine="720"/>
        <w:jc w:val="both"/>
        <w:rPr>
          <w:rFonts w:ascii="Book Antiqua" w:hAnsi="Book Antiqua"/>
          <w:sz w:val="20"/>
        </w:rPr>
      </w:pPr>
      <w:r w:rsidRPr="007F536A">
        <w:rPr>
          <w:rFonts w:ascii="Book Antiqua" w:hAnsi="Book Antiqua"/>
          <w:sz w:val="20"/>
        </w:rPr>
        <w:t>The system was adjusted with the octagonal mirror at rest and the image of the slit adjusted on the micrometer. The octagon was then rotated, displacing the image. However, at a certain critical speed, the next face of the octagon was in the position of the first face and as a consequence, the image was again un-deflected. This situation was basically similar to the undimmed image from the toothed wheel. This system also allowed two types of measurement. The speed of the octagon could be measured for the un-displaced image, or, alternatively, fixing the speed at some convenient value, the image displacement</w:t>
      </w:r>
      <w:r w:rsidR="00821A88" w:rsidRPr="007F536A">
        <w:rPr>
          <w:rFonts w:ascii="Book Antiqua" w:hAnsi="Book Antiqua"/>
          <w:sz w:val="20"/>
        </w:rPr>
        <w:t xml:space="preserve"> could be measured by the micrometer. Additionally, Michelson arranged for a number of rotating mirrors to be used, some of 8, 12, or 16 sides, and comparisons made.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This experiment was first suggested by Cornu,</w:t>
      </w:r>
      <w:bookmarkStart w:id="109" w:name="_ednref39"/>
      <w:r w:rsidRPr="007F536A">
        <w:rPr>
          <w:rFonts w:ascii="Book Antiqua" w:hAnsi="Book Antiqua"/>
          <w:sz w:val="20"/>
        </w:rPr>
        <w:t xml:space="preserve"> [140</w:t>
      </w:r>
      <w:bookmarkEnd w:id="109"/>
      <w:r w:rsidRPr="007F536A">
        <w:rPr>
          <w:rFonts w:ascii="Book Antiqua" w:hAnsi="Book Antiqua"/>
          <w:sz w:val="20"/>
        </w:rPr>
        <w:t>], though Michelson did not appreciate Cornu’s view of it as harmonizing both the Foucault as well as the Fizeau methods</w:t>
      </w:r>
      <w:bookmarkStart w:id="110" w:name="_ednref40"/>
      <w:r w:rsidRPr="007F536A">
        <w:rPr>
          <w:rFonts w:ascii="Book Antiqua" w:hAnsi="Book Antiqua"/>
          <w:sz w:val="20"/>
        </w:rPr>
        <w:t xml:space="preserve"> [141</w:t>
      </w:r>
      <w:bookmarkEnd w:id="110"/>
      <w:r w:rsidRPr="007F536A">
        <w:rPr>
          <w:rFonts w:ascii="Book Antiqua" w:hAnsi="Book Antiqua"/>
          <w:sz w:val="20"/>
        </w:rPr>
        <w:t>]. Newcomb also made the helpful suggestion that a multi-faceted prismatic mirror be used in which the returned beam be reflected from the op</w:t>
      </w:r>
      <w:bookmarkStart w:id="111" w:name="_ednref41"/>
      <w:r w:rsidRPr="007F536A">
        <w:rPr>
          <w:rFonts w:ascii="Book Antiqua" w:hAnsi="Book Antiqua"/>
          <w:sz w:val="20"/>
        </w:rPr>
        <w:t>posite face to the outgoing one [142</w:t>
      </w:r>
      <w:bookmarkEnd w:id="111"/>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12" w:name="details"/>
      <w:bookmarkEnd w:id="112"/>
      <w:r w:rsidRPr="007F536A">
        <w:rPr>
          <w:rStyle w:val="Strong"/>
          <w:rFonts w:ascii="Book Antiqua" w:hAnsi="Book Antiqua"/>
          <w:b w:val="0"/>
          <w:i/>
          <w:sz w:val="20"/>
        </w:rPr>
        <w:t xml:space="preserve"> Details of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twin concave mirrors each had a 30 foot focus (9.14 meters) and two foot aperture (61 centimeters). Light was sent from Mt. Wilson Observatory in California about 22.5 miles to San Antonio Peak. The measurement between the two mountain bench marks was exactly 35,385.53 meters, with a probable error of one part in two million</w:t>
      </w:r>
      <w:bookmarkStart w:id="113" w:name="_ednref42"/>
      <w:r w:rsidRPr="007F536A">
        <w:rPr>
          <w:rFonts w:ascii="Book Antiqua" w:hAnsi="Book Antiqua"/>
          <w:sz w:val="20"/>
        </w:rPr>
        <w:t xml:space="preserve"> [143</w:t>
      </w:r>
      <w:bookmarkEnd w:id="113"/>
      <w:r w:rsidRPr="007F536A">
        <w:rPr>
          <w:rFonts w:ascii="Book Antiqua" w:hAnsi="Book Antiqua"/>
          <w:sz w:val="20"/>
        </w:rPr>
        <w:t>]. When the distance from the markers to the mirrors is added, the final d</w:t>
      </w:r>
      <w:bookmarkStart w:id="114" w:name="_ednref43"/>
      <w:r w:rsidRPr="007F536A">
        <w:rPr>
          <w:rFonts w:ascii="Book Antiqua" w:hAnsi="Book Antiqua"/>
          <w:sz w:val="20"/>
        </w:rPr>
        <w:t>istance became 35,426.23 meters [144</w:t>
      </w:r>
      <w:bookmarkEnd w:id="114"/>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The reports indicate that the glass octagonal prism was used exclusively as the rotating mirror for this determination in 1924</w:t>
      </w:r>
      <w:bookmarkStart w:id="115" w:name="_ednref44"/>
      <w:r w:rsidRPr="007F536A">
        <w:rPr>
          <w:rFonts w:ascii="Book Antiqua" w:hAnsi="Book Antiqua"/>
          <w:sz w:val="20"/>
        </w:rPr>
        <w:t xml:space="preserve"> [145</w:t>
      </w:r>
      <w:bookmarkEnd w:id="115"/>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It was driven by two nozzles directing a blast of air at 40 cm mercury pressure against the six (or 8?) vanes of an open fan wheel. Mirror speeds were about 528 turns per second and regulated by a control valve issuing a counter-blast to the fan wheel. The distance of the micrometer from the rotating mirror was 25 centimeters and the unshifted position of the image was utilized.</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The item that had to be established was the rate of mirror rotation for the unshifted position of the image. Again, stroboscopic means were employed. This time it was an electrically driven tuning fork of 132.25 vibrations per second. It was compared with a free auxiliary pendulum that was itself checked against an invar gravity pendulum rated and loaned by the U.S. Coast and Geodetic Survey. Experiments were conducted at night between August 4 and 10, 1924, and comprised ten series of observations conducted on each of eight occasions, giving a total of eighty experiments.</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the New Try</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Michelson initially published a r</w:t>
      </w:r>
      <w:r w:rsidRPr="00BD7068">
        <w:rPr>
          <w:rFonts w:ascii="Book Antiqua" w:hAnsi="Book Antiqua"/>
          <w:sz w:val="20"/>
        </w:rPr>
        <w:t xml:space="preserve">esult of </w:t>
      </w:r>
      <m:oMath>
        <m:r>
          <w:rPr>
            <w:rFonts w:ascii="Cambria Math" w:hAnsi="Cambria Math"/>
            <w:sz w:val="20"/>
          </w:rPr>
          <m:t>299,820 ± 30</m:t>
        </m:r>
      </m:oMath>
      <w:r w:rsidRPr="00BD7068">
        <w:rPr>
          <w:rFonts w:ascii="Book Antiqua" w:hAnsi="Book Antiqua"/>
          <w:sz w:val="20"/>
        </w:rPr>
        <w:t xml:space="preserve"> </w:t>
      </w:r>
      <m:oMath>
        <m:r>
          <w:rPr>
            <w:rFonts w:ascii="Cambria Math" w:hAnsi="Cambria Math"/>
            <w:sz w:val="20"/>
          </w:rPr>
          <m:t>km/s</m:t>
        </m:r>
      </m:oMath>
      <w:bookmarkStart w:id="116" w:name="a44"/>
      <w:bookmarkEnd w:id="116"/>
      <w:r w:rsidRPr="00BD7068">
        <w:rPr>
          <w:rFonts w:ascii="Book Antiqua" w:hAnsi="Book Antiqua"/>
          <w:sz w:val="20"/>
        </w:rPr>
        <w:t xml:space="preserve"> [145].</w:t>
      </w:r>
      <w:r w:rsidRPr="007F536A">
        <w:rPr>
          <w:rFonts w:ascii="Book Antiqua" w:hAnsi="Book Antiqua"/>
          <w:sz w:val="20"/>
        </w:rPr>
        <w:t xml:space="preserve"> However, it was then realized that the vacuum correction was faulty due to the altitude of the experiments and further examination of this issue resulted in a correction being issued later, giving the final value for this fourth series as</w:t>
      </w:r>
      <m:oMath>
        <m:r>
          <w:rPr>
            <w:rFonts w:ascii="Cambria Math" w:hAnsi="Cambria Math"/>
            <w:sz w:val="20"/>
          </w:rPr>
          <m:t xml:space="preserve"> 299,802 ± 30 k</m:t>
        </m:r>
        <m:r>
          <w:rPr>
            <w:rFonts w:ascii="Cambria Math" w:hAnsi="Cambria Math"/>
            <w:sz w:val="20"/>
          </w:rPr>
          <m:t>m/s</m:t>
        </m:r>
        <w:bookmarkStart w:id="117" w:name="_ednref45"/>
        <m:r>
          <w:rPr>
            <w:rFonts w:ascii="Cambria Math" w:hAnsi="Cambria Math"/>
            <w:sz w:val="20"/>
          </w:rPr>
          <m:t xml:space="preserve"> </m:t>
        </m:r>
      </m:oMath>
      <w:r w:rsidRPr="007F536A">
        <w:rPr>
          <w:rFonts w:ascii="Book Antiqua" w:hAnsi="Book Antiqua"/>
          <w:sz w:val="20"/>
        </w:rPr>
        <w:t>[146</w:t>
      </w:r>
      <w:bookmarkEnd w:id="117"/>
      <w:r w:rsidRPr="007F536A">
        <w:rPr>
          <w:rFonts w:ascii="Book Antiqua" w:hAnsi="Book Antiqua"/>
          <w:sz w:val="20"/>
        </w:rPr>
        <w:t>].</w:t>
      </w:r>
      <w:r w:rsidRPr="007F536A">
        <w:rPr>
          <w:rFonts w:ascii="Book Antiqua" w:hAnsi="Book Antiqua"/>
          <w:color w:val="FF0000"/>
          <w:sz w:val="20"/>
        </w:rPr>
        <w:t xml:space="preserve"> </w:t>
      </w:r>
      <w:r w:rsidRPr="007F536A">
        <w:rPr>
          <w:rFonts w:ascii="Book Antiqua" w:hAnsi="Book Antiqua"/>
          <w:sz w:val="20"/>
        </w:rPr>
        <w:t xml:space="preserve">Dorsey conceded a value of 299,800 km/s was justifiable, but later points out that a further correction to the group refractive index is more appropriate than the ordinary index, and this adds another </w:t>
      </w:r>
      <m:oMath>
        <m:r>
          <w:rPr>
            <w:rFonts w:ascii="Cambria Math" w:hAnsi="Cambria Math"/>
            <w:sz w:val="20"/>
          </w:rPr>
          <m:t>2 km/s</m:t>
        </m:r>
      </m:oMath>
      <w:r w:rsidRPr="007F536A">
        <w:rPr>
          <w:rFonts w:ascii="Book Antiqua" w:hAnsi="Book Antiqua"/>
          <w:sz w:val="20"/>
        </w:rPr>
        <w:t xml:space="preserve"> to the value, leaving the final result as it stands</w:t>
      </w:r>
      <w:bookmarkStart w:id="118" w:name="_ednref46"/>
      <w:r w:rsidRPr="007F536A">
        <w:rPr>
          <w:rFonts w:ascii="Book Antiqua" w:hAnsi="Book Antiqua"/>
          <w:sz w:val="20"/>
        </w:rPr>
        <w:t xml:space="preserve"> [147</w:t>
      </w:r>
      <w:bookmarkEnd w:id="118"/>
      <w:r w:rsidRPr="007F536A">
        <w:rPr>
          <w:rFonts w:ascii="Book Antiqua" w:hAnsi="Book Antiqua"/>
          <w:sz w:val="20"/>
        </w:rPr>
        <w:t xml:space="preserve">]. Because he planned to continue with further experiments using other mirrors but the same equipment, Michelson called this result ‘preliminary.’ However, the series was complete in itself and deemed of sufficient accuracy to be published at once, with the speed of light value of </w:t>
      </w:r>
      <m:oMath>
        <m:r>
          <w:rPr>
            <w:rFonts w:ascii="Cambria Math" w:hAnsi="Cambria Math"/>
            <w:sz w:val="20"/>
          </w:rPr>
          <m:t>299,802 ± 30 km/s</m:t>
        </m:r>
      </m:oMath>
      <w:r w:rsidRPr="007F536A">
        <w:rPr>
          <w:rFonts w:ascii="Book Antiqua" w:hAnsi="Book Antiqua"/>
          <w:sz w:val="20"/>
        </w:rPr>
        <w:t xml:space="preserve"> – again a lower value than before.</w:t>
      </w:r>
    </w:p>
    <w:p w:rsidR="00821A88" w:rsidRPr="007F536A" w:rsidRDefault="00821A88" w:rsidP="00821A88">
      <w:pPr>
        <w:pStyle w:val="NoSpacing"/>
        <w:jc w:val="both"/>
        <w:rPr>
          <w:rStyle w:val="Strong"/>
          <w:rFonts w:ascii="Book Antiqua" w:hAnsi="Book Antiqua"/>
          <w:b w:val="0"/>
          <w:bCs w:val="0"/>
          <w:i/>
          <w:sz w:val="20"/>
        </w:rPr>
      </w:pPr>
      <w:bookmarkStart w:id="119" w:name="MSF"/>
      <w:bookmarkEnd w:id="119"/>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Michelson’s Series Five</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arrangements for series five were virtually unchanged from the initial series four experiments</w:t>
      </w:r>
      <w:bookmarkStart w:id="120" w:name="_ednref47"/>
      <w:r w:rsidRPr="007F536A">
        <w:rPr>
          <w:rFonts w:ascii="Book Antiqua" w:hAnsi="Book Antiqua"/>
          <w:sz w:val="20"/>
        </w:rPr>
        <w:t xml:space="preserve"> [148</w:t>
      </w:r>
      <w:bookmarkEnd w:id="120"/>
      <w:r w:rsidRPr="007F536A">
        <w:rPr>
          <w:rFonts w:ascii="Book Antiqua" w:hAnsi="Book Antiqua"/>
          <w:sz w:val="20"/>
        </w:rPr>
        <w:t xml:space="preserve">]. The main differences were occasioned by the use of a variety of mirrors. In addition to the 8-sided glass prism used earlier, </w:t>
      </w:r>
      <w:r w:rsidRPr="007F536A">
        <w:rPr>
          <w:rFonts w:ascii="Book Antiqua" w:hAnsi="Book Antiqua"/>
          <w:sz w:val="20"/>
        </w:rPr>
        <w:lastRenderedPageBreak/>
        <w:t>there were four new mirrors. One was an 8-faced prism of nickel-steel which was rotated at approximately 528 revolutions per second, as the old glass octagon was. There was a 12-faced nickel-steel mirror and a 12-faced glass mirror, the latter being 6.25 cm. in diameter, and both rotating at about 352 revolutions per second. For the glass mirrors the drive was as before. The steel mirrors had four air nozzles at 90 degrees that impinged upon 24 recessed buckets cut into a wheel attached to the axle. In each case the air drive was reversible, the steel mirrors having a second bucket wheel for the occasion.</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other improvement was the use of a tuning fork of 528 vibrations per second that was driven by a vacuum-tube circuit. This was compared directly with the same standard C.G.S. invar gravity pendulum used before. Comparisons were made between this standard pendulum and the observatory clock on July 1 and August 15 of 1926, the agreement being to about 1 part in 100,000. Thus, with basically the same equipment, the scene was again set for an interesting comparison of the values obtained for </w:t>
      </w:r>
      <m:oMath>
        <m:r>
          <w:rPr>
            <w:rStyle w:val="Emphasis"/>
            <w:rFonts w:ascii="Cambria Math" w:hAnsi="Cambria Math"/>
            <w:sz w:val="20"/>
          </w:rPr>
          <m:t>c</m:t>
        </m:r>
      </m:oMath>
      <w:r w:rsidRPr="007F536A">
        <w:rPr>
          <w:rStyle w:val="Emphasis"/>
          <w:rFonts w:ascii="Book Antiqua" w:hAnsi="Book Antiqua"/>
          <w:sz w:val="20"/>
        </w:rPr>
        <w:t>.</w:t>
      </w:r>
    </w:p>
    <w:p w:rsidR="00821A88" w:rsidRPr="007F536A" w:rsidRDefault="00821A88" w:rsidP="00821A88">
      <w:pPr>
        <w:pStyle w:val="NoSpacing"/>
        <w:jc w:val="both"/>
        <w:rPr>
          <w:rStyle w:val="Strong"/>
          <w:rFonts w:ascii="Book Antiqua" w:hAnsi="Book Antiqua"/>
          <w:b w:val="0"/>
          <w:bCs w:val="0"/>
          <w:i/>
          <w:sz w:val="20"/>
        </w:rPr>
      </w:pPr>
      <w:bookmarkStart w:id="121" w:name="resultsfive"/>
      <w:bookmarkEnd w:id="121"/>
    </w:p>
    <w:p w:rsidR="00821A88" w:rsidRPr="007F536A" w:rsidRDefault="00821A88" w:rsidP="00821A88">
      <w:pPr>
        <w:pStyle w:val="NoSpacing"/>
        <w:numPr>
          <w:ilvl w:val="1"/>
          <w:numId w:val="26"/>
        </w:numPr>
        <w:jc w:val="both"/>
        <w:rPr>
          <w:rFonts w:ascii="Book Antiqua" w:hAnsi="Book Antiqua"/>
          <w:b/>
          <w:i/>
          <w:sz w:val="20"/>
        </w:rPr>
      </w:pPr>
      <w:r w:rsidRPr="007F536A">
        <w:rPr>
          <w:rStyle w:val="Strong"/>
          <w:rFonts w:ascii="Book Antiqua" w:hAnsi="Book Antiqua"/>
          <w:b w:val="0"/>
          <w:i/>
          <w:sz w:val="20"/>
        </w:rPr>
        <w:t xml:space="preserve"> Results From Series Five</w:t>
      </w:r>
    </w:p>
    <w:p w:rsidR="00821A88" w:rsidRPr="007F536A" w:rsidRDefault="00821A88" w:rsidP="00821A88">
      <w:pPr>
        <w:pStyle w:val="NoSpacing"/>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Michelson states that “</w:t>
      </w:r>
      <w:r w:rsidRPr="007F536A">
        <w:rPr>
          <w:rStyle w:val="Emphasis"/>
          <w:rFonts w:ascii="Book Antiqua" w:hAnsi="Book Antiqua"/>
          <w:sz w:val="20"/>
        </w:rPr>
        <w:t>the definitive measurements were begun in June 1926 and continued until the middle of September</w:t>
      </w:r>
      <w:r w:rsidRPr="007F536A">
        <w:rPr>
          <w:rFonts w:ascii="Book Antiqua" w:hAnsi="Book Antiqua"/>
          <w:sz w:val="20"/>
        </w:rPr>
        <w:t>.”</w:t>
      </w:r>
      <w:bookmarkStart w:id="122" w:name="a47"/>
      <w:bookmarkEnd w:id="122"/>
      <w:r w:rsidRPr="007F536A">
        <w:rPr>
          <w:rFonts w:ascii="Book Antiqua" w:hAnsi="Book Antiqua"/>
          <w:sz w:val="20"/>
        </w:rPr>
        <w:t xml:space="preserve"> [148]</w:t>
      </w:r>
      <w:r w:rsidRPr="007F536A">
        <w:rPr>
          <w:rFonts w:ascii="Book Antiqua" w:hAnsi="Book Antiqua"/>
          <w:color w:val="FF0000"/>
          <w:sz w:val="20"/>
        </w:rPr>
        <w:t xml:space="preserve"> </w:t>
      </w:r>
      <w:r w:rsidRPr="007F536A">
        <w:rPr>
          <w:rFonts w:ascii="Book Antiqua" w:hAnsi="Book Antiqua"/>
          <w:sz w:val="20"/>
        </w:rPr>
        <w:t>This is just two years after the first run with the equipment, giving a mean date is 1926.5 for reasons seen shortly. An interesting result emerged after usual appropriate weighting of the values from the five separate prismatic mirrors. If the correct reduction to the vacuum is applied to them, they read as follows [148]:</w:t>
      </w:r>
    </w:p>
    <w:p w:rsidR="00694618" w:rsidRPr="007F536A" w:rsidRDefault="00694618" w:rsidP="00821A88">
      <w:pPr>
        <w:pStyle w:val="NoSpacing"/>
        <w:ind w:firstLine="360"/>
        <w:jc w:val="both"/>
        <w:rPr>
          <w:rFonts w:ascii="Book Antiqua" w:hAnsi="Book Antiqua"/>
          <w:sz w:val="20"/>
        </w:rPr>
      </w:pPr>
    </w:p>
    <w:p w:rsidR="00821A88" w:rsidRPr="00BD7068" w:rsidRDefault="00BD7068" w:rsidP="00821A88">
      <w:pPr>
        <w:pStyle w:val="NoSpacing"/>
        <w:ind w:left="720"/>
        <w:rPr>
          <w:oMath/>
          <w:rFonts w:ascii="Cambria Math" w:hAnsi="Cambria Math"/>
          <w:sz w:val="20"/>
        </w:rPr>
      </w:pPr>
      <m:oMathPara>
        <m:oMath>
          <m:r>
            <w:rPr>
              <w:rFonts w:ascii="Cambria Math" w:hAnsi="Cambria Math"/>
              <w:sz w:val="20"/>
            </w:rPr>
            <m:t>Glass octagon – 299.799 km/s</m:t>
          </m:r>
          <m:r>
            <m:rPr>
              <m:sty m:val="p"/>
            </m:rPr>
            <w:rPr>
              <w:rFonts w:ascii="Cambria Math" w:hAnsi="Cambria Math"/>
              <w:sz w:val="20"/>
            </w:rPr>
            <w:br/>
          </m:r>
        </m:oMath>
        <m:oMath>
          <m:r>
            <w:rPr>
              <w:rFonts w:ascii="Cambria Math" w:hAnsi="Cambria Math"/>
              <w:sz w:val="20"/>
            </w:rPr>
            <m:t>Steel octagon – 299.797 km/s</m:t>
          </m:r>
          <m:r>
            <m:rPr>
              <m:sty m:val="p"/>
            </m:rPr>
            <w:rPr>
              <w:rFonts w:ascii="Cambria Math" w:hAnsi="Cambria Math"/>
              <w:sz w:val="20"/>
            </w:rPr>
            <w:br/>
          </m:r>
        </m:oMath>
        <m:oMath>
          <m:r>
            <w:rPr>
              <w:rFonts w:ascii="Cambria Math" w:hAnsi="Cambria Math"/>
              <w:sz w:val="20"/>
            </w:rPr>
            <m:t>12-faced glass prism – 299,798 km/s</m:t>
          </m:r>
          <m:r>
            <m:rPr>
              <m:sty m:val="p"/>
            </m:rPr>
            <w:rPr>
              <w:rFonts w:ascii="Cambria Math" w:hAnsi="Cambria Math"/>
              <w:sz w:val="20"/>
            </w:rPr>
            <w:br/>
          </m:r>
        </m:oMath>
        <m:oMath>
          <m:r>
            <w:rPr>
              <w:rFonts w:ascii="Cambria Math" w:hAnsi="Cambria Math"/>
              <w:sz w:val="20"/>
            </w:rPr>
            <m:t>12-faced steel prism – 299,798 km/s</m:t>
          </m:r>
          <m:r>
            <m:rPr>
              <m:sty m:val="p"/>
            </m:rPr>
            <w:rPr>
              <w:rFonts w:ascii="Cambria Math" w:hAnsi="Cambria Math"/>
              <w:sz w:val="20"/>
            </w:rPr>
            <w:br/>
          </m:r>
        </m:oMath>
        <m:oMath>
          <m:r>
            <w:rPr>
              <w:rFonts w:ascii="Cambria Math" w:hAnsi="Cambria Math"/>
              <w:sz w:val="20"/>
            </w:rPr>
            <m:t>16-faced glass prism – 299,798 km/s</m:t>
          </m:r>
          <w:bookmarkStart w:id="123" w:name="b47"/>
          <w:bookmarkEnd w:id="123"/>
        </m:oMath>
      </m:oMathPara>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other words, they are in agreement to within</w:t>
      </w:r>
      <m:oMath>
        <m:r>
          <w:rPr>
            <w:rFonts w:ascii="Cambria Math" w:hAnsi="Cambria Math"/>
            <w:sz w:val="20"/>
          </w:rPr>
          <m:t xml:space="preserve"> ± 1 km/s.</m:t>
        </m:r>
      </m:oMath>
      <w:r w:rsidRPr="007F536A">
        <w:rPr>
          <w:rFonts w:ascii="Book Antiqua" w:hAnsi="Book Antiqua"/>
          <w:sz w:val="20"/>
        </w:rPr>
        <w:t xml:space="preserve"> It should be pointed out, however, that in the case of the glass octagon the values obtained earlier from 1924 and 1925 were lumped up with the 1926 results to get the final quote. It may (or may not) be of significance that lumping together these earlier results from the same glass octagon has resulted in the highest value of </w:t>
      </w:r>
      <m:oMath>
        <m:r>
          <w:rPr>
            <w:rFonts w:ascii="Cambria Math" w:hAnsi="Cambria Math"/>
            <w:sz w:val="20"/>
          </w:rPr>
          <m:t>c</m:t>
        </m:r>
      </m:oMath>
      <w:r w:rsidRPr="007F536A">
        <w:rPr>
          <w:rFonts w:ascii="Book Antiqua" w:hAnsi="Book Antiqua"/>
          <w:sz w:val="20"/>
        </w:rPr>
        <w:t xml:space="preserve"> for the series. This result is in accord with the trend from other data.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All told, the final result came from eight values of </w:t>
      </w:r>
      <m:oMath>
        <m:r>
          <w:rPr>
            <w:rFonts w:ascii="Cambria Math" w:hAnsi="Cambria Math"/>
            <w:sz w:val="20"/>
          </w:rPr>
          <m:t>c</m:t>
        </m:r>
      </m:oMath>
      <w:r w:rsidRPr="007F536A">
        <w:rPr>
          <w:rFonts w:ascii="Book Antiqua" w:hAnsi="Book Antiqua"/>
          <w:sz w:val="20"/>
        </w:rPr>
        <w:t>, each comprising around 200 individual experiments. The eight values derive from the above quoted five as there were two separate sets for the 16-faced glass prism and 3 separate sets for the glass octagon, including the 1924 results. Thus, about 1600 individual experiments were performed to obtain the final value for the fifth series.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Michelson then quoted a final value of </w:t>
      </w:r>
      <m:oMath>
        <m:r>
          <w:rPr>
            <w:rFonts w:ascii="Cambria Math" w:hAnsi="Cambria Math"/>
            <w:sz w:val="20"/>
          </w:rPr>
          <m:t>299,796 ± 4 km/s</m:t>
        </m:r>
      </m:oMath>
      <w:r w:rsidRPr="007F536A">
        <w:rPr>
          <w:rFonts w:ascii="Book Antiqua" w:hAnsi="Book Antiqua"/>
          <w:sz w:val="20"/>
        </w:rPr>
        <w:t xml:space="preserve"> in his report. However, as Birge pointed out, the final value had to be revised upwards by </w:t>
      </w:r>
      <m:oMath>
        <m:r>
          <w:rPr>
            <w:rFonts w:ascii="Cambria Math" w:hAnsi="Cambria Math"/>
            <w:sz w:val="20"/>
          </w:rPr>
          <m:t>2 km/s</m:t>
        </m:r>
      </m:oMath>
      <w:r w:rsidRPr="007F536A">
        <w:rPr>
          <w:rFonts w:ascii="Book Antiqua" w:hAnsi="Book Antiqua"/>
          <w:sz w:val="20"/>
        </w:rPr>
        <w:t xml:space="preserve"> due to Michelson’s failure to take account of the group velocity correction</w:t>
      </w:r>
      <w:bookmarkStart w:id="124" w:name="48"/>
      <w:bookmarkEnd w:id="124"/>
      <w:r w:rsidRPr="007F536A">
        <w:rPr>
          <w:rFonts w:ascii="Book Antiqua" w:hAnsi="Book Antiqua"/>
          <w:sz w:val="20"/>
        </w:rPr>
        <w:t xml:space="preserve"> [149]. Additionally, despite the close agreement of the above results, Birge felt that the variety of temperatures and pressures that would have been encountered introduced an element of uncertainty. Consequently, and possibly to try to counteract the apparent continual dropping of the speed of light, he and Dorsey increased the error bars far beyond Michelson’s, and  put the corrected value at </w:t>
      </w:r>
      <m:oMath>
        <m:r>
          <w:rPr>
            <w:rFonts w:ascii="Cambria Math" w:hAnsi="Cambria Math"/>
            <w:sz w:val="20"/>
          </w:rPr>
          <m:t>299,798 ± 15 km/s</m:t>
        </m:r>
      </m:oMath>
      <w:r w:rsidRPr="007F536A">
        <w:rPr>
          <w:rFonts w:ascii="Book Antiqua" w:hAnsi="Book Antiqua"/>
          <w:sz w:val="20"/>
        </w:rPr>
        <w:t xml:space="preserve">.   Interestingly, both </w:t>
      </w:r>
      <w:r w:rsidRPr="007F536A">
        <w:rPr>
          <w:rFonts w:ascii="Book Antiqua" w:hAnsi="Book Antiqua"/>
          <w:i/>
          <w:sz w:val="20"/>
        </w:rPr>
        <w:t xml:space="preserve">Studies in Optics </w:t>
      </w:r>
      <w:r w:rsidRPr="007F536A">
        <w:rPr>
          <w:rFonts w:ascii="Book Antiqua" w:hAnsi="Book Antiqua"/>
          <w:sz w:val="20"/>
        </w:rPr>
        <w:t>(1927: 136-137) and the Encyclopedia Britannica (23:34-38, 1929) “quote” Michelson as saying something other than what he wrote in his own reports.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BD7068">
        <w:rPr>
          <w:rFonts w:ascii="Book Antiqua" w:hAnsi="Book Antiqua"/>
          <w:sz w:val="20"/>
        </w:rPr>
        <w:t>Following this series,</w:t>
      </w:r>
      <w:r w:rsidRPr="007F536A">
        <w:rPr>
          <w:rFonts w:ascii="Book Antiqua" w:hAnsi="Book Antiqua"/>
          <w:sz w:val="20"/>
        </w:rPr>
        <w:t xml:space="preserve"> Michelson endeavored to try a series of experiments over a path from Mt. Wilson Observatory to Mt. San Jacinto, a distance of about 82 miles, or roughly 131 km with the same equipment. However, because of bad atmospheric conditions, the experiments were abandoned and the initial results obtained were not considered reliable enough for publication</w:t>
      </w:r>
      <w:bookmarkStart w:id="125" w:name="49"/>
      <w:bookmarkEnd w:id="125"/>
      <w:r w:rsidRPr="007F536A">
        <w:rPr>
          <w:rFonts w:ascii="Book Antiqua" w:hAnsi="Book Antiqua"/>
          <w:sz w:val="20"/>
        </w:rPr>
        <w:t xml:space="preserve"> [150].</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lastRenderedPageBreak/>
        <w:t xml:space="preserve">Using essentially the same equipment, Michelson had obtained </w:t>
      </w:r>
      <m:oMath>
        <m:r>
          <w:rPr>
            <w:rFonts w:ascii="Cambria Math" w:hAnsi="Cambria Math"/>
            <w:sz w:val="20"/>
          </w:rPr>
          <m:t>299,802 km/s</m:t>
        </m:r>
      </m:oMath>
      <w:r w:rsidRPr="007F536A">
        <w:rPr>
          <w:rFonts w:ascii="Book Antiqua" w:hAnsi="Book Antiqua"/>
          <w:sz w:val="20"/>
        </w:rPr>
        <w:t xml:space="preserve"> for his results in 1925.6, and 299,798 km/s for his results in 1926.5. This was the second time that two series by Michelson resulted in a lower value for </w:t>
      </w:r>
      <m:oMath>
        <m:r>
          <w:rPr>
            <w:rFonts w:ascii="Cambria Math" w:hAnsi="Cambria Math"/>
            <w:sz w:val="20"/>
          </w:rPr>
          <m:t>c</m:t>
        </m:r>
      </m:oMath>
      <w:r w:rsidRPr="007F536A">
        <w:rPr>
          <w:rFonts w:ascii="Book Antiqua" w:hAnsi="Book Antiqua"/>
          <w:sz w:val="20"/>
        </w:rPr>
        <w:t xml:space="preserve"> on the second occasion using the same equipment. Comparison between those two sets of series also shows a drop with time. In other words, four determinations, in two sets of two, show a consistent drop with time through the four, within each of the two related sets, and between the two sets. As noted previously, Michelson’s results indicate, on a least squares analysis, a decay of </w:t>
      </w:r>
      <m:oMath>
        <m:r>
          <w:rPr>
            <w:rFonts w:ascii="Cambria Math" w:hAnsi="Cambria Math"/>
            <w:sz w:val="20"/>
          </w:rPr>
          <m:t>1.86 km/s per year</m:t>
        </m:r>
      </m:oMath>
      <w:r w:rsidRPr="007F536A">
        <w:rPr>
          <w:rFonts w:ascii="Book Antiqua" w:hAnsi="Book Antiqua"/>
          <w:sz w:val="20"/>
        </w:rPr>
        <w:t xml:space="preserve"> over the 47 years of his </w:t>
      </w:r>
      <m:oMath>
        <m:r>
          <w:rPr>
            <w:rFonts w:ascii="Cambria Math" w:hAnsi="Cambria Math"/>
            <w:sz w:val="20"/>
          </w:rPr>
          <m:t>c</m:t>
        </m:r>
      </m:oMath>
      <w:r w:rsidRPr="007F536A">
        <w:rPr>
          <w:rFonts w:ascii="Book Antiqua" w:hAnsi="Book Antiqua"/>
          <w:sz w:val="20"/>
        </w:rPr>
        <w:t xml:space="preserve"> experimentation. These last two series suggest about </w:t>
      </w:r>
      <m:oMath>
        <m:r>
          <w:rPr>
            <w:rFonts w:ascii="Cambria Math" w:hAnsi="Cambria Math"/>
            <w:sz w:val="20"/>
          </w:rPr>
          <m:t>2 km/s per year</m:t>
        </m:r>
      </m:oMath>
      <w:r w:rsidRPr="007F536A">
        <w:rPr>
          <w:rFonts w:ascii="Book Antiqua" w:hAnsi="Book Antiqua"/>
          <w:sz w:val="20"/>
        </w:rPr>
        <w:t xml:space="preserve"> for the decay rate.</w:t>
      </w:r>
    </w:p>
    <w:p w:rsidR="000C431E" w:rsidRPr="007F536A" w:rsidRDefault="000C431E"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r w:rsidRPr="007F536A">
        <w:rPr>
          <w:rFonts w:ascii="Book Antiqua" w:hAnsi="Book Antiqua"/>
          <w:i/>
          <w:sz w:val="20"/>
        </w:rPr>
        <w:t xml:space="preserve"> Dorsey’s Comments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Regarding Michelson’s work, Dorsey later noted that </w:t>
      </w:r>
      <w:r w:rsidRPr="007F536A">
        <w:rPr>
          <w:rFonts w:ascii="Book Antiqua" w:hAnsi="Book Antiqua"/>
          <w:i/>
          <w:sz w:val="20"/>
        </w:rPr>
        <w:t>“Although each series of determinations has yielded a value that differs from each of the others, Michelson has made no attempt in his reports, or elsewhere, so far as I know, to account for these differences.”</w:t>
      </w:r>
      <w:bookmarkStart w:id="126" w:name="50"/>
      <w:bookmarkEnd w:id="126"/>
      <w:r w:rsidRPr="007F536A">
        <w:rPr>
          <w:rFonts w:ascii="Book Antiqua" w:hAnsi="Book Antiqua"/>
          <w:sz w:val="20"/>
        </w:rPr>
        <w:t xml:space="preserve"> [151] This statement still holds even if Dorsey’s modified values for Michelson’s work are used. With a persistent drop in values for </w:t>
      </w:r>
      <m:oMath>
        <m:r>
          <w:rPr>
            <w:rFonts w:ascii="Cambria Math" w:hAnsi="Cambria Math"/>
            <w:sz w:val="20"/>
          </w:rPr>
          <m:t>c</m:t>
        </m:r>
      </m:oMath>
      <w:r w:rsidRPr="007F536A">
        <w:rPr>
          <w:rFonts w:ascii="Book Antiqua" w:hAnsi="Book Antiqua"/>
          <w:sz w:val="20"/>
        </w:rPr>
        <w:t xml:space="preserve"> by a single experimenter, as well as for all values by any particular method, one would imagine that the simplest explanation that Michelson or Dorsey could offer is that the physical quantity itself is dropping with time. M. E. J. Gheury de Bray suggested this, but Dorsey preferred to leave the problem unresolved and not accept that explanation.</w:t>
      </w:r>
    </w:p>
    <w:p w:rsidR="00F72A0C" w:rsidRDefault="00F72A0C"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Instead, Dorsey tried to overcome the problem by invoking the action of vibrations. However, this had been tested for each time. The single mirrors were able to be inverted or have their azimuth changed to cross-check that possibility while the multi-faceted mirrors could be rotated both ways to check. No vibrations were discovered by these processes. In response, </w:t>
      </w:r>
      <w:r w:rsidR="00BD7068">
        <w:rPr>
          <w:rFonts w:ascii="Book Antiqua" w:hAnsi="Book Antiqua"/>
          <w:sz w:val="20"/>
        </w:rPr>
        <w:t xml:space="preserve">however, </w:t>
      </w:r>
      <w:r w:rsidRPr="007F536A">
        <w:rPr>
          <w:rFonts w:ascii="Book Antiqua" w:hAnsi="Book Antiqua"/>
          <w:sz w:val="20"/>
        </w:rPr>
        <w:t>Dorsey suggested that this meant vibrations were at a maximum! It is an argument from silence as no evidence of such anomalous motion was discovered, whether it be blurred, split, or multiple images or asymmetric broadening such as Newcomb found with his work which genuinely did have vibration troubles.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Dorsey then decided that all series must have had vibrations that would give rise to the lower value for </w:t>
      </w:r>
      <w:r w:rsidRPr="007F536A">
        <w:rPr>
          <w:rFonts w:ascii="Book Antiqua" w:hAnsi="Book Antiqua"/>
          <w:i/>
          <w:sz w:val="20"/>
        </w:rPr>
        <w:t>c</w:t>
      </w:r>
      <w:r w:rsidRPr="007F536A">
        <w:rPr>
          <w:rFonts w:ascii="Book Antiqua" w:hAnsi="Book Antiqua"/>
          <w:sz w:val="20"/>
        </w:rPr>
        <w:t xml:space="preserve"> in the 1924-26 determinations compared with the 1878-80 series. He does not elucidate why a drop in </w:t>
      </w:r>
      <m:oMath>
        <m:r>
          <w:rPr>
            <w:rFonts w:ascii="Cambria Math" w:hAnsi="Cambria Math"/>
            <w:sz w:val="20"/>
          </w:rPr>
          <m:t>c</m:t>
        </m:r>
      </m:oMath>
      <w:r w:rsidRPr="007F536A">
        <w:rPr>
          <w:rFonts w:ascii="Book Antiqua" w:hAnsi="Book Antiqua"/>
          <w:sz w:val="20"/>
        </w:rPr>
        <w:t xml:space="preserve"> would result from vibrations being present in </w:t>
      </w:r>
      <w:r w:rsidRPr="007F536A">
        <w:rPr>
          <w:rFonts w:ascii="Book Antiqua" w:hAnsi="Book Antiqua"/>
          <w:b/>
          <w:sz w:val="20"/>
        </w:rPr>
        <w:t>both</w:t>
      </w:r>
      <w:r w:rsidRPr="007F536A">
        <w:rPr>
          <w:rFonts w:ascii="Book Antiqua" w:hAnsi="Book Antiqua"/>
          <w:sz w:val="20"/>
        </w:rPr>
        <w:t xml:space="preserve"> cases. Furthermore, he ignored the small drop in </w:t>
      </w:r>
      <m:oMath>
        <m:r>
          <w:rPr>
            <w:rFonts w:ascii="Cambria Math" w:hAnsi="Cambria Math"/>
            <w:sz w:val="20"/>
          </w:rPr>
          <m:t>c</m:t>
        </m:r>
      </m:oMath>
      <w:r w:rsidRPr="007F536A">
        <w:rPr>
          <w:rFonts w:ascii="Book Antiqua" w:hAnsi="Book Antiqua"/>
          <w:sz w:val="20"/>
        </w:rPr>
        <w:t xml:space="preserve"> that was picked up within both the 1878-80 series and the 1924-26 determinations. Additionally, as the same equipment was being used in each set, Dorsey’s proposed vibrations would be equally present within the 1879-80 series or the 1924-26 series, and all measurements then equally affected.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The inescapable conclusion is that the drop in </w:t>
      </w:r>
      <m:oMath>
        <m:r>
          <w:rPr>
            <w:rFonts w:ascii="Cambria Math" w:hAnsi="Cambria Math"/>
            <w:sz w:val="20"/>
          </w:rPr>
          <m:t>c</m:t>
        </m:r>
      </m:oMath>
      <w:r w:rsidRPr="007F536A">
        <w:rPr>
          <w:rFonts w:ascii="Book Antiqua" w:hAnsi="Book Antiqua"/>
          <w:sz w:val="20"/>
        </w:rPr>
        <w:t xml:space="preserve"> within each of the series is not the result of this proposed systematic error, then, but despite it. It would be picked up whether or not the systematic error was there. All any systematic error (real or imaginary) does is to shift the effect into another range of values.  In fact, Newcomb’s experience suggests that Dorsey’s proposed vibrations would give a measured value of </w:t>
      </w:r>
      <m:oMath>
        <m:r>
          <w:rPr>
            <w:rFonts w:ascii="Cambria Math" w:hAnsi="Cambria Math"/>
            <w:sz w:val="20"/>
          </w:rPr>
          <m:t>c</m:t>
        </m:r>
      </m:oMath>
      <w:r w:rsidRPr="007F536A">
        <w:rPr>
          <w:rFonts w:ascii="Book Antiqua" w:hAnsi="Book Antiqua"/>
          <w:sz w:val="20"/>
        </w:rPr>
        <w:t xml:space="preserve"> below its true value, not above.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Accordingly, as all Michelson’s results are above the present value of </w:t>
      </w:r>
      <m:oMath>
        <m:r>
          <w:rPr>
            <w:rFonts w:ascii="Cambria Math" w:hAnsi="Cambria Math"/>
            <w:sz w:val="20"/>
          </w:rPr>
          <m:t>c</m:t>
        </m:r>
      </m:oMath>
      <w:r w:rsidRPr="007F536A">
        <w:rPr>
          <w:rFonts w:ascii="Book Antiqua" w:hAnsi="Book Antiqua"/>
          <w:sz w:val="20"/>
        </w:rPr>
        <w:t xml:space="preserve">, and vibrations would seem to lower the result, then all these values should be corrected upwards if Dorsey’s vibration idea is accepted. But this would accentuate the already observed trend. It would also deny Dorsey’s purpose which was to suggest that it was only instrumental or procedural errors which produced the early higher </w:t>
      </w:r>
      <m:oMath>
        <m:r>
          <w:rPr>
            <w:rFonts w:ascii="Cambria Math" w:hAnsi="Cambria Math"/>
            <w:sz w:val="20"/>
          </w:rPr>
          <m:t>c</m:t>
        </m:r>
      </m:oMath>
      <w:r w:rsidRPr="007F536A">
        <w:rPr>
          <w:rFonts w:ascii="Book Antiqua" w:hAnsi="Book Antiqua"/>
          <w:sz w:val="20"/>
        </w:rPr>
        <w:t xml:space="preserve"> values.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7" w:name="last"/>
      <w:bookmarkEnd w:id="127"/>
      <w:r w:rsidRPr="007F536A">
        <w:rPr>
          <w:rFonts w:ascii="Book Antiqua" w:hAnsi="Book Antiqua"/>
          <w:b/>
          <w:sz w:val="20"/>
        </w:rPr>
        <w:t xml:space="preserve"> </w:t>
      </w:r>
      <w:r w:rsidRPr="007F536A">
        <w:rPr>
          <w:rFonts w:ascii="Book Antiqua" w:hAnsi="Book Antiqua"/>
          <w:i/>
          <w:sz w:val="20"/>
        </w:rPr>
        <w:t>Michelson’s Last Experiment</w:t>
      </w:r>
    </w:p>
    <w:p w:rsidR="00821A88" w:rsidRDefault="00821A88" w:rsidP="00821A88">
      <w:pPr>
        <w:pStyle w:val="NoSpacing"/>
        <w:ind w:firstLine="360"/>
        <w:jc w:val="both"/>
        <w:rPr>
          <w:rFonts w:ascii="Book Antiqua" w:hAnsi="Book Antiqua"/>
          <w:sz w:val="20"/>
        </w:rPr>
      </w:pPr>
    </w:p>
    <w:p w:rsidR="00694618" w:rsidRPr="007F536A" w:rsidRDefault="00694618" w:rsidP="00694618">
      <w:pPr>
        <w:pStyle w:val="NoSpacing"/>
        <w:ind w:firstLine="360"/>
        <w:jc w:val="both"/>
        <w:rPr>
          <w:rFonts w:ascii="Book Antiqua" w:hAnsi="Book Antiqua"/>
          <w:sz w:val="20"/>
        </w:rPr>
      </w:pPr>
      <w:r w:rsidRPr="007F536A">
        <w:rPr>
          <w:rFonts w:ascii="Book Antiqua" w:hAnsi="Book Antiqua"/>
          <w:sz w:val="20"/>
        </w:rPr>
        <w:t>Because of the increasing accuracy and necessity for precise correction within a vacuum, Michelson decided in 1929 to initiate what was to be his last experiment. His collaborators were Pease and Pearson</w:t>
      </w:r>
      <w:bookmarkStart w:id="128" w:name="51"/>
      <w:bookmarkEnd w:id="128"/>
      <w:r w:rsidRPr="007F536A">
        <w:rPr>
          <w:rFonts w:ascii="Book Antiqua" w:hAnsi="Book Antiqua"/>
          <w:color w:val="FF0000"/>
          <w:sz w:val="20"/>
        </w:rPr>
        <w:t xml:space="preserve"> </w:t>
      </w:r>
      <w:r w:rsidRPr="007F536A">
        <w:rPr>
          <w:rFonts w:ascii="Book Antiqua" w:hAnsi="Book Antiqua"/>
          <w:sz w:val="20"/>
        </w:rPr>
        <w:t>[1</w:t>
      </w:r>
      <w:hyperlink r:id="rId118" w:anchor="a51" w:history="1">
        <w:r w:rsidRPr="007F536A">
          <w:rPr>
            <w:rFonts w:ascii="Book Antiqua" w:hAnsi="Book Antiqua"/>
            <w:sz w:val="20"/>
          </w:rPr>
          <w:t>52</w:t>
        </w:r>
      </w:hyperlink>
      <w:r w:rsidRPr="007F536A">
        <w:rPr>
          <w:rFonts w:ascii="Book Antiqua" w:hAnsi="Book Antiqua"/>
          <w:sz w:val="20"/>
        </w:rPr>
        <w:t>]. The idea was that a one mile long pipe would be exhausted of its air and by repeated reflections from mirrors at either end a path length of some ten miles could be achieved in a fair vacuum. Pressure in the pipe varied from 0.5 to 5.5 millimeters of mercury. The arrangement was essentially that shown in Figure 27. A carbon arc source was at A focused on an adjustable slit 0.075 mm wide and was reflected from a 32-faced rotating mirror, D. The mirror was a glass prism 0.25 inches long and 1.5 inches along the diagonals of its cross-section. All its angles were corrected to within one arc second and its surfaces to 0.1 wave.</w:t>
      </w:r>
    </w:p>
    <w:p w:rsidR="00694618" w:rsidRPr="007F536A" w:rsidRDefault="00694618" w:rsidP="00694618">
      <w:pPr>
        <w:pStyle w:val="NoSpacing"/>
        <w:ind w:firstLine="720"/>
        <w:jc w:val="both"/>
        <w:rPr>
          <w:rFonts w:ascii="Book Antiqua" w:hAnsi="Book Antiqua"/>
          <w:sz w:val="20"/>
        </w:rPr>
      </w:pPr>
    </w:p>
    <w:p w:rsidR="00036707" w:rsidRDefault="00694618" w:rsidP="00036707">
      <w:pPr>
        <w:pStyle w:val="NoSpacing"/>
        <w:jc w:val="both"/>
        <w:rPr>
          <w:rFonts w:ascii="Book Antiqua" w:hAnsi="Book Antiqua"/>
          <w:sz w:val="20"/>
        </w:rPr>
      </w:pPr>
      <w:r w:rsidRPr="007F536A">
        <w:rPr>
          <w:rFonts w:ascii="Book Antiqua" w:hAnsi="Book Antiqua"/>
          <w:sz w:val="20"/>
        </w:rPr>
        <w:t xml:space="preserve">Light was reflected from the upper half of face ‘a’ of the rotating mirror through a glass window, L, that was 2 cm. thick, into the pipe and via the mirrors E and F, onto the large optically flat mirrors, 1 and 2, which were 55.9 cm. in diameter. F was essentially a concave mirror 101.6 cm in diameter and of 15.02 m. focus that gave a parallel beam forming an image of the slit on M. After repeated reflections from H and G, and by 3 and 4, the beam was returned through the window to strike the lower half of face ‘b’ of the rotating mirror, if it were at rest, and into the eye of the observer at K. The distance from the rotating mirror to the eyepiece micrometer was 30 cm. In operation, the mirror was rotated at such a speed that face ‘a’ would move into the position occupied by face ‘b’ in the time that the light took to be reflected along </w:t>
      </w:r>
      <w:r w:rsidR="00036707" w:rsidRPr="007F536A">
        <w:rPr>
          <w:rFonts w:ascii="Book Antiqua" w:hAnsi="Book Antiqua"/>
          <w:sz w:val="20"/>
        </w:rPr>
        <w:t>the pipe and return. Depending on the adjustment of the four fixed mirrors, (1, 2, 3, and 4), light could travel eight or ten miles before being returned to R.</w:t>
      </w:r>
    </w:p>
    <w:p w:rsidR="00694618" w:rsidRPr="007F536A" w:rsidRDefault="00694618" w:rsidP="0069461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b/>
          <w:sz w:val="20"/>
        </w:rPr>
      </w:pPr>
      <w:r w:rsidRPr="007F536A">
        <w:rPr>
          <w:rFonts w:ascii="Book Antiqua" w:hAnsi="Book Antiqua"/>
          <w:b/>
          <w:noProof/>
          <w:sz w:val="20"/>
        </w:rPr>
        <w:drawing>
          <wp:inline distT="0" distB="0" distL="0" distR="0">
            <wp:extent cx="6057900" cy="2962275"/>
            <wp:effectExtent l="19050" t="0" r="0" b="0"/>
            <wp:docPr id="79" name="il_fi" descr="http://oisc.net/tub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oisc.net/tube1.jpg"/>
                    <pic:cNvPicPr>
                      <a:picLocks noChangeAspect="1" noChangeArrowheads="1"/>
                    </pic:cNvPicPr>
                  </pic:nvPicPr>
                  <pic:blipFill>
                    <a:blip r:embed="rId119" cstate="print">
                      <a:lum contrast="10000"/>
                    </a:blip>
                    <a:srcRect/>
                    <a:stretch>
                      <a:fillRect/>
                    </a:stretch>
                  </pic:blipFill>
                  <pic:spPr bwMode="auto">
                    <a:xfrm>
                      <a:off x="0" y="0"/>
                      <a:ext cx="6075606" cy="2970933"/>
                    </a:xfrm>
                    <a:prstGeom prst="rect">
                      <a:avLst/>
                    </a:prstGeom>
                    <a:noFill/>
                    <a:ln w="9525">
                      <a:noFill/>
                      <a:miter lim="800000"/>
                      <a:headEnd/>
                      <a:tailEnd/>
                    </a:ln>
                  </pic:spPr>
                </pic:pic>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183232">
      <w:pPr>
        <w:pStyle w:val="NoSpacing"/>
        <w:jc w:val="center"/>
        <w:rPr>
          <w:rFonts w:ascii="Book Antiqua" w:hAnsi="Book Antiqua"/>
          <w:i/>
          <w:sz w:val="18"/>
          <w:szCs w:val="18"/>
        </w:rPr>
      </w:pPr>
      <w:r w:rsidRPr="001C099A">
        <w:rPr>
          <w:rFonts w:ascii="Book Antiqua" w:hAnsi="Book Antiqua"/>
          <w:b/>
          <w:i/>
          <w:sz w:val="18"/>
          <w:szCs w:val="18"/>
        </w:rPr>
        <w:t>Figure 27:</w:t>
      </w:r>
      <w:r w:rsidRPr="001C099A">
        <w:rPr>
          <w:rFonts w:ascii="Book Antiqua" w:hAnsi="Book Antiqua"/>
          <w:i/>
          <w:sz w:val="18"/>
          <w:szCs w:val="18"/>
        </w:rPr>
        <w:t xml:space="preserve"> The Michelson-Pease-Pearson experiment using a one mile long evacuated tube at Irvine Ranch, Laguna Beach, California.</w:t>
      </w:r>
    </w:p>
    <w:p w:rsidR="00CF20BB" w:rsidRDefault="00CF20BB" w:rsidP="0069461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two distances required different rotation rates of the prism. For a distance of 7,999.87 meters, the rotation rate was about 585 revolutions per second, while 6,405.59 meters required about 730 revolutions per second. This rotation rate was again controlled and determined stroboscopically with a tuning fork compared with a free pendulum swinging in a heavy bronze box of constant temperature and low pressure. The pendulum was itself compared with a time-piece that was checked against time signals from Arlington, Virginia.</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practice, the speed of the mirror was held at some convenient value close to the position where the returned beam was undeflected. The drive was a compressed air turbine. The difference from the precise </w:t>
      </w:r>
      <m:oMath>
        <m:r>
          <w:rPr>
            <w:rFonts w:ascii="Cambria Math" w:hAnsi="Cambria Math"/>
            <w:sz w:val="20"/>
          </w:rPr>
          <m:t>1/32</m:t>
        </m:r>
      </m:oMath>
      <w:r w:rsidRPr="007F536A">
        <w:rPr>
          <w:rFonts w:ascii="Book Antiqua" w:hAnsi="Book Antiqua"/>
          <w:sz w:val="20"/>
        </w:rPr>
        <w:t xml:space="preserve"> of a revolution was determined by measuring the deflection with the micrometer. The mirror was, in fact, reversed at the same convenient speed and the double displacement measured. Also capable of reversal was the arrangement whereby light from the slit hit the top of face ‘a’ while the returned hit the bottom of face ‘b’. In this it was similar to Newcomb’s arrangement to check for any vibrational errors. Correction for residual air in the pipe was done for each experiment.</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6"/>
        </w:numPr>
        <w:jc w:val="both"/>
        <w:rPr>
          <w:rFonts w:ascii="Book Antiqua" w:hAnsi="Book Antiqua"/>
          <w:i/>
          <w:sz w:val="20"/>
        </w:rPr>
      </w:pPr>
      <w:bookmarkStart w:id="129" w:name="OPP"/>
      <w:bookmarkEnd w:id="129"/>
      <w:r w:rsidRPr="007F536A">
        <w:rPr>
          <w:rFonts w:ascii="Book Antiqua" w:hAnsi="Book Antiqua"/>
          <w:i/>
          <w:sz w:val="20"/>
        </w:rPr>
        <w:t xml:space="preserve"> Over to Pease and Pearson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From 1929 until February 19, 1931, Michelson was preparing for his last experiment to determine the speed of light.  The work was sponsored by the University of Chicago, the Mount Wilson Observatory, the Carnegie Corporation </w:t>
      </w:r>
      <w:r w:rsidRPr="007F536A">
        <w:rPr>
          <w:rFonts w:ascii="Book Antiqua" w:hAnsi="Book Antiqua"/>
          <w:sz w:val="20"/>
        </w:rPr>
        <w:lastRenderedPageBreak/>
        <w:t>and the Rockefeller Foundation. The evacuated pipe was constructed of Armco-iron steel sheets and was one meter in diameter. It was situated on the Irvine Ranch, near Laguna Beach, California. Michelson began his measurements on February 19, 1931, at 79 years old.  He was ably assisted by Pease and Pearson. The work continued until February 27, 1933, resulting in a total of 233 series of observations which totaled 2885 experiments altogether for the full determination. Michelson, however, did not live to see the final results.  After spending a lifetime measuring</w:t>
      </w:r>
      <w:r w:rsidRPr="007F536A">
        <w:rPr>
          <w:rFonts w:ascii="Book Antiqua" w:hAnsi="Book Antiqua"/>
          <w:i/>
          <w:sz w:val="20"/>
        </w:rPr>
        <w:t xml:space="preserve"> </w:t>
      </w:r>
      <m:oMath>
        <m:r>
          <w:rPr>
            <w:rFonts w:ascii="Cambria Math" w:hAnsi="Cambria Math"/>
            <w:sz w:val="20"/>
          </w:rPr>
          <m:t>c</m:t>
        </m:r>
      </m:oMath>
      <w:r w:rsidRPr="007F536A">
        <w:rPr>
          <w:rFonts w:ascii="Book Antiqua" w:hAnsi="Book Antiqua"/>
          <w:sz w:val="20"/>
        </w:rPr>
        <w:t xml:space="preserve"> and studying the behavior and properties of light, Michelson died on May 9, 1931, after completing only 36 of the full series of 233.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Even while they were working, Pease and Pearson noticed a peculiar circumstance. Irregular as well as regular variations in the value of </w:t>
      </w:r>
      <m:oMath>
        <m:r>
          <w:rPr>
            <w:rFonts w:ascii="Cambria Math" w:hAnsi="Cambria Math"/>
            <w:sz w:val="20"/>
          </w:rPr>
          <m:t>c</m:t>
        </m:r>
      </m:oMath>
      <w:r w:rsidRPr="007F536A">
        <w:rPr>
          <w:rFonts w:ascii="Book Antiqua" w:hAnsi="Book Antiqua"/>
          <w:sz w:val="20"/>
        </w:rPr>
        <w:t xml:space="preserve"> obtained occurred hourly and daily, as well as over longer periods – up to a year. Deviations of </w:t>
      </w:r>
      <m:oMath>
        <m:r>
          <w:rPr>
            <w:rFonts w:ascii="Cambria Math" w:hAnsi="Cambria Math"/>
            <w:sz w:val="20"/>
          </w:rPr>
          <m:t xml:space="preserve">10 km/s </m:t>
        </m:r>
      </m:oMath>
      <w:r w:rsidRPr="007F536A">
        <w:rPr>
          <w:rFonts w:ascii="Book Antiqua" w:hAnsi="Book Antiqua"/>
          <w:sz w:val="20"/>
        </w:rPr>
        <w:t xml:space="preserve">over a period of a week or so were common, and occasionally they went as high as </w:t>
      </w:r>
      <m:oMath>
        <m:r>
          <w:rPr>
            <w:rFonts w:ascii="Cambria Math" w:hAnsi="Cambria Math"/>
            <w:sz w:val="20"/>
          </w:rPr>
          <m:t>30 km/s</m:t>
        </m:r>
      </m:oMath>
      <w:bookmarkStart w:id="130" w:name="52"/>
      <w:bookmarkEnd w:id="130"/>
      <w:r w:rsidRPr="007F536A">
        <w:rPr>
          <w:rFonts w:ascii="Book Antiqua" w:hAnsi="Book Antiqua"/>
          <w:sz w:val="20"/>
        </w:rPr>
        <w:t xml:space="preserve"> [1</w:t>
      </w:r>
      <w:hyperlink r:id="rId120" w:anchor="a52" w:history="1">
        <w:r w:rsidRPr="007F536A">
          <w:rPr>
            <w:rFonts w:ascii="Book Antiqua" w:hAnsi="Book Antiqua"/>
            <w:sz w:val="20"/>
          </w:rPr>
          <w:t>53</w:t>
        </w:r>
      </w:hyperlink>
      <w:r w:rsidRPr="007F536A">
        <w:rPr>
          <w:rFonts w:ascii="Book Antiqua" w:hAnsi="Book Antiqua"/>
          <w:sz w:val="20"/>
        </w:rPr>
        <w:t xml:space="preserve">]. Within the 233 series conducted, the average deviation from the mean value of a series was about </w:t>
      </w:r>
      <m:oMath>
        <m:r>
          <w:rPr>
            <w:rFonts w:ascii="Cambria Math" w:hAnsi="Cambria Math"/>
            <w:sz w:val="20"/>
          </w:rPr>
          <m:t>10.5 km/s</m:t>
        </m:r>
      </m:oMath>
      <w:r w:rsidRPr="007F536A">
        <w:rPr>
          <w:rFonts w:ascii="Book Antiqua" w:hAnsi="Book Antiqua"/>
          <w:sz w:val="20"/>
        </w:rPr>
        <w:t xml:space="preserve">. As Cohen points out, </w:t>
      </w:r>
      <w:r w:rsidRPr="007F536A">
        <w:rPr>
          <w:rFonts w:ascii="Book Antiqua" w:hAnsi="Book Antiqua"/>
          <w:i/>
          <w:sz w:val="20"/>
        </w:rPr>
        <w:t>“The base line was on very unstable alluvial soil. A correlation between fluctuations in the results and the tides on the sea coast was reported.”</w:t>
      </w:r>
      <w:bookmarkStart w:id="131" w:name="53"/>
      <w:bookmarkEnd w:id="131"/>
      <w:r w:rsidRPr="007F536A">
        <w:rPr>
          <w:rFonts w:ascii="Book Antiqua" w:hAnsi="Book Antiqua"/>
          <w:i/>
          <w:sz w:val="20"/>
        </w:rPr>
        <w:t xml:space="preserve"> </w:t>
      </w:r>
      <w:r w:rsidRPr="007F536A">
        <w:rPr>
          <w:rFonts w:ascii="Book Antiqua" w:hAnsi="Book Antiqua"/>
          <w:sz w:val="20"/>
        </w:rPr>
        <w:t xml:space="preserve">[154] The base-line was discovered to be fluctuating from other causes as well. As Birge noted, Pease and Pearson </w:t>
      </w:r>
      <w:r w:rsidRPr="007F536A">
        <w:rPr>
          <w:rFonts w:ascii="Book Antiqua" w:hAnsi="Book Antiqua"/>
          <w:i/>
          <w:sz w:val="20"/>
        </w:rPr>
        <w:t>“found their carefully measured mile-long base line showed for two years a steady increase in length of 6.5 mm. per year…and then a sudden decrease of 8mm after a mild earthquake in the vicinity.”</w:t>
      </w:r>
      <w:bookmarkStart w:id="132" w:name="54"/>
      <w:bookmarkEnd w:id="132"/>
      <w:r w:rsidRPr="007F536A">
        <w:rPr>
          <w:rFonts w:ascii="Book Antiqua" w:hAnsi="Book Antiqua"/>
          <w:i/>
          <w:sz w:val="20"/>
        </w:rPr>
        <w:t xml:space="preserve"> </w:t>
      </w:r>
      <w:r w:rsidRPr="007F536A">
        <w:rPr>
          <w:rFonts w:ascii="Book Antiqua" w:hAnsi="Book Antiqua"/>
          <w:sz w:val="20"/>
        </w:rPr>
        <w:t>[155] As the base line was only measured on those three occasions, one wonders what else it was doing in the meantime, being not only by the sea coast, but also right by the main fault line, as well as considering the fact that the pipe was joined by many seals.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Dorsey noted something else that may be relevant. Though he continued discussing possible vibrations (that Pease and Pearson established as negligible), he pointed out that the micrometer only read directly to 0.001 inches</w:t>
      </w:r>
      <w:bookmarkStart w:id="133" w:name="55"/>
      <w:bookmarkEnd w:id="133"/>
      <w:r w:rsidRPr="007F536A">
        <w:rPr>
          <w:rFonts w:ascii="Book Antiqua" w:hAnsi="Book Antiqua"/>
          <w:sz w:val="20"/>
        </w:rPr>
        <w:t xml:space="preserve"> [1</w:t>
      </w:r>
      <w:hyperlink r:id="rId121" w:anchor="a55" w:history="1">
        <w:r w:rsidRPr="007F536A">
          <w:rPr>
            <w:rFonts w:ascii="Book Antiqua" w:hAnsi="Book Antiqua"/>
            <w:sz w:val="20"/>
          </w:rPr>
          <w:t>56</w:t>
        </w:r>
      </w:hyperlink>
      <w:r w:rsidRPr="007F536A">
        <w:rPr>
          <w:rFonts w:ascii="Book Antiqua" w:hAnsi="Book Antiqua"/>
          <w:sz w:val="20"/>
        </w:rPr>
        <w:t xml:space="preserve">]. This corresponds to a velocity of </w:t>
      </w:r>
      <m:oMath>
        <m:r>
          <w:rPr>
            <w:rFonts w:ascii="Cambria Math" w:hAnsi="Cambria Math"/>
            <w:sz w:val="20"/>
          </w:rPr>
          <m:t>32 km/s</m:t>
        </m:r>
      </m:oMath>
      <w:r w:rsidRPr="007F536A">
        <w:rPr>
          <w:rFonts w:ascii="Book Antiqua" w:hAnsi="Book Antiqua"/>
          <w:sz w:val="20"/>
        </w:rPr>
        <w:t>. Yet this was used to establish the displacement from the central position.  However,  the mean deviation of the early sample of  five readings was about 0.00025 inches from the mean – much too small for the micrometer to pick up.</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is for these reasons that Pease and Pearson’s final quoted value of </w:t>
      </w:r>
      <m:oMath>
        <m:r>
          <w:rPr>
            <w:rFonts w:ascii="Cambria Math" w:hAnsi="Cambria Math"/>
            <w:sz w:val="20"/>
          </w:rPr>
          <m:t>299,744 ± 10 km/s</m:t>
        </m:r>
      </m:oMath>
      <w:r w:rsidRPr="007F536A">
        <w:rPr>
          <w:rFonts w:ascii="Book Antiqua" w:hAnsi="Book Antiqua"/>
          <w:sz w:val="20"/>
        </w:rPr>
        <w:t xml:space="preserve"> is regarded today as unacceptably low due to systematic errors in the micrometer readings and problems with an unstable base line. But the plot of distribution frequency of all 2885 values compared with the mean value is also enlightening. There were 1095 values that lay in the range of </w:t>
      </w:r>
      <m:oMath>
        <m:r>
          <w:rPr>
            <w:rFonts w:ascii="Cambria Math" w:hAnsi="Cambria Math"/>
            <w:sz w:val="20"/>
          </w:rPr>
          <m:t xml:space="preserve">299,770 </m:t>
        </m:r>
      </m:oMath>
      <w:r w:rsidRPr="007F536A">
        <w:rPr>
          <w:rFonts w:ascii="Book Antiqua" w:hAnsi="Book Antiqua"/>
          <w:sz w:val="20"/>
        </w:rPr>
        <w:t>to</w:t>
      </w:r>
      <m:oMath>
        <m:r>
          <w:rPr>
            <w:rFonts w:ascii="Cambria Math" w:hAnsi="Cambria Math"/>
            <w:sz w:val="20"/>
          </w:rPr>
          <m:t xml:space="preserve"> 299,780 km/</m:t>
        </m:r>
      </m:oMath>
      <w:r w:rsidRPr="007F536A">
        <w:rPr>
          <w:rFonts w:ascii="Book Antiqua" w:hAnsi="Book Antiqua"/>
          <w:sz w:val="20"/>
        </w:rPr>
        <w:t xml:space="preserve">s and 1790 values outside it. Of this latter number, 1025 values were below </w:t>
      </w:r>
      <m:oMath>
        <m:r>
          <w:rPr>
            <w:rFonts w:ascii="Cambria Math" w:hAnsi="Cambria Math"/>
            <w:sz w:val="20"/>
          </w:rPr>
          <m:t>299,770</m:t>
        </m:r>
      </m:oMath>
      <w:r w:rsidRPr="007F536A">
        <w:rPr>
          <w:rFonts w:ascii="Book Antiqua" w:hAnsi="Book Antiqua"/>
          <w:sz w:val="20"/>
        </w:rPr>
        <w:t xml:space="preserve"> and only 765 above </w:t>
      </w:r>
      <m:oMath>
        <m:r>
          <w:rPr>
            <w:rFonts w:ascii="Cambria Math" w:hAnsi="Cambria Math"/>
            <w:sz w:val="20"/>
          </w:rPr>
          <m:t>299,780</m:t>
        </m:r>
      </m:oMath>
      <w:r w:rsidRPr="007F536A">
        <w:rPr>
          <w:rFonts w:ascii="Book Antiqua" w:hAnsi="Book Antiqua"/>
          <w:sz w:val="20"/>
        </w:rPr>
        <w:t>. The distribution is plainly unsymmetrical and thus differs appreciably from the normal error curve, there being an excess of low values.</w:t>
      </w:r>
    </w:p>
    <w:p w:rsidR="00821A88" w:rsidRPr="007F536A" w:rsidRDefault="00821A88" w:rsidP="00821A88">
      <w:pPr>
        <w:pStyle w:val="NoSpacing"/>
        <w:ind w:firstLine="720"/>
        <w:jc w:val="both"/>
        <w:rPr>
          <w:rFonts w:ascii="Book Antiqua" w:hAnsi="Book Antiqua"/>
          <w:i/>
          <w:sz w:val="20"/>
        </w:rPr>
      </w:pPr>
    </w:p>
    <w:p w:rsidR="00821A88" w:rsidRPr="007F536A" w:rsidRDefault="00821A88" w:rsidP="00821A88">
      <w:pPr>
        <w:pStyle w:val="NoSpacing"/>
        <w:numPr>
          <w:ilvl w:val="1"/>
          <w:numId w:val="26"/>
        </w:numPr>
        <w:jc w:val="both"/>
        <w:rPr>
          <w:rFonts w:ascii="Book Antiqua" w:hAnsi="Book Antiqua"/>
          <w:i/>
          <w:sz w:val="20"/>
        </w:rPr>
      </w:pPr>
      <w:bookmarkStart w:id="134" w:name="CFRM"/>
      <w:bookmarkEnd w:id="134"/>
      <w:r w:rsidRPr="007F536A">
        <w:rPr>
          <w:rFonts w:ascii="Book Antiqua" w:hAnsi="Book Antiqua"/>
          <w:i/>
          <w:sz w:val="20"/>
        </w:rPr>
        <w:t xml:space="preserve"> Rotating Mirror Conclusions</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 xml:space="preserve">The results of the rotating mirror experiments are summarized in Table 9. If the results rejected by the experimenters themselves are omitted along with Foucault’s admittedly pioneer experiment which was </w:t>
      </w:r>
      <w:r w:rsidRPr="007F536A">
        <w:rPr>
          <w:rFonts w:ascii="Book Antiqua" w:hAnsi="Book Antiqua"/>
          <w:i/>
          <w:sz w:val="20"/>
        </w:rPr>
        <w:t>“intended to ascertain the possibilities of the method,”</w:t>
      </w:r>
      <w:bookmarkStart w:id="135" w:name="b13"/>
      <w:bookmarkEnd w:id="135"/>
      <w:r w:rsidRPr="007F536A">
        <w:rPr>
          <w:rFonts w:ascii="Book Antiqua" w:hAnsi="Book Antiqua"/>
          <w:sz w:val="20"/>
        </w:rPr>
        <w:t xml:space="preserve"> [114], then a least squares linear fit to the six data points gives a decay of </w:t>
      </w:r>
      <m:oMath>
        <m:r>
          <w:rPr>
            <w:rFonts w:ascii="Cambria Math" w:hAnsi="Cambria Math"/>
            <w:sz w:val="20"/>
          </w:rPr>
          <m:t>1.85 km/s per year</m:t>
        </m:r>
      </m:oMath>
      <w:r w:rsidRPr="007F536A">
        <w:rPr>
          <w:rFonts w:ascii="Book Antiqua" w:hAnsi="Book Antiqua"/>
          <w:sz w:val="20"/>
        </w:rPr>
        <w:t xml:space="preserve">. The value of the correlation coefficient, </w:t>
      </w:r>
      <m:oMath>
        <m:r>
          <w:rPr>
            <w:rFonts w:ascii="Cambria Math" w:hAnsi="Cambria Math"/>
            <w:sz w:val="20"/>
          </w:rPr>
          <m:t>r</m:t>
        </m:r>
      </m:oMath>
      <w:r w:rsidRPr="007F536A">
        <w:rPr>
          <w:rFonts w:ascii="Book Antiqua" w:hAnsi="Book Antiqua"/>
          <w:sz w:val="20"/>
        </w:rPr>
        <w:t xml:space="preserve">, equals -0.932, with a confidence interval of 99.6% in this decay correlation. Omitting Pease and Pearson’s result gives a decay of </w:t>
      </w:r>
      <m:oMath>
        <m:r>
          <w:rPr>
            <w:rFonts w:ascii="Cambria Math" w:hAnsi="Cambria Math"/>
            <w:sz w:val="20"/>
          </w:rPr>
          <m:t>1.74 Km/s per year</m:t>
        </m:r>
      </m:oMath>
      <w:r w:rsidRPr="007F536A">
        <w:rPr>
          <w:rFonts w:ascii="Book Antiqua" w:hAnsi="Book Antiqua"/>
          <w:sz w:val="20"/>
        </w:rPr>
        <w:t xml:space="preserve">, with </w:t>
      </w:r>
      <m:oMath>
        <m:r>
          <w:rPr>
            <w:rFonts w:ascii="Cambria Math" w:hAnsi="Cambria Math"/>
            <w:sz w:val="20"/>
          </w:rPr>
          <m:t>r =- 0.905</m:t>
        </m:r>
      </m:oMath>
      <w:r w:rsidRPr="007F536A">
        <w:rPr>
          <w:rFonts w:ascii="Book Antiqua" w:hAnsi="Book Antiqua"/>
          <w:sz w:val="20"/>
        </w:rPr>
        <w:t xml:space="preserve">, this correlation being significant at the 98.2% level. This results in a 95.6% confidence interval that </w:t>
      </w:r>
      <m:oMath>
        <m:r>
          <w:rPr>
            <w:rFonts w:ascii="Cambria Math" w:hAnsi="Cambria Math"/>
            <w:sz w:val="20"/>
          </w:rPr>
          <m:t>c</m:t>
        </m:r>
      </m:oMath>
      <w:r w:rsidRPr="007F536A">
        <w:rPr>
          <w:rFonts w:ascii="Book Antiqua" w:hAnsi="Book Antiqua"/>
          <w:sz w:val="20"/>
        </w:rPr>
        <w:t xml:space="preserve"> was not constant at its present value during the years of these experiments.</w:t>
      </w:r>
    </w:p>
    <w:p w:rsidR="00821A88" w:rsidRPr="007F536A" w:rsidRDefault="00821A88" w:rsidP="00821A88">
      <w:pPr>
        <w:pStyle w:val="NoSpacing"/>
        <w:jc w:val="both"/>
        <w:rPr>
          <w:rFonts w:ascii="Book Antiqua" w:hAnsi="Book Antiqua"/>
          <w:sz w:val="20"/>
        </w:rPr>
      </w:pPr>
    </w:p>
    <w:p w:rsidR="00821A88" w:rsidRPr="007F536A" w:rsidRDefault="00945782" w:rsidP="00821A88">
      <w:pPr>
        <w:pStyle w:val="NoSpacing"/>
        <w:ind w:firstLine="720"/>
        <w:jc w:val="both"/>
        <w:rPr>
          <w:rFonts w:ascii="Book Antiqua" w:hAnsi="Book Antiqua"/>
          <w:sz w:val="20"/>
        </w:rPr>
      </w:pPr>
      <w:r>
        <w:rPr>
          <w:rFonts w:ascii="Book Antiqua" w:hAnsi="Book Antiqua"/>
          <w:sz w:val="20"/>
        </w:rPr>
        <w:t>A comparison of</w:t>
      </w:r>
      <w:r w:rsidR="00821A88" w:rsidRPr="007F536A">
        <w:rPr>
          <w:rFonts w:ascii="Book Antiqua" w:hAnsi="Book Antiqua"/>
          <w:sz w:val="20"/>
        </w:rPr>
        <w:t xml:space="preserve"> Michelson’s four definitive values strongly suggests a decay in </w:t>
      </w:r>
      <m:oMath>
        <m:r>
          <w:rPr>
            <w:rFonts w:ascii="Cambria Math" w:hAnsi="Cambria Math"/>
            <w:sz w:val="20"/>
          </w:rPr>
          <m:t>c</m:t>
        </m:r>
      </m:oMath>
      <w:r w:rsidR="00821A88" w:rsidRPr="007F536A">
        <w:rPr>
          <w:rFonts w:ascii="Book Antiqua" w:hAnsi="Book Antiqua"/>
          <w:sz w:val="20"/>
        </w:rPr>
        <w:t xml:space="preserve">. The fact that the first two values, obtained with the same equipment show a drop, and the last two values, also obtained under similar conditions, show a drop, is important. The fact that Newcomb independently obtained a value practically identical with Michelson in mid-1882, virtually simultaneously, is also important. It suggests that their error limits should perhaps be decreased somewhat, rather than increased, as Dorsey suggested. The persistent downward trend in the measured value of </w:t>
      </w:r>
      <m:oMath>
        <m:r>
          <w:rPr>
            <w:rFonts w:ascii="Cambria Math" w:hAnsi="Cambria Math"/>
            <w:sz w:val="20"/>
          </w:rPr>
          <m:t>c</m:t>
        </m:r>
      </m:oMath>
      <w:r w:rsidR="00821A88" w:rsidRPr="007F536A">
        <w:rPr>
          <w:rFonts w:ascii="Book Antiqua" w:hAnsi="Book Antiqua"/>
          <w:sz w:val="20"/>
        </w:rPr>
        <w:t xml:space="preserve"> was noted by M.E.J. Gheury de Bray after Michelson’s 1924 series results became available. As a result, he wrote to the Editor of </w:t>
      </w:r>
      <w:r w:rsidR="00821A88" w:rsidRPr="007F536A">
        <w:rPr>
          <w:rFonts w:ascii="Book Antiqua" w:hAnsi="Book Antiqua"/>
          <w:i/>
          <w:sz w:val="20"/>
        </w:rPr>
        <w:t>Nature</w:t>
      </w:r>
      <w:r w:rsidR="00821A88" w:rsidRPr="007F536A">
        <w:rPr>
          <w:rFonts w:ascii="Book Antiqua" w:hAnsi="Book Antiqua"/>
          <w:sz w:val="20"/>
        </w:rPr>
        <w:t xml:space="preserve"> on the 20th December, 1924, and to </w:t>
      </w:r>
      <w:r w:rsidR="00821A88" w:rsidRPr="007F536A">
        <w:rPr>
          <w:rFonts w:ascii="Book Antiqua" w:hAnsi="Book Antiqua"/>
          <w:i/>
          <w:sz w:val="20"/>
        </w:rPr>
        <w:t>l’Astronomie</w:t>
      </w:r>
      <w:r w:rsidR="00821A88" w:rsidRPr="007F536A">
        <w:rPr>
          <w:rFonts w:ascii="Book Antiqua" w:hAnsi="Book Antiqua"/>
          <w:sz w:val="20"/>
        </w:rPr>
        <w:t xml:space="preserve"> in France on January 23rd, 1925, calling attention to the trend</w:t>
      </w:r>
      <w:bookmarkStart w:id="136" w:name="56"/>
      <w:bookmarkEnd w:id="136"/>
      <w:r w:rsidR="00821A88" w:rsidRPr="007F536A">
        <w:rPr>
          <w:rFonts w:ascii="Book Antiqua" w:hAnsi="Book Antiqua"/>
          <w:sz w:val="20"/>
        </w:rPr>
        <w:t xml:space="preserve"> [157]. In the latter case, he predicted a lower value for Michelson’s next determination, which was in the process of being prepared. His prediction was correct. As a result of that, the Editor of </w:t>
      </w:r>
      <w:r w:rsidR="00821A88" w:rsidRPr="007F536A">
        <w:rPr>
          <w:rFonts w:ascii="Book Antiqua" w:hAnsi="Book Antiqua"/>
          <w:i/>
          <w:sz w:val="20"/>
        </w:rPr>
        <w:t>Nature</w:t>
      </w:r>
      <w:r w:rsidR="00821A88" w:rsidRPr="007F536A">
        <w:rPr>
          <w:rFonts w:ascii="Book Antiqua" w:hAnsi="Book Antiqua"/>
          <w:sz w:val="20"/>
        </w:rPr>
        <w:t xml:space="preserve">, who had ignored his earlier letters, decided to publish Gheury de Bray’s next offering. This opened up the discussion in the scientific literature, a discussion which </w:t>
      </w:r>
      <w:r w:rsidR="00821A88" w:rsidRPr="007F536A">
        <w:rPr>
          <w:rFonts w:ascii="Book Antiqua" w:hAnsi="Book Antiqua"/>
          <w:sz w:val="20"/>
        </w:rPr>
        <w:lastRenderedPageBreak/>
        <w:t xml:space="preserve">continued throughout the late twenties, the thirties and into the early forties. Again, as Gheury de Bray himself noted, the only values that go against the trend in Table 8 are those that the experimenters themselves have rejected. If the polygonal mirror technique is counted separately, five methods have demonstrated a decline in the speed of light over time. </w:t>
      </w:r>
    </w:p>
    <w:p w:rsidR="00821A88" w:rsidRPr="007F536A" w:rsidRDefault="00821A88" w:rsidP="00821A88">
      <w:pPr>
        <w:pStyle w:val="NoSpacing"/>
        <w:ind w:firstLine="720"/>
        <w:jc w:val="both"/>
        <w:rPr>
          <w:rFonts w:ascii="Book Antiqua" w:hAnsi="Book Antiqua"/>
          <w:sz w:val="20"/>
        </w:rPr>
      </w:pPr>
    </w:p>
    <w:p w:rsidR="00AF7640" w:rsidRPr="00AF7640" w:rsidRDefault="00AF7640" w:rsidP="00183232">
      <w:pPr>
        <w:pStyle w:val="NoSpacing"/>
        <w:jc w:val="center"/>
        <w:rPr>
          <w:rFonts w:ascii="Book Antiqua" w:hAnsi="Book Antiqua"/>
          <w:b/>
          <w:i/>
          <w:sz w:val="18"/>
          <w:szCs w:val="18"/>
        </w:rPr>
      </w:pPr>
      <w:r w:rsidRPr="00AF7640">
        <w:rPr>
          <w:rFonts w:ascii="Book Antiqua" w:hAnsi="Book Antiqua"/>
          <w:b/>
          <w:sz w:val="18"/>
          <w:szCs w:val="18"/>
        </w:rPr>
        <w:t>Table 9:</w:t>
      </w:r>
      <w:r w:rsidRPr="00AF7640">
        <w:rPr>
          <w:rFonts w:ascii="Book Antiqua" w:hAnsi="Book Antiqua"/>
          <w:b/>
          <w:i/>
          <w:sz w:val="18"/>
          <w:szCs w:val="18"/>
        </w:rPr>
        <w:t xml:space="preserve"> Rotating Mirror Results</w:t>
      </w:r>
    </w:p>
    <w:p w:rsidR="00AF7640" w:rsidRPr="007F536A" w:rsidRDefault="00AF7640" w:rsidP="00AF7640">
      <w:pPr>
        <w:pStyle w:val="Els-body-text"/>
        <w:ind w:firstLine="0"/>
        <w:rPr>
          <w:rFonts w:ascii="Book Antiqua" w:hAnsi="Book Antiqua"/>
        </w:rPr>
      </w:pPr>
    </w:p>
    <w:tbl>
      <w:tblPr>
        <w:tblW w:w="9209" w:type="dxa"/>
        <w:jc w:val="center"/>
        <w:tblCellSpacing w:w="7" w:type="dxa"/>
        <w:tblCellMar>
          <w:top w:w="15" w:type="dxa"/>
          <w:left w:w="15" w:type="dxa"/>
          <w:bottom w:w="15" w:type="dxa"/>
          <w:right w:w="15" w:type="dxa"/>
        </w:tblCellMar>
        <w:tblLook w:val="04A0"/>
      </w:tblPr>
      <w:tblGrid>
        <w:gridCol w:w="10056"/>
      </w:tblGrid>
      <w:tr w:rsidR="00AF7640" w:rsidRPr="007F536A" w:rsidTr="00183232">
        <w:trPr>
          <w:tblCellSpacing w:w="7" w:type="dxa"/>
          <w:jc w:val="center"/>
        </w:trPr>
        <w:tc>
          <w:tcPr>
            <w:tcW w:w="9181" w:type="dxa"/>
            <w:vAlign w:val="center"/>
            <w:hideMark/>
          </w:tcPr>
          <w:tbl>
            <w:tblPr>
              <w:tblW w:w="9982"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82"/>
              <w:gridCol w:w="900"/>
              <w:gridCol w:w="720"/>
              <w:gridCol w:w="810"/>
              <w:gridCol w:w="1350"/>
              <w:gridCol w:w="1080"/>
              <w:gridCol w:w="1440"/>
              <w:gridCol w:w="1800"/>
            </w:tblGrid>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Experimenter</w:t>
                  </w:r>
                </w:p>
              </w:tc>
              <w:tc>
                <w:tcPr>
                  <w:tcW w:w="90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Date</w:t>
                  </w:r>
                </w:p>
              </w:tc>
              <w:tc>
                <w:tcPr>
                  <w:tcW w:w="72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i/>
                      <w:sz w:val="18"/>
                      <w:szCs w:val="18"/>
                    </w:rPr>
                    <w:t># Exp</w:t>
                  </w:r>
                </w:p>
              </w:tc>
              <w:tc>
                <w:tcPr>
                  <w:tcW w:w="81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Faces</w:t>
                  </w:r>
                </w:p>
              </w:tc>
              <w:tc>
                <w:tcPr>
                  <w:tcW w:w="135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Base (meters)</w:t>
                  </w:r>
                </w:p>
              </w:tc>
              <w:tc>
                <w:tcPr>
                  <w:tcW w:w="108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Rev/sec</w:t>
                  </w:r>
                </w:p>
              </w:tc>
              <w:tc>
                <w:tcPr>
                  <w:tcW w:w="1440" w:type="dxa"/>
                  <w:tcBorders>
                    <w:top w:val="outset" w:sz="6" w:space="0" w:color="auto"/>
                    <w:left w:val="outset" w:sz="6" w:space="0" w:color="auto"/>
                    <w:bottom w:val="outset" w:sz="6" w:space="0" w:color="auto"/>
                    <w:right w:val="outset" w:sz="6" w:space="0" w:color="auto"/>
                  </w:tcBorders>
                  <w:vAlign w:val="center"/>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Deflection</w:t>
                  </w:r>
                </w:p>
              </w:tc>
              <w:tc>
                <w:tcPr>
                  <w:tcW w:w="1800" w:type="dxa"/>
                  <w:tcBorders>
                    <w:top w:val="outset" w:sz="6" w:space="0" w:color="auto"/>
                    <w:left w:val="outset" w:sz="6" w:space="0" w:color="auto"/>
                    <w:bottom w:val="outset" w:sz="6" w:space="0" w:color="auto"/>
                    <w:right w:val="outset" w:sz="6" w:space="0" w:color="auto"/>
                  </w:tcBorders>
                  <w:hideMark/>
                </w:tcPr>
                <w:p w:rsidR="00AF7640" w:rsidRPr="00AF7640" w:rsidRDefault="00AF7640" w:rsidP="00BA6F67">
                  <w:pPr>
                    <w:jc w:val="center"/>
                    <w:rPr>
                      <w:rFonts w:ascii="Book Antiqua" w:hAnsi="Book Antiqua"/>
                      <w:b/>
                      <w:i/>
                      <w:sz w:val="18"/>
                      <w:szCs w:val="18"/>
                    </w:rPr>
                  </w:pPr>
                  <w:r w:rsidRPr="00AF7640">
                    <w:rPr>
                      <w:rFonts w:ascii="Book Antiqua" w:hAnsi="Book Antiqua"/>
                      <w:b/>
                      <w:bCs/>
                      <w:i/>
                      <w:sz w:val="18"/>
                      <w:szCs w:val="18"/>
                    </w:rPr>
                    <w:t>c value in km/s</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1.</w:t>
                  </w:r>
                  <w:r w:rsidRPr="00790E4F">
                    <w:rPr>
                      <w:rFonts w:ascii="Book Antiqua" w:hAnsi="Book Antiqua"/>
                      <w:b/>
                      <w:sz w:val="16"/>
                      <w:szCs w:val="16"/>
                    </w:rPr>
                    <w:t xml:space="preserve"> Foucault</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20.0</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500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0.7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298,000 ± 500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2.</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1878.0</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152.4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7.58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300,140 ± 480</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3.</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1879.5*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605.4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257.3</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133.20 mm</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299,910 ± 50</w:t>
                  </w:r>
                </w:p>
              </w:tc>
            </w:tr>
            <w:tr w:rsidR="00AF7640" w:rsidRPr="00AF7640" w:rsidTr="00790E4F">
              <w:trPr>
                <w:trHeight w:val="165"/>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F72A0C">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4.</w:t>
                  </w:r>
                  <w:r w:rsidRPr="00790E4F">
                    <w:rPr>
                      <w:rFonts w:ascii="Book Antiqua" w:hAnsi="Book Antiqua"/>
                      <w:b/>
                      <w:sz w:val="16"/>
                      <w:szCs w:val="16"/>
                    </w:rPr>
                    <w:t xml:space="preserve"> Newcomb </w:t>
                  </w:r>
                  <w:r w:rsidR="00F72A0C" w:rsidRPr="00790E4F">
                    <w:rPr>
                      <w:rFonts w:ascii="Book Antiqua" w:hAnsi="Book Antiqua"/>
                      <w:b/>
                      <w:sz w:val="16"/>
                      <w:szCs w:val="16"/>
                    </w:rPr>
                    <w:t>av.</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1881.8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2550.95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114-268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299,810</w:t>
                  </w:r>
                </w:p>
              </w:tc>
            </w:tr>
            <w:tr w:rsidR="00AF7640" w:rsidRPr="00AF7640" w:rsidTr="00790E4F">
              <w:trPr>
                <w:trHeight w:val="228"/>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5.</w:t>
                  </w:r>
                  <w:r w:rsidRPr="00790E4F">
                    <w:rPr>
                      <w:rFonts w:ascii="Book Antiqua" w:hAnsi="Book Antiqua"/>
                      <w:b/>
                      <w:sz w:val="16"/>
                      <w:szCs w:val="16"/>
                    </w:rPr>
                    <w:t xml:space="preserve"> Newcomb</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1882.7*</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66</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4</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3721.21</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176-268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 cm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299,860 ± 30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6.</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1882.8*</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563</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624.645</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129-259</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138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299,853 ± 60</w:t>
                  </w:r>
                </w:p>
              </w:tc>
            </w:tr>
            <w:tr w:rsidR="00AF7640" w:rsidRPr="00AF7640" w:rsidTr="00790E4F">
              <w:trPr>
                <w:trHeight w:val="224"/>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7.</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1924.6*</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299,802 ± 30</w:t>
                  </w:r>
                </w:p>
              </w:tc>
            </w:tr>
            <w:tr w:rsidR="00AF7640" w:rsidRPr="00AF7640" w:rsidTr="00790E4F">
              <w:trPr>
                <w:trHeight w:val="240"/>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8.</w:t>
                  </w:r>
                  <w:r w:rsidRPr="00790E4F">
                    <w:rPr>
                      <w:rFonts w:ascii="Book Antiqua" w:hAnsi="Book Antiqua"/>
                      <w:b/>
                      <w:sz w:val="16"/>
                      <w:szCs w:val="16"/>
                    </w:rPr>
                    <w:t xml:space="preserve"> Michelson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1926.5*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1600</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8-16</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35,426.23</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264-528</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Nil</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299,798 ± 15</w:t>
                  </w:r>
                </w:p>
              </w:tc>
            </w:tr>
            <w:tr w:rsidR="00AF7640" w:rsidRPr="00AF7640" w:rsidTr="00790E4F">
              <w:trPr>
                <w:trHeight w:val="255"/>
                <w:tblCellSpacing w:w="0" w:type="dxa"/>
              </w:trPr>
              <w:tc>
                <w:tcPr>
                  <w:tcW w:w="1882" w:type="dxa"/>
                  <w:tcBorders>
                    <w:top w:val="outset" w:sz="6" w:space="0" w:color="auto"/>
                    <w:left w:val="outset" w:sz="6" w:space="0" w:color="auto"/>
                    <w:bottom w:val="outset" w:sz="6" w:space="0" w:color="auto"/>
                    <w:right w:val="outset" w:sz="6" w:space="0" w:color="auto"/>
                  </w:tcBorders>
                  <w:hideMark/>
                </w:tcPr>
                <w:p w:rsidR="00AF7640" w:rsidRPr="00790E4F" w:rsidRDefault="00AF7640" w:rsidP="00790E4F">
                  <w:pPr>
                    <w:spacing w:before="100" w:beforeAutospacing="1" w:after="100" w:afterAutospacing="1"/>
                    <w:jc w:val="center"/>
                    <w:rPr>
                      <w:rFonts w:ascii="Book Antiqua" w:hAnsi="Book Antiqua"/>
                      <w:b/>
                      <w:sz w:val="16"/>
                      <w:szCs w:val="16"/>
                    </w:rPr>
                  </w:pPr>
                  <w:r w:rsidRPr="00790E4F">
                    <w:rPr>
                      <w:rFonts w:ascii="Book Antiqua" w:hAnsi="Book Antiqua"/>
                      <w:b/>
                      <w:bCs/>
                      <w:sz w:val="16"/>
                      <w:szCs w:val="16"/>
                    </w:rPr>
                    <w:t>9.</w:t>
                  </w:r>
                  <w:r w:rsidRPr="00790E4F">
                    <w:rPr>
                      <w:rFonts w:ascii="Book Antiqua" w:hAnsi="Book Antiqua"/>
                      <w:b/>
                      <w:sz w:val="16"/>
                      <w:szCs w:val="16"/>
                    </w:rPr>
                    <w:t xml:space="preserve"> Pease/Pearson</w:t>
                  </w:r>
                </w:p>
              </w:tc>
              <w:tc>
                <w:tcPr>
                  <w:tcW w:w="9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1932.5*</w:t>
                  </w:r>
                </w:p>
              </w:tc>
              <w:tc>
                <w:tcPr>
                  <w:tcW w:w="72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2885</w:t>
                  </w:r>
                </w:p>
              </w:tc>
              <w:tc>
                <w:tcPr>
                  <w:tcW w:w="81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32</w:t>
                  </w:r>
                </w:p>
              </w:tc>
              <w:tc>
                <w:tcPr>
                  <w:tcW w:w="135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1,610.4</w:t>
                  </w:r>
                </w:p>
              </w:tc>
              <w:tc>
                <w:tcPr>
                  <w:tcW w:w="108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585-730</w:t>
                  </w:r>
                </w:p>
              </w:tc>
              <w:tc>
                <w:tcPr>
                  <w:tcW w:w="144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0.01 mm av.</w:t>
                  </w:r>
                </w:p>
              </w:tc>
              <w:tc>
                <w:tcPr>
                  <w:tcW w:w="1800" w:type="dxa"/>
                  <w:tcBorders>
                    <w:top w:val="outset" w:sz="6" w:space="0" w:color="auto"/>
                    <w:left w:val="outset" w:sz="6" w:space="0" w:color="auto"/>
                    <w:bottom w:val="outset" w:sz="6" w:space="0" w:color="auto"/>
                    <w:right w:val="outset" w:sz="6" w:space="0" w:color="auto"/>
                  </w:tcBorders>
                  <w:hideMark/>
                </w:tcPr>
                <w:p w:rsidR="00AF7640" w:rsidRPr="00790E4F" w:rsidRDefault="00AF7640" w:rsidP="00BA6F67">
                  <w:pPr>
                    <w:spacing w:before="100" w:beforeAutospacing="1" w:after="100" w:afterAutospacing="1"/>
                    <w:jc w:val="center"/>
                    <w:rPr>
                      <w:rFonts w:ascii="Book Antiqua" w:hAnsi="Book Antiqua"/>
                      <w:b/>
                      <w:sz w:val="16"/>
                      <w:szCs w:val="16"/>
                    </w:rPr>
                  </w:pPr>
                  <w:r w:rsidRPr="00790E4F">
                    <w:rPr>
                      <w:rFonts w:ascii="Book Antiqua" w:hAnsi="Book Antiqua"/>
                      <w:b/>
                      <w:sz w:val="16"/>
                      <w:szCs w:val="16"/>
                    </w:rPr>
                    <w:t>299,774 ± 10</w:t>
                  </w:r>
                </w:p>
              </w:tc>
            </w:tr>
          </w:tbl>
          <w:p w:rsidR="00CB4EA7" w:rsidRDefault="00AF7640" w:rsidP="00CB4EA7">
            <w:pPr>
              <w:spacing w:before="100" w:beforeAutospacing="1" w:after="100" w:afterAutospacing="1"/>
              <w:rPr>
                <w:rFonts w:ascii="Book Antiqua" w:hAnsi="Book Antiqua"/>
                <w:bCs/>
                <w:sz w:val="16"/>
                <w:szCs w:val="16"/>
              </w:rPr>
            </w:pPr>
            <w:r w:rsidRPr="00AF7640">
              <w:rPr>
                <w:rFonts w:ascii="Book Antiqua" w:hAnsi="Book Antiqua"/>
                <w:bCs/>
                <w:sz w:val="16"/>
                <w:szCs w:val="16"/>
              </w:rPr>
              <w:t>NOTE: Column marked # Exp means “number of experiments performed</w:t>
            </w:r>
            <w:r w:rsidR="00790E4F">
              <w:rPr>
                <w:rFonts w:ascii="Book Antiqua" w:hAnsi="Book Antiqua"/>
                <w:bCs/>
                <w:sz w:val="16"/>
                <w:szCs w:val="16"/>
              </w:rPr>
              <w:t>.</w:t>
            </w:r>
            <w:r w:rsidRPr="00AF7640">
              <w:rPr>
                <w:rFonts w:ascii="Book Antiqua" w:hAnsi="Book Antiqua"/>
                <w:bCs/>
                <w:sz w:val="16"/>
                <w:szCs w:val="16"/>
              </w:rPr>
              <w:t>”</w:t>
            </w:r>
            <w:r w:rsidR="00790E4F">
              <w:rPr>
                <w:rFonts w:ascii="Book Antiqua" w:hAnsi="Book Antiqua"/>
                <w:bCs/>
                <w:sz w:val="16"/>
                <w:szCs w:val="16"/>
              </w:rPr>
              <w:t xml:space="preserve"> </w:t>
            </w:r>
            <w:r w:rsidRPr="00AF7640">
              <w:rPr>
                <w:rFonts w:ascii="Book Antiqua" w:hAnsi="Book Antiqua"/>
                <w:bCs/>
                <w:sz w:val="16"/>
                <w:szCs w:val="16"/>
              </w:rPr>
              <w:t xml:space="preserve"> Values marked * included in Table 17.</w:t>
            </w:r>
            <w:r w:rsidR="00790E4F">
              <w:rPr>
                <w:rFonts w:ascii="Book Antiqua" w:hAnsi="Book Antiqua"/>
                <w:bCs/>
                <w:sz w:val="16"/>
                <w:szCs w:val="16"/>
              </w:rPr>
              <w:t xml:space="preserve"> Comments boxed below</w:t>
            </w:r>
          </w:p>
          <w:p w:rsidR="00AF7640" w:rsidRPr="007F536A" w:rsidRDefault="00790E4F" w:rsidP="00CB4EA7">
            <w:pPr>
              <w:spacing w:before="100" w:beforeAutospacing="1" w:after="100" w:afterAutospacing="1"/>
              <w:rPr>
                <w:rFonts w:ascii="Book Antiqua" w:hAnsi="Book Antiqua"/>
                <w:sz w:val="16"/>
                <w:szCs w:val="16"/>
              </w:rPr>
            </w:pPr>
            <w:r>
              <w:rPr>
                <w:rFonts w:ascii="Book Antiqua" w:hAnsi="Book Antiqua"/>
                <w:bCs/>
                <w:sz w:val="16"/>
                <w:szCs w:val="16"/>
              </w:rPr>
              <w:t>.</w:t>
            </w:r>
          </w:p>
        </w:tc>
      </w:tr>
    </w:tbl>
    <w:tbl>
      <w:tblPr>
        <w:tblStyle w:val="TableGrid"/>
        <w:tblW w:w="0" w:type="auto"/>
        <w:tblInd w:w="1440" w:type="dxa"/>
        <w:tblLook w:val="04A0"/>
      </w:tblPr>
      <w:tblGrid>
        <w:gridCol w:w="8720"/>
      </w:tblGrid>
      <w:tr w:rsidR="00AF7640" w:rsidRPr="007F536A" w:rsidTr="00CB4EA7">
        <w:trPr>
          <w:trHeight w:val="6956"/>
        </w:trPr>
        <w:tc>
          <w:tcPr>
            <w:tcW w:w="8720" w:type="dxa"/>
          </w:tcPr>
          <w:p w:rsidR="00CB4EA7" w:rsidRDefault="00CB4EA7"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1</w:t>
            </w:r>
            <w:r w:rsidRPr="007F536A">
              <w:rPr>
                <w:rFonts w:ascii="Book Antiqua" w:hAnsi="Book Antiqua"/>
                <w:sz w:val="20"/>
              </w:rPr>
              <w:t xml:space="preserve">. Foucault: Micrometer and diffraction problems coupled with miniscule deflection. </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2</w:t>
            </w:r>
            <w:r w:rsidRPr="007F536A">
              <w:rPr>
                <w:rFonts w:ascii="Book Antiqua" w:hAnsi="Book Antiqua"/>
                <w:sz w:val="20"/>
              </w:rPr>
              <w:t>. Michelson: Value discarded by Michelson – large probable error and crude equipment.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3</w:t>
            </w:r>
            <w:r w:rsidRPr="007F536A">
              <w:rPr>
                <w:rFonts w:ascii="Book Antiqua" w:hAnsi="Book Antiqua"/>
                <w:sz w:val="20"/>
              </w:rPr>
              <w:t>. Michelson: Number of experiments listed as 100, but there were ten sets per experiment.</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4</w:t>
            </w:r>
            <w:r w:rsidRPr="007F536A">
              <w:rPr>
                <w:rFonts w:ascii="Book Antiqua" w:hAnsi="Book Antiqua"/>
                <w:sz w:val="20"/>
              </w:rPr>
              <w:t>. Newcomb: This mean resulted from the inclusion of two series whose results Newcomb rejected as unreliable due to systematic errors (mirror imbalance and vibration). These results were 299,627 km/s in 1880.9 and 299,694 km/s in 1881.7, both for air. They were included with the final reliable value to get a vacuum mean only in order to avoid criticism. These figures give the average displacement and range of rotation rates and the total number of experiments conducted. The smaller path is quoted.</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5</w:t>
            </w:r>
            <w:r w:rsidRPr="007F536A">
              <w:rPr>
                <w:rFonts w:ascii="Book Antiqua" w:hAnsi="Book Antiqua"/>
                <w:sz w:val="20"/>
              </w:rPr>
              <w:t xml:space="preserve">. Newcomb: Definitive. He insisted his results </w:t>
            </w:r>
            <w:r w:rsidRPr="007F536A">
              <w:rPr>
                <w:rFonts w:ascii="Book Antiqua" w:hAnsi="Book Antiqua"/>
                <w:i/>
                <w:sz w:val="20"/>
              </w:rPr>
              <w:t>“should depend entirely on the measures of 1882.”</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6</w:t>
            </w:r>
            <w:r w:rsidRPr="007F536A">
              <w:rPr>
                <w:rFonts w:ascii="Book Antiqua" w:hAnsi="Book Antiqua"/>
                <w:sz w:val="20"/>
              </w:rPr>
              <w:t xml:space="preserve">. Michelson: 1882.8 result obtained with same equipment as 1879.5 result. </w:t>
            </w:r>
            <w:r w:rsidR="00CB4EA7">
              <w:rPr>
                <w:rFonts w:ascii="Book Antiqua" w:hAnsi="Book Antiqua"/>
                <w:sz w:val="20"/>
              </w:rPr>
              <w:t>Later</w:t>
            </w:r>
            <w:r w:rsidRPr="007F536A">
              <w:rPr>
                <w:rFonts w:ascii="Book Antiqua" w:hAnsi="Book Antiqua"/>
                <w:sz w:val="20"/>
              </w:rPr>
              <w:t xml:space="preserve"> value is lower.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7</w:t>
            </w:r>
            <w:r w:rsidRPr="007F536A">
              <w:rPr>
                <w:rFonts w:ascii="Book Antiqua" w:hAnsi="Book Antiqua"/>
                <w:sz w:val="20"/>
              </w:rPr>
              <w:t xml:space="preserve">. Michelson: </w:t>
            </w:r>
            <w:r w:rsidR="00CB4EA7">
              <w:rPr>
                <w:rFonts w:ascii="Book Antiqua" w:hAnsi="Book Antiqua"/>
                <w:sz w:val="20"/>
              </w:rPr>
              <w:t>A</w:t>
            </w:r>
            <w:r w:rsidRPr="007F536A">
              <w:rPr>
                <w:rFonts w:ascii="Book Antiqua" w:hAnsi="Book Antiqua"/>
                <w:sz w:val="20"/>
              </w:rPr>
              <w:t xml:space="preserve"> new method. An octagonal glass prism with a rotation rate giving no deflection.</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8</w:t>
            </w:r>
            <w:r w:rsidRPr="007F536A">
              <w:rPr>
                <w:rFonts w:ascii="Book Antiqua" w:hAnsi="Book Antiqua"/>
                <w:sz w:val="20"/>
              </w:rPr>
              <w:t xml:space="preserve">. Michelson: Polygonal mirrors of 8, 12, and 16 faces. Result corrected for group velocity. Equipment the same as for 1924.6. This new method registered a decay in </w:t>
            </w:r>
            <w:r w:rsidRPr="007F536A">
              <w:rPr>
                <w:rFonts w:ascii="Book Antiqua" w:hAnsi="Book Antiqua"/>
                <w:i/>
                <w:iCs/>
                <w:sz w:val="20"/>
              </w:rPr>
              <w:t>c</w:t>
            </w:r>
            <w:r w:rsidRPr="007F536A">
              <w:rPr>
                <w:rFonts w:ascii="Book Antiqua" w:hAnsi="Book Antiqua"/>
                <w:sz w:val="20"/>
              </w:rPr>
              <w:t xml:space="preserve"> over two years approximately equal to 2 km/s per year.</w:t>
            </w:r>
          </w:p>
          <w:p w:rsidR="00AF7640" w:rsidRPr="007F536A" w:rsidRDefault="00AF7640" w:rsidP="00BA6F67">
            <w:pPr>
              <w:pStyle w:val="NoSpacing"/>
              <w:rPr>
                <w:rFonts w:ascii="Book Antiqua" w:hAnsi="Book Antiqua"/>
                <w:b/>
                <w:bCs/>
                <w:sz w:val="20"/>
              </w:rPr>
            </w:pPr>
          </w:p>
          <w:p w:rsidR="00AF7640" w:rsidRPr="007F536A" w:rsidRDefault="00AF7640" w:rsidP="00BA6F67">
            <w:pPr>
              <w:pStyle w:val="NoSpacing"/>
              <w:rPr>
                <w:rFonts w:ascii="Book Antiqua" w:hAnsi="Book Antiqua"/>
                <w:sz w:val="20"/>
              </w:rPr>
            </w:pPr>
            <w:r w:rsidRPr="007F536A">
              <w:rPr>
                <w:rFonts w:ascii="Book Antiqua" w:hAnsi="Book Antiqua"/>
                <w:b/>
                <w:bCs/>
                <w:sz w:val="20"/>
              </w:rPr>
              <w:t>9</w:t>
            </w:r>
            <w:r w:rsidRPr="007F536A">
              <w:rPr>
                <w:rFonts w:ascii="Book Antiqua" w:hAnsi="Book Antiqua"/>
                <w:sz w:val="20"/>
              </w:rPr>
              <w:t>. Pease/Pearson: Unstable baseline and minute deflection giving micrometer problems. These results are generally disregarded today.</w:t>
            </w:r>
          </w:p>
          <w:p w:rsidR="00AF7640" w:rsidRPr="007F536A" w:rsidRDefault="00AF7640" w:rsidP="00BA6F67">
            <w:pPr>
              <w:pStyle w:val="Els-body-text"/>
              <w:ind w:firstLine="0"/>
              <w:rPr>
                <w:rFonts w:ascii="Book Antiqua" w:hAnsi="Book Antiqua"/>
              </w:rPr>
            </w:pPr>
          </w:p>
          <w:p w:rsidR="00AF7640" w:rsidRPr="007F536A" w:rsidRDefault="00AF7640" w:rsidP="00BA6F67">
            <w:pPr>
              <w:pStyle w:val="Els-body-text"/>
              <w:ind w:firstLine="0"/>
              <w:rPr>
                <w:rFonts w:ascii="Book Antiqua" w:hAnsi="Book Antiqua"/>
              </w:rPr>
            </w:pPr>
          </w:p>
        </w:tc>
      </w:tr>
    </w:tbl>
    <w:p w:rsidR="00CB4EA7" w:rsidRDefault="00CB4EA7" w:rsidP="00183232">
      <w:pPr>
        <w:pStyle w:val="NoSpacing"/>
        <w:ind w:firstLine="720"/>
        <w:jc w:val="both"/>
        <w:rPr>
          <w:rFonts w:ascii="Book Antiqua" w:hAnsi="Book Antiqua"/>
          <w:sz w:val="20"/>
        </w:rPr>
      </w:pPr>
    </w:p>
    <w:p w:rsidR="00183232" w:rsidRDefault="00183232" w:rsidP="00183232">
      <w:pPr>
        <w:pStyle w:val="NoSpacing"/>
        <w:ind w:firstLine="720"/>
        <w:jc w:val="both"/>
        <w:rPr>
          <w:rFonts w:ascii="Book Antiqua" w:hAnsi="Book Antiqua"/>
          <w:sz w:val="20"/>
        </w:rPr>
      </w:pPr>
      <w:r w:rsidRPr="007F536A">
        <w:rPr>
          <w:rFonts w:ascii="Book Antiqua" w:hAnsi="Book Antiqua"/>
          <w:sz w:val="20"/>
        </w:rPr>
        <w:lastRenderedPageBreak/>
        <w:t xml:space="preserve">The data from Table 9 are plotted in Figure 28. The graph omits the outlier of Foucault’s pioneering value. This was described by Todd described as having </w:t>
      </w:r>
      <w:r w:rsidRPr="007F536A">
        <w:rPr>
          <w:rFonts w:ascii="Book Antiqua" w:hAnsi="Book Antiqua"/>
          <w:i/>
          <w:sz w:val="20"/>
        </w:rPr>
        <w:t xml:space="preserve">“very unfavorable limitations” </w:t>
      </w:r>
      <w:r w:rsidRPr="007F536A">
        <w:rPr>
          <w:rFonts w:ascii="Book Antiqua" w:hAnsi="Book Antiqua"/>
          <w:sz w:val="20"/>
        </w:rPr>
        <w:t>experimentally [158].</w:t>
      </w:r>
    </w:p>
    <w:p w:rsidR="00AF7640" w:rsidRPr="007F536A" w:rsidRDefault="00AF7640" w:rsidP="00821A88">
      <w:pPr>
        <w:pStyle w:val="NoSpacing"/>
        <w:ind w:firstLine="720"/>
        <w:jc w:val="both"/>
        <w:rPr>
          <w:rFonts w:ascii="Book Antiqua" w:hAnsi="Book Antiqua"/>
          <w:sz w:val="20"/>
        </w:rPr>
      </w:pPr>
    </w:p>
    <w:p w:rsidR="00821A88" w:rsidRPr="007F536A" w:rsidRDefault="00821A88" w:rsidP="00821A88">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86300" cy="3076575"/>
            <wp:effectExtent l="19050" t="0" r="19050" b="0"/>
            <wp:docPr id="15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821A88" w:rsidRPr="007F536A" w:rsidRDefault="00821A88" w:rsidP="00821A88">
      <w:pPr>
        <w:pStyle w:val="Els-body-text"/>
        <w:ind w:firstLine="0"/>
        <w:rPr>
          <w:rFonts w:ascii="Book Antiqua" w:hAnsi="Book Antiqua"/>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28:</w:t>
      </w:r>
      <w:r w:rsidRPr="001C099A">
        <w:rPr>
          <w:rFonts w:ascii="Book Antiqua" w:hAnsi="Book Antiqua"/>
          <w:i/>
          <w:sz w:val="18"/>
          <w:szCs w:val="18"/>
        </w:rPr>
        <w:t xml:space="preserve"> Graph of the speed of light values from the rotating mirror method using data listed in Table 9 but omitting Foucault’s pioneering value. A linear fit to these data gives a decline of 2.85 km/s per year.</w:t>
      </w:r>
    </w:p>
    <w:p w:rsidR="00821A88" w:rsidRPr="007F536A" w:rsidRDefault="00821A88" w:rsidP="00821A88">
      <w:pPr>
        <w:pStyle w:val="NoSpacing"/>
        <w:rPr>
          <w:rFonts w:ascii="Book Antiqua" w:hAnsi="Book Antiqua"/>
          <w:sz w:val="16"/>
          <w:szCs w:val="16"/>
        </w:rPr>
      </w:pPr>
    </w:p>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rPr>
          <w:rFonts w:ascii="Book Antiqua" w:hAnsi="Book Antiqua"/>
          <w:b/>
          <w:sz w:val="20"/>
        </w:rPr>
      </w:pPr>
      <w:r w:rsidRPr="007F536A">
        <w:rPr>
          <w:rFonts w:ascii="Book Antiqua" w:hAnsi="Book Antiqua"/>
          <w:b/>
          <w:sz w:val="20"/>
        </w:rPr>
        <w:t xml:space="preserve">Section 5: Recent </w:t>
      </w:r>
      <m:oMath>
        <m:r>
          <m:rPr>
            <m:sty m:val="b"/>
          </m:rPr>
          <w:rPr>
            <w:rFonts w:ascii="Cambria Math" w:hAnsi="Cambria Math"/>
            <w:sz w:val="20"/>
          </w:rPr>
          <m:t>c</m:t>
        </m:r>
      </m:oMath>
      <w:r w:rsidRPr="007F536A">
        <w:rPr>
          <w:rFonts w:ascii="Book Antiqua" w:hAnsi="Book Antiqua"/>
          <w:b/>
          <w:sz w:val="20"/>
        </w:rPr>
        <w:t xml:space="preserve"> Measurements. </w:t>
      </w:r>
    </w:p>
    <w:p w:rsidR="00821A88" w:rsidRPr="007F536A" w:rsidRDefault="00821A88" w:rsidP="00821A88">
      <w:pPr>
        <w:pStyle w:val="NoSpacing"/>
        <w:rPr>
          <w:rFonts w:ascii="Book Antiqua" w:hAnsi="Book Antiqua"/>
          <w:b/>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Kerr Cell Results 1928 - 1940.</w:t>
      </w:r>
    </w:p>
    <w:p w:rsidR="00821A88" w:rsidRPr="007F536A" w:rsidRDefault="00821A88" w:rsidP="00821A88">
      <w:pPr>
        <w:pStyle w:val="NoSpacing"/>
        <w:rPr>
          <w:rFonts w:ascii="Book Antiqua" w:hAnsi="Book Antiqua"/>
          <w:b/>
          <w:sz w:val="20"/>
        </w:rPr>
      </w:pPr>
    </w:p>
    <w:p w:rsidR="00821A88" w:rsidRPr="007F536A" w:rsidRDefault="00821A88" w:rsidP="00945782">
      <w:pPr>
        <w:pStyle w:val="NoSpacing"/>
        <w:ind w:firstLine="360"/>
        <w:jc w:val="both"/>
        <w:rPr>
          <w:rFonts w:ascii="Book Antiqua" w:hAnsi="Book Antiqua"/>
          <w:sz w:val="20"/>
        </w:rPr>
      </w:pPr>
      <w:r w:rsidRPr="007F536A">
        <w:rPr>
          <w:rFonts w:ascii="Book Antiqua" w:hAnsi="Book Antiqua"/>
          <w:sz w:val="20"/>
        </w:rPr>
        <w:t>From the end of Michelson’s experiments to the late 1940’s measurements of the speed of light were conducted via the Kerr cell method, using an electro-optic shutter developed by Kerr in 1875.   After this, a number of new methods were introduced. The Kerr cell method is similar to the toothed wheel, only in this case the light beam is chopped by the electro-optic shutter. The electro-optic shutter consists of a container of nitrobenzene through which an electric field can be applied. When there is no electric field, the nitrobenzene does not allow a light beam to pass through it, so there is no output. When the field is switched on, the nitrobenzene becomes optically active and the beam passes unhindered through the container. In this way a pulsed beam is obtained. However, the frequency of the pulses can be significantly higher than that of Fizeau’s toothed wheel. This reduces the time interval during which the light beam must travel before the next pulse. As a consequence, the operational distance needed to get a reliable result can be reduced. Therefore, it is possible to use this method in a large laboratory rather than between mountain-tops over 8 km apart as Fizeau initially did.</w:t>
      </w:r>
      <w:r w:rsidR="00945782">
        <w:rPr>
          <w:rFonts w:ascii="Book Antiqua" w:hAnsi="Book Antiqua"/>
          <w:sz w:val="20"/>
        </w:rPr>
        <w:t xml:space="preserve">  </w:t>
      </w:r>
      <w:r w:rsidRPr="007F536A">
        <w:rPr>
          <w:rFonts w:ascii="Book Antiqua" w:hAnsi="Book Antiqua"/>
          <w:sz w:val="20"/>
        </w:rPr>
        <w:t xml:space="preserve">The drawback is that the system is sensitive to transit times of electrons in detection tubes, as well as the time it takes for light to pass through glass, nitrobenzene and air. These factors, as well as a short base-line, all tend to result in an estimated value for </w:t>
      </w:r>
      <m:oMath>
        <m:r>
          <w:rPr>
            <w:rFonts w:ascii="Cambria Math" w:hAnsi="Cambria Math"/>
            <w:sz w:val="20"/>
          </w:rPr>
          <m:t>c</m:t>
        </m:r>
      </m:oMath>
      <w:r w:rsidRPr="007F536A">
        <w:rPr>
          <w:rFonts w:ascii="Book Antiqua" w:hAnsi="Book Antiqua"/>
          <w:sz w:val="20"/>
        </w:rPr>
        <w:t xml:space="preserve"> which is systematically below the real value.</w:t>
      </w:r>
    </w:p>
    <w:p w:rsidR="00821A88" w:rsidRPr="007F536A" w:rsidRDefault="00821A88" w:rsidP="00821A88">
      <w:pPr>
        <w:pStyle w:val="NoSpacing"/>
        <w:ind w:firstLine="360"/>
        <w:jc w:val="both"/>
        <w:rPr>
          <w:rFonts w:ascii="Book Antiqua" w:hAnsi="Book Antiqua"/>
          <w:sz w:val="20"/>
        </w:rPr>
      </w:pPr>
    </w:p>
    <w:p w:rsidR="00821A88" w:rsidRDefault="00821A88" w:rsidP="00821A88">
      <w:pPr>
        <w:pStyle w:val="NoSpacing"/>
        <w:ind w:firstLine="360"/>
        <w:jc w:val="both"/>
        <w:rPr>
          <w:rFonts w:ascii="Book Antiqua" w:hAnsi="Book Antiqua"/>
          <w:sz w:val="20"/>
        </w:rPr>
      </w:pPr>
      <w:r w:rsidRPr="007F536A">
        <w:rPr>
          <w:rFonts w:ascii="Book Antiqua" w:hAnsi="Book Antiqua"/>
          <w:sz w:val="20"/>
        </w:rPr>
        <w:t xml:space="preserve">This method was first used by Mittelstaedt in 1928 to measure the speed of light. Four determinations of </w:t>
      </w:r>
      <m:oMath>
        <m:r>
          <w:rPr>
            <w:rFonts w:ascii="Cambria Math" w:hAnsi="Cambria Math"/>
            <w:sz w:val="20"/>
          </w:rPr>
          <m:t>c</m:t>
        </m:r>
      </m:oMath>
      <w:r w:rsidRPr="007F536A">
        <w:rPr>
          <w:rFonts w:ascii="Book Antiqua" w:hAnsi="Book Antiqua"/>
          <w:sz w:val="20"/>
        </w:rPr>
        <w:t xml:space="preserve"> were performed up to 1940 using this method. Professor R. T. Birge applied uniform corrections to these four results. In doing so, he noted that </w:t>
      </w:r>
      <w:r w:rsidRPr="007F536A">
        <w:rPr>
          <w:rFonts w:ascii="Book Antiqua" w:hAnsi="Book Antiqua"/>
          <w:i/>
          <w:sz w:val="20"/>
        </w:rPr>
        <w:t>“The base line in each case was about 40 meters,”</w:t>
      </w:r>
      <w:r w:rsidRPr="007F536A">
        <w:rPr>
          <w:rFonts w:ascii="Book Antiqua" w:hAnsi="Book Antiqua"/>
          <w:sz w:val="20"/>
        </w:rPr>
        <w:t xml:space="preserve"> and gave the probable error for each experiment as about </w:t>
      </w:r>
      <m:oMath>
        <m:r>
          <w:rPr>
            <w:rFonts w:ascii="Cambria Math" w:hAnsi="Cambria Math"/>
            <w:sz w:val="20"/>
          </w:rPr>
          <m:t>± 10 km/s</m:t>
        </m:r>
      </m:oMath>
      <w:r w:rsidRPr="007F536A">
        <w:rPr>
          <w:rFonts w:ascii="Book Antiqua" w:hAnsi="Book Antiqua"/>
          <w:sz w:val="20"/>
        </w:rPr>
        <w:t xml:space="preserve"> [159]. Because the same type of equipment was used in these determinations and the error bar was the same, any trend would not be an instrumental effect.</w:t>
      </w:r>
    </w:p>
    <w:p w:rsidR="00945782" w:rsidRPr="007F536A" w:rsidRDefault="00945782"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The results are given in Table 9. The column titled “Number” is the number of experiments performed to produce the quoted result. A linear fit to the data gives a decline in the value of </w:t>
      </w:r>
      <m:oMath>
        <m:r>
          <w:rPr>
            <w:rFonts w:ascii="Cambria Math" w:hAnsi="Cambria Math"/>
            <w:sz w:val="20"/>
          </w:rPr>
          <m:t>c</m:t>
        </m:r>
      </m:oMath>
      <w:r w:rsidRPr="007F536A">
        <w:rPr>
          <w:rFonts w:ascii="Book Antiqua" w:hAnsi="Book Antiqua"/>
          <w:sz w:val="20"/>
        </w:rPr>
        <w:t xml:space="preserve">  of </w:t>
      </w:r>
      <m:oMath>
        <m:r>
          <w:rPr>
            <w:rFonts w:ascii="Cambria Math" w:hAnsi="Cambria Math"/>
            <w:sz w:val="20"/>
          </w:rPr>
          <m:t>1.03 km/s per year</m:t>
        </m:r>
      </m:oMath>
      <w:r w:rsidRPr="007F536A">
        <w:rPr>
          <w:rFonts w:ascii="Book Antiqua" w:hAnsi="Book Antiqua"/>
          <w:sz w:val="20"/>
        </w:rPr>
        <w:t xml:space="preserve">, with a value of </w:t>
      </w:r>
      <m:oMath>
        <m:r>
          <w:rPr>
            <w:rFonts w:ascii="Cambria Math" w:hAnsi="Cambria Math"/>
            <w:sz w:val="20"/>
          </w:rPr>
          <m:t>r = - 0.81</m:t>
        </m:r>
      </m:oMath>
      <w:r w:rsidRPr="007F536A">
        <w:rPr>
          <w:rFonts w:ascii="Book Antiqua" w:hAnsi="Book Antiqua"/>
          <w:sz w:val="20"/>
        </w:rPr>
        <w:t xml:space="preserve"> at the 90.5% confidence level. The systematic errors inherent in this type of system give low values for the speed of light, but the decay is still apparent. These systematic errors seem not to be the cause of the decay trend, but rather shift this trend into a lower range of values. All Table 10 values are included in Table 17.</w:t>
      </w:r>
    </w:p>
    <w:p w:rsidR="00821A88" w:rsidRPr="007F536A" w:rsidRDefault="00821A88" w:rsidP="00821A88">
      <w:pPr>
        <w:pStyle w:val="NoSpacing"/>
        <w:jc w:val="both"/>
        <w:rPr>
          <w:rFonts w:ascii="Book Antiqua" w:hAnsi="Book Antiqua"/>
          <w:sz w:val="20"/>
        </w:rPr>
      </w:pPr>
    </w:p>
    <w:p w:rsidR="00821A88" w:rsidRPr="00BA6F67" w:rsidRDefault="00821A88" w:rsidP="0058010B">
      <w:pPr>
        <w:pStyle w:val="NoSpacing"/>
        <w:jc w:val="center"/>
        <w:rPr>
          <w:rFonts w:ascii="Book Antiqua" w:hAnsi="Book Antiqua"/>
          <w:b/>
          <w:i/>
          <w:sz w:val="18"/>
          <w:szCs w:val="18"/>
        </w:rPr>
      </w:pPr>
      <w:r w:rsidRPr="00BA6F67">
        <w:rPr>
          <w:rFonts w:ascii="Book Antiqua" w:hAnsi="Book Antiqua"/>
          <w:b/>
          <w:sz w:val="18"/>
          <w:szCs w:val="18"/>
        </w:rPr>
        <w:t>Table 10:</w:t>
      </w:r>
      <w:r w:rsidRPr="00BA6F67">
        <w:rPr>
          <w:rFonts w:ascii="Book Antiqua" w:hAnsi="Book Antiqua"/>
          <w:b/>
          <w:i/>
          <w:sz w:val="18"/>
          <w:szCs w:val="18"/>
        </w:rPr>
        <w:t xml:space="preserve"> Kerr Cell Values of Light-Speed Corrected by Birge.</w:t>
      </w:r>
    </w:p>
    <w:p w:rsidR="00821A88" w:rsidRPr="007F536A" w:rsidRDefault="00821A88" w:rsidP="00821A88">
      <w:pPr>
        <w:pStyle w:val="NoSpacing"/>
        <w:jc w:val="both"/>
        <w:rPr>
          <w:rFonts w:ascii="Book Antiqua" w:hAnsi="Book Antiqua"/>
          <w:sz w:val="20"/>
        </w:rPr>
      </w:pPr>
    </w:p>
    <w:tbl>
      <w:tblPr>
        <w:tblStyle w:val="TableGrid"/>
        <w:tblW w:w="0" w:type="auto"/>
        <w:jc w:val="center"/>
        <w:tblLook w:val="04A0"/>
      </w:tblPr>
      <w:tblGrid>
        <w:gridCol w:w="1638"/>
        <w:gridCol w:w="990"/>
        <w:gridCol w:w="990"/>
        <w:gridCol w:w="1638"/>
      </w:tblGrid>
      <w:tr w:rsidR="00821A88" w:rsidRPr="007F536A" w:rsidTr="0058010B">
        <w:trPr>
          <w:jc w:val="center"/>
        </w:trPr>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Experimenter</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990"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w:t>
            </w:r>
          </w:p>
        </w:tc>
        <w:tc>
          <w:tcPr>
            <w:tcW w:w="1638"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c in km/s</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Mittelstaedt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1928.0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775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299,786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1936.8</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651</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Huttel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1937.0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 135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299,771 </w:t>
            </w:r>
            <w:r w:rsidRPr="007F536A">
              <w:rPr>
                <w:rFonts w:ascii="Book Antiqua" w:hAnsi="Book Antiqua"/>
                <w:sz w:val="20"/>
                <w:u w:val="single"/>
              </w:rPr>
              <w:t>+</w:t>
            </w:r>
            <w:r w:rsidRPr="007F536A">
              <w:rPr>
                <w:rFonts w:ascii="Book Antiqua" w:hAnsi="Book Antiqua"/>
                <w:sz w:val="20"/>
              </w:rPr>
              <w:t xml:space="preserve"> 10</w:t>
            </w:r>
          </w:p>
        </w:tc>
      </w:tr>
      <w:tr w:rsidR="00821A88" w:rsidRPr="007F536A" w:rsidTr="0058010B">
        <w:trPr>
          <w:jc w:val="center"/>
        </w:trPr>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Anderson </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1940.0</w:t>
            </w:r>
          </w:p>
        </w:tc>
        <w:tc>
          <w:tcPr>
            <w:tcW w:w="990"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2895</w:t>
            </w:r>
          </w:p>
        </w:tc>
        <w:tc>
          <w:tcPr>
            <w:tcW w:w="1638" w:type="dxa"/>
          </w:tcPr>
          <w:p w:rsidR="00821A88" w:rsidRPr="007F536A" w:rsidRDefault="00821A88" w:rsidP="00400B4E">
            <w:pPr>
              <w:pStyle w:val="NoSpacing"/>
              <w:jc w:val="both"/>
              <w:rPr>
                <w:rFonts w:ascii="Book Antiqua" w:hAnsi="Book Antiqua"/>
                <w:sz w:val="20"/>
              </w:rPr>
            </w:pPr>
            <w:r w:rsidRPr="007F536A">
              <w:rPr>
                <w:rFonts w:ascii="Book Antiqua" w:hAnsi="Book Antiqua"/>
                <w:sz w:val="20"/>
              </w:rPr>
              <w:t xml:space="preserve">299,776 </w:t>
            </w:r>
            <w:r w:rsidRPr="007F536A">
              <w:rPr>
                <w:rFonts w:ascii="Book Antiqua" w:hAnsi="Book Antiqua"/>
                <w:sz w:val="20"/>
                <w:u w:val="single"/>
              </w:rPr>
              <w:t>+</w:t>
            </w:r>
            <w:r w:rsidRPr="007F536A">
              <w:rPr>
                <w:rFonts w:ascii="Book Antiqua" w:hAnsi="Book Antiqua"/>
                <w:sz w:val="20"/>
              </w:rPr>
              <w:t xml:space="preserve"> 10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58010B">
      <w:pPr>
        <w:pStyle w:val="NoSpacing"/>
        <w:jc w:val="center"/>
        <w:rPr>
          <w:rFonts w:ascii="Book Antiqua" w:hAnsi="Book Antiqua"/>
          <w:sz w:val="20"/>
        </w:rPr>
      </w:pPr>
      <w:r w:rsidRPr="007F536A">
        <w:rPr>
          <w:rFonts w:ascii="Book Antiqua" w:hAnsi="Book Antiqua"/>
          <w:noProof/>
          <w:sz w:val="20"/>
        </w:rPr>
        <w:drawing>
          <wp:inline distT="0" distB="0" distL="0" distR="0">
            <wp:extent cx="3209925" cy="1454150"/>
            <wp:effectExtent l="19050" t="0" r="9525" b="0"/>
            <wp:docPr id="152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jc w:val="both"/>
        <w:rPr>
          <w:rFonts w:ascii="Book Antiqua" w:hAnsi="Book Antiqua"/>
          <w:i/>
          <w:sz w:val="18"/>
          <w:szCs w:val="18"/>
        </w:rPr>
      </w:pPr>
      <w:r w:rsidRPr="001C099A">
        <w:rPr>
          <w:rFonts w:ascii="Book Antiqua" w:hAnsi="Book Antiqua"/>
          <w:b/>
          <w:i/>
          <w:sz w:val="18"/>
          <w:szCs w:val="18"/>
        </w:rPr>
        <w:t>Figure 29:</w:t>
      </w:r>
      <w:r w:rsidRPr="001C099A">
        <w:rPr>
          <w:rFonts w:ascii="Book Antiqua" w:hAnsi="Book Antiqua"/>
          <w:i/>
          <w:sz w:val="18"/>
          <w:szCs w:val="18"/>
        </w:rPr>
        <w:t xml:space="preserve"> Plot of the Kerr cell data from Table 10. Horizontal axis is the date and the vertical axis is the speed of light in km/s. The linear trend line has a decline in the speed of light of 1.03 km/s per year.</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In the case of the 1928 determination, a preliminary report was issued that year by Karolus and Mittelstaedt [160], with a final report by Mittelstaedt in 1929 [161, 162]. In recording this result, for some reason, M. E. J. Gheury de Bray assigned an incorrect base-length [163].</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the case of the 1936.8 determination, an initial report was issued by Anderson [164], with the final corrections including the phase velocity given in reference [165]. For Huttel’s determination in 1937, the uncorrected original value was </w:t>
      </w:r>
      <m:oMath>
        <m:r>
          <w:rPr>
            <w:rFonts w:ascii="Cambria Math" w:hAnsi="Cambria Math"/>
            <w:sz w:val="20"/>
          </w:rPr>
          <m:t xml:space="preserve">299,768 </m:t>
        </m:r>
        <m:r>
          <w:rPr>
            <w:rFonts w:ascii="Cambria Math" w:hAnsi="Cambria Math"/>
            <w:sz w:val="20"/>
            <w:u w:val="single"/>
          </w:rPr>
          <m:t>±</m:t>
        </m:r>
        <m:r>
          <w:rPr>
            <w:rFonts w:ascii="Cambria Math" w:hAnsi="Cambria Math"/>
            <w:sz w:val="20"/>
          </w:rPr>
          <m:t xml:space="preserve"> 10 km/s</m:t>
        </m:r>
      </m:oMath>
      <w:r w:rsidRPr="007F536A">
        <w:rPr>
          <w:rFonts w:ascii="Book Antiqua" w:hAnsi="Book Antiqua"/>
          <w:sz w:val="20"/>
        </w:rPr>
        <w:t xml:space="preserve"> [166]. The value given here is the corrected one.</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For the 1940 determination by Anderson, improved techniques had removed glass from the light-path. Other variables were also altered. Dorsey [167] stated the precision essentially the same as Anderson’s earlier experiment at </w:t>
      </w:r>
      <m:oMath>
        <m:r>
          <w:rPr>
            <w:rFonts w:ascii="Cambria Math" w:hAnsi="Cambria Math"/>
            <w:sz w:val="20"/>
          </w:rPr>
          <m:t>± 14 km/s</m:t>
        </m:r>
      </m:oMath>
      <w:r w:rsidRPr="007F536A">
        <w:rPr>
          <w:rFonts w:ascii="Book Antiqua" w:hAnsi="Book Antiqua"/>
          <w:sz w:val="20"/>
        </w:rPr>
        <w:t xml:space="preserve">. However, Birge in reference [168] puts it at </w:t>
      </w:r>
      <m:oMath>
        <m:r>
          <w:rPr>
            <w:rFonts w:ascii="Cambria Math" w:hAnsi="Cambria Math"/>
            <w:sz w:val="20"/>
          </w:rPr>
          <m:t>± 6 km/s</m:t>
        </m:r>
      </m:oMath>
      <w:r w:rsidRPr="007F536A">
        <w:rPr>
          <w:rFonts w:ascii="Book Antiqua" w:hAnsi="Book Antiqua"/>
          <w:sz w:val="20"/>
        </w:rPr>
        <w:t xml:space="preserve">. The average is again </w:t>
      </w:r>
      <m:oMath>
        <m:r>
          <w:rPr>
            <w:rFonts w:ascii="Cambria Math" w:hAnsi="Cambria Math"/>
            <w:sz w:val="20"/>
          </w:rPr>
          <m:t>± 10 km/s</m:t>
        </m:r>
      </m:oMath>
      <w:r w:rsidRPr="007F536A">
        <w:rPr>
          <w:rFonts w:ascii="Book Antiqua" w:hAnsi="Book Antiqua"/>
          <w:sz w:val="20"/>
        </w:rPr>
        <w:t>, as for all the other Kerr cell results. A plot of the data from Table 10 is given in Figure 29.</w:t>
      </w:r>
    </w:p>
    <w:p w:rsidR="00821A88" w:rsidRPr="007F536A" w:rsidRDefault="00821A88" w:rsidP="00821A88">
      <w:pPr>
        <w:pStyle w:val="NoSpacing"/>
        <w:jc w:val="both"/>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The Six Methods Used 1945 - 1960.</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data collected between 1945 and 1960 were collated and commented on by K. D. Froome and L. Essen in their book, </w:t>
      </w:r>
      <w:r w:rsidRPr="007F536A">
        <w:rPr>
          <w:rFonts w:ascii="Book Antiqua" w:hAnsi="Book Antiqua"/>
          <w:i/>
          <w:sz w:val="20"/>
        </w:rPr>
        <w:t>The Velocity of Light and Radio Waves.</w:t>
      </w:r>
      <w:r w:rsidRPr="007F536A">
        <w:rPr>
          <w:rFonts w:ascii="Book Antiqua" w:hAnsi="Book Antiqua"/>
          <w:sz w:val="20"/>
        </w:rPr>
        <w:t xml:space="preserve"> [169]. Their work includes a good discussion of each experiment and the conclusions reached. When their data is coupled with that from Taylor et al. [170], 23 additional data points from 6 new methods can be documented, as shown in Table 11. All Table 11 values are included in the final Table 17</w:t>
      </w:r>
    </w:p>
    <w:p w:rsidR="00821A88" w:rsidRPr="007F536A" w:rsidRDefault="00821A88" w:rsidP="00821A88">
      <w:pPr>
        <w:pStyle w:val="NoSpacing"/>
        <w:jc w:val="both"/>
        <w:rPr>
          <w:rFonts w:ascii="Book Antiqua" w:hAnsi="Book Antiqua"/>
          <w:sz w:val="20"/>
        </w:rPr>
      </w:pPr>
    </w:p>
    <w:p w:rsidR="00F50267" w:rsidRDefault="00F50267" w:rsidP="00636D6F">
      <w:pPr>
        <w:pStyle w:val="NoSpacing"/>
        <w:rPr>
          <w:rFonts w:ascii="Book Antiqua" w:hAnsi="Book Antiqua"/>
          <w:b/>
          <w:sz w:val="18"/>
          <w:szCs w:val="18"/>
        </w:rPr>
      </w:pPr>
    </w:p>
    <w:p w:rsidR="00636D6F" w:rsidRPr="00636D6F" w:rsidRDefault="00636D6F" w:rsidP="0058010B">
      <w:pPr>
        <w:pStyle w:val="NoSpacing"/>
        <w:jc w:val="center"/>
        <w:rPr>
          <w:rFonts w:ascii="Book Antiqua" w:hAnsi="Book Antiqua"/>
          <w:b/>
          <w:i/>
          <w:sz w:val="18"/>
          <w:szCs w:val="18"/>
        </w:rPr>
      </w:pPr>
      <w:r w:rsidRPr="00636D6F">
        <w:rPr>
          <w:rFonts w:ascii="Book Antiqua" w:hAnsi="Book Antiqua"/>
          <w:b/>
          <w:sz w:val="18"/>
          <w:szCs w:val="18"/>
        </w:rPr>
        <w:t>Table 11:</w:t>
      </w:r>
      <w:r w:rsidRPr="00636D6F">
        <w:rPr>
          <w:rFonts w:ascii="Book Antiqua" w:hAnsi="Book Antiqua"/>
          <w:b/>
          <w:i/>
          <w:sz w:val="18"/>
          <w:szCs w:val="18"/>
        </w:rPr>
        <w:t xml:space="preserve"> Results by Six Methods 1945 – 1960 [112, 113].</w:t>
      </w:r>
    </w:p>
    <w:p w:rsidR="00636D6F" w:rsidRPr="0058010B" w:rsidRDefault="00636D6F" w:rsidP="00636D6F">
      <w:pPr>
        <w:pStyle w:val="NoSpacing"/>
        <w:jc w:val="center"/>
        <w:rPr>
          <w:rFonts w:ascii="Book Antiqua" w:hAnsi="Book Antiqua"/>
          <w:b/>
          <w:sz w:val="18"/>
          <w:szCs w:val="18"/>
        </w:rPr>
      </w:pPr>
    </w:p>
    <w:tbl>
      <w:tblPr>
        <w:tblStyle w:val="TableGrid"/>
        <w:tblW w:w="0" w:type="auto"/>
        <w:jc w:val="center"/>
        <w:tblLayout w:type="fixed"/>
        <w:tblLook w:val="04A0"/>
      </w:tblPr>
      <w:tblGrid>
        <w:gridCol w:w="828"/>
        <w:gridCol w:w="2880"/>
        <w:gridCol w:w="990"/>
        <w:gridCol w:w="1890"/>
      </w:tblGrid>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Date</w:t>
            </w:r>
          </w:p>
        </w:tc>
        <w:tc>
          <w:tcPr>
            <w:tcW w:w="288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Experimenter</w:t>
            </w:r>
          </w:p>
        </w:tc>
        <w:tc>
          <w:tcPr>
            <w:tcW w:w="990" w:type="dxa"/>
          </w:tcPr>
          <w:p w:rsidR="00636D6F" w:rsidRPr="0058010B" w:rsidRDefault="00636D6F" w:rsidP="00EB1629">
            <w:pPr>
              <w:pStyle w:val="NoSpacing"/>
              <w:jc w:val="center"/>
              <w:rPr>
                <w:rFonts w:ascii="Book Antiqua" w:hAnsi="Book Antiqua"/>
                <w:b/>
                <w:i/>
                <w:sz w:val="18"/>
                <w:szCs w:val="18"/>
              </w:rPr>
            </w:pPr>
            <w:r w:rsidRPr="0058010B">
              <w:rPr>
                <w:rFonts w:ascii="Book Antiqua" w:hAnsi="Book Antiqua"/>
                <w:b/>
                <w:i/>
                <w:sz w:val="18"/>
                <w:szCs w:val="18"/>
              </w:rPr>
              <w:t>Method</w:t>
            </w:r>
          </w:p>
        </w:tc>
        <w:tc>
          <w:tcPr>
            <w:tcW w:w="1890" w:type="dxa"/>
          </w:tcPr>
          <w:p w:rsidR="00636D6F" w:rsidRPr="0058010B" w:rsidRDefault="00636D6F" w:rsidP="00EB1629">
            <w:pPr>
              <w:pStyle w:val="NoSpacing"/>
              <w:jc w:val="both"/>
              <w:rPr>
                <w:rFonts w:ascii="Book Antiqua" w:hAnsi="Book Antiqua"/>
                <w:b/>
                <w:i/>
                <w:sz w:val="18"/>
                <w:szCs w:val="18"/>
              </w:rPr>
            </w:pPr>
            <w:r w:rsidRPr="0058010B">
              <w:rPr>
                <w:rFonts w:ascii="Book Antiqua" w:hAnsi="Book Antiqua"/>
                <w:b/>
                <w:i/>
                <w:sz w:val="18"/>
                <w:szCs w:val="18"/>
              </w:rPr>
              <w:t>Value (km/s)</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Essen, Gordon-Smith [174]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299,798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Gordon-Smith [174]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[175]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2.4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1949</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299,796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Essen [177]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Hansen and Bol [178]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1</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299,794.3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[179]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0.26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Bergstrand [180]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299,793.1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Aslakson [181]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2</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299,794.2   </w:t>
            </w:r>
            <w:r w:rsidRPr="0058010B">
              <w:rPr>
                <w:rFonts w:ascii="Book Antiqua" w:hAnsi="Book Antiqua"/>
                <w:sz w:val="18"/>
                <w:szCs w:val="18"/>
                <w:u w:val="single"/>
              </w:rPr>
              <w:t>+</w:t>
            </w:r>
            <w:r w:rsidRPr="0058010B">
              <w:rPr>
                <w:rFonts w:ascii="Book Antiqua" w:hAnsi="Book Antiqua"/>
                <w:sz w:val="18"/>
                <w:szCs w:val="18"/>
              </w:rPr>
              <w:t xml:space="preserve"> 1.4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1951</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0.7</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1953</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Bergstrand (av. date) [183] </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299,792.85 </w:t>
            </w:r>
            <w:r w:rsidRPr="0058010B">
              <w:rPr>
                <w:rFonts w:ascii="Book Antiqua" w:hAnsi="Book Antiqua"/>
                <w:sz w:val="18"/>
                <w:szCs w:val="18"/>
                <w:u w:val="single"/>
              </w:rPr>
              <w:t>+</w:t>
            </w:r>
            <w:r w:rsidRPr="0058010B">
              <w:rPr>
                <w:rFonts w:ascii="Book Antiqua" w:hAnsi="Book Antiqua"/>
                <w:sz w:val="18"/>
                <w:szCs w:val="18"/>
              </w:rPr>
              <w:t xml:space="preserve"> 0.16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[184]</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299,792.75 </w:t>
            </w:r>
            <w:r w:rsidRPr="0058010B">
              <w:rPr>
                <w:rFonts w:ascii="Book Antiqua" w:hAnsi="Book Antiqua"/>
                <w:sz w:val="18"/>
                <w:szCs w:val="18"/>
                <w:u w:val="single"/>
              </w:rPr>
              <w:t>+</w:t>
            </w:r>
            <w:r w:rsidRPr="0058010B">
              <w:rPr>
                <w:rFonts w:ascii="Book Antiqua" w:hAnsi="Book Antiqua"/>
                <w:sz w:val="18"/>
                <w:szCs w:val="18"/>
              </w:rPr>
              <w:t xml:space="preserve"> 0.3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1954</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Florman  [185]</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299,795.1  </w:t>
            </w:r>
            <w:r w:rsidRPr="0058010B">
              <w:rPr>
                <w:rFonts w:ascii="Book Antiqua" w:hAnsi="Book Antiqua"/>
                <w:sz w:val="18"/>
                <w:szCs w:val="18"/>
                <w:u w:val="single"/>
              </w:rPr>
              <w:t>+</w:t>
            </w:r>
            <w:r w:rsidRPr="0058010B">
              <w:rPr>
                <w:rFonts w:ascii="Book Antiqua" w:hAnsi="Book Antiqua"/>
                <w:sz w:val="18"/>
                <w:szCs w:val="18"/>
              </w:rPr>
              <w:t xml:space="preserve"> 3.1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Scholdstrom [186]</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0.4</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1955</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Plyler, Blaine, Connor [187]</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     </w:t>
            </w:r>
            <w:r w:rsidRPr="0058010B">
              <w:rPr>
                <w:rFonts w:ascii="Book Antiqua" w:hAnsi="Book Antiqua"/>
                <w:sz w:val="18"/>
                <w:szCs w:val="18"/>
                <w:u w:val="single"/>
              </w:rPr>
              <w:t>+</w:t>
            </w:r>
            <w:r w:rsidRPr="0058010B">
              <w:rPr>
                <w:rFonts w:ascii="Book Antiqua" w:hAnsi="Book Antiqua"/>
                <w:sz w:val="18"/>
                <w:szCs w:val="18"/>
              </w:rPr>
              <w:t xml:space="preserve"> 6</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299,792.9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1956   </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299,792.7  </w:t>
            </w:r>
            <w:r w:rsidRPr="0058010B">
              <w:rPr>
                <w:rFonts w:ascii="Book Antiqua" w:hAnsi="Book Antiqua"/>
                <w:sz w:val="18"/>
                <w:szCs w:val="18"/>
                <w:u w:val="single"/>
              </w:rPr>
              <w:t>+</w:t>
            </w:r>
            <w:r w:rsidRPr="0058010B">
              <w:rPr>
                <w:rFonts w:ascii="Book Antiqua" w:hAnsi="Book Antiqua"/>
                <w:sz w:val="18"/>
                <w:szCs w:val="18"/>
              </w:rPr>
              <w:t xml:space="preserve"> 2.0</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Rank Bennett Bennett [189]</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5</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299,791.9  </w:t>
            </w:r>
            <w:r w:rsidRPr="0058010B">
              <w:rPr>
                <w:rFonts w:ascii="Book Antiqua" w:hAnsi="Book Antiqua"/>
                <w:sz w:val="18"/>
                <w:szCs w:val="18"/>
                <w:u w:val="single"/>
              </w:rPr>
              <w:t>+</w:t>
            </w:r>
            <w:r w:rsidRPr="0058010B">
              <w:rPr>
                <w:rFonts w:ascii="Book Antiqua" w:hAnsi="Book Antiqua"/>
                <w:sz w:val="18"/>
                <w:szCs w:val="18"/>
              </w:rPr>
              <w:t xml:space="preserve"> 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299,792.4  </w:t>
            </w:r>
            <w:r w:rsidRPr="0058010B">
              <w:rPr>
                <w:rFonts w:ascii="Book Antiqua" w:hAnsi="Book Antiqua"/>
                <w:sz w:val="18"/>
                <w:szCs w:val="18"/>
                <w:u w:val="single"/>
              </w:rPr>
              <w:t>+</w:t>
            </w:r>
            <w:r w:rsidRPr="0058010B">
              <w:rPr>
                <w:rFonts w:ascii="Book Antiqua" w:hAnsi="Book Antiqua"/>
                <w:sz w:val="18"/>
                <w:szCs w:val="18"/>
              </w:rPr>
              <w:t xml:space="preserve"> 0.11</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1956</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Edge [190]</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299,792.2  </w:t>
            </w:r>
            <w:r w:rsidRPr="0058010B">
              <w:rPr>
                <w:rFonts w:ascii="Book Antiqua" w:hAnsi="Book Antiqua"/>
                <w:sz w:val="18"/>
                <w:szCs w:val="18"/>
                <w:u w:val="single"/>
              </w:rPr>
              <w:t>+</w:t>
            </w:r>
            <w:r w:rsidRPr="0058010B">
              <w:rPr>
                <w:rFonts w:ascii="Book Antiqua" w:hAnsi="Book Antiqua"/>
                <w:sz w:val="18"/>
                <w:szCs w:val="18"/>
              </w:rPr>
              <w:t xml:space="preserve"> 0.13</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1957</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Wadley [188]</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6</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1.2</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1958</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Froome [191]</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4</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299,792.5  </w:t>
            </w:r>
            <w:r w:rsidRPr="0058010B">
              <w:rPr>
                <w:rFonts w:ascii="Book Antiqua" w:hAnsi="Book Antiqua"/>
                <w:sz w:val="18"/>
                <w:szCs w:val="18"/>
                <w:u w:val="single"/>
              </w:rPr>
              <w:t>+</w:t>
            </w:r>
            <w:r w:rsidRPr="0058010B">
              <w:rPr>
                <w:rFonts w:ascii="Book Antiqua" w:hAnsi="Book Antiqua"/>
                <w:sz w:val="18"/>
                <w:szCs w:val="18"/>
              </w:rPr>
              <w:t xml:space="preserve"> 0.1 </w:t>
            </w:r>
          </w:p>
        </w:tc>
      </w:tr>
      <w:tr w:rsidR="00636D6F" w:rsidRPr="0058010B" w:rsidTr="0058010B">
        <w:trPr>
          <w:jc w:val="center"/>
        </w:trPr>
        <w:tc>
          <w:tcPr>
            <w:tcW w:w="828"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1960</w:t>
            </w:r>
          </w:p>
        </w:tc>
        <w:tc>
          <w:tcPr>
            <w:tcW w:w="288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Kolibayev (av. date) [192]</w:t>
            </w:r>
          </w:p>
        </w:tc>
        <w:tc>
          <w:tcPr>
            <w:tcW w:w="990" w:type="dxa"/>
          </w:tcPr>
          <w:p w:rsidR="00636D6F" w:rsidRPr="0058010B" w:rsidRDefault="00636D6F" w:rsidP="00EB1629">
            <w:pPr>
              <w:pStyle w:val="NoSpacing"/>
              <w:jc w:val="center"/>
              <w:rPr>
                <w:rFonts w:ascii="Book Antiqua" w:hAnsi="Book Antiqua"/>
                <w:sz w:val="18"/>
                <w:szCs w:val="18"/>
              </w:rPr>
            </w:pPr>
            <w:r w:rsidRPr="0058010B">
              <w:rPr>
                <w:rFonts w:ascii="Book Antiqua" w:hAnsi="Book Antiqua"/>
                <w:sz w:val="18"/>
                <w:szCs w:val="18"/>
              </w:rPr>
              <w:t>3</w:t>
            </w:r>
          </w:p>
        </w:tc>
        <w:tc>
          <w:tcPr>
            <w:tcW w:w="1890" w:type="dxa"/>
          </w:tcPr>
          <w:p w:rsidR="00636D6F" w:rsidRPr="0058010B" w:rsidRDefault="00636D6F" w:rsidP="00EB1629">
            <w:pPr>
              <w:pStyle w:val="NoSpacing"/>
              <w:jc w:val="both"/>
              <w:rPr>
                <w:rFonts w:ascii="Book Antiqua" w:hAnsi="Book Antiqua"/>
                <w:sz w:val="18"/>
                <w:szCs w:val="18"/>
              </w:rPr>
            </w:pPr>
            <w:r w:rsidRPr="0058010B">
              <w:rPr>
                <w:rFonts w:ascii="Book Antiqua" w:hAnsi="Book Antiqua"/>
                <w:sz w:val="18"/>
                <w:szCs w:val="18"/>
              </w:rPr>
              <w:t xml:space="preserve">299,792.6  </w:t>
            </w:r>
            <w:r w:rsidRPr="0058010B">
              <w:rPr>
                <w:rFonts w:ascii="Book Antiqua" w:hAnsi="Book Antiqua"/>
                <w:sz w:val="18"/>
                <w:szCs w:val="18"/>
                <w:u w:val="single"/>
              </w:rPr>
              <w:t>+</w:t>
            </w:r>
            <w:r w:rsidRPr="0058010B">
              <w:rPr>
                <w:rFonts w:ascii="Book Antiqua" w:hAnsi="Book Antiqua"/>
                <w:sz w:val="18"/>
                <w:szCs w:val="18"/>
              </w:rPr>
              <w:t xml:space="preserve"> 0.06</w:t>
            </w:r>
          </w:p>
        </w:tc>
      </w:tr>
    </w:tbl>
    <w:p w:rsidR="00636D6F" w:rsidRDefault="00636D6F" w:rsidP="00821A88">
      <w:pPr>
        <w:pStyle w:val="NoSpacing"/>
        <w:jc w:val="both"/>
        <w:rPr>
          <w:rFonts w:ascii="Book Antiqua" w:hAnsi="Book Antiqua"/>
          <w:sz w:val="20"/>
        </w:rPr>
      </w:pPr>
    </w:p>
    <w:p w:rsidR="0058010B" w:rsidRPr="007F536A" w:rsidRDefault="0058010B" w:rsidP="0058010B">
      <w:pPr>
        <w:pStyle w:val="NoSpacing"/>
        <w:ind w:firstLine="720"/>
        <w:jc w:val="both"/>
        <w:rPr>
          <w:rFonts w:ascii="Book Antiqua" w:hAnsi="Book Antiqua"/>
          <w:sz w:val="20"/>
        </w:rPr>
      </w:pPr>
      <w:r w:rsidRPr="007F536A">
        <w:rPr>
          <w:rFonts w:ascii="Book Antiqua" w:hAnsi="Book Antiqua"/>
          <w:sz w:val="20"/>
        </w:rPr>
        <w:t xml:space="preserve">Three radar values are omitted from Table11 as they did not measure atmospheric moisture which critically affects the radio refractive index. Under these circumstances, the final value obtained for </w:t>
      </w:r>
      <m:oMath>
        <m:r>
          <w:rPr>
            <w:rFonts w:ascii="Cambria Math" w:hAnsi="Cambria Math"/>
            <w:sz w:val="20"/>
          </w:rPr>
          <m:t>c</m:t>
        </m:r>
      </m:oMath>
      <w:r w:rsidRPr="007F536A">
        <w:rPr>
          <w:rFonts w:ascii="Book Antiqua" w:hAnsi="Book Antiqua"/>
          <w:sz w:val="20"/>
        </w:rPr>
        <w:t xml:space="preserve"> from these three experiments is somewhat spurious [171]. Also omitted are two early spectral line results that had errors due to imperfect wavelength measurements as Mulligan and McDonald have pointed out [172].  Two quartz modulator values are also omitted against a date of 1950 because they had results spread over </w:t>
      </w:r>
      <m:oMath>
        <m:r>
          <w:rPr>
            <w:rFonts w:ascii="Cambria Math" w:hAnsi="Cambria Math"/>
            <w:sz w:val="20"/>
          </w:rPr>
          <m:t>180 km/s</m:t>
        </m:r>
      </m:oMath>
      <w:r w:rsidRPr="007F536A">
        <w:rPr>
          <w:rFonts w:ascii="Book Antiqua" w:hAnsi="Book Antiqua"/>
          <w:sz w:val="20"/>
        </w:rPr>
        <w:t xml:space="preserve"> in one case and over </w:t>
      </w:r>
      <m:oMath>
        <m:r>
          <w:rPr>
            <w:rFonts w:ascii="Cambria Math" w:hAnsi="Cambria Math"/>
            <w:sz w:val="20"/>
          </w:rPr>
          <m:t xml:space="preserve">500 km/s </m:t>
        </m:r>
      </m:oMath>
      <w:r w:rsidRPr="007F536A">
        <w:rPr>
          <w:rFonts w:ascii="Book Antiqua" w:hAnsi="Book Antiqua"/>
          <w:sz w:val="20"/>
        </w:rPr>
        <w:t xml:space="preserve"> in the other [173].</w:t>
      </w:r>
    </w:p>
    <w:p w:rsidR="0058010B" w:rsidRDefault="0058010B"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sz w:val="20"/>
        </w:rPr>
      </w:pPr>
      <w:r w:rsidRPr="007F536A">
        <w:rPr>
          <w:rFonts w:ascii="Book Antiqua" w:hAnsi="Book Antiqua"/>
          <w:noProof/>
          <w:sz w:val="20"/>
        </w:rPr>
        <w:drawing>
          <wp:inline distT="0" distB="0" distL="0" distR="0">
            <wp:extent cx="4781550" cy="2447925"/>
            <wp:effectExtent l="19050" t="0" r="19050" b="0"/>
            <wp:docPr id="152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821A88" w:rsidRPr="007F536A" w:rsidRDefault="00821A88" w:rsidP="00821A88">
      <w:pPr>
        <w:pStyle w:val="NoSpacing"/>
        <w:jc w:val="both"/>
        <w:rPr>
          <w:rFonts w:ascii="Book Antiqua" w:hAnsi="Book Antiqua"/>
          <w:sz w:val="20"/>
        </w:rPr>
      </w:pPr>
    </w:p>
    <w:p w:rsidR="00821A88" w:rsidRPr="001C099A" w:rsidRDefault="00821A88" w:rsidP="00821A88">
      <w:pPr>
        <w:pStyle w:val="NoSpacing"/>
        <w:rPr>
          <w:rFonts w:ascii="Book Antiqua" w:hAnsi="Book Antiqua"/>
          <w:i/>
          <w:sz w:val="18"/>
          <w:szCs w:val="18"/>
        </w:rPr>
      </w:pPr>
      <w:r w:rsidRPr="001C099A">
        <w:rPr>
          <w:rFonts w:ascii="Book Antiqua" w:hAnsi="Book Antiqua"/>
          <w:b/>
          <w:i/>
          <w:sz w:val="18"/>
          <w:szCs w:val="18"/>
        </w:rPr>
        <w:t>Figure 30:</w:t>
      </w:r>
      <w:r w:rsidRPr="001C099A">
        <w:rPr>
          <w:rFonts w:ascii="Book Antiqua" w:hAnsi="Book Antiqua"/>
          <w:i/>
          <w:sz w:val="18"/>
          <w:szCs w:val="18"/>
        </w:rPr>
        <w:t xml:space="preserve"> Plot of lightspeed data from 1945 to 1960 by 6 methods. The polynomial fit is superior to a linear fit to the data. Nevertheless, even a linear fit to the data gives a decline in c of 0.19 km/s per year at a 99.0% confidence level.</w:t>
      </w:r>
    </w:p>
    <w:p w:rsidR="00821A88"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lastRenderedPageBreak/>
        <w:t xml:space="preserve">When the data are plotted, as in Figure 30, the linear fit to the </w:t>
      </w:r>
      <m:oMath>
        <m:r>
          <w:rPr>
            <w:rFonts w:ascii="Cambria Math" w:hAnsi="Cambria Math"/>
            <w:sz w:val="20"/>
          </w:rPr>
          <m:t>c</m:t>
        </m:r>
      </m:oMath>
      <w:r w:rsidRPr="007F536A">
        <w:rPr>
          <w:rFonts w:ascii="Book Antiqua" w:hAnsi="Book Antiqua"/>
          <w:sz w:val="20"/>
        </w:rPr>
        <w:t xml:space="preserve"> data gives a decay of </w:t>
      </w:r>
      <m:oMath>
        <m:r>
          <w:rPr>
            <w:rFonts w:ascii="Cambria Math" w:hAnsi="Cambria Math"/>
            <w:sz w:val="20"/>
          </w:rPr>
          <m:t>0.19 km/s per year</m:t>
        </m:r>
      </m:oMath>
      <w:r w:rsidRPr="007F536A">
        <w:rPr>
          <w:rFonts w:ascii="Book Antiqua" w:hAnsi="Book Antiqua"/>
          <w:sz w:val="20"/>
        </w:rPr>
        <w:t xml:space="preserve"> with a confidence level of 99.0% that the data were showing that </w:t>
      </w:r>
      <m:oMath>
        <m:r>
          <w:rPr>
            <w:rFonts w:ascii="Cambria Math" w:hAnsi="Cambria Math"/>
            <w:sz w:val="20"/>
          </w:rPr>
          <m:t>c</m:t>
        </m:r>
      </m:oMath>
      <w:r w:rsidRPr="007F536A">
        <w:rPr>
          <w:rFonts w:ascii="Book Antiqua" w:hAnsi="Book Antiqua"/>
          <w:sz w:val="20"/>
        </w:rPr>
        <w:t xml:space="preserve"> was higher than the currently declared value during those 15 years. Five of those six methods each gave a decay as shown by the data in Table 11. The exception was the radar results due to the removal of a signal intensity error in the later experiment [173].</w:t>
      </w:r>
    </w:p>
    <w:p w:rsidR="000554D7" w:rsidRPr="007F536A" w:rsidRDefault="000554D7" w:rsidP="00821A88">
      <w:pPr>
        <w:pStyle w:val="NoSpacing"/>
        <w:rPr>
          <w:rFonts w:ascii="Book Antiqua" w:hAnsi="Book Antiqua"/>
          <w:sz w:val="16"/>
          <w:szCs w:val="16"/>
        </w:rPr>
      </w:pPr>
    </w:p>
    <w:p w:rsidR="000C2A7F" w:rsidRPr="007F536A" w:rsidRDefault="000C2A7F" w:rsidP="000C2A7F">
      <w:pPr>
        <w:pStyle w:val="NoSpacing"/>
        <w:ind w:firstLine="360"/>
        <w:jc w:val="both"/>
        <w:rPr>
          <w:rFonts w:ascii="Book Antiqua" w:hAnsi="Book Antiqua"/>
          <w:sz w:val="20"/>
        </w:rPr>
      </w:pPr>
      <w:r w:rsidRPr="007F536A">
        <w:rPr>
          <w:rFonts w:ascii="Book Antiqua" w:hAnsi="Book Antiqua"/>
          <w:sz w:val="20"/>
        </w:rPr>
        <w:t xml:space="preserve">The minimum value from the polynomial fit occurred about 1958. This is also the conclusion when the eight values obtained by method 3, are considered. The linear fit to these geodimeter data gives a decay of </w:t>
      </w:r>
      <m:oMath>
        <m:r>
          <w:rPr>
            <w:rFonts w:ascii="Cambria Math" w:hAnsi="Cambria Math"/>
            <w:sz w:val="20"/>
          </w:rPr>
          <m:t>0.22 km/s per year</m:t>
        </m:r>
      </m:oMath>
      <w:r w:rsidRPr="007F536A">
        <w:rPr>
          <w:rFonts w:ascii="Book Antiqua" w:hAnsi="Book Antiqua"/>
          <w:sz w:val="20"/>
        </w:rPr>
        <w:t>. But a polynomial fit to the data gives a superior result mathematically and gives the minimum value about 1957. The graph of the 8 geodimeter values in Figure 31 supports this.</w:t>
      </w:r>
    </w:p>
    <w:p w:rsidR="000554D7" w:rsidRPr="007F536A" w:rsidRDefault="000554D7" w:rsidP="00821A88">
      <w:pPr>
        <w:pStyle w:val="NoSpacing"/>
        <w:rPr>
          <w:rFonts w:ascii="Book Antiqua" w:hAnsi="Book Antiqua"/>
          <w:sz w:val="16"/>
          <w:szCs w:val="16"/>
        </w:rPr>
      </w:pPr>
    </w:p>
    <w:p w:rsidR="000C2A7F" w:rsidRPr="007F536A" w:rsidRDefault="000C2A7F" w:rsidP="00821A88">
      <w:pPr>
        <w:pStyle w:val="NoSpacing"/>
        <w:rPr>
          <w:rFonts w:ascii="Book Antiqua" w:hAnsi="Book Antiqua"/>
          <w:sz w:val="16"/>
          <w:szCs w:val="16"/>
        </w:rPr>
      </w:pPr>
    </w:p>
    <w:p w:rsidR="00821A88" w:rsidRPr="00675787" w:rsidRDefault="00821A88" w:rsidP="0058010B">
      <w:pPr>
        <w:pStyle w:val="NoSpacing"/>
        <w:jc w:val="center"/>
        <w:rPr>
          <w:rFonts w:ascii="Book Antiqua" w:hAnsi="Book Antiqua"/>
          <w:b/>
          <w:i/>
          <w:sz w:val="18"/>
          <w:szCs w:val="18"/>
        </w:rPr>
      </w:pPr>
      <w:r w:rsidRPr="00675787">
        <w:rPr>
          <w:rFonts w:ascii="Book Antiqua" w:hAnsi="Book Antiqua"/>
          <w:b/>
          <w:sz w:val="18"/>
          <w:szCs w:val="18"/>
        </w:rPr>
        <w:t>Table 12:</w:t>
      </w:r>
      <w:r w:rsidRPr="00675787">
        <w:rPr>
          <w:rFonts w:ascii="Book Antiqua" w:hAnsi="Book Antiqua"/>
          <w:b/>
          <w:i/>
          <w:sz w:val="18"/>
          <w:szCs w:val="18"/>
        </w:rPr>
        <w:t xml:space="preserve"> Decay Rate by the Six Methods 1945 – 1960</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302"/>
        <w:gridCol w:w="1885"/>
        <w:gridCol w:w="2282"/>
      </w:tblGrid>
      <w:tr w:rsidR="00821A88" w:rsidRPr="007F536A" w:rsidTr="0058010B">
        <w:trPr>
          <w:trHeight w:val="361"/>
          <w:jc w:val="center"/>
        </w:trPr>
        <w:tc>
          <w:tcPr>
            <w:tcW w:w="230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188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Number of data</w:t>
            </w:r>
          </w:p>
        </w:tc>
        <w:tc>
          <w:tcPr>
            <w:tcW w:w="2282"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Linear decay rate</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1 Cavity resonator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0.53 km/s per year</w:t>
            </w:r>
          </w:p>
        </w:tc>
      </w:tr>
      <w:tr w:rsidR="00821A88" w:rsidRPr="007F536A" w:rsidTr="0058010B">
        <w:trPr>
          <w:trHeight w:val="361"/>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Radar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Errors negated trend</w:t>
            </w:r>
          </w:p>
        </w:tc>
      </w:tr>
      <w:tr w:rsidR="00821A88" w:rsidRPr="007F536A" w:rsidTr="0058010B">
        <w:trPr>
          <w:trHeight w:val="361"/>
          <w:jc w:val="center"/>
        </w:trPr>
        <w:tc>
          <w:tcPr>
            <w:tcW w:w="2302" w:type="dxa"/>
          </w:tcPr>
          <w:p w:rsidR="00821A88" w:rsidRPr="00987B97" w:rsidRDefault="00821A88" w:rsidP="00821A88">
            <w:pPr>
              <w:pStyle w:val="NoSpacing"/>
              <w:numPr>
                <w:ilvl w:val="0"/>
                <w:numId w:val="21"/>
              </w:numPr>
              <w:jc w:val="both"/>
              <w:rPr>
                <w:rFonts w:ascii="Book Antiqua" w:hAnsi="Book Antiqua"/>
                <w:b/>
                <w:sz w:val="18"/>
                <w:szCs w:val="18"/>
              </w:rPr>
            </w:pPr>
            <w:r w:rsidRPr="00987B97">
              <w:rPr>
                <w:rFonts w:ascii="Book Antiqua" w:hAnsi="Book Antiqua"/>
                <w:b/>
                <w:sz w:val="18"/>
                <w:szCs w:val="18"/>
              </w:rPr>
              <w:t>Geodimeter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8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0.22 km/s per year</w:t>
            </w:r>
          </w:p>
        </w:tc>
      </w:tr>
      <w:tr w:rsidR="00821A88" w:rsidRPr="007F536A" w:rsidTr="0058010B">
        <w:trPr>
          <w:trHeight w:val="462"/>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Radio interferometer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4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0.04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5 Spectral lines</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2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0.10 km/s per year</w:t>
            </w:r>
          </w:p>
        </w:tc>
      </w:tr>
      <w:tr w:rsidR="00821A88" w:rsidRPr="007F536A" w:rsidTr="0058010B">
        <w:trPr>
          <w:trHeight w:val="384"/>
          <w:jc w:val="center"/>
        </w:trPr>
        <w:tc>
          <w:tcPr>
            <w:tcW w:w="230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6 Tellurometer</w:t>
            </w:r>
          </w:p>
        </w:tc>
        <w:tc>
          <w:tcPr>
            <w:tcW w:w="1885"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3 determinations</w:t>
            </w:r>
          </w:p>
        </w:tc>
        <w:tc>
          <w:tcPr>
            <w:tcW w:w="2282" w:type="dxa"/>
          </w:tcPr>
          <w:p w:rsidR="00821A88" w:rsidRPr="00987B97" w:rsidRDefault="00821A88" w:rsidP="00400B4E">
            <w:pPr>
              <w:pStyle w:val="NoSpacing"/>
              <w:jc w:val="both"/>
              <w:rPr>
                <w:rFonts w:ascii="Book Antiqua" w:hAnsi="Book Antiqua"/>
                <w:b/>
                <w:sz w:val="18"/>
                <w:szCs w:val="18"/>
              </w:rPr>
            </w:pPr>
            <w:r w:rsidRPr="00987B97">
              <w:rPr>
                <w:rFonts w:ascii="Book Antiqua" w:hAnsi="Book Antiqua"/>
                <w:b/>
                <w:sz w:val="18"/>
                <w:szCs w:val="18"/>
              </w:rPr>
              <w:t>0.20 km/s per year</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center"/>
        <w:rPr>
          <w:rFonts w:ascii="Book Antiqua" w:hAnsi="Book Antiqua"/>
          <w:b/>
          <w:i/>
          <w:sz w:val="20"/>
        </w:rPr>
      </w:pPr>
      <w:r w:rsidRPr="007F536A">
        <w:rPr>
          <w:rFonts w:ascii="Book Antiqua" w:hAnsi="Book Antiqua"/>
          <w:noProof/>
          <w:sz w:val="20"/>
        </w:rPr>
        <w:drawing>
          <wp:inline distT="0" distB="0" distL="0" distR="0">
            <wp:extent cx="5087150" cy="3250347"/>
            <wp:effectExtent l="19050" t="0" r="18250" b="7203"/>
            <wp:docPr id="25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821A88" w:rsidRPr="007F536A" w:rsidRDefault="00821A88" w:rsidP="00821A88">
      <w:pPr>
        <w:pStyle w:val="NoSpacing"/>
        <w:jc w:val="both"/>
        <w:rPr>
          <w:rFonts w:ascii="Book Antiqua" w:hAnsi="Book Antiqua"/>
          <w:b/>
          <w:i/>
          <w:sz w:val="20"/>
        </w:rPr>
      </w:pPr>
    </w:p>
    <w:p w:rsidR="00821A88" w:rsidRDefault="00821A88" w:rsidP="00821A88">
      <w:pPr>
        <w:pStyle w:val="NoSpacing"/>
        <w:rPr>
          <w:rFonts w:ascii="Book Antiqua" w:hAnsi="Book Antiqua"/>
          <w:sz w:val="18"/>
          <w:szCs w:val="18"/>
        </w:rPr>
      </w:pPr>
      <w:r w:rsidRPr="001C099A">
        <w:rPr>
          <w:rFonts w:ascii="Book Antiqua" w:hAnsi="Book Antiqua"/>
          <w:b/>
          <w:i/>
          <w:sz w:val="18"/>
          <w:szCs w:val="18"/>
        </w:rPr>
        <w:t>Figure 31:</w:t>
      </w:r>
      <w:r w:rsidRPr="001C099A">
        <w:rPr>
          <w:rFonts w:ascii="Book Antiqua" w:hAnsi="Book Antiqua"/>
          <w:i/>
          <w:sz w:val="18"/>
          <w:szCs w:val="18"/>
        </w:rPr>
        <w:t xml:space="preserve"> A graph of the eight geodimeter values obtained in the period 1945 to 1960. A polynomial trend-line gives a superior fit to the data compared with a linear trend. In this case the curve appears to bottom out about 1957</w:t>
      </w:r>
      <w:r w:rsidRPr="007F536A">
        <w:rPr>
          <w:rFonts w:ascii="Book Antiqua" w:hAnsi="Book Antiqua"/>
          <w:sz w:val="18"/>
          <w:szCs w:val="18"/>
        </w:rPr>
        <w:t>.</w:t>
      </w:r>
    </w:p>
    <w:p w:rsidR="00583031" w:rsidRDefault="00583031" w:rsidP="00821A88">
      <w:pPr>
        <w:pStyle w:val="NoSpacing"/>
        <w:rPr>
          <w:rFonts w:ascii="Book Antiqua" w:hAnsi="Book Antiqua"/>
          <w:sz w:val="18"/>
          <w:szCs w:val="18"/>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lastRenderedPageBreak/>
        <w:t xml:space="preserve">The Decreasing Decay Rate for </w:t>
      </w:r>
      <m:oMath>
        <m:r>
          <w:rPr>
            <w:rFonts w:ascii="Cambria Math" w:hAnsi="Cambria Math"/>
            <w:sz w:val="20"/>
          </w:rPr>
          <m:t>c</m:t>
        </m:r>
      </m:oMath>
      <w:r w:rsidRPr="007F536A">
        <w:rPr>
          <w:rFonts w:ascii="Book Antiqua" w:hAnsi="Book Antiqua"/>
          <w:i/>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An examination of the material in this chapter shows that the linear fit decay rate for the speed of light data is decreasing with time.  For this reason, a polynomial fit is better. The Roemer type determinations are considered in Table 1 where it can be seen that observations extended over a period of 210 years from 1667 to 1877. Delambre’s value of </w:t>
      </w:r>
      <m:oMath>
        <m:r>
          <w:rPr>
            <w:rFonts w:ascii="Cambria Math" w:hAnsi="Cambria Math"/>
            <w:sz w:val="20"/>
          </w:rPr>
          <m:t>303,320 km/s</m:t>
        </m:r>
      </m:oMath>
      <w:r w:rsidRPr="007F536A">
        <w:rPr>
          <w:rFonts w:ascii="Book Antiqua" w:hAnsi="Book Antiqua"/>
          <w:sz w:val="20"/>
        </w:rPr>
        <w:t xml:space="preserve"> is accepted here as the best initial value since his treatment included the Roemer data itself. The final value is taken as the Harvard reductions which gave </w:t>
      </w:r>
      <m:oMath>
        <m:r>
          <w:rPr>
            <w:rFonts w:ascii="Cambria Math" w:hAnsi="Cambria Math"/>
            <w:sz w:val="20"/>
          </w:rPr>
          <m:t>299,921 km/s</m:t>
        </m:r>
      </m:oMath>
      <w:r w:rsidRPr="007F536A">
        <w:rPr>
          <w:rFonts w:ascii="Book Antiqua" w:hAnsi="Book Antiqua"/>
          <w:sz w:val="20"/>
        </w:rPr>
        <w:t xml:space="preserve"> at the end date. There was thus a drop of </w:t>
      </w:r>
      <m:oMath>
        <m:r>
          <w:rPr>
            <w:rFonts w:ascii="Cambria Math" w:hAnsi="Cambria Math"/>
            <w:sz w:val="20"/>
          </w:rPr>
          <m:t>3,399 km/s</m:t>
        </m:r>
      </m:oMath>
      <w:r w:rsidRPr="007F536A">
        <w:rPr>
          <w:rFonts w:ascii="Book Antiqua" w:hAnsi="Book Antiqua"/>
          <w:sz w:val="20"/>
        </w:rPr>
        <w:t xml:space="preserve"> over a period of 210 years. This gives a drop of </w:t>
      </w:r>
      <m:oMath>
        <m:r>
          <w:rPr>
            <w:rFonts w:ascii="Cambria Math" w:hAnsi="Cambria Math"/>
            <w:sz w:val="20"/>
          </w:rPr>
          <m:t>16.18 km/s per year</m:t>
        </m:r>
      </m:oMath>
      <w:r w:rsidRPr="007F536A">
        <w:rPr>
          <w:rFonts w:ascii="Book Antiqua" w:hAnsi="Book Antiqua"/>
          <w:sz w:val="20"/>
        </w:rPr>
        <w:t xml:space="preserve"> for an average date of </w:t>
      </w:r>
      <m:oMath>
        <m:r>
          <w:rPr>
            <w:rFonts w:ascii="Cambria Math" w:hAnsi="Cambria Math"/>
            <w:sz w:val="20"/>
          </w:rPr>
          <m:t>1772</m:t>
        </m:r>
      </m:oMath>
      <w:r w:rsidRPr="007F536A">
        <w:rPr>
          <w:rFonts w:ascii="Book Antiqua" w:hAnsi="Book Antiqua"/>
          <w:sz w:val="20"/>
        </w:rPr>
        <w:t xml:space="preserve">.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like manner, the 67 aberration determinations are summarized in Table 7. Table 7 covers a period of 209 years for an average date of 1831.  A linear fit to all the data in Table 7 gave a decay of </w:t>
      </w:r>
      <m:oMath>
        <m:r>
          <w:rPr>
            <w:rFonts w:ascii="Cambria Math" w:hAnsi="Cambria Math"/>
            <w:sz w:val="20"/>
          </w:rPr>
          <m:t>5.04 km/s per year</m:t>
        </m:r>
      </m:oMath>
      <w:r w:rsidRPr="007F536A">
        <w:rPr>
          <w:rFonts w:ascii="Book Antiqua" w:hAnsi="Book Antiqua"/>
          <w:sz w:val="20"/>
        </w:rPr>
        <w:t xml:space="preserve">. Similarly, the rotating mirror results summarized in Figure 28 indicate a decline of </w:t>
      </w:r>
      <m:oMath>
        <m:r>
          <w:rPr>
            <w:rFonts w:ascii="Cambria Math" w:hAnsi="Cambria Math"/>
            <w:sz w:val="20"/>
          </w:rPr>
          <m:t>2.85 km/s per year</m:t>
        </m:r>
      </m:oMath>
      <w:r w:rsidRPr="007F536A">
        <w:rPr>
          <w:rFonts w:ascii="Book Antiqua" w:hAnsi="Book Antiqua"/>
          <w:sz w:val="20"/>
        </w:rPr>
        <w:t xml:space="preserve"> for an average date of 1905. Table 10 has established that the Kerr cell results give a decline of </w:t>
      </w:r>
      <m:oMath>
        <m:r>
          <w:rPr>
            <w:rFonts w:ascii="Cambria Math" w:hAnsi="Cambria Math"/>
            <w:sz w:val="20"/>
          </w:rPr>
          <m:t>1.03 km/s per year</m:t>
        </m:r>
      </m:oMath>
      <w:r w:rsidRPr="007F536A">
        <w:rPr>
          <w:rFonts w:ascii="Book Antiqua" w:hAnsi="Book Antiqua"/>
          <w:sz w:val="20"/>
        </w:rPr>
        <w:t xml:space="preserve"> for a mean date of </w:t>
      </w:r>
      <m:oMath>
        <m:r>
          <w:rPr>
            <w:rFonts w:ascii="Cambria Math" w:hAnsi="Cambria Math"/>
            <w:sz w:val="20"/>
          </w:rPr>
          <m:t>1934.6</m:t>
        </m:r>
      </m:oMath>
      <w:r w:rsidRPr="007F536A">
        <w:rPr>
          <w:rFonts w:ascii="Book Antiqua" w:hAnsi="Book Antiqua"/>
          <w:sz w:val="20"/>
        </w:rPr>
        <w:t xml:space="preserve"> years. Finally, Table 11 and Figure 30 in this chapter give the conclusion by 6 additional methods that there was a decay of </w:t>
      </w:r>
      <m:oMath>
        <m:r>
          <w:rPr>
            <w:rFonts w:ascii="Cambria Math" w:hAnsi="Cambria Math"/>
            <w:sz w:val="20"/>
          </w:rPr>
          <m:t xml:space="preserve">0.19 km/s per year </m:t>
        </m:r>
      </m:oMath>
      <w:r w:rsidRPr="007F536A">
        <w:rPr>
          <w:rFonts w:ascii="Book Antiqua" w:hAnsi="Book Antiqua"/>
          <w:sz w:val="20"/>
        </w:rPr>
        <w:t xml:space="preserve">for a mean date of </w:t>
      </w:r>
      <m:oMath>
        <m:r>
          <w:rPr>
            <w:rFonts w:ascii="Cambria Math" w:hAnsi="Cambria Math"/>
            <w:sz w:val="20"/>
          </w:rPr>
          <m:t>1953</m:t>
        </m:r>
      </m:oMath>
      <w:r w:rsidRPr="007F536A">
        <w:rPr>
          <w:rFonts w:ascii="Book Antiqua" w:hAnsi="Book Antiqua"/>
          <w:sz w:val="20"/>
        </w:rPr>
        <w:t xml:space="preserve">. This is summarized in Table 13.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In all, then, 10 methods measuring the speed of light have been examined, and all show a decay in </w:t>
      </w:r>
      <m:oMath>
        <m:r>
          <w:rPr>
            <w:rFonts w:ascii="Cambria Math" w:hAnsi="Cambria Math"/>
            <w:sz w:val="20"/>
          </w:rPr>
          <m:t>c</m:t>
        </m:r>
      </m:oMath>
      <w:r w:rsidRPr="007F536A">
        <w:rPr>
          <w:rFonts w:ascii="Book Antiqua" w:hAnsi="Book Antiqua"/>
          <w:sz w:val="20"/>
        </w:rPr>
        <w:t xml:space="preserve">. However, Table 13 shows that the decay is not following a linear pattern, but rather is a tapering quantity. This is expected from the flattening out of the increase in Planck’s constant, </w:t>
      </w:r>
      <m:oMath>
        <m:r>
          <w:rPr>
            <w:rFonts w:ascii="Cambria Math" w:hAnsi="Cambria Math"/>
            <w:sz w:val="20"/>
          </w:rPr>
          <m:t>h</m:t>
        </m:r>
      </m:oMath>
      <w:r w:rsidRPr="007F536A">
        <w:rPr>
          <w:rFonts w:ascii="Book Antiqua" w:hAnsi="Book Antiqua"/>
          <w:sz w:val="20"/>
        </w:rPr>
        <w:t xml:space="preserve">, as shown in chapter 2 and atomic masses, </w:t>
      </w:r>
      <m:oMath>
        <m:r>
          <w:rPr>
            <w:rFonts w:ascii="Cambria Math" w:hAnsi="Cambria Math"/>
            <w:sz w:val="20"/>
          </w:rPr>
          <m:t>m</m:t>
        </m:r>
      </m:oMath>
      <w:r w:rsidRPr="007F536A">
        <w:rPr>
          <w:rFonts w:ascii="Book Antiqua" w:hAnsi="Book Antiqua"/>
          <w:sz w:val="20"/>
        </w:rPr>
        <w:t xml:space="preserve">, in Chapter 4. Chapter 4 also presents the testimony of the atomic clock whose rate of ticking slowed to a minimum around 1970 and then started to pick up marginally again. Figures 2 and 3 in that chapter illustrate this well. This minimum or flat-point in the graph of the behavior of these quantities </w:t>
      </w:r>
      <w:r w:rsidR="00945782">
        <w:rPr>
          <w:rFonts w:ascii="Book Antiqua" w:hAnsi="Book Antiqua"/>
          <w:sz w:val="20"/>
        </w:rPr>
        <w:t xml:space="preserve">may be </w:t>
      </w:r>
      <w:r w:rsidRPr="007F536A">
        <w:rPr>
          <w:rFonts w:ascii="Book Antiqua" w:hAnsi="Book Antiqua"/>
          <w:sz w:val="20"/>
        </w:rPr>
        <w:t>considered to be an expression of the Narliker-Arp oscillation of a now static cosmos.</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16"/>
          <w:szCs w:val="16"/>
        </w:rPr>
      </w:pPr>
    </w:p>
    <w:p w:rsidR="00821A88" w:rsidRPr="00675787" w:rsidRDefault="00821A88" w:rsidP="00987B97">
      <w:pPr>
        <w:pStyle w:val="NoSpacing"/>
        <w:jc w:val="center"/>
        <w:rPr>
          <w:rFonts w:ascii="Book Antiqua" w:hAnsi="Book Antiqua"/>
          <w:b/>
          <w:i/>
          <w:sz w:val="18"/>
          <w:szCs w:val="18"/>
        </w:rPr>
      </w:pPr>
      <w:r w:rsidRPr="00675787">
        <w:rPr>
          <w:rFonts w:ascii="Book Antiqua" w:hAnsi="Book Antiqua"/>
          <w:b/>
          <w:sz w:val="18"/>
          <w:szCs w:val="18"/>
        </w:rPr>
        <w:t>Table 13:</w:t>
      </w:r>
      <w:r w:rsidRPr="00675787">
        <w:rPr>
          <w:rFonts w:ascii="Book Antiqua" w:hAnsi="Book Antiqua"/>
          <w:b/>
          <w:i/>
          <w:sz w:val="18"/>
          <w:szCs w:val="18"/>
        </w:rPr>
        <w:t xml:space="preserve"> Declining Rate of Decay in the Speed of Light.</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2044"/>
        <w:gridCol w:w="2283"/>
        <w:gridCol w:w="2205"/>
      </w:tblGrid>
      <w:tr w:rsidR="00821A88" w:rsidRPr="007F536A" w:rsidTr="00987B97">
        <w:trPr>
          <w:trHeight w:val="432"/>
          <w:jc w:val="center"/>
        </w:trPr>
        <w:tc>
          <w:tcPr>
            <w:tcW w:w="2044"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Date</w:t>
            </w:r>
          </w:p>
        </w:tc>
        <w:tc>
          <w:tcPr>
            <w:tcW w:w="2283"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Method</w:t>
            </w:r>
          </w:p>
        </w:tc>
        <w:tc>
          <w:tcPr>
            <w:tcW w:w="2205" w:type="dxa"/>
          </w:tcPr>
          <w:p w:rsidR="00821A88" w:rsidRPr="00675787" w:rsidRDefault="00821A88" w:rsidP="00400B4E">
            <w:pPr>
              <w:pStyle w:val="NoSpacing"/>
              <w:jc w:val="both"/>
              <w:rPr>
                <w:rFonts w:ascii="Book Antiqua" w:hAnsi="Book Antiqua"/>
                <w:b/>
                <w:i/>
                <w:sz w:val="20"/>
              </w:rPr>
            </w:pPr>
            <w:r w:rsidRPr="00675787">
              <w:rPr>
                <w:rFonts w:ascii="Book Antiqua" w:hAnsi="Book Antiqua"/>
                <w:b/>
                <w:i/>
                <w:sz w:val="20"/>
              </w:rPr>
              <w:t>Decay  Rate</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1772 </w:t>
            </w:r>
            <w:r w:rsidRPr="00987B97">
              <w:rPr>
                <w:rFonts w:ascii="Book Antiqua" w:hAnsi="Book Antiqua"/>
                <w:b/>
                <w:sz w:val="20"/>
                <w:u w:val="single"/>
              </w:rPr>
              <w:t>+</w:t>
            </w:r>
            <w:r w:rsidRPr="00987B97">
              <w:rPr>
                <w:rFonts w:ascii="Book Antiqua" w:hAnsi="Book Antiqua"/>
                <w:b/>
                <w:sz w:val="20"/>
              </w:rPr>
              <w:t xml:space="preserve"> 105</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Jupiter’s satellite Io</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16.18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1831 </w:t>
            </w:r>
            <w:r w:rsidRPr="00987B97">
              <w:rPr>
                <w:rFonts w:ascii="Book Antiqua" w:hAnsi="Book Antiqua"/>
                <w:b/>
                <w:sz w:val="20"/>
                <w:u w:val="single"/>
              </w:rPr>
              <w:t>+</w:t>
            </w:r>
            <w:r w:rsidRPr="00987B97">
              <w:rPr>
                <w:rFonts w:ascii="Book Antiqua" w:hAnsi="Book Antiqua"/>
                <w:b/>
                <w:sz w:val="20"/>
              </w:rPr>
              <w:t xml:space="preserve"> 104</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Aberration</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5.04 km/s per yr.</w:t>
            </w:r>
          </w:p>
        </w:tc>
      </w:tr>
      <w:tr w:rsidR="00821A88" w:rsidRPr="007F536A" w:rsidTr="00987B97">
        <w:trPr>
          <w:trHeight w:val="459"/>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1905 </w:t>
            </w:r>
            <w:r w:rsidRPr="00987B97">
              <w:rPr>
                <w:rFonts w:ascii="Book Antiqua" w:hAnsi="Book Antiqua"/>
                <w:b/>
                <w:sz w:val="20"/>
                <w:u w:val="single"/>
              </w:rPr>
              <w:t>+</w:t>
            </w:r>
            <w:r w:rsidRPr="00987B97">
              <w:rPr>
                <w:rFonts w:ascii="Book Antiqua" w:hAnsi="Book Antiqua"/>
                <w:b/>
                <w:sz w:val="20"/>
              </w:rPr>
              <w:t xml:space="preserve"> 27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Rotating Mirror</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2.85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1934 </w:t>
            </w:r>
            <w:r w:rsidRPr="00987B97">
              <w:rPr>
                <w:rFonts w:ascii="Book Antiqua" w:hAnsi="Book Antiqua"/>
                <w:b/>
                <w:sz w:val="20"/>
                <w:u w:val="single"/>
              </w:rPr>
              <w:t>+</w:t>
            </w:r>
            <w:r w:rsidRPr="00987B97">
              <w:rPr>
                <w:rFonts w:ascii="Book Antiqua" w:hAnsi="Book Antiqua"/>
                <w:b/>
                <w:sz w:val="20"/>
              </w:rPr>
              <w:t xml:space="preserve"> 6</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Kerr Cell</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1.03 km/s per yr.</w:t>
            </w:r>
          </w:p>
        </w:tc>
      </w:tr>
      <w:tr w:rsidR="00821A88" w:rsidRPr="007F536A" w:rsidTr="00987B97">
        <w:trPr>
          <w:trHeight w:val="432"/>
          <w:jc w:val="center"/>
        </w:trPr>
        <w:tc>
          <w:tcPr>
            <w:tcW w:w="2044"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1953 </w:t>
            </w:r>
            <w:r w:rsidRPr="00987B97">
              <w:rPr>
                <w:rFonts w:ascii="Book Antiqua" w:hAnsi="Book Antiqua"/>
                <w:b/>
                <w:sz w:val="20"/>
                <w:u w:val="single"/>
              </w:rPr>
              <w:t>+</w:t>
            </w:r>
            <w:r w:rsidRPr="00987B97">
              <w:rPr>
                <w:rFonts w:ascii="Book Antiqua" w:hAnsi="Book Antiqua"/>
                <w:b/>
                <w:sz w:val="20"/>
              </w:rPr>
              <w:t xml:space="preserve"> 7</w:t>
            </w:r>
          </w:p>
        </w:tc>
        <w:tc>
          <w:tcPr>
            <w:tcW w:w="2283"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6 other methods</w:t>
            </w:r>
          </w:p>
        </w:tc>
        <w:tc>
          <w:tcPr>
            <w:tcW w:w="2205" w:type="dxa"/>
          </w:tcPr>
          <w:p w:rsidR="00821A88" w:rsidRPr="00987B97" w:rsidRDefault="00821A88" w:rsidP="00400B4E">
            <w:pPr>
              <w:pStyle w:val="NoSpacing"/>
              <w:jc w:val="both"/>
              <w:rPr>
                <w:rFonts w:ascii="Book Antiqua" w:hAnsi="Book Antiqua"/>
                <w:b/>
                <w:sz w:val="20"/>
              </w:rPr>
            </w:pPr>
            <w:r w:rsidRPr="00987B97">
              <w:rPr>
                <w:rFonts w:ascii="Book Antiqua" w:hAnsi="Book Antiqua"/>
                <w:b/>
                <w:sz w:val="20"/>
              </w:rPr>
              <w:t xml:space="preserve"> 0.19 km/s per yr.</w:t>
            </w:r>
          </w:p>
        </w:tc>
      </w:tr>
    </w:tbl>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The Oscillation Flat-Point.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Because there are several modes of oscillation of the cosmos occurring concurrently, it is difficult to know exactly how the curve is going to continue. However, the speed of light measurements in the period 1960 to 1983 give a more exact indication of the behavior of the cosmos at this minimum than all the other physical quantities except the atomic clock (considered in Chapter 4). These data are listed in Table 14 and graphed in Figure 32. Figure 33 graphs the data from 1947 to 1983 and also shows the “flat-point” in the oscillation.</w:t>
      </w: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In Table 14, Karolus used modulated light to measure </w:t>
      </w:r>
      <m:oMath>
        <m:r>
          <w:rPr>
            <w:rFonts w:ascii="Cambria Math" w:hAnsi="Cambria Math"/>
            <w:sz w:val="20"/>
          </w:rPr>
          <m:t>c</m:t>
        </m:r>
      </m:oMath>
      <w:r w:rsidRPr="007F536A">
        <w:rPr>
          <w:rFonts w:ascii="Book Antiqua" w:hAnsi="Book Antiqua"/>
          <w:sz w:val="20"/>
        </w:rPr>
        <w:t xml:space="preserve">. His baseline error was corrected in 1967 as noted in </w:t>
      </w:r>
      <w:r w:rsidRPr="007F536A">
        <w:rPr>
          <w:rFonts w:ascii="Book Antiqua" w:hAnsi="Book Antiqua"/>
          <w:i/>
          <w:sz w:val="20"/>
        </w:rPr>
        <w:t>The Velocity of Light and Radio Waves</w:t>
      </w:r>
      <w:r w:rsidRPr="007F536A">
        <w:rPr>
          <w:rFonts w:ascii="Book Antiqua" w:hAnsi="Book Antiqua"/>
          <w:sz w:val="20"/>
        </w:rPr>
        <w:t xml:space="preserve"> [203]. Simkin et al. used a microwave interferometer to obtain their value, while Grosse used a geodimeter. The remainder all used laser methods to determine </w:t>
      </w:r>
      <m:oMath>
        <m:r>
          <w:rPr>
            <w:rFonts w:ascii="Cambria Math" w:hAnsi="Cambria Math"/>
            <w:sz w:val="20"/>
          </w:rPr>
          <m:t>c</m:t>
        </m:r>
      </m:oMath>
      <w:r w:rsidRPr="007F536A">
        <w:rPr>
          <w:rFonts w:ascii="Book Antiqua" w:hAnsi="Book Antiqua"/>
          <w:sz w:val="20"/>
        </w:rPr>
        <w:t>. Mulligan discussed these determinations in</w:t>
      </w:r>
      <w:r w:rsidR="00223817" w:rsidRPr="007F536A">
        <w:rPr>
          <w:rFonts w:ascii="Book Antiqua" w:hAnsi="Book Antiqua"/>
          <w:sz w:val="16"/>
          <w:szCs w:val="16"/>
        </w:rPr>
        <w:t xml:space="preserve"> </w:t>
      </w:r>
      <w:r w:rsidR="00223817" w:rsidRPr="00223817">
        <w:rPr>
          <w:rFonts w:ascii="Book Antiqua" w:hAnsi="Book Antiqua"/>
          <w:sz w:val="20"/>
        </w:rPr>
        <w:lastRenderedPageBreak/>
        <w:t>“Some Recent Determinations of the Velocity of Light III”</w:t>
      </w:r>
      <w:r w:rsidRPr="00223817">
        <w:rPr>
          <w:rFonts w:ascii="Book Antiqua" w:hAnsi="Book Antiqua"/>
          <w:sz w:val="20"/>
        </w:rPr>
        <w:t xml:space="preserve"> [204].</w:t>
      </w:r>
      <w:r w:rsidRPr="007F536A">
        <w:rPr>
          <w:rFonts w:ascii="Book Antiqua" w:hAnsi="Book Antiqua"/>
          <w:sz w:val="20"/>
        </w:rPr>
        <w:t xml:space="preserve"> Evenson et al. had their result corrected for a new definition by Blaney et al in, “Measurement of the speed of light” in [199].</w:t>
      </w:r>
    </w:p>
    <w:p w:rsidR="00E8355F" w:rsidRPr="007F536A" w:rsidRDefault="00E8355F"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6"/>
          <w:szCs w:val="16"/>
          <w:highlight w:val="yellow"/>
        </w:rPr>
      </w:pPr>
    </w:p>
    <w:p w:rsidR="00821A88" w:rsidRPr="00485197" w:rsidRDefault="00821A88" w:rsidP="00987B97">
      <w:pPr>
        <w:pStyle w:val="NoSpacing"/>
        <w:jc w:val="center"/>
        <w:rPr>
          <w:rFonts w:ascii="Book Antiqua" w:hAnsi="Book Antiqua"/>
          <w:b/>
          <w:i/>
          <w:sz w:val="18"/>
          <w:szCs w:val="18"/>
        </w:rPr>
      </w:pPr>
      <w:r w:rsidRPr="00485197">
        <w:rPr>
          <w:rFonts w:ascii="Book Antiqua" w:hAnsi="Book Antiqua"/>
          <w:b/>
          <w:sz w:val="18"/>
          <w:szCs w:val="18"/>
        </w:rPr>
        <w:t>Table 14:</w:t>
      </w:r>
      <w:r w:rsidRPr="00485197">
        <w:rPr>
          <w:rFonts w:ascii="Book Antiqua" w:hAnsi="Book Antiqua"/>
          <w:b/>
          <w:i/>
          <w:sz w:val="18"/>
          <w:szCs w:val="18"/>
        </w:rPr>
        <w:t xml:space="preserve"> The 1960 - 1983 Results Mainly Using Lasers.</w:t>
      </w:r>
    </w:p>
    <w:p w:rsidR="00821A88" w:rsidRPr="007F536A" w:rsidRDefault="00821A88" w:rsidP="00821A88">
      <w:pPr>
        <w:pStyle w:val="NoSpacing"/>
        <w:jc w:val="both"/>
        <w:rPr>
          <w:rFonts w:ascii="Book Antiqua" w:hAnsi="Book Antiqua"/>
          <w:b/>
          <w:sz w:val="20"/>
        </w:rPr>
      </w:pPr>
    </w:p>
    <w:tbl>
      <w:tblPr>
        <w:tblStyle w:val="TableGrid"/>
        <w:tblW w:w="0" w:type="auto"/>
        <w:jc w:val="center"/>
        <w:tblLook w:val="04A0"/>
      </w:tblPr>
      <w:tblGrid>
        <w:gridCol w:w="747"/>
        <w:gridCol w:w="3485"/>
        <w:gridCol w:w="2808"/>
      </w:tblGrid>
      <w:tr w:rsidR="00821A88" w:rsidRPr="007F536A" w:rsidTr="00987B97">
        <w:trPr>
          <w:trHeight w:val="417"/>
          <w:jc w:val="center"/>
        </w:trPr>
        <w:tc>
          <w:tcPr>
            <w:tcW w:w="747"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Date</w:t>
            </w:r>
          </w:p>
        </w:tc>
        <w:tc>
          <w:tcPr>
            <w:tcW w:w="3485"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Experimenter</w:t>
            </w:r>
          </w:p>
        </w:tc>
        <w:tc>
          <w:tcPr>
            <w:tcW w:w="2808" w:type="dxa"/>
          </w:tcPr>
          <w:p w:rsidR="00821A88" w:rsidRPr="00987B97" w:rsidRDefault="00821A88" w:rsidP="00987B97">
            <w:pPr>
              <w:pStyle w:val="NoSpacing"/>
              <w:rPr>
                <w:rFonts w:ascii="Book Antiqua" w:hAnsi="Book Antiqua"/>
                <w:b/>
                <w:i/>
                <w:sz w:val="20"/>
              </w:rPr>
            </w:pPr>
            <w:r w:rsidRPr="00987B97">
              <w:rPr>
                <w:rFonts w:ascii="Book Antiqua" w:hAnsi="Book Antiqua"/>
                <w:b/>
                <w:i/>
                <w:sz w:val="20"/>
              </w:rPr>
              <w:t>Value of c (km/s)</w:t>
            </w:r>
          </w:p>
        </w:tc>
      </w:tr>
      <w:tr w:rsidR="00821A88" w:rsidRPr="007F536A" w:rsidTr="00987B97">
        <w:trPr>
          <w:trHeight w:val="242"/>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1966</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Karolus [193]</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299,792.44       </w:t>
            </w:r>
            <w:r w:rsidRPr="00987B97">
              <w:rPr>
                <w:rFonts w:ascii="Book Antiqua" w:hAnsi="Book Antiqua"/>
                <w:b/>
                <w:sz w:val="18"/>
                <w:szCs w:val="18"/>
                <w:u w:val="single"/>
              </w:rPr>
              <w:t>+</w:t>
            </w:r>
            <w:r w:rsidRPr="00987B97">
              <w:rPr>
                <w:rFonts w:ascii="Book Antiqua" w:hAnsi="Book Antiqua"/>
                <w:b/>
                <w:sz w:val="18"/>
                <w:szCs w:val="18"/>
              </w:rPr>
              <w:t xml:space="preserve"> 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Simkin et al. [194]</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299,792.56       </w:t>
            </w:r>
            <w:r w:rsidRPr="00987B97">
              <w:rPr>
                <w:rFonts w:ascii="Book Antiqua" w:hAnsi="Book Antiqua"/>
                <w:b/>
                <w:sz w:val="18"/>
                <w:szCs w:val="18"/>
                <w:u w:val="single"/>
              </w:rPr>
              <w:t>+</w:t>
            </w:r>
            <w:r w:rsidRPr="00987B97">
              <w:rPr>
                <w:rFonts w:ascii="Book Antiqua" w:hAnsi="Book Antiqua"/>
                <w:b/>
                <w:sz w:val="18"/>
                <w:szCs w:val="18"/>
              </w:rPr>
              <w:t xml:space="preserve"> 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1967</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Grosse [195]</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299,792.50       </w:t>
            </w:r>
            <w:r w:rsidRPr="00987B97">
              <w:rPr>
                <w:rFonts w:ascii="Book Antiqua" w:hAnsi="Book Antiqua"/>
                <w:b/>
                <w:sz w:val="18"/>
                <w:szCs w:val="18"/>
                <w:u w:val="single"/>
              </w:rPr>
              <w:t>+</w:t>
            </w:r>
            <w:r w:rsidRPr="00987B97">
              <w:rPr>
                <w:rFonts w:ascii="Book Antiqua" w:hAnsi="Book Antiqua"/>
                <w:b/>
                <w:sz w:val="18"/>
                <w:szCs w:val="18"/>
              </w:rPr>
              <w:t xml:space="preserve"> 0.05</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Bay/Luther/White [196]</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299,792.462     </w:t>
            </w:r>
            <w:r w:rsidRPr="00987B97">
              <w:rPr>
                <w:rFonts w:ascii="Book Antiqua" w:hAnsi="Book Antiqua"/>
                <w:b/>
                <w:sz w:val="18"/>
                <w:szCs w:val="18"/>
                <w:u w:val="single"/>
              </w:rPr>
              <w:t>+</w:t>
            </w:r>
            <w:r w:rsidRPr="00987B97">
              <w:rPr>
                <w:rFonts w:ascii="Book Antiqua" w:hAnsi="Book Antiqua"/>
                <w:b/>
                <w:sz w:val="18"/>
                <w:szCs w:val="18"/>
              </w:rPr>
              <w:t xml:space="preserve"> 0.018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1972</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299,792.460     </w:t>
            </w:r>
            <w:r w:rsidRPr="00987B97">
              <w:rPr>
                <w:rFonts w:ascii="Book Antiqua" w:hAnsi="Book Antiqua"/>
                <w:b/>
                <w:sz w:val="18"/>
                <w:szCs w:val="18"/>
                <w:u w:val="single"/>
              </w:rPr>
              <w:t>+</w:t>
            </w:r>
            <w:r w:rsidRPr="00987B97">
              <w:rPr>
                <w:rFonts w:ascii="Book Antiqua" w:hAnsi="Book Antiqua"/>
                <w:b/>
                <w:sz w:val="18"/>
                <w:szCs w:val="18"/>
              </w:rPr>
              <w:t xml:space="preserve"> 0.006</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Evenson et al. [198]</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299,792.4574   </w:t>
            </w:r>
            <w:r w:rsidRPr="00987B97">
              <w:rPr>
                <w:rFonts w:ascii="Book Antiqua" w:hAnsi="Book Antiqua"/>
                <w:b/>
                <w:sz w:val="18"/>
                <w:szCs w:val="18"/>
                <w:u w:val="single"/>
              </w:rPr>
              <w:t>+</w:t>
            </w:r>
            <w:r w:rsidRPr="00987B97">
              <w:rPr>
                <w:rFonts w:ascii="Book Antiqua" w:hAnsi="Book Antiqua"/>
                <w:b/>
                <w:sz w:val="18"/>
                <w:szCs w:val="18"/>
              </w:rPr>
              <w:t xml:space="preserve"> 0.0011</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NRC/NBS [197]</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     </w:t>
            </w:r>
            <w:r w:rsidRPr="00987B97">
              <w:rPr>
                <w:rFonts w:ascii="Book Antiqua" w:hAnsi="Book Antiqua"/>
                <w:b/>
                <w:sz w:val="18"/>
                <w:szCs w:val="18"/>
                <w:u w:val="single"/>
              </w:rPr>
              <w:t>+</w:t>
            </w:r>
            <w:r w:rsidRPr="00987B97">
              <w:rPr>
                <w:rFonts w:ascii="Book Antiqua" w:hAnsi="Book Antiqua"/>
                <w:b/>
                <w:sz w:val="18"/>
                <w:szCs w:val="18"/>
              </w:rPr>
              <w:t xml:space="preserve"> 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1974</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Blaney et al. [199]</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299,792.4590   </w:t>
            </w:r>
            <w:r w:rsidRPr="00987B97">
              <w:rPr>
                <w:rFonts w:ascii="Book Antiqua" w:hAnsi="Book Antiqua"/>
                <w:b/>
                <w:sz w:val="18"/>
                <w:szCs w:val="18"/>
                <w:u w:val="single"/>
              </w:rPr>
              <w:t>+</w:t>
            </w:r>
            <w:r w:rsidRPr="00987B97">
              <w:rPr>
                <w:rFonts w:ascii="Book Antiqua" w:hAnsi="Book Antiqua"/>
                <w:b/>
                <w:sz w:val="18"/>
                <w:szCs w:val="18"/>
              </w:rPr>
              <w:t xml:space="preserve"> 0.0008</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1978</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Woods Shotton Rowley [200]</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299,792.4588   </w:t>
            </w:r>
            <w:r w:rsidRPr="00987B97">
              <w:rPr>
                <w:rFonts w:ascii="Book Antiqua" w:hAnsi="Book Antiqua"/>
                <w:b/>
                <w:sz w:val="18"/>
                <w:szCs w:val="18"/>
                <w:u w:val="single"/>
              </w:rPr>
              <w:t>+</w:t>
            </w:r>
            <w:r w:rsidRPr="00987B97">
              <w:rPr>
                <w:rFonts w:ascii="Book Antiqua" w:hAnsi="Book Antiqua"/>
                <w:b/>
                <w:sz w:val="18"/>
                <w:szCs w:val="18"/>
              </w:rPr>
              <w:t xml:space="preserve"> 0.0002</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1979</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Baird/Smith/Whitford [201]</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299,792.4581   </w:t>
            </w:r>
            <w:r w:rsidRPr="00987B97">
              <w:rPr>
                <w:rFonts w:ascii="Book Antiqua" w:hAnsi="Book Antiqua"/>
                <w:b/>
                <w:sz w:val="18"/>
                <w:szCs w:val="18"/>
                <w:u w:val="single"/>
              </w:rPr>
              <w:t>+</w:t>
            </w:r>
            <w:r w:rsidRPr="00987B97">
              <w:rPr>
                <w:rFonts w:ascii="Book Antiqua" w:hAnsi="Book Antiqua"/>
                <w:b/>
                <w:sz w:val="18"/>
                <w:szCs w:val="18"/>
              </w:rPr>
              <w:t xml:space="preserve"> 0.0019</w:t>
            </w:r>
          </w:p>
        </w:tc>
      </w:tr>
      <w:tr w:rsidR="00821A88" w:rsidRPr="007F536A" w:rsidTr="00987B97">
        <w:trPr>
          <w:trHeight w:val="260"/>
          <w:jc w:val="center"/>
        </w:trPr>
        <w:tc>
          <w:tcPr>
            <w:tcW w:w="747"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1983</w:t>
            </w:r>
          </w:p>
        </w:tc>
        <w:tc>
          <w:tcPr>
            <w:tcW w:w="3485"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NBS (US) [202]</w:t>
            </w:r>
          </w:p>
        </w:tc>
        <w:tc>
          <w:tcPr>
            <w:tcW w:w="2808" w:type="dxa"/>
          </w:tcPr>
          <w:p w:rsidR="00821A88" w:rsidRPr="00987B97" w:rsidRDefault="00821A88" w:rsidP="00987B97">
            <w:pPr>
              <w:pStyle w:val="NoSpacing"/>
              <w:rPr>
                <w:rFonts w:ascii="Book Antiqua" w:hAnsi="Book Antiqua"/>
                <w:b/>
                <w:sz w:val="18"/>
                <w:szCs w:val="18"/>
              </w:rPr>
            </w:pPr>
            <w:r w:rsidRPr="00987B97">
              <w:rPr>
                <w:rFonts w:ascii="Book Antiqua" w:hAnsi="Book Antiqua"/>
                <w:b/>
                <w:sz w:val="18"/>
                <w:szCs w:val="18"/>
              </w:rPr>
              <w:t xml:space="preserve">299,792.4586   </w:t>
            </w:r>
            <w:r w:rsidRPr="00987B97">
              <w:rPr>
                <w:rFonts w:ascii="Book Antiqua" w:hAnsi="Book Antiqua"/>
                <w:b/>
                <w:sz w:val="18"/>
                <w:szCs w:val="18"/>
                <w:u w:val="single"/>
              </w:rPr>
              <w:t>+</w:t>
            </w:r>
            <w:r w:rsidRPr="00987B97">
              <w:rPr>
                <w:rFonts w:ascii="Book Antiqua" w:hAnsi="Book Antiqua"/>
                <w:b/>
                <w:sz w:val="18"/>
                <w:szCs w:val="18"/>
              </w:rPr>
              <w:t xml:space="preserve"> 0.0003</w:t>
            </w:r>
          </w:p>
        </w:tc>
      </w:tr>
    </w:tbl>
    <w:p w:rsidR="00821A88" w:rsidRDefault="00821A88" w:rsidP="00821A88">
      <w:pPr>
        <w:pStyle w:val="NoSpacing"/>
        <w:jc w:val="both"/>
        <w:rPr>
          <w:rFonts w:ascii="Book Antiqua" w:hAnsi="Book Antiqua"/>
          <w:sz w:val="20"/>
        </w:rPr>
      </w:pPr>
    </w:p>
    <w:p w:rsidR="00E8355F" w:rsidRDefault="00E8355F" w:rsidP="00821A88">
      <w:pPr>
        <w:pStyle w:val="NoSpacing"/>
        <w:jc w:val="both"/>
        <w:rPr>
          <w:rFonts w:ascii="Book Antiqua" w:hAnsi="Book Antiqua"/>
          <w:sz w:val="20"/>
        </w:rPr>
      </w:pPr>
    </w:p>
    <w:p w:rsidR="006E78EF" w:rsidRPr="007F536A" w:rsidRDefault="006E78EF" w:rsidP="00821A88">
      <w:pPr>
        <w:pStyle w:val="NoSpacing"/>
        <w:jc w:val="both"/>
        <w:rPr>
          <w:rFonts w:ascii="Book Antiqua" w:hAnsi="Book Antiqua"/>
          <w:sz w:val="20"/>
        </w:rPr>
      </w:pPr>
    </w:p>
    <w:p w:rsidR="00821A88" w:rsidRDefault="00821A88" w:rsidP="00987B97">
      <w:pPr>
        <w:pStyle w:val="NoSpacing"/>
        <w:jc w:val="center"/>
        <w:rPr>
          <w:rFonts w:ascii="Book Antiqua" w:hAnsi="Book Antiqua"/>
          <w:sz w:val="18"/>
          <w:szCs w:val="18"/>
        </w:rPr>
      </w:pPr>
      <w:r w:rsidRPr="007F536A">
        <w:rPr>
          <w:rFonts w:ascii="Book Antiqua" w:hAnsi="Book Antiqua"/>
          <w:noProof/>
          <w:sz w:val="18"/>
          <w:szCs w:val="18"/>
        </w:rPr>
        <w:drawing>
          <wp:inline distT="0" distB="0" distL="0" distR="0">
            <wp:extent cx="4610100" cy="3600450"/>
            <wp:effectExtent l="19050" t="0" r="19050" b="0"/>
            <wp:docPr id="2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E8355F" w:rsidRPr="007F536A" w:rsidRDefault="00E8355F" w:rsidP="00821A88">
      <w:pPr>
        <w:pStyle w:val="NoSpacing"/>
        <w:jc w:val="both"/>
        <w:rPr>
          <w:rFonts w:ascii="Book Antiqua" w:hAnsi="Book Antiqua"/>
          <w:sz w:val="18"/>
          <w:szCs w:val="18"/>
        </w:rPr>
      </w:pPr>
    </w:p>
    <w:p w:rsidR="00821A88" w:rsidRPr="007F536A" w:rsidRDefault="00821A88" w:rsidP="00821A88">
      <w:pPr>
        <w:pStyle w:val="NoSpacing"/>
        <w:jc w:val="both"/>
        <w:rPr>
          <w:rFonts w:ascii="Book Antiqua" w:hAnsi="Book Antiqua"/>
          <w:sz w:val="18"/>
          <w:szCs w:val="18"/>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32:</w:t>
      </w:r>
      <w:r w:rsidRPr="00E8355F">
        <w:rPr>
          <w:rFonts w:ascii="Book Antiqua" w:hAnsi="Book Antiqua"/>
          <w:i/>
          <w:sz w:val="18"/>
          <w:szCs w:val="18"/>
        </w:rPr>
        <w:t xml:space="preserve"> Graph of light-speed values 1964 to 1983 from Table 14. A polynomial trend-line is superior to a linear one. The minimum is about 1978.</w:t>
      </w:r>
    </w:p>
    <w:p w:rsidR="00821A88" w:rsidRPr="007F536A" w:rsidRDefault="00821A88" w:rsidP="00821A88">
      <w:pPr>
        <w:pStyle w:val="NoSpacing"/>
        <w:rPr>
          <w:rFonts w:ascii="Book Antiqua" w:hAnsi="Book Antiqua"/>
          <w:sz w:val="18"/>
          <w:szCs w:val="18"/>
        </w:rPr>
      </w:pPr>
      <w:r w:rsidRPr="007F536A">
        <w:rPr>
          <w:rFonts w:ascii="Book Antiqua" w:hAnsi="Book Antiqua"/>
          <w:sz w:val="18"/>
          <w:szCs w:val="18"/>
        </w:rPr>
        <w:t xml:space="preserve"> </w:t>
      </w:r>
    </w:p>
    <w:p w:rsidR="00821A88" w:rsidRPr="007F536A" w:rsidRDefault="006E78EF" w:rsidP="00987B97">
      <w:pPr>
        <w:pStyle w:val="NoSpacing"/>
        <w:jc w:val="center"/>
        <w:rPr>
          <w:rFonts w:ascii="Book Antiqua" w:hAnsi="Book Antiqua"/>
          <w:b/>
          <w:sz w:val="20"/>
          <w:u w:val="single"/>
        </w:rPr>
      </w:pPr>
      <w:r w:rsidRPr="007F536A">
        <w:rPr>
          <w:rFonts w:ascii="Book Antiqua" w:hAnsi="Book Antiqua"/>
          <w:sz w:val="20"/>
        </w:rPr>
        <w:object w:dxaOrig="7188" w:dyaOrig="5388">
          <v:shape id="_x0000_i1028" type="#_x0000_t75" style="width:375.15pt;height:331.55pt" o:ole="">
            <v:imagedata r:id="rId77" o:title="" cropbottom="8757f"/>
          </v:shape>
          <o:OLEObject Type="Embed" ProgID="PowerPoint.Slide.12" ShapeID="_x0000_i1028" DrawAspect="Content" ObjectID="_1433920180" r:id="rId127"/>
        </w:object>
      </w:r>
    </w:p>
    <w:p w:rsidR="00821A88" w:rsidRPr="007F536A" w:rsidRDefault="00821A88" w:rsidP="00821A88">
      <w:pPr>
        <w:pStyle w:val="NoSpacing"/>
        <w:rPr>
          <w:rFonts w:ascii="Book Antiqua" w:hAnsi="Book Antiqua"/>
          <w:b/>
          <w:i/>
          <w:sz w:val="20"/>
          <w:highlight w:val="yellow"/>
        </w:rPr>
      </w:pPr>
    </w:p>
    <w:p w:rsidR="00821A88" w:rsidRPr="00E8355F" w:rsidRDefault="00821A88" w:rsidP="00821A88">
      <w:pPr>
        <w:pStyle w:val="NoSpacing"/>
        <w:rPr>
          <w:rFonts w:ascii="Book Antiqua" w:hAnsi="Book Antiqua"/>
          <w:i/>
          <w:sz w:val="18"/>
          <w:szCs w:val="18"/>
        </w:rPr>
      </w:pPr>
      <w:r w:rsidRPr="00E8355F">
        <w:rPr>
          <w:rFonts w:ascii="Book Antiqua" w:hAnsi="Book Antiqua"/>
          <w:b/>
          <w:i/>
          <w:sz w:val="18"/>
          <w:szCs w:val="18"/>
        </w:rPr>
        <w:t>Figure 33:</w:t>
      </w:r>
      <w:r w:rsidRPr="00E8355F">
        <w:rPr>
          <w:rFonts w:ascii="Book Antiqua" w:hAnsi="Book Antiqua"/>
          <w:i/>
          <w:sz w:val="18"/>
          <w:szCs w:val="18"/>
        </w:rPr>
        <w:t xml:space="preserve"> Speed of light data from 1947 to 1983 showing the broad detail of the “flat-point” in the oscillation.</w:t>
      </w:r>
      <w:r w:rsidR="00583031" w:rsidRPr="00E8355F">
        <w:rPr>
          <w:rFonts w:ascii="Book Antiqua" w:hAnsi="Book Antiqua"/>
          <w:i/>
          <w:sz w:val="18"/>
          <w:szCs w:val="18"/>
        </w:rPr>
        <w:t xml:space="preserve"> This </w:t>
      </w:r>
      <w:r w:rsidR="00790E4F" w:rsidRPr="00E8355F">
        <w:rPr>
          <w:rFonts w:ascii="Book Antiqua" w:hAnsi="Book Antiqua"/>
          <w:i/>
          <w:sz w:val="18"/>
          <w:szCs w:val="18"/>
        </w:rPr>
        <w:t xml:space="preserve">oscillation </w:t>
      </w:r>
      <w:r w:rsidR="00583031" w:rsidRPr="00E8355F">
        <w:rPr>
          <w:rFonts w:ascii="Book Antiqua" w:hAnsi="Book Antiqua"/>
          <w:i/>
          <w:sz w:val="18"/>
          <w:szCs w:val="18"/>
        </w:rPr>
        <w:t>is shown in more detail in Figure 3 of Chapter 4</w:t>
      </w:r>
      <w:r w:rsidR="00790E4F" w:rsidRPr="00E8355F">
        <w:rPr>
          <w:rFonts w:ascii="Book Antiqua" w:hAnsi="Book Antiqua"/>
          <w:i/>
          <w:sz w:val="18"/>
          <w:szCs w:val="18"/>
        </w:rPr>
        <w:t xml:space="preserve"> with data from the gyromagnetic ratio of the proton</w:t>
      </w:r>
      <w:r w:rsidR="00583031" w:rsidRPr="00E8355F">
        <w:rPr>
          <w:rFonts w:ascii="Book Antiqua" w:hAnsi="Book Antiqua"/>
          <w:i/>
          <w:sz w:val="18"/>
          <w:szCs w:val="18"/>
        </w:rPr>
        <w:t>.</w:t>
      </w:r>
    </w:p>
    <w:p w:rsidR="0002149A" w:rsidRPr="007F536A" w:rsidRDefault="0002149A" w:rsidP="00821A88">
      <w:pPr>
        <w:pStyle w:val="NoSpacing"/>
        <w:rPr>
          <w:rFonts w:ascii="Book Antiqua" w:hAnsi="Book Antiqua"/>
          <w:sz w:val="18"/>
          <w:szCs w:val="18"/>
        </w:rPr>
      </w:pPr>
    </w:p>
    <w:p w:rsidR="00821A88" w:rsidRPr="007F536A" w:rsidRDefault="00821A88" w:rsidP="00821A88">
      <w:pPr>
        <w:pStyle w:val="NoSpacing"/>
        <w:rPr>
          <w:rFonts w:ascii="Book Antiqua" w:hAnsi="Book Antiqua"/>
          <w:i/>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Laser c Measurements and a Definition.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 last, and most accurate, measurements of </w:t>
      </w:r>
      <m:oMath>
        <m:r>
          <w:rPr>
            <w:rFonts w:ascii="Cambria Math" w:hAnsi="Cambria Math"/>
            <w:sz w:val="20"/>
          </w:rPr>
          <m:t>c</m:t>
        </m:r>
      </m:oMath>
      <w:r w:rsidRPr="007F536A">
        <w:rPr>
          <w:rFonts w:ascii="Book Antiqua" w:hAnsi="Book Antiqua"/>
          <w:sz w:val="20"/>
        </w:rPr>
        <w:t xml:space="preserve"> on Table 14 relied on laser techniques. This was developed by Ken M. Evenson and his team at the National Bureau of Standards at Boulder (now NIST). The technique relies on separate measurements of wavelength and frequency emitted by a stabilized laser. Then the speed of light, </w:t>
      </w:r>
      <m:oMath>
        <m:r>
          <w:rPr>
            <w:rFonts w:ascii="Cambria Math" w:hAnsi="Cambria Math"/>
            <w:sz w:val="20"/>
          </w:rPr>
          <m:t>c</m:t>
        </m:r>
      </m:oMath>
      <w:r w:rsidRPr="007F536A">
        <w:rPr>
          <w:rFonts w:ascii="Book Antiqua" w:hAnsi="Book Antiqua"/>
          <w:sz w:val="20"/>
        </w:rPr>
        <w:t>, is obtained from the equation</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jc w:val="right"/>
        <w:rPr>
          <w:rFonts w:ascii="Book Antiqua" w:hAnsi="Book Antiqua"/>
          <w:i/>
          <w:sz w:val="20"/>
        </w:rPr>
      </w:pPr>
      <m:oMath>
        <m:r>
          <w:rPr>
            <w:rFonts w:ascii="Cambria Math" w:hAnsi="Cambria Math"/>
            <w:sz w:val="20"/>
          </w:rPr>
          <m:t>c  =  f W</m:t>
        </m:r>
      </m:oMath>
      <w:r w:rsidRPr="007F536A">
        <w:rPr>
          <w:rFonts w:ascii="Book Antiqua" w:hAnsi="Book Antiqua"/>
          <w:sz w:val="20"/>
        </w:rPr>
        <w:t xml:space="preserve"> ,</w:t>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sz w:val="20"/>
        </w:rPr>
        <w:tab/>
      </w:r>
      <w:r w:rsidRPr="007F536A">
        <w:rPr>
          <w:rFonts w:ascii="Book Antiqua" w:hAnsi="Book Antiqua"/>
          <w:i/>
          <w:sz w:val="20"/>
        </w:rPr>
        <w:t xml:space="preserve"> (3)</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jc w:val="both"/>
        <w:rPr>
          <w:rFonts w:ascii="Book Antiqua" w:hAnsi="Book Antiqua"/>
          <w:sz w:val="20"/>
        </w:rPr>
      </w:pPr>
      <w:r w:rsidRPr="007F536A">
        <w:rPr>
          <w:rFonts w:ascii="Book Antiqua" w:hAnsi="Book Antiqua"/>
          <w:sz w:val="20"/>
        </w:rPr>
        <w:t>where</w:t>
      </w:r>
      <m:oMath>
        <m:r>
          <w:rPr>
            <w:rFonts w:ascii="Cambria Math" w:hAnsi="Cambria Math"/>
            <w:sz w:val="20"/>
          </w:rPr>
          <m:t xml:space="preserve"> f</m:t>
        </m:r>
      </m:oMath>
      <w:r w:rsidRPr="007F536A">
        <w:rPr>
          <w:rFonts w:ascii="Book Antiqua" w:hAnsi="Book Antiqua"/>
          <w:sz w:val="20"/>
        </w:rPr>
        <w:t xml:space="preserve"> is the frequency of the laser and </w:t>
      </w:r>
      <m:oMath>
        <m:r>
          <w:rPr>
            <w:rFonts w:ascii="Cambria Math" w:hAnsi="Cambria Math"/>
            <w:sz w:val="20"/>
          </w:rPr>
          <m:t>W</m:t>
        </m:r>
      </m:oMath>
      <w:r w:rsidRPr="007F536A">
        <w:rPr>
          <w:rFonts w:ascii="Book Antiqua" w:hAnsi="Book Antiqua"/>
          <w:sz w:val="20"/>
        </w:rPr>
        <w:t xml:space="preserve"> is its wavelength.  </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Prior to this, the difficulty had been that, while frequencies could be measured accurately from the microwave region to the millimeter wavelength region, the corresponding wavelength measurement was problematic. It was only in the visible region of the spectrum that wavelengths could be measured with accuracy. Necessity therefore demanded that a method of accurate frequency measurements in the visible region be devised. </w:t>
      </w:r>
    </w:p>
    <w:p w:rsidR="00821A88" w:rsidRPr="007F536A" w:rsidRDefault="00821A88"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The Boulder group developed a frequency synthesis chain which linked the microwave output of the cesium frequency standard to the visible region. This then made possible the direct measurement of the frequency of a helium-neon laser that was stabilized against a standard transition line in methane (</w:t>
      </w:r>
      <m:oMath>
        <m:r>
          <w:rPr>
            <w:rFonts w:ascii="Cambria Math" w:hAnsi="Cambria Math"/>
            <w:sz w:val="20"/>
          </w:rPr>
          <m:t xml:space="preserve">3.39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-6</m:t>
            </m:r>
          </m:sup>
        </m:sSup>
      </m:oMath>
      <w:r w:rsidRPr="007F536A">
        <w:rPr>
          <w:rFonts w:ascii="Book Antiqua" w:hAnsi="Book Antiqua"/>
          <w:sz w:val="20"/>
        </w:rPr>
        <w:t xml:space="preserve"> meters).  They went on to provide </w:t>
      </w:r>
      <w:r w:rsidRPr="007F536A">
        <w:rPr>
          <w:rFonts w:ascii="Book Antiqua" w:hAnsi="Book Antiqua"/>
          <w:sz w:val="20"/>
        </w:rPr>
        <w:lastRenderedPageBreak/>
        <w:t>the first direct measurement of the frequency of the 633 nano-meter line of the iodine-stabilized helium-neon laser [205] as well as the 576 nanometer line in iodine [206].</w:t>
      </w:r>
    </w:p>
    <w:p w:rsidR="00583031" w:rsidRDefault="00583031" w:rsidP="00821A88">
      <w:pPr>
        <w:pStyle w:val="NoSpacing"/>
        <w:ind w:firstLine="720"/>
        <w:jc w:val="both"/>
        <w:rPr>
          <w:rFonts w:ascii="Book Antiqua" w:hAnsi="Book Antiqua"/>
          <w:sz w:val="20"/>
        </w:rPr>
      </w:pP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As a result of their efforts, a new definition of the meter was accepted by the 17</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1983. The definition read: </w:t>
      </w:r>
      <w:r w:rsidRPr="007F536A">
        <w:rPr>
          <w:rFonts w:ascii="Book Antiqua" w:hAnsi="Book Antiqua"/>
          <w:i/>
          <w:sz w:val="20"/>
        </w:rPr>
        <w:t>“The meter is the length of the path traveled by light in a vacuum during a time interval of 1/299 792 458 of a second.”</w:t>
      </w:r>
      <w:r w:rsidRPr="007F536A">
        <w:rPr>
          <w:rFonts w:ascii="Book Antiqua" w:hAnsi="Book Antiqua"/>
          <w:sz w:val="20"/>
        </w:rPr>
        <w:t xml:space="preserve"> This meant that the speed of light was now officially </w:t>
      </w:r>
      <m:oMath>
        <m:r>
          <w:rPr>
            <w:rFonts w:ascii="Cambria Math" w:hAnsi="Cambria Math"/>
            <w:sz w:val="20"/>
          </w:rPr>
          <m:t>299,792.458 km/s.</m:t>
        </m:r>
      </m:oMath>
      <w:r w:rsidRPr="007F536A">
        <w:rPr>
          <w:rFonts w:ascii="Book Antiqua" w:hAnsi="Book Antiqua"/>
          <w:sz w:val="20"/>
        </w:rPr>
        <w:t xml:space="preserve"> An NIST publication expresses the outcome of this definition in the following terms: </w:t>
      </w:r>
      <w:r w:rsidRPr="007F536A">
        <w:rPr>
          <w:rFonts w:ascii="Book Antiqua" w:hAnsi="Book Antiqua"/>
          <w:i/>
          <w:sz w:val="20"/>
        </w:rPr>
        <w:t>“A consequence of this definition is that the speed of light is now a defined constant, not to be measured again. NBS had played a key role in pioneering measurement methods that resulted in this redefinition and in the optical frequency measurements that contributed to practical realizations of the definition.”</w:t>
      </w:r>
      <w:r w:rsidRPr="007F536A">
        <w:rPr>
          <w:rFonts w:ascii="Book Antiqua" w:hAnsi="Book Antiqua"/>
          <w:sz w:val="20"/>
        </w:rPr>
        <w:t xml:space="preserve"> [207]</w:t>
      </w:r>
    </w:p>
    <w:p w:rsidR="00821A88" w:rsidRPr="007F536A" w:rsidRDefault="00821A88" w:rsidP="00821A88">
      <w:pPr>
        <w:pStyle w:val="NoSpacing"/>
        <w:jc w:val="both"/>
        <w:rPr>
          <w:rFonts w:ascii="Book Antiqua" w:hAnsi="Book Antiqua"/>
          <w:sz w:val="20"/>
        </w:rPr>
      </w:pPr>
    </w:p>
    <w:p w:rsidR="00821A88" w:rsidRPr="007F536A" w:rsidRDefault="00821A88" w:rsidP="00821A88">
      <w:pPr>
        <w:pStyle w:val="NoSpacing"/>
        <w:numPr>
          <w:ilvl w:val="1"/>
          <w:numId w:val="27"/>
        </w:numPr>
        <w:rPr>
          <w:rFonts w:ascii="Book Antiqua" w:hAnsi="Book Antiqua"/>
          <w:i/>
          <w:sz w:val="20"/>
        </w:rPr>
      </w:pPr>
      <w:r w:rsidRPr="007F536A">
        <w:rPr>
          <w:rFonts w:ascii="Book Antiqua" w:hAnsi="Book Antiqua"/>
          <w:i/>
          <w:sz w:val="20"/>
        </w:rPr>
        <w:t xml:space="preserve">Problems With Laser Measurements. </w:t>
      </w:r>
    </w:p>
    <w:p w:rsidR="00821A88" w:rsidRPr="007F536A" w:rsidRDefault="00821A88" w:rsidP="00821A88">
      <w:pPr>
        <w:pStyle w:val="NoSpacing"/>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Despite the great precision of the laser measurements, there is a problem. Equation (3) is used to determine the speed of light. In that equation,</w:t>
      </w:r>
      <m:oMath>
        <m:r>
          <w:rPr>
            <w:rFonts w:ascii="Cambria Math" w:hAnsi="Cambria Math"/>
            <w:sz w:val="20"/>
          </w:rPr>
          <m:t xml:space="preserve"> W</m:t>
        </m:r>
      </m:oMath>
      <w:r w:rsidRPr="007F536A">
        <w:rPr>
          <w:rFonts w:ascii="Book Antiqua" w:hAnsi="Book Antiqua"/>
          <w:sz w:val="20"/>
        </w:rPr>
        <w:t xml:space="preserve"> is the wavelength of the laser light that is being used. In a changing ZPE situation, that wavelength will remain unchanged. Therefore the behavior of </w:t>
      </w:r>
      <m:oMath>
        <m:r>
          <w:rPr>
            <w:rFonts w:ascii="Cambria Math" w:hAnsi="Cambria Math"/>
            <w:sz w:val="20"/>
          </w:rPr>
          <m:t>W</m:t>
        </m:r>
      </m:oMath>
      <w:r w:rsidRPr="007F536A">
        <w:rPr>
          <w:rFonts w:ascii="Book Antiqua" w:hAnsi="Book Antiqua"/>
          <w:sz w:val="20"/>
        </w:rPr>
        <w:t xml:space="preserve"> with time is not a consideration.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However, the situation is different with the frequency, </w:t>
      </w:r>
      <m:oMath>
        <m:r>
          <w:rPr>
            <w:rFonts w:ascii="Cambria Math" w:hAnsi="Cambria Math"/>
            <w:sz w:val="20"/>
          </w:rPr>
          <m:t>f</m:t>
        </m:r>
      </m:oMath>
      <w:r w:rsidRPr="007F536A">
        <w:rPr>
          <w:rFonts w:ascii="Book Antiqua" w:hAnsi="Book Antiqua"/>
          <w:sz w:val="20"/>
        </w:rPr>
        <w:t xml:space="preserve">, in (3). The frequency of the laser light in these experiments was being measured by an atomic clock and its frequency standard, and there lies the problem. In Chapter 4 it is shown that atomic clocks tick at a rate that is ZPE dependent so that when the ZPE increases, the rate of ticking drops in direct proportion to the speed of light. In addition, it was </w:t>
      </w:r>
      <w:r w:rsidRPr="00223817">
        <w:rPr>
          <w:rFonts w:ascii="Book Antiqua" w:hAnsi="Book Antiqua"/>
          <w:sz w:val="20"/>
        </w:rPr>
        <w:t>shown in Chapter 2</w:t>
      </w:r>
      <w:r w:rsidRPr="007F536A">
        <w:rPr>
          <w:rFonts w:ascii="Book Antiqua" w:hAnsi="Book Antiqua"/>
          <w:sz w:val="20"/>
        </w:rPr>
        <w:t xml:space="preserve"> that it is the frequency of light that changes in direct proportion to the speed of light. Since the laser frequency is being measured by atomic clocks whose rate is changing lock-step with the speed of light, then no change in frequency will be detected. Since </w:t>
      </w:r>
      <m:oMath>
        <m:r>
          <w:rPr>
            <w:rFonts w:ascii="Cambria Math" w:hAnsi="Cambria Math"/>
            <w:sz w:val="20"/>
          </w:rPr>
          <m:t>W</m:t>
        </m:r>
      </m:oMath>
      <w:r w:rsidRPr="007F536A">
        <w:rPr>
          <w:rFonts w:ascii="Book Antiqua" w:hAnsi="Book Antiqua"/>
          <w:sz w:val="20"/>
        </w:rPr>
        <w:t xml:space="preserve"> is constant, the laser experimental setup will make it impossible to measure any change in the speed of light.</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It was because of this that the speed of light was defined as an absolute constant.  In actual fact, the measurement of other ZPE dependent quantities suggest that, if anything, the speed of light may have increased slightly since 1970. The only way to find out is to use an experimental setup which is independent of atomic time and frequency standards. This effectively eliminates rotating mirrors, toothed wheels, and any modern methods which rely on atomic frequency or clock standards. </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is one other method of measuring </w:t>
      </w:r>
      <m:oMath>
        <m:r>
          <w:rPr>
            <w:rFonts w:ascii="Cambria Math" w:hAnsi="Cambria Math"/>
            <w:sz w:val="20"/>
          </w:rPr>
          <m:t xml:space="preserve">c </m:t>
        </m:r>
      </m:oMath>
      <w:r w:rsidRPr="007F536A">
        <w:rPr>
          <w:rFonts w:ascii="Book Antiqua" w:hAnsi="Book Antiqua"/>
          <w:sz w:val="20"/>
        </w:rPr>
        <w:t>which avoids these problems. The aberration method uses angles instead of length or time measurements. The aberration constant, K, was defined at the 15</w:t>
      </w:r>
      <w:r w:rsidRPr="007F536A">
        <w:rPr>
          <w:rFonts w:ascii="Book Antiqua" w:hAnsi="Book Antiqua"/>
          <w:sz w:val="20"/>
          <w:vertAlign w:val="superscript"/>
        </w:rPr>
        <w:t>th</w:t>
      </w:r>
      <w:r w:rsidRPr="007F536A">
        <w:rPr>
          <w:rFonts w:ascii="Book Antiqua" w:hAnsi="Book Antiqua"/>
          <w:sz w:val="20"/>
        </w:rPr>
        <w:t xml:space="preserve"> General Conference on Weights and Measures in 1975. This definition stated that </w:t>
      </w:r>
      <w:r w:rsidRPr="007F536A">
        <w:rPr>
          <w:rFonts w:ascii="Book Antiqua" w:hAnsi="Book Antiqua"/>
          <w:i/>
          <w:sz w:val="20"/>
        </w:rPr>
        <w:t>“The constant of aberration is the ratio of the mean speed of the earth to the speed of light and is conventionally expressed in seconds of arc.”</w:t>
      </w:r>
      <w:r w:rsidR="006E78EF">
        <w:rPr>
          <w:rFonts w:ascii="Book Antiqua" w:hAnsi="Book Antiqua"/>
          <w:i/>
          <w:sz w:val="20"/>
        </w:rPr>
        <w:t xml:space="preserve"> </w:t>
      </w:r>
      <w:r w:rsidR="006E78EF" w:rsidRPr="006E78EF">
        <w:rPr>
          <w:rFonts w:ascii="Book Antiqua" w:hAnsi="Book Antiqua"/>
          <w:sz w:val="20"/>
        </w:rPr>
        <w:t>[see:</w:t>
      </w:r>
      <w:r w:rsidRPr="007F536A">
        <w:rPr>
          <w:rFonts w:ascii="Book Antiqua" w:hAnsi="Book Antiqua"/>
          <w:sz w:val="20"/>
        </w:rPr>
        <w:t xml:space="preserve"> </w:t>
      </w:r>
      <w:r w:rsidRPr="007F536A">
        <w:rPr>
          <w:rFonts w:ascii="Book Antiqua" w:hAnsi="Book Antiqua"/>
          <w:i/>
          <w:sz w:val="20"/>
        </w:rPr>
        <w:t xml:space="preserve"> </w:t>
      </w:r>
      <w:hyperlink r:id="rId128" w:history="1">
        <w:r w:rsidRPr="006E78EF">
          <w:rPr>
            <w:rStyle w:val="Hyperlink"/>
            <w:rFonts w:ascii="Book Antiqua" w:hAnsi="Book Antiqua"/>
            <w:i/>
            <w:sz w:val="20"/>
          </w:rPr>
          <w:t>http://www.iau.org/static/resolutions/IAU1976_French.pdf</w:t>
        </w:r>
      </w:hyperlink>
      <w:r w:rsidRPr="007F536A">
        <w:rPr>
          <w:rFonts w:ascii="Book Antiqua" w:hAnsi="Book Antiqua"/>
          <w:sz w:val="20"/>
        </w:rPr>
        <w:t>]</w:t>
      </w:r>
      <w:r w:rsidRPr="007F536A">
        <w:rPr>
          <w:rFonts w:ascii="Book Antiqua" w:hAnsi="Book Antiqua"/>
          <w:i/>
          <w:sz w:val="20"/>
        </w:rPr>
        <w:t>.</w:t>
      </w:r>
      <w:r w:rsidRPr="007F536A">
        <w:rPr>
          <w:rFonts w:ascii="Book Antiqua" w:hAnsi="Book Antiqua"/>
          <w:sz w:val="20"/>
        </w:rPr>
        <w:t xml:space="preserve"> </w:t>
      </w:r>
    </w:p>
    <w:p w:rsidR="00821A88" w:rsidRPr="007F536A" w:rsidRDefault="00821A88" w:rsidP="00821A88">
      <w:pPr>
        <w:pStyle w:val="NoSpacing"/>
        <w:jc w:val="both"/>
        <w:rPr>
          <w:rFonts w:ascii="Book Antiqua" w:hAnsi="Book Antiqua"/>
          <w:sz w:val="20"/>
        </w:rPr>
      </w:pPr>
    </w:p>
    <w:p w:rsidR="000554D7"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It follows from this definition that, if the speed of light changes, the measured angle of the aberration of light from the stars will also change. Since modern astronomical methods allow angles to be measured with increased accuracy compared to the old measurements, any significant change in angle from the current definition of the aberration constant should reveal the change in the value of </w:t>
      </w:r>
      <m:oMath>
        <m:r>
          <w:rPr>
            <w:rFonts w:ascii="Cambria Math" w:hAnsi="Cambria Math"/>
            <w:sz w:val="20"/>
          </w:rPr>
          <m:t>c</m:t>
        </m:r>
      </m:oMath>
      <w:r w:rsidRPr="007F536A">
        <w:rPr>
          <w:rFonts w:ascii="Book Antiqua" w:hAnsi="Book Antiqua"/>
          <w:sz w:val="20"/>
        </w:rPr>
        <w:t>.</w:t>
      </w:r>
    </w:p>
    <w:p w:rsidR="00821A88" w:rsidRPr="007F536A" w:rsidRDefault="00821A88" w:rsidP="00821A88">
      <w:pPr>
        <w:pStyle w:val="NoSpacing"/>
        <w:ind w:firstLine="720"/>
        <w:jc w:val="both"/>
        <w:rPr>
          <w:rFonts w:ascii="Book Antiqua" w:hAnsi="Book Antiqua"/>
          <w:sz w:val="20"/>
        </w:rPr>
      </w:pPr>
      <w:r w:rsidRPr="007F536A">
        <w:rPr>
          <w:rFonts w:ascii="Book Antiqua" w:hAnsi="Book Antiqua"/>
          <w:sz w:val="20"/>
        </w:rPr>
        <w:t xml:space="preserve">  </w:t>
      </w:r>
    </w:p>
    <w:p w:rsidR="00821A88" w:rsidRPr="00223817" w:rsidRDefault="00821A88" w:rsidP="00821A88">
      <w:pPr>
        <w:pStyle w:val="NoSpacing"/>
        <w:numPr>
          <w:ilvl w:val="1"/>
          <w:numId w:val="27"/>
        </w:numPr>
        <w:rPr>
          <w:rFonts w:ascii="Book Antiqua" w:hAnsi="Book Antiqua"/>
          <w:i/>
          <w:sz w:val="20"/>
        </w:rPr>
      </w:pPr>
      <w:r w:rsidRPr="00223817">
        <w:rPr>
          <w:rFonts w:ascii="Book Antiqua" w:hAnsi="Book Antiqua"/>
          <w:i/>
          <w:sz w:val="20"/>
        </w:rPr>
        <w:t>Addendum on Two Different Methods.</w:t>
      </w:r>
    </w:p>
    <w:p w:rsidR="00821A88" w:rsidRPr="007F536A" w:rsidRDefault="00821A88" w:rsidP="00821A88">
      <w:pPr>
        <w:pStyle w:val="NoSpacing"/>
        <w:ind w:left="360"/>
        <w:rPr>
          <w:rFonts w:ascii="Book Antiqua" w:hAnsi="Book Antiqua"/>
          <w:sz w:val="20"/>
        </w:rPr>
      </w:pPr>
      <w:r w:rsidRPr="007F536A">
        <w:rPr>
          <w:rFonts w:ascii="Book Antiqua" w:hAnsi="Book Antiqua"/>
          <w:b/>
          <w:sz w:val="20"/>
        </w:rPr>
        <w:t xml:space="preserve">  </w:t>
      </w: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There are two other methods which, historically, have been used to measure the speed of light. However, </w:t>
      </w:r>
      <w:r w:rsidR="00223817">
        <w:rPr>
          <w:rFonts w:ascii="Book Antiqua" w:hAnsi="Book Antiqua"/>
          <w:sz w:val="20"/>
        </w:rPr>
        <w:t>neither of these</w:t>
      </w:r>
      <w:r w:rsidRPr="007F536A">
        <w:rPr>
          <w:rFonts w:ascii="Book Antiqua" w:hAnsi="Book Antiqua"/>
          <w:sz w:val="20"/>
        </w:rPr>
        <w:t xml:space="preserve"> methods have attained the precision that the previously discussed methods have. The first of these two is the ratio of electrostatic to electromagnetic units or esu/emu. This method was only possible using the old CGS system of units and was only used to measure the speed of light in the period from 1856 to 1906. In this method, the charge on a capacitor is measured in electrostatic and then electromagnetic units. Twenty five determinations of the speed of light were done this way.</w:t>
      </w:r>
    </w:p>
    <w:p w:rsidR="00821A88" w:rsidRPr="007F536A" w:rsidRDefault="00821A88"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In the second type of experiment, called the waves on wires method, both the wavelength and frequency of a radio wave transmitted along a pair of parallel wires are measured. The dates during which this method was employed went from 1891 to 1923. In all six determinations were performed using this procedure.</w:t>
      </w:r>
    </w:p>
    <w:p w:rsidR="008013D4" w:rsidRDefault="008013D4" w:rsidP="00821A88">
      <w:pPr>
        <w:pStyle w:val="NoSpacing"/>
        <w:ind w:firstLine="360"/>
        <w:jc w:val="both"/>
        <w:rPr>
          <w:rFonts w:ascii="Book Antiqua" w:hAnsi="Book Antiqua"/>
          <w:sz w:val="20"/>
        </w:rPr>
      </w:pPr>
    </w:p>
    <w:p w:rsidR="00821A88" w:rsidRPr="007F536A" w:rsidRDefault="00821A88" w:rsidP="00821A88">
      <w:pPr>
        <w:pStyle w:val="NoSpacing"/>
        <w:ind w:firstLine="360"/>
        <w:jc w:val="both"/>
        <w:rPr>
          <w:rFonts w:ascii="Book Antiqua" w:hAnsi="Book Antiqua"/>
          <w:sz w:val="20"/>
        </w:rPr>
      </w:pPr>
      <w:r w:rsidRPr="007F536A">
        <w:rPr>
          <w:rFonts w:ascii="Book Antiqua" w:hAnsi="Book Antiqua"/>
          <w:sz w:val="20"/>
        </w:rPr>
        <w:t xml:space="preserve">  The values of c obtained by these two methods did not achieve high accuracy except in two cases. A glance at Tables 15 and 16, where these data are tabulated, tells the story. The variation in c values obtained during a determination by either of these methods could go as high as 16,000 Km/s or more. In the case of the 1856, 1868 and 1883 values in Table 1</w:t>
      </w:r>
      <w:r w:rsidR="008A3A7A">
        <w:rPr>
          <w:rFonts w:ascii="Book Antiqua" w:hAnsi="Book Antiqua"/>
          <w:sz w:val="20"/>
        </w:rPr>
        <w:t>5</w:t>
      </w:r>
      <w:r w:rsidRPr="007F536A">
        <w:rPr>
          <w:rFonts w:ascii="Book Antiqua" w:hAnsi="Book Antiqua"/>
          <w:sz w:val="20"/>
        </w:rPr>
        <w:t>, Fowles estimated the error as ±20,000 km/s [208]. It should be noted that  all the Table 1</w:t>
      </w:r>
      <w:r w:rsidR="008A3A7A">
        <w:rPr>
          <w:rFonts w:ascii="Book Antiqua" w:hAnsi="Book Antiqua"/>
          <w:sz w:val="20"/>
        </w:rPr>
        <w:t>5</w:t>
      </w:r>
      <w:r w:rsidRPr="007F536A">
        <w:rPr>
          <w:rFonts w:ascii="Book Antiqua" w:hAnsi="Book Antiqua"/>
          <w:sz w:val="20"/>
        </w:rPr>
        <w:t xml:space="preserve"> values come from the uniform treatment by Abraham in reference [209], while Froome and Essen applied a uniform correction of 95 km/s to these values obtained in air to bring them to the value of </w:t>
      </w:r>
      <m:oMath>
        <m:r>
          <w:rPr>
            <w:rFonts w:ascii="Cambria Math" w:hAnsi="Cambria Math"/>
            <w:sz w:val="20"/>
          </w:rPr>
          <m:t>c</m:t>
        </m:r>
      </m:oMath>
      <w:r w:rsidRPr="007F536A">
        <w:rPr>
          <w:rFonts w:ascii="Book Antiqua" w:hAnsi="Book Antiqua"/>
          <w:sz w:val="20"/>
        </w:rPr>
        <w:t xml:space="preserve"> in vacuo [210]. In general, the spread of values of the velocity in any one determination by this method ranged from 1% to 5%. This is in marked contrast to the 0.02% or lower obtained by the optical methods. These values have thus been omitted from the main analysis. </w:t>
      </w:r>
    </w:p>
    <w:p w:rsidR="00821A88" w:rsidRPr="007F536A" w:rsidRDefault="00821A88" w:rsidP="00821A88">
      <w:pPr>
        <w:pStyle w:val="NoSpacing"/>
        <w:jc w:val="both"/>
        <w:rPr>
          <w:rFonts w:ascii="Book Antiqua" w:hAnsi="Book Antiqua"/>
          <w:sz w:val="20"/>
        </w:rPr>
      </w:pPr>
    </w:p>
    <w:p w:rsidR="00821A88" w:rsidRPr="008A3A7A" w:rsidRDefault="00821A88" w:rsidP="005572DA">
      <w:pPr>
        <w:pStyle w:val="NoSpacing"/>
        <w:jc w:val="center"/>
        <w:rPr>
          <w:rFonts w:ascii="Book Antiqua" w:hAnsi="Book Antiqua"/>
          <w:b/>
          <w:i/>
          <w:sz w:val="18"/>
          <w:szCs w:val="18"/>
        </w:rPr>
      </w:pPr>
      <w:r w:rsidRPr="008A3A7A">
        <w:rPr>
          <w:rFonts w:ascii="Book Antiqua" w:hAnsi="Book Antiqua"/>
          <w:b/>
          <w:sz w:val="18"/>
          <w:szCs w:val="18"/>
        </w:rPr>
        <w:t>Table 15:</w:t>
      </w:r>
      <w:r w:rsidRPr="008A3A7A">
        <w:rPr>
          <w:rFonts w:ascii="Book Antiqua" w:hAnsi="Book Antiqua"/>
          <w:b/>
          <w:i/>
          <w:sz w:val="18"/>
          <w:szCs w:val="18"/>
        </w:rPr>
        <w:t xml:space="preserve"> Speed of Light Values from the Ratio of ESU/EMU.</w:t>
      </w:r>
    </w:p>
    <w:p w:rsidR="00821A88" w:rsidRPr="007F536A" w:rsidRDefault="00821A88" w:rsidP="00821A88">
      <w:pPr>
        <w:pStyle w:val="NoSpacing"/>
        <w:jc w:val="both"/>
        <w:rPr>
          <w:rFonts w:ascii="Book Antiqua" w:hAnsi="Book Antiqua"/>
          <w:b/>
          <w:sz w:val="20"/>
        </w:rPr>
      </w:pPr>
    </w:p>
    <w:tbl>
      <w:tblPr>
        <w:tblStyle w:val="TableGrid"/>
        <w:tblW w:w="0" w:type="auto"/>
        <w:jc w:val="center"/>
        <w:tblLayout w:type="fixed"/>
        <w:tblLook w:val="04A0"/>
      </w:tblPr>
      <w:tblGrid>
        <w:gridCol w:w="918"/>
        <w:gridCol w:w="2595"/>
        <w:gridCol w:w="1397"/>
        <w:gridCol w:w="2595"/>
      </w:tblGrid>
      <w:tr w:rsidR="00821A88" w:rsidRPr="007F536A" w:rsidTr="005572DA">
        <w:trPr>
          <w:trHeight w:val="336"/>
          <w:jc w:val="center"/>
        </w:trPr>
        <w:tc>
          <w:tcPr>
            <w:tcW w:w="91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1397"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Mean km/s </w:t>
            </w:r>
          </w:p>
        </w:tc>
        <w:tc>
          <w:tcPr>
            <w:tcW w:w="2595"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 xml:space="preserve">Range or Error </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1856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Weber/Kohlrausch [213]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 xml:space="preserve">310,700 </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Maxwell [214]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284,000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1869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W.Thomson/King [215]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288,000-271,400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McKichan [216]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289,700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299,900-286,300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Rowland [217]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298,400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301,800-295j,000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Ayrton/Perry [218}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1879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Hockin [219]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296,700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Shida [220]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295,500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Stoletov [221]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300,000-298,000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Exner [222]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287,000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8/100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1883</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 J.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296,400</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20,000 km/s</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1884</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Klemencic [224]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301,880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303,100-300,100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Colley [225]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2/100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*Himstedt [226]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300,570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301,460-299990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Thomson et al. [227]</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292,000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1.75%</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 Thomson [223]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300,500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1889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 [228]</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300,000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301,050-299,470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*J.Thomson/Searle [229]</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299,600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1891</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*Pellat [230]</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300,920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1/500</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1892</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*Abraham [231]</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299,130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299,470-298,980 km/s</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1897</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*Hurmuzescu [232]</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300,100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*Perot/Fabry [233]</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299,730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of 1/1000</w:t>
            </w:r>
          </w:p>
        </w:tc>
      </w:tr>
      <w:tr w:rsidR="00821A88" w:rsidRPr="007F536A" w:rsidTr="005572DA">
        <w:trPr>
          <w:trHeight w:val="294"/>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1898</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Webster [234]</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302,590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Precision of 1%</w:t>
            </w:r>
          </w:p>
        </w:tc>
      </w:tr>
      <w:tr w:rsidR="00821A88" w:rsidRPr="007F536A" w:rsidTr="005572DA">
        <w:trPr>
          <w:trHeight w:val="315"/>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1899</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Lodge/Glazebrook [235]</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300,900</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Errors up to 4/100</w:t>
            </w:r>
          </w:p>
        </w:tc>
      </w:tr>
      <w:tr w:rsidR="00821A88" w:rsidRPr="007F536A" w:rsidTr="005572DA">
        <w:trPr>
          <w:trHeight w:val="336"/>
          <w:jc w:val="center"/>
        </w:trPr>
        <w:tc>
          <w:tcPr>
            <w:tcW w:w="918"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1906</w:t>
            </w:r>
          </w:p>
        </w:tc>
        <w:tc>
          <w:tcPr>
            <w:tcW w:w="2595"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*Rosa/Dorsey [236]</w:t>
            </w:r>
          </w:p>
        </w:tc>
        <w:tc>
          <w:tcPr>
            <w:tcW w:w="1397" w:type="dxa"/>
          </w:tcPr>
          <w:p w:rsidR="00821A88" w:rsidRPr="007F536A" w:rsidRDefault="00821A88" w:rsidP="00400B4E">
            <w:pPr>
              <w:pStyle w:val="NormalWeb"/>
              <w:jc w:val="both"/>
              <w:rPr>
                <w:rFonts w:ascii="Book Antiqua" w:hAnsi="Book Antiqua"/>
                <w:sz w:val="18"/>
                <w:szCs w:val="18"/>
              </w:rPr>
            </w:pPr>
            <w:r w:rsidRPr="007F536A">
              <w:rPr>
                <w:rFonts w:ascii="Book Antiqua" w:hAnsi="Book Antiqua"/>
                <w:sz w:val="18"/>
                <w:szCs w:val="18"/>
              </w:rPr>
              <w:t>299,803</w:t>
            </w:r>
          </w:p>
        </w:tc>
        <w:tc>
          <w:tcPr>
            <w:tcW w:w="2595" w:type="dxa"/>
          </w:tcPr>
          <w:p w:rsidR="00821A88" w:rsidRPr="007F536A" w:rsidRDefault="00821A88" w:rsidP="00400B4E">
            <w:pPr>
              <w:pStyle w:val="NormalWeb"/>
              <w:jc w:val="both"/>
              <w:rPr>
                <w:rFonts w:ascii="Book Antiqua" w:hAnsi="Book Antiqua"/>
                <w:sz w:val="18"/>
                <w:szCs w:val="18"/>
              </w:rPr>
            </w:pPr>
            <m:oMath>
              <m:r>
                <w:rPr>
                  <w:rFonts w:ascii="Cambria Math" w:hAnsi="Cambria Math"/>
                  <w:sz w:val="18"/>
                  <w:szCs w:val="18"/>
                </w:rPr>
                <m:t>±</m:t>
              </m:r>
            </m:oMath>
            <w:r w:rsidRPr="007F536A">
              <w:rPr>
                <w:rFonts w:ascii="Book Antiqua" w:hAnsi="Book Antiqua"/>
                <w:sz w:val="18"/>
                <w:szCs w:val="18"/>
              </w:rPr>
              <w:t>30 km/s</w:t>
            </w:r>
          </w:p>
        </w:tc>
      </w:tr>
    </w:tbl>
    <w:p w:rsidR="00821A88" w:rsidRPr="007F536A" w:rsidRDefault="00821A88" w:rsidP="00821A88">
      <w:pPr>
        <w:pStyle w:val="NoSpacing"/>
        <w:jc w:val="both"/>
        <w:rPr>
          <w:rFonts w:ascii="Book Antiqua" w:hAnsi="Book Antiqua"/>
          <w:sz w:val="20"/>
        </w:rPr>
      </w:pPr>
    </w:p>
    <w:p w:rsidR="008A3A7A" w:rsidRPr="007F536A" w:rsidRDefault="00223817" w:rsidP="008A3A7A">
      <w:pPr>
        <w:pStyle w:val="NoSpacing"/>
        <w:ind w:firstLine="360"/>
        <w:jc w:val="both"/>
        <w:rPr>
          <w:rFonts w:ascii="Book Antiqua" w:hAnsi="Book Antiqua"/>
          <w:sz w:val="20"/>
        </w:rPr>
      </w:pPr>
      <w:r>
        <w:rPr>
          <w:rFonts w:ascii="Book Antiqua" w:hAnsi="Book Antiqua"/>
          <w:sz w:val="20"/>
        </w:rPr>
        <w:lastRenderedPageBreak/>
        <w:t>After</w:t>
      </w:r>
      <w:r w:rsidR="008A3A7A" w:rsidRPr="007F536A">
        <w:rPr>
          <w:rFonts w:ascii="Book Antiqua" w:hAnsi="Book Antiqua"/>
          <w:sz w:val="20"/>
        </w:rPr>
        <w:t xml:space="preserve"> a lengthy treatment of the esu/emu ratio experiments, Abraham concluded that the values marked with an asterisk </w:t>
      </w:r>
      <w:r w:rsidR="00976B9A">
        <w:rPr>
          <w:rFonts w:ascii="Book Antiqua" w:hAnsi="Book Antiqua"/>
          <w:sz w:val="20"/>
        </w:rPr>
        <w:t xml:space="preserve">in Table 15 </w:t>
      </w:r>
      <w:r w:rsidR="008A3A7A" w:rsidRPr="007F536A">
        <w:rPr>
          <w:rFonts w:ascii="Book Antiqua" w:hAnsi="Book Antiqua"/>
          <w:sz w:val="20"/>
        </w:rPr>
        <w:t xml:space="preserve">were the most accurate [209]. The errors of these eight experiments vary up to about 0.5%. Nevertheless, they show a decay trend of about 24 Km/s per year, with a mean value for the speed of light which is about 189 Km/s above </w:t>
      </w:r>
      <m:oMath>
        <m:r>
          <w:rPr>
            <w:rFonts w:ascii="Cambria Math" w:hAnsi="Cambria Math"/>
            <w:sz w:val="20"/>
          </w:rPr>
          <m:t>c</m:t>
        </m:r>
      </m:oMath>
      <w:r w:rsidR="008A3A7A" w:rsidRPr="007F536A">
        <w:rPr>
          <w:rFonts w:ascii="Book Antiqua" w:hAnsi="Book Antiqua"/>
          <w:sz w:val="20"/>
        </w:rPr>
        <w:t xml:space="preserve"> now. For the waves on wires experiments listed in Table 1</w:t>
      </w:r>
      <w:r w:rsidR="008A3A7A">
        <w:rPr>
          <w:rFonts w:ascii="Book Antiqua" w:hAnsi="Book Antiqua"/>
          <w:sz w:val="20"/>
        </w:rPr>
        <w:t>6</w:t>
      </w:r>
      <w:r w:rsidR="008A3A7A" w:rsidRPr="007F536A">
        <w:rPr>
          <w:rFonts w:ascii="Book Antiqua" w:hAnsi="Book Antiqua"/>
          <w:sz w:val="20"/>
        </w:rPr>
        <w:t xml:space="preserve"> a decay trend of 7.47 Km/s per year is exhibited. </w:t>
      </w:r>
      <w:r w:rsidR="00976B9A">
        <w:rPr>
          <w:rFonts w:ascii="Book Antiqua" w:hAnsi="Book Antiqua"/>
          <w:sz w:val="20"/>
        </w:rPr>
        <w:t>T</w:t>
      </w:r>
      <w:r w:rsidR="008A3A7A" w:rsidRPr="007F536A">
        <w:rPr>
          <w:rFonts w:ascii="Book Antiqua" w:hAnsi="Book Antiqua"/>
          <w:sz w:val="20"/>
        </w:rPr>
        <w:t xml:space="preserve">he column labeled </w:t>
      </w:r>
      <w:r w:rsidR="00976B9A">
        <w:rPr>
          <w:rFonts w:ascii="Book Antiqua" w:hAnsi="Book Antiqua"/>
          <w:sz w:val="20"/>
        </w:rPr>
        <w:t>‘</w:t>
      </w:r>
      <w:r w:rsidR="008A3A7A" w:rsidRPr="007F536A">
        <w:rPr>
          <w:rFonts w:ascii="Book Antiqua" w:hAnsi="Book Antiqua"/>
          <w:sz w:val="20"/>
        </w:rPr>
        <w:t>No.</w:t>
      </w:r>
      <w:r w:rsidR="00976B9A">
        <w:rPr>
          <w:rFonts w:ascii="Book Antiqua" w:hAnsi="Book Antiqua"/>
          <w:sz w:val="20"/>
        </w:rPr>
        <w:t>’</w:t>
      </w:r>
      <w:r w:rsidR="008A3A7A" w:rsidRPr="007F536A">
        <w:rPr>
          <w:rFonts w:ascii="Book Antiqua" w:hAnsi="Book Antiqua"/>
          <w:sz w:val="20"/>
        </w:rPr>
        <w:t xml:space="preserve"> </w:t>
      </w:r>
      <w:r w:rsidR="00976B9A">
        <w:rPr>
          <w:rFonts w:ascii="Book Antiqua" w:hAnsi="Book Antiqua"/>
          <w:sz w:val="20"/>
        </w:rPr>
        <w:t>gives</w:t>
      </w:r>
      <w:r w:rsidR="008A3A7A" w:rsidRPr="007F536A">
        <w:rPr>
          <w:rFonts w:ascii="Book Antiqua" w:hAnsi="Book Antiqua"/>
          <w:sz w:val="20"/>
        </w:rPr>
        <w:t xml:space="preserve"> the number of experiments done to achieve the listed result.</w:t>
      </w:r>
    </w:p>
    <w:p w:rsidR="00821A88" w:rsidRPr="00697854" w:rsidRDefault="00821A88" w:rsidP="005572DA">
      <w:pPr>
        <w:pStyle w:val="NormalWeb"/>
        <w:jc w:val="center"/>
        <w:rPr>
          <w:rFonts w:ascii="Book Antiqua" w:hAnsi="Book Antiqua"/>
          <w:b/>
          <w:i/>
          <w:sz w:val="18"/>
          <w:szCs w:val="18"/>
        </w:rPr>
      </w:pPr>
      <w:r w:rsidRPr="00697854">
        <w:rPr>
          <w:rFonts w:ascii="Book Antiqua" w:hAnsi="Book Antiqua"/>
          <w:b/>
          <w:sz w:val="18"/>
          <w:szCs w:val="18"/>
        </w:rPr>
        <w:t>Table 16:</w:t>
      </w:r>
      <w:r w:rsidRPr="00697854">
        <w:rPr>
          <w:rFonts w:ascii="Book Antiqua" w:hAnsi="Book Antiqua"/>
          <w:b/>
          <w:i/>
          <w:sz w:val="18"/>
          <w:szCs w:val="18"/>
        </w:rPr>
        <w:t xml:space="preserve"> Light-Speed Values by Waves on Wires Method [209].</w:t>
      </w:r>
    </w:p>
    <w:tbl>
      <w:tblPr>
        <w:tblStyle w:val="TableGrid"/>
        <w:tblW w:w="0" w:type="auto"/>
        <w:jc w:val="center"/>
        <w:tblLayout w:type="fixed"/>
        <w:tblLook w:val="04A0"/>
      </w:tblPr>
      <w:tblGrid>
        <w:gridCol w:w="714"/>
        <w:gridCol w:w="2340"/>
        <w:gridCol w:w="720"/>
        <w:gridCol w:w="1056"/>
        <w:gridCol w:w="1998"/>
      </w:tblGrid>
      <w:tr w:rsidR="00821A88" w:rsidRPr="007F536A" w:rsidTr="005572DA">
        <w:trPr>
          <w:trHeight w:val="297"/>
          <w:jc w:val="center"/>
        </w:trPr>
        <w:tc>
          <w:tcPr>
            <w:tcW w:w="714"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Date</w:t>
            </w:r>
          </w:p>
        </w:tc>
        <w:tc>
          <w:tcPr>
            <w:tcW w:w="234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Experimenter</w:t>
            </w:r>
          </w:p>
        </w:tc>
        <w:tc>
          <w:tcPr>
            <w:tcW w:w="720"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No.</w:t>
            </w:r>
          </w:p>
        </w:tc>
        <w:tc>
          <w:tcPr>
            <w:tcW w:w="1056"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c km/s</w:t>
            </w:r>
          </w:p>
        </w:tc>
        <w:tc>
          <w:tcPr>
            <w:tcW w:w="1998" w:type="dxa"/>
          </w:tcPr>
          <w:p w:rsidR="00821A88" w:rsidRPr="005572DA" w:rsidRDefault="00821A88" w:rsidP="00400B4E">
            <w:pPr>
              <w:pStyle w:val="NormalWeb"/>
              <w:jc w:val="both"/>
              <w:rPr>
                <w:rFonts w:ascii="Book Antiqua" w:hAnsi="Book Antiqua"/>
                <w:b/>
                <w:i/>
                <w:sz w:val="20"/>
                <w:szCs w:val="20"/>
              </w:rPr>
            </w:pPr>
            <w:r w:rsidRPr="005572DA">
              <w:rPr>
                <w:rFonts w:ascii="Book Antiqua" w:hAnsi="Book Antiqua"/>
                <w:b/>
                <w:i/>
                <w:sz w:val="20"/>
                <w:szCs w:val="20"/>
              </w:rPr>
              <w:t>Range km/s</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1891</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[237]</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12</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312,300-295,500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Blondlot [238]</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8</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297,200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302,900-292,100</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1895</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Trowbridge/Duane [239]</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7</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300,300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303,600-292,300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1897</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Saunders [240]</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6</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299,900-293,400</w:t>
            </w:r>
          </w:p>
        </w:tc>
      </w:tr>
      <w:tr w:rsidR="00821A88" w:rsidRPr="007F536A" w:rsidTr="005572DA">
        <w:trPr>
          <w:trHeight w:val="260"/>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1899</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MacLean [241]</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299,100</w:t>
            </w:r>
          </w:p>
        </w:tc>
        <w:tc>
          <w:tcPr>
            <w:tcW w:w="1998"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Free space value</w:t>
            </w:r>
          </w:p>
        </w:tc>
      </w:tr>
      <w:tr w:rsidR="00821A88" w:rsidRPr="007F536A" w:rsidTr="005572DA">
        <w:trPr>
          <w:trHeight w:val="278"/>
          <w:jc w:val="center"/>
        </w:trPr>
        <w:tc>
          <w:tcPr>
            <w:tcW w:w="714"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1923</w:t>
            </w:r>
          </w:p>
        </w:tc>
        <w:tc>
          <w:tcPr>
            <w:tcW w:w="234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Mercier [242]</w:t>
            </w:r>
          </w:p>
        </w:tc>
        <w:tc>
          <w:tcPr>
            <w:tcW w:w="720"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5 sets</w:t>
            </w:r>
          </w:p>
        </w:tc>
        <w:tc>
          <w:tcPr>
            <w:tcW w:w="1056" w:type="dxa"/>
          </w:tcPr>
          <w:p w:rsidR="00821A88" w:rsidRPr="005572DA" w:rsidRDefault="00821A88" w:rsidP="00400B4E">
            <w:pPr>
              <w:pStyle w:val="NormalWeb"/>
              <w:jc w:val="both"/>
              <w:rPr>
                <w:rFonts w:ascii="Book Antiqua" w:hAnsi="Book Antiqua"/>
                <w:b/>
                <w:sz w:val="18"/>
                <w:szCs w:val="18"/>
              </w:rPr>
            </w:pPr>
            <w:r w:rsidRPr="005572DA">
              <w:rPr>
                <w:rFonts w:ascii="Book Antiqua" w:hAnsi="Book Antiqua"/>
                <w:b/>
                <w:sz w:val="18"/>
                <w:szCs w:val="18"/>
              </w:rPr>
              <w:t>299,795</w:t>
            </w:r>
          </w:p>
        </w:tc>
        <w:tc>
          <w:tcPr>
            <w:tcW w:w="1998" w:type="dxa"/>
          </w:tcPr>
          <w:p w:rsidR="00821A88" w:rsidRPr="005572DA" w:rsidRDefault="005572DA" w:rsidP="00400B4E">
            <w:pPr>
              <w:pStyle w:val="NormalWeb"/>
              <w:jc w:val="both"/>
              <w:rPr>
                <w:rFonts w:ascii="Book Antiqua" w:hAnsi="Book Antiqua"/>
                <w:b/>
                <w:sz w:val="18"/>
                <w:szCs w:val="18"/>
              </w:rPr>
            </w:pPr>
            <m:oMath>
              <m:r>
                <m:rPr>
                  <m:sty m:val="bi"/>
                </m:rPr>
                <w:rPr>
                  <w:rFonts w:ascii="Cambria Math" w:hAnsi="Cambria Math"/>
                  <w:sz w:val="18"/>
                  <w:szCs w:val="18"/>
                </w:rPr>
                <m:t>±</m:t>
              </m:r>
            </m:oMath>
            <w:r w:rsidR="00821A88" w:rsidRPr="005572DA">
              <w:rPr>
                <w:rFonts w:ascii="Book Antiqua" w:hAnsi="Book Antiqua"/>
                <w:b/>
                <w:sz w:val="18"/>
                <w:szCs w:val="18"/>
              </w:rPr>
              <w:t>30</w:t>
            </w:r>
          </w:p>
        </w:tc>
      </w:tr>
    </w:tbl>
    <w:p w:rsidR="00821A88" w:rsidRPr="007F536A" w:rsidRDefault="00821A88" w:rsidP="00821A88">
      <w:pPr>
        <w:pStyle w:val="NoSpacing"/>
        <w:jc w:val="both"/>
        <w:rPr>
          <w:rFonts w:ascii="Book Antiqua" w:hAnsi="Book Antiqua"/>
          <w:sz w:val="20"/>
        </w:rPr>
      </w:pPr>
    </w:p>
    <w:p w:rsidR="00821A88" w:rsidRPr="007F536A" w:rsidRDefault="00821A88" w:rsidP="00821A88">
      <w:pPr>
        <w:pStyle w:val="NormalWeb"/>
        <w:ind w:firstLine="360"/>
        <w:jc w:val="both"/>
        <w:rPr>
          <w:rFonts w:ascii="Book Antiqua" w:hAnsi="Book Antiqua"/>
          <w:sz w:val="20"/>
          <w:szCs w:val="20"/>
        </w:rPr>
      </w:pPr>
      <w:r w:rsidRPr="007F536A">
        <w:rPr>
          <w:rFonts w:ascii="Book Antiqua" w:hAnsi="Book Antiqua"/>
          <w:sz w:val="20"/>
          <w:szCs w:val="20"/>
        </w:rPr>
        <w:t>The two exceptions to the generally low precision of these experiments are the Rosa/Dorsey value from the ratio of electrostatic to electromagnetic units, and that of Mercier from the waves on wires. Both of these values have been reassessed [210]: the first with the best value for the unit of resistance and air humidity (see also Florman [211]), the second for atmospheric conditions</w:t>
      </w:r>
      <w:r w:rsidR="00976B9A">
        <w:rPr>
          <w:rFonts w:ascii="Book Antiqua" w:hAnsi="Book Antiqua"/>
          <w:sz w:val="20"/>
          <w:szCs w:val="20"/>
        </w:rPr>
        <w:t>.</w:t>
      </w:r>
      <w:r w:rsidRPr="007F536A">
        <w:rPr>
          <w:rFonts w:ascii="Book Antiqua" w:hAnsi="Book Antiqua"/>
          <w:sz w:val="20"/>
          <w:szCs w:val="20"/>
        </w:rPr>
        <w:t xml:space="preserve"> </w:t>
      </w:r>
      <w:r w:rsidR="00976B9A">
        <w:rPr>
          <w:rFonts w:ascii="Book Antiqua" w:hAnsi="Book Antiqua"/>
          <w:sz w:val="20"/>
          <w:szCs w:val="20"/>
        </w:rPr>
        <w:t>Thus</w:t>
      </w:r>
      <w:r w:rsidRPr="007F536A">
        <w:rPr>
          <w:rFonts w:ascii="Book Antiqua" w:hAnsi="Book Antiqua"/>
          <w:sz w:val="20"/>
          <w:szCs w:val="20"/>
        </w:rPr>
        <w:t xml:space="preserve"> the value in Table 16 is in vacuo. Froome and Essen [212] also point out that these experiments were the only ones by those two methods that were </w:t>
      </w:r>
      <w:r w:rsidRPr="007F536A">
        <w:rPr>
          <w:rFonts w:ascii="Book Antiqua" w:hAnsi="Book Antiqua"/>
          <w:i/>
          <w:sz w:val="20"/>
          <w:szCs w:val="20"/>
        </w:rPr>
        <w:t>“as accurate as the direct measurements of the speed of light at that time...”.</w:t>
      </w:r>
      <w:r w:rsidRPr="007F536A">
        <w:rPr>
          <w:rFonts w:ascii="Book Antiqua" w:hAnsi="Book Antiqua"/>
          <w:sz w:val="20"/>
          <w:szCs w:val="20"/>
        </w:rPr>
        <w:t xml:space="preserve"> Accordingly, these two values alone from the data in Tables 15 and 16 have been included in the final data set in Table 17. A graph of c values with errors &lt; 0.1% from reference [243], with aberration values uncorrected, is given in Figure 34. A graph of all Table 17 values, </w:t>
      </w:r>
      <w:r w:rsidR="00976B9A">
        <w:rPr>
          <w:rFonts w:ascii="Book Antiqua" w:hAnsi="Book Antiqua"/>
          <w:sz w:val="20"/>
          <w:szCs w:val="20"/>
        </w:rPr>
        <w:t xml:space="preserve">in </w:t>
      </w:r>
      <w:r w:rsidRPr="007F536A">
        <w:rPr>
          <w:rFonts w:ascii="Book Antiqua" w:hAnsi="Book Antiqua"/>
          <w:sz w:val="20"/>
          <w:szCs w:val="20"/>
        </w:rPr>
        <w:t xml:space="preserve">which the aberration values </w:t>
      </w:r>
      <w:r w:rsidR="00976B9A">
        <w:rPr>
          <w:rFonts w:ascii="Book Antiqua" w:hAnsi="Book Antiqua"/>
          <w:sz w:val="20"/>
          <w:szCs w:val="20"/>
        </w:rPr>
        <w:t xml:space="preserve">are </w:t>
      </w:r>
      <w:r w:rsidRPr="007F536A">
        <w:rPr>
          <w:rFonts w:ascii="Book Antiqua" w:hAnsi="Book Antiqua"/>
          <w:sz w:val="20"/>
          <w:szCs w:val="20"/>
        </w:rPr>
        <w:t>corrected, appears in Figure 35.</w:t>
      </w:r>
    </w:p>
    <w:p w:rsidR="00821A88" w:rsidRPr="007F536A" w:rsidRDefault="00821A88" w:rsidP="00697854">
      <w:pPr>
        <w:pStyle w:val="NormalWeb"/>
        <w:jc w:val="center"/>
        <w:rPr>
          <w:rFonts w:ascii="Book Antiqua" w:hAnsi="Book Antiqua"/>
          <w:sz w:val="20"/>
          <w:szCs w:val="20"/>
        </w:rPr>
      </w:pPr>
      <w:r w:rsidRPr="007F536A">
        <w:rPr>
          <w:rFonts w:ascii="Book Antiqua" w:hAnsi="Book Antiqua"/>
          <w:noProof/>
          <w:sz w:val="20"/>
          <w:szCs w:val="20"/>
        </w:rPr>
        <w:drawing>
          <wp:inline distT="0" distB="0" distL="0" distR="0">
            <wp:extent cx="5298302" cy="3096665"/>
            <wp:effectExtent l="19050" t="0" r="0" b="0"/>
            <wp:docPr id="1517" name="Picture 3" descr="E:\SpeedOfLight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peedOfLight144.jpg"/>
                    <pic:cNvPicPr>
                      <a:picLocks noChangeAspect="1" noChangeArrowheads="1"/>
                    </pic:cNvPicPr>
                  </pic:nvPicPr>
                  <pic:blipFill>
                    <a:blip r:embed="rId75" cstate="print">
                      <a:lum contrast="20000"/>
                    </a:blip>
                    <a:srcRect t="10841" b="7743"/>
                    <a:stretch>
                      <a:fillRect/>
                    </a:stretch>
                  </pic:blipFill>
                  <pic:spPr bwMode="auto">
                    <a:xfrm>
                      <a:off x="0" y="0"/>
                      <a:ext cx="5317505" cy="3107888"/>
                    </a:xfrm>
                    <a:prstGeom prst="rect">
                      <a:avLst/>
                    </a:prstGeom>
                    <a:noFill/>
                    <a:ln w="9525">
                      <a:noFill/>
                      <a:miter lim="800000"/>
                      <a:headEnd/>
                      <a:tailEnd/>
                    </a:ln>
                  </pic:spPr>
                </pic:pic>
              </a:graphicData>
            </a:graphic>
          </wp:inline>
        </w:drawing>
      </w:r>
    </w:p>
    <w:p w:rsidR="00821A88" w:rsidRPr="00E8355F"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34:</w:t>
      </w:r>
      <w:r w:rsidRPr="00E8355F">
        <w:rPr>
          <w:rFonts w:ascii="Book Antiqua" w:hAnsi="Book Antiqua"/>
          <w:i/>
          <w:sz w:val="18"/>
          <w:szCs w:val="18"/>
        </w:rPr>
        <w:t xml:space="preserve"> c-data from [243]</w:t>
      </w:r>
      <w:r w:rsidR="00E6334E" w:rsidRPr="00E8355F">
        <w:rPr>
          <w:rFonts w:ascii="Book Antiqua" w:hAnsi="Book Antiqua"/>
          <w:i/>
          <w:sz w:val="18"/>
          <w:szCs w:val="18"/>
        </w:rPr>
        <w:t xml:space="preserve"> with</w:t>
      </w:r>
      <w:r w:rsidRPr="00E8355F">
        <w:rPr>
          <w:rFonts w:ascii="Book Antiqua" w:hAnsi="Book Antiqua"/>
          <w:i/>
          <w:sz w:val="18"/>
          <w:szCs w:val="18"/>
        </w:rPr>
        <w:t xml:space="preserve"> errors less than 0.1% (aberration uncorrected).</w:t>
      </w:r>
    </w:p>
    <w:p w:rsidR="00821A88" w:rsidRPr="007F536A" w:rsidRDefault="00821A88" w:rsidP="00C12038">
      <w:pPr>
        <w:pStyle w:val="NormalWeb"/>
        <w:jc w:val="center"/>
        <w:rPr>
          <w:rFonts w:ascii="Book Antiqua" w:hAnsi="Book Antiqua"/>
          <w:sz w:val="20"/>
          <w:szCs w:val="20"/>
        </w:rPr>
      </w:pPr>
      <w:r w:rsidRPr="007F536A">
        <w:rPr>
          <w:rFonts w:ascii="Book Antiqua" w:hAnsi="Book Antiqua"/>
          <w:noProof/>
          <w:sz w:val="20"/>
          <w:szCs w:val="20"/>
        </w:rPr>
        <w:lastRenderedPageBreak/>
        <w:drawing>
          <wp:inline distT="0" distB="0" distL="0" distR="0">
            <wp:extent cx="5934075" cy="3771900"/>
            <wp:effectExtent l="19050" t="0" r="9525" b="0"/>
            <wp:docPr id="151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821A88" w:rsidRDefault="00821A88" w:rsidP="005572DA">
      <w:pPr>
        <w:pStyle w:val="NormalWeb"/>
        <w:jc w:val="center"/>
        <w:rPr>
          <w:rFonts w:ascii="Book Antiqua" w:hAnsi="Book Antiqua"/>
          <w:i/>
          <w:sz w:val="18"/>
          <w:szCs w:val="18"/>
        </w:rPr>
      </w:pPr>
      <w:r w:rsidRPr="00E8355F">
        <w:rPr>
          <w:rFonts w:ascii="Book Antiqua" w:hAnsi="Book Antiqua"/>
          <w:b/>
          <w:i/>
          <w:sz w:val="18"/>
          <w:szCs w:val="18"/>
        </w:rPr>
        <w:t>Figure 35:</w:t>
      </w:r>
      <w:r w:rsidRPr="00E8355F">
        <w:rPr>
          <w:rFonts w:ascii="Book Antiqua" w:hAnsi="Book Antiqua"/>
          <w:i/>
          <w:sz w:val="18"/>
          <w:szCs w:val="18"/>
        </w:rPr>
        <w:t xml:space="preserve"> Plot of all light-speed data from Table 17 (aberration corrected).</w:t>
      </w:r>
    </w:p>
    <w:p w:rsidR="00976B9A" w:rsidRPr="007F536A" w:rsidRDefault="00976B9A" w:rsidP="00976B9A">
      <w:pPr>
        <w:pStyle w:val="NoSpacing"/>
        <w:ind w:firstLine="720"/>
        <w:jc w:val="both"/>
        <w:rPr>
          <w:rFonts w:ascii="Book Antiqua" w:hAnsi="Book Antiqua"/>
          <w:sz w:val="20"/>
        </w:rPr>
      </w:pPr>
      <w:r w:rsidRPr="007F536A">
        <w:rPr>
          <w:rFonts w:ascii="Book Antiqua" w:hAnsi="Book Antiqua"/>
          <w:sz w:val="20"/>
        </w:rPr>
        <w:t>In Table 17,</w:t>
      </w:r>
      <w:r>
        <w:rPr>
          <w:rFonts w:ascii="Book Antiqua" w:hAnsi="Book Antiqua"/>
          <w:sz w:val="20"/>
        </w:rPr>
        <w:t xml:space="preserve"> following, </w:t>
      </w:r>
      <w:r w:rsidRPr="007F536A">
        <w:rPr>
          <w:rFonts w:ascii="Book Antiqua" w:hAnsi="Book Antiqua"/>
          <w:sz w:val="20"/>
        </w:rPr>
        <w:t>the last two columns are labeled T and M respectively. T stands for Table, and the number appearing in that column against a given date and name is the Table in this chapter in which the item occurs. The M stands for Method by which the value of light-speed was determined. The letters in that column give the 17 different ways the measurements were made. They are as follows:</w:t>
      </w:r>
    </w:p>
    <w:p w:rsidR="00976B9A" w:rsidRPr="007F536A" w:rsidRDefault="00976B9A" w:rsidP="00976B9A">
      <w:pPr>
        <w:pStyle w:val="NoSpacing"/>
        <w:jc w:val="both"/>
        <w:rPr>
          <w:rFonts w:ascii="Book Antiqua" w:hAnsi="Book Antiqua"/>
          <w:sz w:val="20"/>
        </w:rPr>
      </w:pP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A</w:t>
      </w:r>
      <w:r w:rsidRPr="007F536A">
        <w:rPr>
          <w:rFonts w:ascii="Book Antiqua" w:hAnsi="Book Antiqua"/>
          <w:sz w:val="20"/>
        </w:rPr>
        <w:t xml:space="preserve"> = </w:t>
      </w:r>
      <w:r w:rsidRPr="007F536A">
        <w:rPr>
          <w:rFonts w:ascii="Book Antiqua" w:hAnsi="Book Antiqua"/>
          <w:i/>
          <w:sz w:val="20"/>
        </w:rPr>
        <w:t>Aberration</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CR</w:t>
      </w:r>
      <w:r w:rsidRPr="007F536A">
        <w:rPr>
          <w:rFonts w:ascii="Book Antiqua" w:hAnsi="Book Antiqua"/>
          <w:sz w:val="20"/>
        </w:rPr>
        <w:t xml:space="preserve"> = </w:t>
      </w:r>
      <w:r w:rsidRPr="007F536A">
        <w:rPr>
          <w:rFonts w:ascii="Book Antiqua" w:hAnsi="Book Antiqua"/>
          <w:i/>
          <w:sz w:val="20"/>
        </w:rPr>
        <w:t>Cavity Resonator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E</w:t>
      </w:r>
      <w:r w:rsidRPr="007F536A">
        <w:rPr>
          <w:rFonts w:ascii="Book Antiqua" w:hAnsi="Book Antiqua"/>
          <w:sz w:val="20"/>
        </w:rPr>
        <w:t xml:space="preserve"> = </w:t>
      </w:r>
      <w:r w:rsidRPr="007F536A">
        <w:rPr>
          <w:rFonts w:ascii="Book Antiqua" w:hAnsi="Book Antiqua"/>
          <w:i/>
          <w:sz w:val="20"/>
        </w:rPr>
        <w:t>Ratio of ESU/EMU</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G</w:t>
      </w:r>
      <w:r w:rsidRPr="007F536A">
        <w:rPr>
          <w:rFonts w:ascii="Book Antiqua" w:hAnsi="Book Antiqua"/>
          <w:sz w:val="20"/>
        </w:rPr>
        <w:t xml:space="preserve"> = </w:t>
      </w:r>
      <w:r w:rsidRPr="007F536A">
        <w:rPr>
          <w:rFonts w:ascii="Book Antiqua" w:hAnsi="Book Antiqua"/>
          <w:i/>
          <w:sz w:val="20"/>
        </w:rPr>
        <w:t>Geodimeter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J</w:t>
      </w:r>
      <w:r w:rsidRPr="007F536A">
        <w:rPr>
          <w:rFonts w:ascii="Book Antiqua" w:hAnsi="Book Antiqua"/>
          <w:sz w:val="20"/>
        </w:rPr>
        <w:t xml:space="preserve"> = </w:t>
      </w:r>
      <w:r w:rsidRPr="007F536A">
        <w:rPr>
          <w:rFonts w:ascii="Book Antiqua" w:hAnsi="Book Antiqua"/>
          <w:i/>
          <w:sz w:val="20"/>
        </w:rPr>
        <w:t>Jupiter Satellite</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K</w:t>
      </w:r>
      <w:r w:rsidRPr="007F536A">
        <w:rPr>
          <w:rFonts w:ascii="Book Antiqua" w:hAnsi="Book Antiqua"/>
          <w:sz w:val="20"/>
        </w:rPr>
        <w:t xml:space="preserve"> = </w:t>
      </w:r>
      <w:r w:rsidRPr="007F536A">
        <w:rPr>
          <w:rFonts w:ascii="Book Antiqua" w:hAnsi="Book Antiqua"/>
          <w:i/>
          <w:sz w:val="20"/>
        </w:rPr>
        <w:t>Kerr Cell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L</w:t>
      </w:r>
      <w:r w:rsidRPr="007F536A">
        <w:rPr>
          <w:rFonts w:ascii="Book Antiqua" w:hAnsi="Book Antiqua"/>
          <w:sz w:val="20"/>
        </w:rPr>
        <w:t xml:space="preserve"> = </w:t>
      </w:r>
      <w:r w:rsidRPr="007F536A">
        <w:rPr>
          <w:rFonts w:ascii="Book Antiqua" w:hAnsi="Book Antiqua"/>
          <w:i/>
          <w:sz w:val="20"/>
        </w:rPr>
        <w:t>Laser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 xml:space="preserve">MI </w:t>
      </w:r>
      <w:r w:rsidRPr="007F536A">
        <w:rPr>
          <w:rFonts w:ascii="Book Antiqua" w:hAnsi="Book Antiqua"/>
          <w:sz w:val="20"/>
        </w:rPr>
        <w:t xml:space="preserve">= </w:t>
      </w:r>
      <w:r w:rsidRPr="007F536A">
        <w:rPr>
          <w:rFonts w:ascii="Book Antiqua" w:hAnsi="Book Antiqua"/>
          <w:i/>
          <w:sz w:val="20"/>
        </w:rPr>
        <w:t>Microwave Interferometer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ML</w:t>
      </w:r>
      <w:r w:rsidRPr="007F536A">
        <w:rPr>
          <w:rFonts w:ascii="Book Antiqua" w:hAnsi="Book Antiqua"/>
          <w:sz w:val="20"/>
        </w:rPr>
        <w:t xml:space="preserve"> = </w:t>
      </w:r>
      <w:r w:rsidRPr="007F536A">
        <w:rPr>
          <w:rFonts w:ascii="Book Antiqua" w:hAnsi="Book Antiqua"/>
          <w:i/>
          <w:sz w:val="20"/>
        </w:rPr>
        <w:t>Modulated Light</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P</w:t>
      </w:r>
      <w:r w:rsidRPr="007F536A">
        <w:rPr>
          <w:rFonts w:ascii="Book Antiqua" w:hAnsi="Book Antiqua"/>
          <w:sz w:val="20"/>
        </w:rPr>
        <w:t xml:space="preserve"> = </w:t>
      </w:r>
      <w:r w:rsidRPr="007F536A">
        <w:rPr>
          <w:rFonts w:ascii="Book Antiqua" w:hAnsi="Book Antiqua"/>
          <w:i/>
          <w:sz w:val="20"/>
        </w:rPr>
        <w:t>Polygonal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w:t>
      </w:r>
      <w:r w:rsidRPr="007F536A">
        <w:rPr>
          <w:rFonts w:ascii="Book Antiqua" w:hAnsi="Book Antiqua"/>
          <w:sz w:val="20"/>
        </w:rPr>
        <w:t xml:space="preserve"> = </w:t>
      </w:r>
      <w:r w:rsidRPr="007F536A">
        <w:rPr>
          <w:rFonts w:ascii="Book Antiqua" w:hAnsi="Book Antiqua"/>
          <w:i/>
          <w:sz w:val="20"/>
        </w:rPr>
        <w:t>Rotating Mirror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RD</w:t>
      </w:r>
      <w:r w:rsidRPr="007F536A">
        <w:rPr>
          <w:rFonts w:ascii="Book Antiqua" w:hAnsi="Book Antiqua"/>
          <w:sz w:val="20"/>
        </w:rPr>
        <w:t xml:space="preserve"> = </w:t>
      </w:r>
      <w:r w:rsidRPr="007F536A">
        <w:rPr>
          <w:rFonts w:ascii="Book Antiqua" w:hAnsi="Book Antiqua"/>
          <w:i/>
          <w:sz w:val="20"/>
        </w:rPr>
        <w:t>Radar</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RI</w:t>
      </w:r>
      <w:r w:rsidRPr="007F536A">
        <w:rPr>
          <w:rFonts w:ascii="Book Antiqua" w:hAnsi="Book Antiqua"/>
          <w:sz w:val="20"/>
        </w:rPr>
        <w:t xml:space="preserve"> = </w:t>
      </w:r>
      <w:r w:rsidRPr="007F536A">
        <w:rPr>
          <w:rFonts w:ascii="Book Antiqua" w:hAnsi="Book Antiqua"/>
          <w:i/>
          <w:sz w:val="20"/>
        </w:rPr>
        <w:t>Radio Interferometer</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S</w:t>
      </w:r>
      <w:r w:rsidRPr="007F536A">
        <w:rPr>
          <w:rFonts w:ascii="Book Antiqua" w:hAnsi="Book Antiqua"/>
          <w:sz w:val="20"/>
        </w:rPr>
        <w:t xml:space="preserve"> = </w:t>
      </w:r>
      <w:r w:rsidRPr="007F536A">
        <w:rPr>
          <w:rFonts w:ascii="Book Antiqua" w:hAnsi="Book Antiqua"/>
          <w:i/>
          <w:sz w:val="20"/>
        </w:rPr>
        <w:t>Spectral Lines</w:t>
      </w:r>
    </w:p>
    <w:p w:rsidR="00976B9A" w:rsidRPr="007F536A" w:rsidRDefault="00976B9A" w:rsidP="0085056E">
      <w:pPr>
        <w:pStyle w:val="NoSpacing"/>
        <w:ind w:left="4320"/>
        <w:jc w:val="both"/>
        <w:rPr>
          <w:rFonts w:ascii="Book Antiqua" w:hAnsi="Book Antiqua"/>
          <w:i/>
          <w:sz w:val="20"/>
        </w:rPr>
      </w:pPr>
      <w:r w:rsidRPr="007F536A">
        <w:rPr>
          <w:rFonts w:ascii="Book Antiqua" w:hAnsi="Book Antiqua"/>
          <w:b/>
          <w:sz w:val="20"/>
        </w:rPr>
        <w:t>T</w:t>
      </w:r>
      <w:r w:rsidRPr="007F536A">
        <w:rPr>
          <w:rFonts w:ascii="Book Antiqua" w:hAnsi="Book Antiqua"/>
          <w:sz w:val="20"/>
        </w:rPr>
        <w:t xml:space="preserve"> = </w:t>
      </w:r>
      <w:r w:rsidRPr="007F536A">
        <w:rPr>
          <w:rFonts w:ascii="Book Antiqua" w:hAnsi="Book Antiqua"/>
          <w:i/>
          <w:sz w:val="20"/>
        </w:rPr>
        <w:t>Toothed Wheel</w:t>
      </w:r>
    </w:p>
    <w:p w:rsidR="00976B9A" w:rsidRPr="007F536A" w:rsidRDefault="00976B9A" w:rsidP="0085056E">
      <w:pPr>
        <w:pStyle w:val="NoSpacing"/>
        <w:ind w:left="4320"/>
        <w:jc w:val="both"/>
        <w:rPr>
          <w:rFonts w:ascii="Book Antiqua" w:hAnsi="Book Antiqua"/>
          <w:sz w:val="20"/>
        </w:rPr>
      </w:pPr>
      <w:r w:rsidRPr="007F536A">
        <w:rPr>
          <w:rFonts w:ascii="Book Antiqua" w:hAnsi="Book Antiqua"/>
          <w:b/>
          <w:sz w:val="20"/>
        </w:rPr>
        <w:t>TL</w:t>
      </w:r>
      <w:r w:rsidRPr="007F536A">
        <w:rPr>
          <w:rFonts w:ascii="Book Antiqua" w:hAnsi="Book Antiqua"/>
          <w:sz w:val="20"/>
        </w:rPr>
        <w:t xml:space="preserve"> = </w:t>
      </w:r>
      <w:r w:rsidRPr="007F536A">
        <w:rPr>
          <w:rFonts w:ascii="Book Antiqua" w:hAnsi="Book Antiqua"/>
          <w:i/>
          <w:sz w:val="20"/>
        </w:rPr>
        <w:t>Tellurometer</w:t>
      </w:r>
    </w:p>
    <w:p w:rsidR="00976B9A" w:rsidRDefault="00976B9A" w:rsidP="0085056E">
      <w:pPr>
        <w:pStyle w:val="NoSpacing"/>
        <w:ind w:left="4320"/>
        <w:jc w:val="both"/>
        <w:rPr>
          <w:rFonts w:ascii="Book Antiqua" w:hAnsi="Book Antiqua"/>
          <w:sz w:val="20"/>
        </w:rPr>
      </w:pPr>
      <w:r w:rsidRPr="007F536A">
        <w:rPr>
          <w:rFonts w:ascii="Book Antiqua" w:hAnsi="Book Antiqua"/>
          <w:b/>
          <w:sz w:val="20"/>
        </w:rPr>
        <w:t>W</w:t>
      </w:r>
      <w:r w:rsidRPr="007F536A">
        <w:rPr>
          <w:rFonts w:ascii="Book Antiqua" w:hAnsi="Book Antiqua"/>
          <w:sz w:val="20"/>
        </w:rPr>
        <w:t xml:space="preserve"> = </w:t>
      </w:r>
      <w:r w:rsidRPr="007F536A">
        <w:rPr>
          <w:rFonts w:ascii="Book Antiqua" w:hAnsi="Book Antiqua"/>
          <w:i/>
          <w:sz w:val="20"/>
        </w:rPr>
        <w:t>Waves on Wires</w:t>
      </w:r>
      <w:r w:rsidRPr="007F536A">
        <w:rPr>
          <w:rFonts w:ascii="Book Antiqua" w:hAnsi="Book Antiqua"/>
          <w:sz w:val="20"/>
        </w:rPr>
        <w:t>.</w:t>
      </w:r>
    </w:p>
    <w:p w:rsidR="005572DA" w:rsidRDefault="005572DA" w:rsidP="00976B9A">
      <w:pPr>
        <w:pStyle w:val="NoSpacing"/>
        <w:jc w:val="both"/>
        <w:rPr>
          <w:rFonts w:ascii="Book Antiqua" w:hAnsi="Book Antiqua"/>
          <w:sz w:val="20"/>
        </w:rPr>
      </w:pPr>
    </w:p>
    <w:p w:rsidR="005572DA" w:rsidRPr="007F536A" w:rsidRDefault="005572DA" w:rsidP="00976B9A">
      <w:pPr>
        <w:pStyle w:val="NoSpacing"/>
        <w:jc w:val="both"/>
        <w:rPr>
          <w:rFonts w:ascii="Book Antiqua" w:hAnsi="Book Antiqua"/>
          <w:sz w:val="20"/>
        </w:rPr>
      </w:pPr>
    </w:p>
    <w:p w:rsidR="00821A88" w:rsidRPr="00873247" w:rsidRDefault="00821A88" w:rsidP="005572DA">
      <w:pPr>
        <w:jc w:val="center"/>
        <w:rPr>
          <w:rFonts w:ascii="Book Antiqua" w:hAnsi="Book Antiqua"/>
          <w:b/>
          <w:i/>
          <w:sz w:val="18"/>
          <w:szCs w:val="18"/>
        </w:rPr>
      </w:pPr>
      <w:r w:rsidRPr="00873247">
        <w:rPr>
          <w:rFonts w:ascii="Book Antiqua" w:hAnsi="Book Antiqua"/>
          <w:b/>
          <w:sz w:val="18"/>
          <w:szCs w:val="18"/>
        </w:rPr>
        <w:lastRenderedPageBreak/>
        <w:t>Table 17:</w:t>
      </w:r>
      <w:r w:rsidRPr="00873247">
        <w:rPr>
          <w:rFonts w:ascii="Book Antiqua" w:hAnsi="Book Antiqua"/>
          <w:b/>
          <w:i/>
          <w:sz w:val="18"/>
          <w:szCs w:val="18"/>
        </w:rPr>
        <w:t xml:space="preserve"> Best Light-Speed Data (aberration results A corrected for systematic error. Table 7 has aberration results uncorrected).</w:t>
      </w:r>
    </w:p>
    <w:p w:rsidR="00821A88" w:rsidRPr="007F536A" w:rsidRDefault="00821A88" w:rsidP="00821A88">
      <w:pPr>
        <w:rPr>
          <w:rFonts w:ascii="Book Antiqua" w:hAnsi="Book Antiqua"/>
          <w:b/>
        </w:rPr>
      </w:pPr>
    </w:p>
    <w:tbl>
      <w:tblPr>
        <w:tblStyle w:val="TableGrid"/>
        <w:tblW w:w="0" w:type="auto"/>
        <w:jc w:val="center"/>
        <w:tblLayout w:type="fixed"/>
        <w:tblLook w:val="04A0"/>
      </w:tblPr>
      <w:tblGrid>
        <w:gridCol w:w="766"/>
        <w:gridCol w:w="2582"/>
        <w:gridCol w:w="2160"/>
        <w:gridCol w:w="630"/>
        <w:gridCol w:w="720"/>
      </w:tblGrid>
      <w:tr w:rsidR="00821A88" w:rsidRPr="007F536A" w:rsidTr="005572DA">
        <w:trPr>
          <w:trHeight w:val="224"/>
          <w:jc w:val="center"/>
        </w:trPr>
        <w:tc>
          <w:tcPr>
            <w:tcW w:w="766" w:type="dxa"/>
          </w:tcPr>
          <w:p w:rsidR="00821A88" w:rsidRPr="005572DA" w:rsidRDefault="00821A88" w:rsidP="00400B4E">
            <w:pPr>
              <w:rPr>
                <w:rFonts w:ascii="Book Antiqua" w:hAnsi="Book Antiqua"/>
                <w:b/>
                <w:i/>
              </w:rPr>
            </w:pPr>
            <w:r w:rsidRPr="005572DA">
              <w:rPr>
                <w:rFonts w:ascii="Book Antiqua" w:hAnsi="Book Antiqua"/>
                <w:b/>
                <w:i/>
              </w:rPr>
              <w:t>Date</w:t>
            </w:r>
          </w:p>
        </w:tc>
        <w:tc>
          <w:tcPr>
            <w:tcW w:w="2582" w:type="dxa"/>
          </w:tcPr>
          <w:p w:rsidR="00821A88" w:rsidRPr="005572DA" w:rsidRDefault="00821A88" w:rsidP="00400B4E">
            <w:pPr>
              <w:rPr>
                <w:rFonts w:ascii="Book Antiqua" w:hAnsi="Book Antiqua"/>
                <w:b/>
                <w:i/>
              </w:rPr>
            </w:pPr>
            <w:r w:rsidRPr="005572DA">
              <w:rPr>
                <w:rFonts w:ascii="Book Antiqua" w:hAnsi="Book Antiqua"/>
                <w:b/>
                <w:i/>
              </w:rPr>
              <w:t>Authority</w:t>
            </w:r>
          </w:p>
        </w:tc>
        <w:tc>
          <w:tcPr>
            <w:tcW w:w="2160" w:type="dxa"/>
          </w:tcPr>
          <w:p w:rsidR="00821A88" w:rsidRPr="005572DA" w:rsidRDefault="00821A88" w:rsidP="00400B4E">
            <w:pPr>
              <w:rPr>
                <w:rFonts w:ascii="Book Antiqua" w:hAnsi="Book Antiqua"/>
                <w:b/>
                <w:i/>
              </w:rPr>
            </w:pPr>
            <w:r w:rsidRPr="005572DA">
              <w:rPr>
                <w:rFonts w:ascii="Book Antiqua" w:hAnsi="Book Antiqua"/>
                <w:b/>
                <w:i/>
              </w:rPr>
              <w:t>c km/s</w:t>
            </w:r>
          </w:p>
        </w:tc>
        <w:tc>
          <w:tcPr>
            <w:tcW w:w="630" w:type="dxa"/>
          </w:tcPr>
          <w:p w:rsidR="00821A88" w:rsidRPr="005572DA" w:rsidRDefault="00821A88" w:rsidP="00400B4E">
            <w:pPr>
              <w:rPr>
                <w:rFonts w:ascii="Book Antiqua" w:hAnsi="Book Antiqua"/>
                <w:b/>
                <w:i/>
              </w:rPr>
            </w:pPr>
            <w:r w:rsidRPr="005572DA">
              <w:rPr>
                <w:rFonts w:ascii="Book Antiqua" w:hAnsi="Book Antiqua"/>
                <w:b/>
                <w:i/>
              </w:rPr>
              <w:t>T</w:t>
            </w:r>
          </w:p>
        </w:tc>
        <w:tc>
          <w:tcPr>
            <w:tcW w:w="720" w:type="dxa"/>
          </w:tcPr>
          <w:p w:rsidR="00821A88" w:rsidRPr="005572DA" w:rsidRDefault="00821A88" w:rsidP="00400B4E">
            <w:pPr>
              <w:rPr>
                <w:rFonts w:ascii="Book Antiqua" w:hAnsi="Book Antiqua"/>
                <w:b/>
                <w:i/>
              </w:rPr>
            </w:pPr>
            <w:r w:rsidRPr="005572DA">
              <w:rPr>
                <w:rFonts w:ascii="Book Antiqua" w:hAnsi="Book Antiqua"/>
                <w:b/>
                <w:i/>
              </w:rPr>
              <w:t>M</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(γ Draconis data)</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304,303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(Kew)</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303,668 </w:t>
            </w:r>
            <m:oMath>
              <m:r>
                <w:rPr>
                  <w:rFonts w:ascii="Cambria Math" w:hAnsi="Book Antiqua"/>
                  <w:sz w:val="18"/>
                  <w:szCs w:val="18"/>
                </w:rPr>
                <m:t xml:space="preserve"> </m:t>
              </m:r>
            </m:oMath>
            <w:r w:rsidRPr="005572DA">
              <w:rPr>
                <w:rFonts w:ascii="Book Antiqua" w:hAnsi="Book Antiqua"/>
                <w:sz w:val="18"/>
                <w:szCs w:val="18"/>
              </w:rPr>
              <w:t xml:space="preserve">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A </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1727.0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(α Cassiopeiae)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301,438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1738.0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Delambre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303,320  ± </w:t>
            </w:r>
            <m:oMath>
              <m:r>
                <w:rPr>
                  <w:rFonts w:ascii="Cambria Math" w:hAnsi="Book Antiqua"/>
                  <w:sz w:val="18"/>
                  <w:szCs w:val="18"/>
                </w:rPr>
                <m:t xml:space="preserve"> 65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Bradley (Mean of all Obs)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300,893  ±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Auwers (γ Draconis)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301,658 ± 110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1759.0 </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Martin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303,440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Price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304,060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1771.0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Recommended value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302,220 ± 310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1783.0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Lindenau</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300,703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(definitive)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300,773 </w:t>
            </w:r>
            <m:oMath>
              <m:r>
                <w:rPr>
                  <w:rFonts w:ascii="Cambria Math" w:hAnsi="Book Antiqua"/>
                  <w:sz w:val="18"/>
                  <w:szCs w:val="18"/>
                </w:rPr>
                <m:t>±</m:t>
              </m:r>
            </m:oMath>
            <w:r w:rsidRPr="005572DA">
              <w:rPr>
                <w:rFonts w:ascii="Book Antiqua" w:eastAsiaTheme="minorEastAsia" w:hAnsi="Book Antiqua"/>
                <w:sz w:val="18"/>
                <w:szCs w:val="18"/>
              </w:rPr>
              <w:t xml:space="preserve"> 155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Folke (best 5 stars)</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300,583 </w:t>
            </w:r>
            <m:oMath>
              <m:r>
                <w:rPr>
                  <w:rFonts w:ascii="Cambria Math" w:hAnsi="Book Antiqua"/>
                  <w:sz w:val="18"/>
                  <w:szCs w:val="18"/>
                </w:rPr>
                <m:t>±</m:t>
              </m:r>
              <m:r>
                <w:rPr>
                  <w:rFonts w:ascii="Cambria Math" w:hAnsi="Book Antiqua"/>
                  <w:sz w:val="18"/>
                  <w:szCs w:val="18"/>
                </w:rPr>
                <m:t xml:space="preserve"> 115</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Vaschilina-Struve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300,173 </w:t>
            </w:r>
            <m:oMath>
              <m:r>
                <w:rPr>
                  <w:rFonts w:ascii="Cambria Math" w:hAnsi="Book Antiqua"/>
                  <w:sz w:val="18"/>
                  <w:szCs w:val="18"/>
                </w:rPr>
                <m:t>±</m:t>
              </m:r>
              <m:r>
                <w:rPr>
                  <w:rFonts w:ascii="Cambria Math" w:hAnsi="Book Antiqua"/>
                  <w:sz w:val="18"/>
                  <w:szCs w:val="18"/>
                </w:rPr>
                <m:t xml:space="preserve"> 90</m:t>
              </m:r>
            </m:oMath>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1843.0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Lindhagen-Schweizer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1853.0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Struve (total update)</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300,513 ± 250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1858.0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Nyren-Peters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300,043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1861.0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Glazenapp</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300,050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1864.5</w:t>
            </w:r>
          </w:p>
        </w:tc>
        <w:tc>
          <w:tcPr>
            <w:tcW w:w="2582"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Newcomb: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300,113 </w:t>
            </w:r>
            <w:r w:rsidRPr="005572DA">
              <w:rPr>
                <w:rFonts w:ascii="Book Antiqua" w:hAnsi="Book Antiqua"/>
                <w:sz w:val="18"/>
                <w:szCs w:val="18"/>
                <w:u w:val="single"/>
              </w:rPr>
              <w:t>+</w:t>
            </w:r>
            <w:r w:rsidRPr="005572DA">
              <w:rPr>
                <w:rFonts w:ascii="Book Antiqua" w:hAnsi="Book Antiqua"/>
                <w:sz w:val="18"/>
                <w:szCs w:val="18"/>
              </w:rPr>
              <w:t xml:space="preserve">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1868.0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Gylden–Nyren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 Wagner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300,223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299,823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Cornu/Helmert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299,990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1874.8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Cornu/Dorsey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200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Sampson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300,011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1877.0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Harvard</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299,921 ± 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J</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1879.5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1882.7</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1882.8</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Nyren: treated average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299,850 ±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Nyren </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300,083 </w:t>
            </w:r>
            <w:r w:rsidRPr="005572DA">
              <w:rPr>
                <w:rFonts w:ascii="Book Antiqua" w:hAnsi="Book Antiqua"/>
                <w:sz w:val="18"/>
                <w:szCs w:val="18"/>
                <w:u w:val="single"/>
              </w:rPr>
              <w:t>+</w:t>
            </w:r>
            <w:r w:rsidRPr="005572DA">
              <w:rPr>
                <w:rFonts w:ascii="Book Antiqua" w:hAnsi="Book Antiqua"/>
                <w:sz w:val="18"/>
                <w:szCs w:val="18"/>
              </w:rPr>
              <w:t xml:space="preserve"> 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Kustner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260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300,113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1889.5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300,703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Comstock</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300,803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Preston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300,993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Batterman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Marcuse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Chandler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Becker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300,333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Davidson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300,263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300,673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Rhys-Jacobi-Davis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Paris Conference value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300,413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Newcomb-Pulkovo</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300,073 </w:t>
            </w:r>
            <w:r w:rsidRPr="005572DA">
              <w:rPr>
                <w:rFonts w:ascii="Book Antiqua" w:hAnsi="Book Antiqua"/>
                <w:sz w:val="18"/>
                <w:szCs w:val="18"/>
                <w:u w:val="single"/>
              </w:rPr>
              <w:t>+</w:t>
            </w:r>
            <w:r w:rsidRPr="005572DA">
              <w:rPr>
                <w:rFonts w:ascii="Book Antiqua" w:hAnsi="Book Antiqua"/>
                <w:sz w:val="18"/>
                <w:szCs w:val="18"/>
              </w:rPr>
              <w:t xml:space="preserve">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Grachev-Kowalski</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lastRenderedPageBreak/>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Rhys-Davis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300,413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1898.5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Grachev (mean)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299,983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1900.4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299,723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1901.5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 (1902 analysis)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299,860 ± 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1902.4</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Perrotin/Prim (final)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299,901 ± 84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8</w:t>
            </w:r>
          </w:p>
        </w:tc>
        <w:tc>
          <w:tcPr>
            <w:tcW w:w="720" w:type="dxa"/>
          </w:tcPr>
          <w:p w:rsidR="00821A88" w:rsidRPr="005572DA" w:rsidRDefault="00821A88" w:rsidP="00400B4E">
            <w:pPr>
              <w:ind w:left="720" w:hanging="720"/>
              <w:rPr>
                <w:rFonts w:ascii="Book Antiqua" w:hAnsi="Book Antiqua"/>
                <w:sz w:val="18"/>
                <w:szCs w:val="18"/>
              </w:rPr>
            </w:pPr>
            <w:r w:rsidRPr="005572DA">
              <w:rPr>
                <w:rFonts w:ascii="Book Antiqua" w:hAnsi="Book Antiqua"/>
                <w:sz w:val="18"/>
                <w:szCs w:val="18"/>
              </w:rPr>
              <w:t>T</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1904.5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Ogburn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300,493 ± 170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300,323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 weighted avg.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Rosa/Dorsey</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299,803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15</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E</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Bonsdorf et.al.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299,893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299,913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Bayswater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Orlov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300,093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1907.5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299,603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180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299,703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1908.5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Int’n’l Latitude Service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299,653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299,683 ± 130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Zemtsov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299,973 </w:t>
            </w:r>
            <w:r w:rsidRPr="005572DA">
              <w:rPr>
                <w:rFonts w:ascii="Book Antiqua" w:hAnsi="Book Antiqua"/>
                <w:sz w:val="18"/>
                <w:szCs w:val="18"/>
                <w:u w:val="single"/>
              </w:rPr>
              <w:t>+</w:t>
            </w:r>
            <w:r w:rsidRPr="005572DA">
              <w:rPr>
                <w:rFonts w:ascii="Book Antiqua" w:hAnsi="Book Antiqua"/>
                <w:sz w:val="18"/>
                <w:szCs w:val="18"/>
              </w:rPr>
              <w:t xml:space="preserve">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1909.5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Semenov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299,853 ± 190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1910.0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Doolittle</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299,953 ±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1914.0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Numerov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299,883 </w:t>
            </w:r>
            <w:r w:rsidRPr="005572DA">
              <w:rPr>
                <w:rFonts w:ascii="Book Antiqua" w:hAnsi="Book Antiqua"/>
                <w:sz w:val="18"/>
                <w:szCs w:val="18"/>
                <w:u w:val="single"/>
              </w:rPr>
              <w:t>+</w:t>
            </w:r>
            <w:r w:rsidRPr="005572DA">
              <w:rPr>
                <w:rFonts w:ascii="Book Antiqua" w:hAnsi="Book Antiqua"/>
                <w:sz w:val="18"/>
                <w:szCs w:val="18"/>
              </w:rPr>
              <w:t xml:space="preserve"> 120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1916.0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Tsimmerman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299,763 </w:t>
            </w:r>
            <w:r w:rsidRPr="005572DA">
              <w:rPr>
                <w:rFonts w:ascii="Book Antiqua" w:hAnsi="Book Antiqua"/>
                <w:sz w:val="18"/>
                <w:szCs w:val="18"/>
                <w:u w:val="single"/>
              </w:rPr>
              <w:t>+</w:t>
            </w:r>
            <w:r w:rsidRPr="005572DA">
              <w:rPr>
                <w:rFonts w:ascii="Book Antiqua" w:hAnsi="Book Antiqua"/>
                <w:sz w:val="18"/>
                <w:szCs w:val="18"/>
              </w:rPr>
              <w:t xml:space="preserve"> 75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1922.0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Kulikov</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Mercier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299,795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16</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W</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1923.5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300,003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1924.6</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299,802 ± 30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Michelson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299,798 ± 15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1926.5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Berg</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299,913 </w:t>
            </w:r>
            <w:r w:rsidRPr="005572DA">
              <w:rPr>
                <w:rFonts w:ascii="Book Antiqua" w:hAnsi="Book Antiqua"/>
                <w:sz w:val="18"/>
                <w:szCs w:val="18"/>
                <w:u w:val="single"/>
              </w:rPr>
              <w:t>+</w:t>
            </w:r>
            <w:r w:rsidRPr="005572DA">
              <w:rPr>
                <w:rFonts w:ascii="Book Antiqua" w:hAnsi="Book Antiqua"/>
                <w:sz w:val="18"/>
                <w:szCs w:val="18"/>
              </w:rPr>
              <w:t xml:space="preserve">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300,090 ± 150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1928.0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Mittelstaedt</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 xml:space="preserve">299,786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1930.5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Spencer-Jones</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299,873 ± 60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1932.5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Pease/Pearson</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299,774 ±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9</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P</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1933.0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Sollenberger</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300,420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1935.0</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Romanskaya</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299,813 ± 100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spacing w:before="100" w:beforeAutospacing="1" w:after="100" w:afterAutospacing="1"/>
              <w:jc w:val="center"/>
              <w:rPr>
                <w:rFonts w:ascii="Book Antiqua" w:hAnsi="Book Antiqua"/>
                <w:sz w:val="18"/>
                <w:szCs w:val="18"/>
              </w:rPr>
            </w:pPr>
            <w:r w:rsidRPr="005572DA">
              <w:rPr>
                <w:rFonts w:ascii="Book Antiqua" w:hAnsi="Book Antiqua"/>
                <w:sz w:val="18"/>
                <w:szCs w:val="18"/>
              </w:rPr>
              <w:t>1935.5</w:t>
            </w:r>
          </w:p>
        </w:tc>
        <w:tc>
          <w:tcPr>
            <w:tcW w:w="2582"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Rabe (gravitational)</w:t>
            </w:r>
          </w:p>
        </w:tc>
        <w:tc>
          <w:tcPr>
            <w:tcW w:w="2160" w:type="dxa"/>
          </w:tcPr>
          <w:p w:rsidR="00821A88" w:rsidRPr="005572DA" w:rsidRDefault="00821A88" w:rsidP="00400B4E">
            <w:pPr>
              <w:spacing w:before="100" w:beforeAutospacing="1" w:after="100" w:afterAutospacing="1"/>
              <w:rPr>
                <w:rFonts w:ascii="Book Antiqua" w:hAnsi="Book Antiqua"/>
                <w:sz w:val="18"/>
                <w:szCs w:val="18"/>
              </w:rPr>
            </w:pPr>
            <w:r w:rsidRPr="005572DA">
              <w:rPr>
                <w:rFonts w:ascii="Book Antiqua" w:hAnsi="Book Antiqua"/>
                <w:sz w:val="18"/>
                <w:szCs w:val="18"/>
              </w:rPr>
              <w:t>299,920 ± 50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7</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1936.8</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1937.0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Huttel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299,771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1940.0</w:t>
            </w:r>
          </w:p>
        </w:tc>
        <w:tc>
          <w:tcPr>
            <w:tcW w:w="2582"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Anderson</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299,776 </w:t>
            </w:r>
            <w:r w:rsidRPr="005572DA">
              <w:rPr>
                <w:rFonts w:ascii="Book Antiqua" w:hAnsi="Book Antiqua"/>
                <w:sz w:val="18"/>
                <w:szCs w:val="18"/>
                <w:u w:val="single"/>
              </w:rPr>
              <w:t>+</w:t>
            </w:r>
            <w:r w:rsidRPr="005572DA">
              <w:rPr>
                <w:rFonts w:ascii="Book Antiqua" w:hAnsi="Book Antiqua"/>
                <w:sz w:val="18"/>
                <w:szCs w:val="18"/>
              </w:rPr>
              <w:t xml:space="preserve"> 10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10</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K</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299,798.0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Gordon-Smith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2.4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1949.0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299,796.0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Essen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Hansen and Bol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299,794.3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CR</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0.26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299,793.1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Aslakson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299,794.2 </w:t>
            </w:r>
            <w:r w:rsidRPr="005572DA">
              <w:rPr>
                <w:rFonts w:ascii="Book Antiqua" w:hAnsi="Book Antiqua"/>
                <w:sz w:val="18"/>
                <w:szCs w:val="18"/>
                <w:u w:val="single"/>
              </w:rPr>
              <w:t>+</w:t>
            </w:r>
            <w:r w:rsidRPr="005572DA">
              <w:rPr>
                <w:rFonts w:ascii="Book Antiqua" w:hAnsi="Book Antiqua"/>
                <w:sz w:val="18"/>
                <w:szCs w:val="18"/>
              </w:rPr>
              <w:t xml:space="preserve"> 1.4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RD</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1951.0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0.7</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lastRenderedPageBreak/>
              <w:t>1953.0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Bergstrand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299,792.85 </w:t>
            </w:r>
            <w:r w:rsidRPr="005572DA">
              <w:rPr>
                <w:rFonts w:ascii="Book Antiqua" w:hAnsi="Book Antiqua"/>
                <w:sz w:val="18"/>
                <w:szCs w:val="18"/>
                <w:u w:val="single"/>
              </w:rPr>
              <w:t>+</w:t>
            </w:r>
            <w:r w:rsidRPr="005572DA">
              <w:rPr>
                <w:rFonts w:ascii="Book Antiqua" w:hAnsi="Book Antiqua"/>
                <w:sz w:val="18"/>
                <w:szCs w:val="18"/>
              </w:rPr>
              <w:t xml:space="preserve"> 0.16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299,792.75 </w:t>
            </w:r>
            <w:r w:rsidRPr="005572DA">
              <w:rPr>
                <w:rFonts w:ascii="Book Antiqua" w:hAnsi="Book Antiqua"/>
                <w:sz w:val="18"/>
                <w:szCs w:val="18"/>
                <w:u w:val="single"/>
              </w:rPr>
              <w:t>+</w:t>
            </w:r>
            <w:r w:rsidRPr="005572DA">
              <w:rPr>
                <w:rFonts w:ascii="Book Antiqua" w:hAnsi="Book Antiqua"/>
                <w:sz w:val="18"/>
                <w:szCs w:val="18"/>
              </w:rPr>
              <w:t xml:space="preserve"> 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Florman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299,795.1 </w:t>
            </w:r>
            <w:r w:rsidRPr="005572DA">
              <w:rPr>
                <w:rFonts w:ascii="Book Antiqua" w:hAnsi="Book Antiqua"/>
                <w:sz w:val="18"/>
                <w:szCs w:val="18"/>
                <w:u w:val="single"/>
              </w:rPr>
              <w:t>+</w:t>
            </w:r>
            <w:r w:rsidRPr="005572DA">
              <w:rPr>
                <w:rFonts w:ascii="Book Antiqua" w:hAnsi="Book Antiqua"/>
                <w:sz w:val="18"/>
                <w:szCs w:val="18"/>
              </w:rPr>
              <w:t xml:space="preserve"> 3.1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Scholdstrom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0.4</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1955.0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Plyler, Blaine, Connor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299,792.0 </w:t>
            </w:r>
            <w:r w:rsidRPr="005572DA">
              <w:rPr>
                <w:rFonts w:ascii="Book Antiqua" w:hAnsi="Book Antiqua"/>
                <w:sz w:val="18"/>
                <w:szCs w:val="18"/>
                <w:u w:val="single"/>
              </w:rPr>
              <w:t>+</w:t>
            </w:r>
            <w:r w:rsidRPr="005572DA">
              <w:rPr>
                <w:rFonts w:ascii="Book Antiqua" w:hAnsi="Book Antiqua"/>
                <w:sz w:val="18"/>
                <w:szCs w:val="18"/>
              </w:rPr>
              <w:t xml:space="preserve"> 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Wadley</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299,792.9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1956.0   </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299,792.7 </w:t>
            </w:r>
            <w:r w:rsidRPr="005572DA">
              <w:rPr>
                <w:rFonts w:ascii="Book Antiqua" w:hAnsi="Book Antiqua"/>
                <w:sz w:val="18"/>
                <w:szCs w:val="18"/>
                <w:u w:val="single"/>
              </w:rPr>
              <w:t>+</w:t>
            </w:r>
            <w:r w:rsidRPr="005572DA">
              <w:rPr>
                <w:rFonts w:ascii="Book Antiqua" w:hAnsi="Book Antiqua"/>
                <w:sz w:val="18"/>
                <w:szCs w:val="18"/>
              </w:rPr>
              <w:t xml:space="preserve"> 2.0</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Rank Bennett Bennett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299,791.9 </w:t>
            </w:r>
            <w:r w:rsidRPr="005572DA">
              <w:rPr>
                <w:rFonts w:ascii="Book Antiqua" w:hAnsi="Book Antiqua"/>
                <w:sz w:val="18"/>
                <w:szCs w:val="18"/>
                <w:u w:val="single"/>
              </w:rPr>
              <w:t>+</w:t>
            </w:r>
            <w:r w:rsidRPr="005572DA">
              <w:rPr>
                <w:rFonts w:ascii="Book Antiqua" w:hAnsi="Book Antiqua"/>
                <w:sz w:val="18"/>
                <w:szCs w:val="18"/>
              </w:rPr>
              <w:t xml:space="preserve"> 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S</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Edge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299,792.2 </w:t>
            </w:r>
            <w:r w:rsidRPr="005572DA">
              <w:rPr>
                <w:rFonts w:ascii="Book Antiqua" w:hAnsi="Book Antiqua"/>
                <w:sz w:val="18"/>
                <w:szCs w:val="18"/>
                <w:u w:val="single"/>
              </w:rPr>
              <w:t>+</w:t>
            </w:r>
            <w:r w:rsidRPr="005572DA">
              <w:rPr>
                <w:rFonts w:ascii="Book Antiqua" w:hAnsi="Book Antiqua"/>
                <w:sz w:val="18"/>
                <w:szCs w:val="18"/>
              </w:rPr>
              <w:t xml:space="preserve"> 0.13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Wadley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1.2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1958.0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Froome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 </w:t>
            </w:r>
            <w:r w:rsidRPr="005572DA">
              <w:rPr>
                <w:rFonts w:ascii="Book Antiqua" w:hAnsi="Book Antiqua"/>
                <w:sz w:val="18"/>
                <w:szCs w:val="18"/>
                <w:u w:val="single"/>
              </w:rPr>
              <w:t>+</w:t>
            </w:r>
            <w:r w:rsidRPr="005572DA">
              <w:rPr>
                <w:rFonts w:ascii="Book Antiqua" w:hAnsi="Book Antiqua"/>
                <w:sz w:val="18"/>
                <w:szCs w:val="18"/>
              </w:rPr>
              <w:t xml:space="preserve"> 0.1 </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RI</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1960.0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Kolibayev (av. date)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299,792.6 </w:t>
            </w:r>
            <w:r w:rsidRPr="005572DA">
              <w:rPr>
                <w:rFonts w:ascii="Book Antiqua" w:hAnsi="Book Antiqua"/>
                <w:sz w:val="18"/>
                <w:szCs w:val="18"/>
                <w:u w:val="single"/>
              </w:rPr>
              <w:t>+</w:t>
            </w:r>
            <w:r w:rsidRPr="005572DA">
              <w:rPr>
                <w:rFonts w:ascii="Book Antiqua" w:hAnsi="Book Antiqua"/>
                <w:sz w:val="18"/>
                <w:szCs w:val="18"/>
              </w:rPr>
              <w:t xml:space="preserve"> 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11</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1966.0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Karolus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299,792.44 </w:t>
            </w:r>
            <w:r w:rsidRPr="005572DA">
              <w:rPr>
                <w:rFonts w:ascii="Book Antiqua" w:hAnsi="Book Antiqua"/>
                <w:sz w:val="18"/>
                <w:szCs w:val="18"/>
                <w:u w:val="single"/>
              </w:rPr>
              <w:t>+</w:t>
            </w:r>
            <w:r w:rsidRPr="005572DA">
              <w:rPr>
                <w:rFonts w:ascii="Book Antiqua" w:hAnsi="Book Antiqua"/>
                <w:sz w:val="18"/>
                <w:szCs w:val="18"/>
              </w:rPr>
              <w:t xml:space="preserve"> 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Simkin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299,792.56 </w:t>
            </w:r>
            <w:r w:rsidRPr="005572DA">
              <w:rPr>
                <w:rFonts w:ascii="Book Antiqua" w:hAnsi="Book Antiqua"/>
                <w:sz w:val="18"/>
                <w:szCs w:val="18"/>
                <w:u w:val="single"/>
              </w:rPr>
              <w:t>+</w:t>
            </w:r>
            <w:r w:rsidRPr="005572DA">
              <w:rPr>
                <w:rFonts w:ascii="Book Antiqua" w:hAnsi="Book Antiqua"/>
                <w:sz w:val="18"/>
                <w:szCs w:val="18"/>
              </w:rPr>
              <w:t xml:space="preserve"> 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MI</w:t>
            </w:r>
          </w:p>
        </w:tc>
      </w:tr>
      <w:tr w:rsidR="00821A88" w:rsidRPr="007F536A" w:rsidTr="005572DA">
        <w:trPr>
          <w:trHeight w:val="296"/>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1967.0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Grosse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299,792.50 </w:t>
            </w:r>
            <w:r w:rsidRPr="005572DA">
              <w:rPr>
                <w:rFonts w:ascii="Book Antiqua" w:hAnsi="Book Antiqua"/>
                <w:sz w:val="18"/>
                <w:szCs w:val="18"/>
                <w:u w:val="single"/>
              </w:rPr>
              <w:t>+</w:t>
            </w:r>
            <w:r w:rsidRPr="005572DA">
              <w:rPr>
                <w:rFonts w:ascii="Book Antiqua" w:hAnsi="Book Antiqua"/>
                <w:sz w:val="18"/>
                <w:szCs w:val="18"/>
              </w:rPr>
              <w:t xml:space="preserve"> 0.05</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G</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Bay/Luther/White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299,792.462 </w:t>
            </w:r>
            <w:r w:rsidRPr="005572DA">
              <w:rPr>
                <w:rFonts w:ascii="Book Antiqua" w:hAnsi="Book Antiqua"/>
                <w:sz w:val="18"/>
                <w:szCs w:val="18"/>
                <w:u w:val="single"/>
              </w:rPr>
              <w:t>+</w:t>
            </w:r>
            <w:r w:rsidRPr="005572DA">
              <w:rPr>
                <w:rFonts w:ascii="Book Antiqua" w:hAnsi="Book Antiqua"/>
                <w:sz w:val="18"/>
                <w:szCs w:val="18"/>
              </w:rPr>
              <w:t xml:space="preserve"> 0.018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1972.0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299,792.460 </w:t>
            </w:r>
            <w:r w:rsidRPr="005572DA">
              <w:rPr>
                <w:rFonts w:ascii="Book Antiqua" w:hAnsi="Book Antiqua"/>
                <w:sz w:val="18"/>
                <w:szCs w:val="18"/>
                <w:u w:val="single"/>
              </w:rPr>
              <w:t>+</w:t>
            </w:r>
            <w:r w:rsidRPr="005572DA">
              <w:rPr>
                <w:rFonts w:ascii="Book Antiqua" w:hAnsi="Book Antiqua"/>
                <w:sz w:val="18"/>
                <w:szCs w:val="18"/>
              </w:rPr>
              <w:t xml:space="preserve"> 0.006</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Evenson et al.</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299,792.4574 </w:t>
            </w:r>
            <w:r w:rsidRPr="005572DA">
              <w:rPr>
                <w:rFonts w:ascii="Book Antiqua" w:hAnsi="Book Antiqua"/>
                <w:sz w:val="18"/>
                <w:szCs w:val="18"/>
                <w:u w:val="single"/>
              </w:rPr>
              <w:t>+</w:t>
            </w:r>
            <w:r w:rsidRPr="005572DA">
              <w:rPr>
                <w:rFonts w:ascii="Book Antiqua" w:hAnsi="Book Antiqua"/>
                <w:sz w:val="18"/>
                <w:szCs w:val="18"/>
              </w:rPr>
              <w:t xml:space="preserve"> 0.0011</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NRC/NBS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 </w:t>
            </w:r>
            <w:r w:rsidRPr="005572DA">
              <w:rPr>
                <w:rFonts w:ascii="Book Antiqua" w:hAnsi="Book Antiqua"/>
                <w:sz w:val="18"/>
                <w:szCs w:val="18"/>
                <w:u w:val="single"/>
              </w:rPr>
              <w:t>+</w:t>
            </w:r>
            <w:r w:rsidRPr="005572DA">
              <w:rPr>
                <w:rFonts w:ascii="Book Antiqua" w:hAnsi="Book Antiqua"/>
                <w:sz w:val="18"/>
                <w:szCs w:val="18"/>
              </w:rPr>
              <w:t xml:space="preserve"> 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1974.0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Blaney et al.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299,792.4590 </w:t>
            </w:r>
            <w:r w:rsidRPr="005572DA">
              <w:rPr>
                <w:rFonts w:ascii="Book Antiqua" w:hAnsi="Book Antiqua"/>
                <w:sz w:val="18"/>
                <w:szCs w:val="18"/>
                <w:u w:val="single"/>
              </w:rPr>
              <w:t>+</w:t>
            </w:r>
            <w:r w:rsidRPr="005572DA">
              <w:rPr>
                <w:rFonts w:ascii="Book Antiqua" w:hAnsi="Book Antiqua"/>
                <w:sz w:val="18"/>
                <w:szCs w:val="18"/>
              </w:rPr>
              <w:t xml:space="preserve"> 0.0008</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1978.0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Woods Shotton Rowley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299,792.4588 </w:t>
            </w:r>
            <w:r w:rsidRPr="005572DA">
              <w:rPr>
                <w:rFonts w:ascii="Book Antiqua" w:hAnsi="Book Antiqua"/>
                <w:sz w:val="18"/>
                <w:szCs w:val="18"/>
                <w:u w:val="single"/>
              </w:rPr>
              <w:t>+</w:t>
            </w:r>
            <w:r w:rsidRPr="005572DA">
              <w:rPr>
                <w:rFonts w:ascii="Book Antiqua" w:hAnsi="Book Antiqua"/>
                <w:sz w:val="18"/>
                <w:szCs w:val="18"/>
              </w:rPr>
              <w:t xml:space="preserve"> 0.0002</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1979.0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Baird/Smith/Whitford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299,792.4581 </w:t>
            </w:r>
            <w:r w:rsidRPr="005572DA">
              <w:rPr>
                <w:rFonts w:ascii="Book Antiqua" w:hAnsi="Book Antiqua"/>
                <w:sz w:val="18"/>
                <w:szCs w:val="18"/>
                <w:u w:val="single"/>
              </w:rPr>
              <w:t>+</w:t>
            </w:r>
            <w:r w:rsidRPr="005572DA">
              <w:rPr>
                <w:rFonts w:ascii="Book Antiqua" w:hAnsi="Book Antiqua"/>
                <w:sz w:val="18"/>
                <w:szCs w:val="18"/>
              </w:rPr>
              <w:t xml:space="preserve"> 0.0019</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r w:rsidR="00821A88" w:rsidRPr="007F536A" w:rsidTr="005572DA">
        <w:trPr>
          <w:trHeight w:val="343"/>
          <w:jc w:val="center"/>
        </w:trPr>
        <w:tc>
          <w:tcPr>
            <w:tcW w:w="766"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1983.0</w:t>
            </w:r>
          </w:p>
        </w:tc>
        <w:tc>
          <w:tcPr>
            <w:tcW w:w="2582"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NBS (US) </w:t>
            </w:r>
          </w:p>
        </w:tc>
        <w:tc>
          <w:tcPr>
            <w:tcW w:w="2160" w:type="dxa"/>
          </w:tcPr>
          <w:p w:rsidR="00821A88" w:rsidRPr="005572DA" w:rsidRDefault="00821A88" w:rsidP="00400B4E">
            <w:pPr>
              <w:pStyle w:val="NoSpacing"/>
              <w:jc w:val="both"/>
              <w:rPr>
                <w:rFonts w:ascii="Book Antiqua" w:hAnsi="Book Antiqua"/>
                <w:sz w:val="18"/>
                <w:szCs w:val="18"/>
              </w:rPr>
            </w:pPr>
            <w:r w:rsidRPr="005572DA">
              <w:rPr>
                <w:rFonts w:ascii="Book Antiqua" w:hAnsi="Book Antiqua"/>
                <w:sz w:val="18"/>
                <w:szCs w:val="18"/>
              </w:rPr>
              <w:t xml:space="preserve">299,792.4586 </w:t>
            </w:r>
            <w:r w:rsidRPr="005572DA">
              <w:rPr>
                <w:rFonts w:ascii="Book Antiqua" w:hAnsi="Book Antiqua"/>
                <w:sz w:val="18"/>
                <w:szCs w:val="18"/>
                <w:u w:val="single"/>
              </w:rPr>
              <w:t>+</w:t>
            </w:r>
            <w:r w:rsidRPr="005572DA">
              <w:rPr>
                <w:rFonts w:ascii="Book Antiqua" w:hAnsi="Book Antiqua"/>
                <w:sz w:val="18"/>
                <w:szCs w:val="18"/>
              </w:rPr>
              <w:t xml:space="preserve"> 0.0003</w:t>
            </w:r>
          </w:p>
        </w:tc>
        <w:tc>
          <w:tcPr>
            <w:tcW w:w="63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14</w:t>
            </w:r>
          </w:p>
        </w:tc>
        <w:tc>
          <w:tcPr>
            <w:tcW w:w="720" w:type="dxa"/>
          </w:tcPr>
          <w:p w:rsidR="00821A88" w:rsidRPr="005572DA" w:rsidRDefault="00821A88" w:rsidP="00400B4E">
            <w:pPr>
              <w:rPr>
                <w:rFonts w:ascii="Book Antiqua" w:hAnsi="Book Antiqua"/>
                <w:sz w:val="18"/>
                <w:szCs w:val="18"/>
              </w:rPr>
            </w:pPr>
            <w:r w:rsidRPr="005572DA">
              <w:rPr>
                <w:rFonts w:ascii="Book Antiqua" w:hAnsi="Book Antiqua"/>
                <w:sz w:val="18"/>
                <w:szCs w:val="18"/>
              </w:rPr>
              <w:t>L</w:t>
            </w:r>
          </w:p>
        </w:tc>
      </w:tr>
    </w:tbl>
    <w:p w:rsidR="00821A88" w:rsidRPr="007F536A" w:rsidRDefault="00821A88" w:rsidP="00821A88">
      <w:pPr>
        <w:pStyle w:val="Els-body-text"/>
        <w:ind w:firstLine="0"/>
        <w:rPr>
          <w:rFonts w:ascii="Book Antiqua" w:hAnsi="Book Antiqua"/>
        </w:rPr>
      </w:pPr>
    </w:p>
    <w:p w:rsidR="00821A88" w:rsidRPr="007F536A" w:rsidRDefault="00821A88" w:rsidP="00821A88">
      <w:pPr>
        <w:pStyle w:val="NoSpacing"/>
        <w:ind w:firstLine="720"/>
        <w:jc w:val="both"/>
        <w:rPr>
          <w:rFonts w:ascii="Book Antiqua" w:hAnsi="Book Antiqua"/>
          <w:sz w:val="20"/>
        </w:rPr>
      </w:pPr>
    </w:p>
    <w:p w:rsidR="00821A88" w:rsidRDefault="00821A88" w:rsidP="00821A88">
      <w:pPr>
        <w:pStyle w:val="NoSpacing"/>
        <w:ind w:firstLine="720"/>
        <w:jc w:val="both"/>
        <w:rPr>
          <w:rFonts w:ascii="Book Antiqua" w:hAnsi="Book Antiqua"/>
          <w:sz w:val="20"/>
        </w:rPr>
      </w:pPr>
      <w:r w:rsidRPr="007F536A">
        <w:rPr>
          <w:rFonts w:ascii="Book Antiqua" w:hAnsi="Book Antiqua"/>
          <w:sz w:val="20"/>
        </w:rPr>
        <w:t xml:space="preserve">A comparison between Figures 34 and 35 show that there is little difference in the form of the trend in the graph, whether the aberration data are corrected or left unchanged. The decline in the speed of light with time is still in evidence, and a minimum or a flat point occurs after 1960 in both cases. Thus the data indicate that the strength of the ZPE over a period of 300 years </w:t>
      </w:r>
      <w:r w:rsidR="00976B9A">
        <w:rPr>
          <w:rFonts w:ascii="Book Antiqua" w:hAnsi="Book Antiqua"/>
          <w:sz w:val="20"/>
        </w:rPr>
        <w:t>was</w:t>
      </w:r>
      <w:r w:rsidRPr="007F536A">
        <w:rPr>
          <w:rFonts w:ascii="Book Antiqua" w:hAnsi="Book Antiqua"/>
          <w:sz w:val="20"/>
        </w:rPr>
        <w:t xml:space="preserve"> increasing.</w:t>
      </w:r>
    </w:p>
    <w:p w:rsidR="00547494" w:rsidRPr="007F536A" w:rsidRDefault="00547494" w:rsidP="00821A88">
      <w:pPr>
        <w:pStyle w:val="NoSpacing"/>
        <w:ind w:firstLine="720"/>
        <w:jc w:val="both"/>
        <w:rPr>
          <w:rFonts w:ascii="Book Antiqua" w:hAnsi="Book Antiqua"/>
          <w:sz w:val="20"/>
        </w:rPr>
      </w:pPr>
    </w:p>
    <w:p w:rsidR="00821A88" w:rsidRPr="007F536A" w:rsidRDefault="00821A88" w:rsidP="00821A88">
      <w:pPr>
        <w:pStyle w:val="NoSpacing"/>
        <w:jc w:val="both"/>
        <w:rPr>
          <w:rFonts w:ascii="Book Antiqua" w:hAnsi="Book Antiqua"/>
          <w:sz w:val="18"/>
          <w:szCs w:val="18"/>
        </w:rPr>
      </w:pPr>
    </w:p>
    <w:p w:rsidR="00821A88" w:rsidRPr="007F536A" w:rsidRDefault="00821A88" w:rsidP="00821A88">
      <w:pPr>
        <w:pStyle w:val="NoSpacing"/>
        <w:rPr>
          <w:rStyle w:val="Strong"/>
          <w:rFonts w:ascii="Book Antiqua" w:hAnsi="Book Antiqua"/>
          <w:i/>
          <w:sz w:val="20"/>
        </w:rPr>
      </w:pPr>
      <w:r w:rsidRPr="007F536A">
        <w:rPr>
          <w:rStyle w:val="Strong"/>
          <w:rFonts w:ascii="Book Antiqua" w:hAnsi="Book Antiqua"/>
          <w:sz w:val="20"/>
        </w:rPr>
        <w:t xml:space="preserve">References – </w:t>
      </w:r>
      <w:r w:rsidRPr="007F536A">
        <w:rPr>
          <w:rStyle w:val="Strong"/>
          <w:rFonts w:ascii="Book Antiqua" w:hAnsi="Book Antiqua"/>
          <w:i/>
          <w:sz w:val="20"/>
        </w:rPr>
        <w:t>All URL’s retrieved 9/13/12</w:t>
      </w:r>
    </w:p>
    <w:p w:rsidR="00821A88" w:rsidRPr="007F536A" w:rsidRDefault="00821A88" w:rsidP="00821A88">
      <w:pPr>
        <w:pStyle w:val="NoSpacing"/>
        <w:rPr>
          <w:rStyle w:val="Strong"/>
          <w:rFonts w:ascii="Book Antiqua" w:hAnsi="Book Antiqua"/>
          <w:i/>
          <w:sz w:val="16"/>
          <w:szCs w:val="16"/>
        </w:rPr>
      </w:pPr>
    </w:p>
    <w:p w:rsidR="00821A88" w:rsidRPr="007F536A" w:rsidRDefault="00821A88" w:rsidP="00821A88">
      <w:pPr>
        <w:pStyle w:val="NoSpacing"/>
        <w:rPr>
          <w:rFonts w:ascii="Book Antiqua" w:hAnsi="Book Antiqua"/>
          <w:sz w:val="16"/>
          <w:szCs w:val="16"/>
        </w:rPr>
      </w:pPr>
      <w:bookmarkStart w:id="137" w:name="_edn1"/>
      <w:r w:rsidRPr="007F536A">
        <w:rPr>
          <w:rFonts w:ascii="Book Antiqua" w:hAnsi="Book Antiqua"/>
          <w:sz w:val="16"/>
          <w:szCs w:val="16"/>
        </w:rPr>
        <w:t xml:space="preserve">[1] </w:t>
      </w:r>
      <w:r w:rsidRPr="007F536A">
        <w:rPr>
          <w:rFonts w:ascii="Book Antiqua" w:hAnsi="Book Antiqua"/>
          <w:i/>
          <w:sz w:val="16"/>
          <w:szCs w:val="16"/>
        </w:rPr>
        <w:t>The Works of Aristotle translated into English,</w:t>
      </w:r>
      <w:r w:rsidRPr="007F536A">
        <w:rPr>
          <w:rFonts w:ascii="Book Antiqua" w:hAnsi="Book Antiqua"/>
          <w:sz w:val="16"/>
          <w:szCs w:val="16"/>
        </w:rPr>
        <w:t xml:space="preserve"> W.D. Ross, Ed.; Vol. III; De Anima, p. 418b and De Sensu, pp. 446a-447b, (Oxford Press, 1931).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 George Sarton,</w:t>
      </w:r>
      <w:r w:rsidRPr="007F536A">
        <w:rPr>
          <w:rFonts w:ascii="Book Antiqua" w:hAnsi="Book Antiqua"/>
          <w:b/>
          <w:sz w:val="16"/>
          <w:szCs w:val="16"/>
        </w:rPr>
        <w:t xml:space="preserve"> </w:t>
      </w:r>
      <w:r w:rsidRPr="007F536A">
        <w:rPr>
          <w:rFonts w:ascii="Book Antiqua" w:hAnsi="Book Antiqua"/>
          <w:i/>
          <w:sz w:val="16"/>
          <w:szCs w:val="16"/>
        </w:rPr>
        <w:t>Introduction to the History of Science Vol. I</w:t>
      </w:r>
      <w:r w:rsidRPr="007F536A">
        <w:rPr>
          <w:rFonts w:ascii="Book Antiqua" w:hAnsi="Book Antiqua"/>
          <w:sz w:val="16"/>
          <w:szCs w:val="16"/>
        </w:rPr>
        <w:t>; pp. 709-12, (Baltimore,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 </w:t>
      </w:r>
      <w:r w:rsidRPr="007F536A">
        <w:rPr>
          <w:rFonts w:ascii="Book Antiqua" w:hAnsi="Book Antiqua"/>
          <w:i/>
          <w:sz w:val="16"/>
          <w:szCs w:val="16"/>
        </w:rPr>
        <w:t>Philosophical Works of Francis Bacon</w:t>
      </w:r>
      <w:r w:rsidRPr="007F536A">
        <w:rPr>
          <w:rFonts w:ascii="Book Antiqua" w:hAnsi="Book Antiqua"/>
          <w:sz w:val="16"/>
          <w:szCs w:val="16"/>
        </w:rPr>
        <w:t>, p. 363, J.M. Robertson, Ed. (London, 1905).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[4] Johann Kepler, </w:t>
      </w:r>
      <w:r w:rsidRPr="007F536A">
        <w:rPr>
          <w:rFonts w:ascii="Book Antiqua" w:hAnsi="Book Antiqua"/>
          <w:i/>
          <w:sz w:val="16"/>
          <w:szCs w:val="16"/>
        </w:rPr>
        <w:t>Ad Vitellionem paralipomena astronomise pars optica traditur</w:t>
      </w:r>
      <w:r w:rsidRPr="007F536A">
        <w:rPr>
          <w:rFonts w:ascii="Book Antiqua" w:hAnsi="Book Antiqua"/>
          <w:b/>
          <w:sz w:val="16"/>
          <w:szCs w:val="16"/>
        </w:rPr>
        <w:t xml:space="preserve"> </w:t>
      </w:r>
      <w:r w:rsidRPr="007F536A">
        <w:rPr>
          <w:rFonts w:ascii="Book Antiqua" w:hAnsi="Book Antiqua"/>
          <w:sz w:val="16"/>
          <w:szCs w:val="16"/>
        </w:rPr>
        <w:t>(Frankfurt, 1804).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[5] </w:t>
      </w:r>
      <w:r w:rsidRPr="007F536A">
        <w:rPr>
          <w:rFonts w:ascii="Book Antiqua" w:hAnsi="Book Antiqua"/>
          <w:i/>
          <w:sz w:val="16"/>
          <w:szCs w:val="16"/>
        </w:rPr>
        <w:t>Essays of Natural Experiments made in the Academie del Cimento</w:t>
      </w:r>
      <w:r w:rsidRPr="007F536A">
        <w:rPr>
          <w:rFonts w:ascii="Book Antiqua" w:hAnsi="Book Antiqua"/>
          <w:sz w:val="16"/>
          <w:szCs w:val="16"/>
        </w:rPr>
        <w:t>, p.157, translated by Richard Waler,( London, 1684).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[6] Robert Grant, </w:t>
      </w:r>
      <w:r w:rsidRPr="007F536A">
        <w:rPr>
          <w:rStyle w:val="Emphasis"/>
          <w:rFonts w:ascii="Book Antiqua" w:hAnsi="Book Antiqua"/>
          <w:sz w:val="16"/>
          <w:szCs w:val="16"/>
        </w:rPr>
        <w:t>History of Physical Astronomy</w:t>
      </w:r>
      <w:r w:rsidRPr="007F536A">
        <w:rPr>
          <w:rFonts w:ascii="Book Antiqua" w:hAnsi="Book Antiqua"/>
          <w:sz w:val="16"/>
          <w:szCs w:val="16"/>
        </w:rPr>
        <w:t xml:space="preserve">, (London, 1852).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w:t>
      </w:r>
      <w:r w:rsidRPr="007F536A">
        <w:rPr>
          <w:rStyle w:val="Emphasis"/>
          <w:rFonts w:ascii="Book Antiqua" w:hAnsi="Book Antiqua"/>
          <w:sz w:val="16"/>
          <w:szCs w:val="16"/>
        </w:rPr>
        <w:t xml:space="preserve"> Oeuvres completes de Christiaan Huygens</w:t>
      </w:r>
      <w:r w:rsidRPr="007F536A">
        <w:rPr>
          <w:rFonts w:ascii="Book Antiqua" w:hAnsi="Book Antiqua"/>
          <w:sz w:val="16"/>
          <w:szCs w:val="16"/>
        </w:rPr>
        <w:t>, vol. II, chapt. VII, Letter 370, Published by the Societe Hollendaise des Sciences, the Hague, 1888-1937.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 S. Goudsmit, R. Claiborne, eds., </w:t>
      </w:r>
      <w:r w:rsidRPr="007F536A">
        <w:rPr>
          <w:rStyle w:val="Emphasis"/>
          <w:rFonts w:ascii="Book Antiqua" w:hAnsi="Book Antiqua"/>
          <w:sz w:val="16"/>
          <w:szCs w:val="16"/>
        </w:rPr>
        <w:t>Time</w:t>
      </w:r>
      <w:r w:rsidRPr="007F536A">
        <w:rPr>
          <w:rFonts w:ascii="Book Antiqua" w:hAnsi="Book Antiqua"/>
          <w:sz w:val="16"/>
          <w:szCs w:val="16"/>
        </w:rPr>
        <w:t>, p. 96, Life Science Library,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[9] Christiaan Huygens, </w:t>
      </w:r>
      <w:r w:rsidRPr="007F536A">
        <w:rPr>
          <w:rFonts w:ascii="Book Antiqua" w:hAnsi="Book Antiqua"/>
          <w:i/>
          <w:sz w:val="16"/>
          <w:szCs w:val="16"/>
        </w:rPr>
        <w:t>Traite de la Lumiere...,</w:t>
      </w:r>
      <w:r w:rsidRPr="007F536A">
        <w:rPr>
          <w:rFonts w:ascii="Book Antiqua" w:hAnsi="Book Antiqua"/>
          <w:sz w:val="16"/>
          <w:szCs w:val="16"/>
        </w:rPr>
        <w:t xml:space="preserve"> (Leyden; 1690), pp. 4-6, presented in Paris to the Academie Royale des Sciences in 1678.</w:t>
      </w:r>
    </w:p>
    <w:p w:rsidR="00821A88" w:rsidRPr="007F536A" w:rsidRDefault="00821A88" w:rsidP="00821A88">
      <w:pPr>
        <w:pStyle w:val="NoSpacing"/>
        <w:rPr>
          <w:rFonts w:ascii="Book Antiqua" w:hAnsi="Book Antiqua"/>
          <w:sz w:val="16"/>
          <w:szCs w:val="16"/>
        </w:rPr>
      </w:pPr>
      <w:bookmarkStart w:id="138" w:name="_edn4"/>
      <w:bookmarkEnd w:id="137"/>
      <w:r w:rsidRPr="007F536A">
        <w:rPr>
          <w:rFonts w:ascii="Book Antiqua" w:hAnsi="Book Antiqua"/>
          <w:sz w:val="16"/>
          <w:szCs w:val="16"/>
        </w:rPr>
        <w:t xml:space="preserve">[10] </w:t>
      </w:r>
      <w:bookmarkEnd w:id="138"/>
      <w:r w:rsidRPr="007F536A">
        <w:rPr>
          <w:rStyle w:val="Emphasis"/>
          <w:rFonts w:ascii="Book Antiqua" w:hAnsi="Book Antiqua"/>
          <w:sz w:val="16"/>
          <w:szCs w:val="16"/>
        </w:rPr>
        <w:t xml:space="preserve">Oeuvres completes de Christiaan Huygens, </w:t>
      </w:r>
      <w:r w:rsidRPr="007F536A">
        <w:rPr>
          <w:rFonts w:ascii="Book Antiqua" w:hAnsi="Book Antiqua"/>
          <w:sz w:val="16"/>
          <w:szCs w:val="16"/>
        </w:rPr>
        <w:t>op.cit. pp. 607-616.</w:t>
      </w:r>
    </w:p>
    <w:p w:rsidR="00821A88" w:rsidRPr="007F536A" w:rsidRDefault="00821A88" w:rsidP="00821A88">
      <w:pPr>
        <w:pStyle w:val="NoSpacing"/>
        <w:rPr>
          <w:rFonts w:ascii="Book Antiqua" w:hAnsi="Book Antiqua"/>
          <w:sz w:val="16"/>
          <w:szCs w:val="16"/>
        </w:rPr>
      </w:pPr>
      <w:bookmarkStart w:id="139" w:name="_edn5"/>
      <w:r w:rsidRPr="007F536A">
        <w:rPr>
          <w:rFonts w:ascii="Book Antiqua" w:hAnsi="Book Antiqua"/>
          <w:sz w:val="16"/>
          <w:szCs w:val="16"/>
        </w:rPr>
        <w:t xml:space="preserve">[11] </w:t>
      </w:r>
      <w:bookmarkEnd w:id="139"/>
      <w:r w:rsidRPr="007F536A">
        <w:rPr>
          <w:rFonts w:ascii="Book Antiqua" w:hAnsi="Book Antiqua"/>
          <w:sz w:val="16"/>
          <w:szCs w:val="16"/>
        </w:rPr>
        <w:t xml:space="preserve">G. D. Cassini, </w:t>
      </w:r>
      <w:r w:rsidRPr="007F536A">
        <w:rPr>
          <w:rStyle w:val="Emphasis"/>
          <w:rFonts w:ascii="Book Antiqua" w:hAnsi="Book Antiqua"/>
          <w:sz w:val="16"/>
          <w:szCs w:val="16"/>
        </w:rPr>
        <w:t>Ephemerides Bononienses Medicecrum Syderum Ex Hypotheses et Tabluis</w:t>
      </w:r>
      <w:r w:rsidRPr="007F536A">
        <w:rPr>
          <w:rFonts w:ascii="Book Antiqua" w:hAnsi="Book Antiqua"/>
          <w:sz w:val="16"/>
          <w:szCs w:val="16"/>
        </w:rPr>
        <w:t>, (Bologne, 1668).</w:t>
      </w:r>
    </w:p>
    <w:p w:rsidR="00821A88" w:rsidRPr="007F536A" w:rsidRDefault="00821A88" w:rsidP="00821A88">
      <w:pPr>
        <w:pStyle w:val="NoSpacing"/>
        <w:rPr>
          <w:rFonts w:ascii="Book Antiqua" w:hAnsi="Book Antiqua"/>
          <w:sz w:val="16"/>
          <w:szCs w:val="16"/>
        </w:rPr>
      </w:pPr>
      <w:bookmarkStart w:id="140" w:name="_edn6"/>
      <w:r w:rsidRPr="007F536A">
        <w:rPr>
          <w:rFonts w:ascii="Book Antiqua" w:hAnsi="Book Antiqua"/>
          <w:sz w:val="16"/>
          <w:szCs w:val="16"/>
        </w:rPr>
        <w:t xml:space="preserve">[12] </w:t>
      </w:r>
      <w:bookmarkEnd w:id="140"/>
      <w:r w:rsidRPr="007F536A">
        <w:rPr>
          <w:rFonts w:ascii="Book Antiqua" w:hAnsi="Book Antiqua"/>
          <w:sz w:val="16"/>
          <w:szCs w:val="16"/>
        </w:rPr>
        <w:t xml:space="preserve">J. Audouze, G. Israel, Eds., </w:t>
      </w:r>
      <w:r w:rsidRPr="007F536A">
        <w:rPr>
          <w:rStyle w:val="Emphasis"/>
          <w:rFonts w:ascii="Book Antiqua" w:hAnsi="Book Antiqua"/>
          <w:sz w:val="16"/>
          <w:szCs w:val="16"/>
        </w:rPr>
        <w:t>Cambridge Atlas of Astronomy</w:t>
      </w:r>
      <w:r w:rsidRPr="007F536A">
        <w:rPr>
          <w:rFonts w:ascii="Book Antiqua" w:hAnsi="Book Antiqua"/>
          <w:sz w:val="16"/>
          <w:szCs w:val="16"/>
        </w:rPr>
        <w:t>, p.422, (Cambridge University Press, 1985).</w:t>
      </w:r>
    </w:p>
    <w:p w:rsidR="00821A88" w:rsidRPr="007F536A" w:rsidRDefault="00821A88" w:rsidP="00821A88">
      <w:pPr>
        <w:pStyle w:val="NoSpacing"/>
        <w:rPr>
          <w:rFonts w:ascii="Book Antiqua" w:hAnsi="Book Antiqua"/>
          <w:sz w:val="16"/>
          <w:szCs w:val="16"/>
        </w:rPr>
      </w:pPr>
      <w:bookmarkStart w:id="141" w:name="_edn7"/>
      <w:r w:rsidRPr="007F536A">
        <w:rPr>
          <w:rFonts w:ascii="Book Antiqua" w:hAnsi="Book Antiqua"/>
          <w:sz w:val="16"/>
          <w:szCs w:val="16"/>
        </w:rPr>
        <w:t>[13</w:t>
      </w:r>
      <w:bookmarkEnd w:id="141"/>
      <w:r w:rsidRPr="007F536A">
        <w:rPr>
          <w:rFonts w:ascii="Book Antiqua" w:hAnsi="Book Antiqua"/>
          <w:sz w:val="16"/>
          <w:szCs w:val="16"/>
        </w:rPr>
        <w:t xml:space="preserve">] S. Goudsmit, R. Claiborne, eds., </w:t>
      </w:r>
      <w:r w:rsidRPr="007F536A">
        <w:rPr>
          <w:rStyle w:val="Emphasis"/>
          <w:rFonts w:ascii="Book Antiqua" w:hAnsi="Book Antiqua"/>
          <w:b/>
          <w:sz w:val="16"/>
          <w:szCs w:val="16"/>
        </w:rPr>
        <w:t>Time</w:t>
      </w:r>
      <w:r w:rsidRPr="007F536A">
        <w:rPr>
          <w:rFonts w:ascii="Book Antiqua" w:hAnsi="Book Antiqua"/>
          <w:sz w:val="16"/>
          <w:szCs w:val="16"/>
        </w:rPr>
        <w:t>, p. 97, (Life Science Library, 1967).</w:t>
      </w:r>
    </w:p>
    <w:p w:rsidR="00821A88" w:rsidRPr="007F536A" w:rsidRDefault="00821A88" w:rsidP="00821A88">
      <w:pPr>
        <w:pStyle w:val="NoSpacing"/>
        <w:rPr>
          <w:rFonts w:ascii="Book Antiqua" w:hAnsi="Book Antiqua"/>
          <w:sz w:val="16"/>
          <w:szCs w:val="16"/>
        </w:rPr>
      </w:pPr>
      <w:bookmarkStart w:id="142" w:name="_edn8"/>
      <w:r w:rsidRPr="007F536A">
        <w:rPr>
          <w:rFonts w:ascii="Book Antiqua" w:hAnsi="Book Antiqua"/>
          <w:sz w:val="16"/>
          <w:szCs w:val="16"/>
        </w:rPr>
        <w:t xml:space="preserve">[14] </w:t>
      </w:r>
      <w:bookmarkEnd w:id="142"/>
      <w:r w:rsidRPr="007F536A">
        <w:rPr>
          <w:rFonts w:ascii="Book Antiqua" w:hAnsi="Book Antiqua"/>
          <w:sz w:val="16"/>
          <w:szCs w:val="16"/>
        </w:rPr>
        <w:t xml:space="preserve">McMillan and Kirszenberg, “A Modern Version of the Ole Roemer Experiment,” </w:t>
      </w:r>
      <w:r w:rsidRPr="007F536A">
        <w:rPr>
          <w:rFonts w:ascii="Book Antiqua" w:hAnsi="Book Antiqua"/>
          <w:i/>
          <w:sz w:val="16"/>
          <w:szCs w:val="16"/>
        </w:rPr>
        <w:t>Sky and Telescope,</w:t>
      </w:r>
      <w:r w:rsidRPr="007F536A">
        <w:rPr>
          <w:rFonts w:ascii="Book Antiqua" w:hAnsi="Book Antiqua"/>
          <w:sz w:val="16"/>
          <w:szCs w:val="16"/>
        </w:rPr>
        <w:t xml:space="preserve"> Vol </w:t>
      </w:r>
      <w:r w:rsidRPr="007F536A">
        <w:rPr>
          <w:rFonts w:ascii="Book Antiqua" w:hAnsi="Book Antiqua"/>
          <w:b/>
          <w:sz w:val="16"/>
          <w:szCs w:val="16"/>
        </w:rPr>
        <w:t>44</w:t>
      </w:r>
      <w:r w:rsidRPr="007F536A">
        <w:rPr>
          <w:rFonts w:ascii="Book Antiqua" w:hAnsi="Book Antiqua"/>
          <w:sz w:val="16"/>
          <w:szCs w:val="16"/>
        </w:rPr>
        <w:t>, p. 300, (1972).</w:t>
      </w:r>
    </w:p>
    <w:p w:rsidR="00821A88" w:rsidRPr="007F536A" w:rsidRDefault="00821A88" w:rsidP="00821A88">
      <w:pPr>
        <w:pStyle w:val="NoSpacing"/>
        <w:rPr>
          <w:rFonts w:ascii="Book Antiqua" w:hAnsi="Book Antiqua"/>
          <w:sz w:val="16"/>
          <w:szCs w:val="16"/>
        </w:rPr>
      </w:pPr>
      <w:bookmarkStart w:id="143" w:name="_edn9"/>
      <w:r w:rsidRPr="007F536A">
        <w:rPr>
          <w:rFonts w:ascii="Book Antiqua" w:hAnsi="Book Antiqua"/>
          <w:sz w:val="16"/>
          <w:szCs w:val="16"/>
        </w:rPr>
        <w:t xml:space="preserve">[15] </w:t>
      </w:r>
      <w:bookmarkEnd w:id="143"/>
      <w:r w:rsidRPr="007F536A">
        <w:rPr>
          <w:rFonts w:ascii="Book Antiqua" w:hAnsi="Book Antiqua"/>
          <w:sz w:val="16"/>
          <w:szCs w:val="16"/>
        </w:rPr>
        <w:t>I. B. Cohen, “Roemer and the First Determinaton of the Velocity of Light,”</w:t>
      </w:r>
      <w:r w:rsidRPr="007F536A">
        <w:rPr>
          <w:rFonts w:ascii="Book Antiqua" w:hAnsi="Book Antiqua"/>
          <w:i/>
          <w:sz w:val="16"/>
          <w:szCs w:val="16"/>
        </w:rPr>
        <w:t xml:space="preserve"> Isis</w:t>
      </w:r>
      <w:r w:rsidRPr="007F536A">
        <w:rPr>
          <w:rFonts w:ascii="Book Antiqua" w:hAnsi="Book Antiqua"/>
          <w:sz w:val="16"/>
          <w:szCs w:val="16"/>
        </w:rPr>
        <w:t xml:space="preserve">, Vol. </w:t>
      </w:r>
      <w:r w:rsidRPr="007F536A">
        <w:rPr>
          <w:rFonts w:ascii="Book Antiqua" w:hAnsi="Book Antiqua"/>
          <w:b/>
          <w:sz w:val="16"/>
          <w:szCs w:val="16"/>
        </w:rPr>
        <w:t>31</w:t>
      </w:r>
      <w:r w:rsidRPr="007F536A">
        <w:rPr>
          <w:rFonts w:ascii="Book Antiqua" w:hAnsi="Book Antiqua"/>
          <w:sz w:val="16"/>
          <w:szCs w:val="16"/>
        </w:rPr>
        <w:t>, p. 351, (1939).</w:t>
      </w:r>
    </w:p>
    <w:p w:rsidR="00821A88" w:rsidRPr="007F536A" w:rsidRDefault="00821A88" w:rsidP="00821A88">
      <w:pPr>
        <w:pStyle w:val="NoSpacing"/>
        <w:rPr>
          <w:rFonts w:ascii="Book Antiqua" w:hAnsi="Book Antiqua"/>
          <w:sz w:val="16"/>
          <w:szCs w:val="16"/>
        </w:rPr>
      </w:pPr>
      <w:bookmarkStart w:id="144" w:name="_edn10"/>
      <w:r w:rsidRPr="007F536A">
        <w:rPr>
          <w:rFonts w:ascii="Book Antiqua" w:hAnsi="Book Antiqua"/>
          <w:sz w:val="16"/>
          <w:szCs w:val="16"/>
        </w:rPr>
        <w:t xml:space="preserve">[16] </w:t>
      </w:r>
      <w:bookmarkEnd w:id="144"/>
      <w:r w:rsidRPr="007F536A">
        <w:rPr>
          <w:rFonts w:ascii="Book Antiqua" w:hAnsi="Book Antiqua"/>
          <w:sz w:val="16"/>
          <w:szCs w:val="16"/>
        </w:rPr>
        <w:t xml:space="preserve">C. Boyer, </w:t>
      </w:r>
      <w:r w:rsidRPr="007F536A">
        <w:rPr>
          <w:rStyle w:val="Emphasis"/>
          <w:rFonts w:ascii="Book Antiqua" w:hAnsi="Book Antiqua"/>
          <w:sz w:val="16"/>
          <w:szCs w:val="16"/>
        </w:rPr>
        <w:t>Isis</w:t>
      </w:r>
      <w:r w:rsidRPr="007F536A">
        <w:rPr>
          <w:rFonts w:ascii="Book Antiqua" w:hAnsi="Book Antiqua"/>
          <w:sz w:val="16"/>
          <w:szCs w:val="16"/>
        </w:rPr>
        <w:t>, Vol.</w:t>
      </w:r>
      <w:r w:rsidRPr="007F536A">
        <w:rPr>
          <w:rFonts w:ascii="Book Antiqua" w:hAnsi="Book Antiqua"/>
          <w:b/>
          <w:sz w:val="16"/>
          <w:szCs w:val="16"/>
        </w:rPr>
        <w:t xml:space="preserve"> 33</w:t>
      </w:r>
      <w:r w:rsidRPr="007F536A">
        <w:rPr>
          <w:rFonts w:ascii="Book Antiqua" w:hAnsi="Book Antiqua"/>
          <w:sz w:val="16"/>
          <w:szCs w:val="16"/>
        </w:rPr>
        <w:t>, p.28, (1941).</w:t>
      </w:r>
    </w:p>
    <w:p w:rsidR="00821A88" w:rsidRPr="007F536A" w:rsidRDefault="00821A88" w:rsidP="00821A88">
      <w:pPr>
        <w:pStyle w:val="NoSpacing"/>
        <w:rPr>
          <w:rFonts w:ascii="Book Antiqua" w:hAnsi="Book Antiqua"/>
          <w:sz w:val="16"/>
          <w:szCs w:val="16"/>
        </w:rPr>
      </w:pPr>
      <w:bookmarkStart w:id="145" w:name="_edn11"/>
      <w:r w:rsidRPr="007F536A">
        <w:rPr>
          <w:rFonts w:ascii="Book Antiqua" w:hAnsi="Book Antiqua"/>
          <w:sz w:val="16"/>
          <w:szCs w:val="16"/>
        </w:rPr>
        <w:t xml:space="preserve">[17] </w:t>
      </w:r>
      <w:bookmarkEnd w:id="145"/>
      <w:r w:rsidRPr="007F536A">
        <w:rPr>
          <w:rFonts w:ascii="Book Antiqua" w:hAnsi="Book Antiqua"/>
          <w:sz w:val="16"/>
          <w:szCs w:val="16"/>
        </w:rPr>
        <w:t>I. B. Cohen, op.cit., p. 353.</w:t>
      </w:r>
    </w:p>
    <w:p w:rsidR="00821A88" w:rsidRPr="007F536A" w:rsidRDefault="00821A88" w:rsidP="00821A88">
      <w:pPr>
        <w:pStyle w:val="NoSpacing"/>
        <w:rPr>
          <w:rFonts w:ascii="Book Antiqua" w:hAnsi="Book Antiqua"/>
          <w:sz w:val="16"/>
          <w:szCs w:val="16"/>
        </w:rPr>
      </w:pPr>
      <w:bookmarkStart w:id="146" w:name="_edn12"/>
      <w:r w:rsidRPr="007F536A">
        <w:rPr>
          <w:rFonts w:ascii="Book Antiqua" w:hAnsi="Book Antiqua"/>
          <w:sz w:val="16"/>
          <w:szCs w:val="16"/>
        </w:rPr>
        <w:t xml:space="preserve">[18] </w:t>
      </w:r>
      <w:bookmarkEnd w:id="146"/>
      <w:r w:rsidRPr="007F536A">
        <w:rPr>
          <w:rStyle w:val="Emphasis"/>
          <w:rFonts w:ascii="Book Antiqua" w:hAnsi="Book Antiqua"/>
          <w:sz w:val="16"/>
          <w:szCs w:val="16"/>
        </w:rPr>
        <w:t>Journal des Scavans</w:t>
      </w:r>
      <w:r w:rsidRPr="007F536A">
        <w:rPr>
          <w:rFonts w:ascii="Book Antiqua" w:hAnsi="Book Antiqua"/>
          <w:sz w:val="16"/>
          <w:szCs w:val="16"/>
        </w:rPr>
        <w:t xml:space="preserve">, December 7, 1676; also, </w:t>
      </w:r>
      <w:r w:rsidRPr="007F536A">
        <w:rPr>
          <w:rStyle w:val="Emphasis"/>
          <w:rFonts w:ascii="Book Antiqua" w:hAnsi="Book Antiqua"/>
          <w:sz w:val="16"/>
          <w:szCs w:val="16"/>
        </w:rPr>
        <w:t>Philosophical Transactions</w:t>
      </w:r>
      <w:r w:rsidRPr="007F536A">
        <w:rPr>
          <w:rFonts w:ascii="Book Antiqua" w:hAnsi="Book Antiqua"/>
          <w:sz w:val="16"/>
          <w:szCs w:val="16"/>
        </w:rPr>
        <w:t>, Vol. XII, No. 136, pp. 893-894, (June 25, 1677).</w:t>
      </w:r>
    </w:p>
    <w:p w:rsidR="00821A88" w:rsidRPr="007F536A" w:rsidRDefault="00821A88" w:rsidP="00821A88">
      <w:pPr>
        <w:pStyle w:val="NoSpacing"/>
        <w:rPr>
          <w:rFonts w:ascii="Book Antiqua" w:hAnsi="Book Antiqua"/>
          <w:sz w:val="16"/>
          <w:szCs w:val="16"/>
        </w:rPr>
      </w:pPr>
      <w:bookmarkStart w:id="147" w:name="_edn16"/>
      <w:bookmarkStart w:id="148" w:name="_edn13"/>
      <w:r w:rsidRPr="007F536A">
        <w:rPr>
          <w:rFonts w:ascii="Book Antiqua" w:hAnsi="Book Antiqua"/>
          <w:sz w:val="16"/>
          <w:szCs w:val="16"/>
        </w:rPr>
        <w:t xml:space="preserve">[19] </w:t>
      </w:r>
      <w:bookmarkEnd w:id="147"/>
      <w:r w:rsidRPr="007F536A">
        <w:rPr>
          <w:rFonts w:ascii="Book Antiqua" w:hAnsi="Book Antiqua"/>
          <w:sz w:val="16"/>
          <w:szCs w:val="16"/>
        </w:rPr>
        <w:t xml:space="preserve">I. Newton, </w:t>
      </w:r>
      <w:r w:rsidRPr="007F536A">
        <w:rPr>
          <w:rStyle w:val="Emphasis"/>
          <w:rFonts w:ascii="Book Antiqua" w:hAnsi="Book Antiqua"/>
          <w:sz w:val="16"/>
          <w:szCs w:val="16"/>
        </w:rPr>
        <w:t>Principia Mathematica</w:t>
      </w:r>
      <w:r w:rsidRPr="007F536A">
        <w:rPr>
          <w:rFonts w:ascii="Book Antiqua" w:hAnsi="Book Antiqua"/>
          <w:sz w:val="16"/>
          <w:szCs w:val="16"/>
        </w:rPr>
        <w:t>, London, 1687, authorized by Pepys, July 5, 1688, Scholium to Proposition XCVI, Theorem L.</w:t>
      </w:r>
    </w:p>
    <w:p w:rsidR="00821A88" w:rsidRPr="007F536A" w:rsidRDefault="00821A88" w:rsidP="00821A88">
      <w:pPr>
        <w:pStyle w:val="NoSpacing"/>
        <w:rPr>
          <w:rFonts w:ascii="Book Antiqua" w:hAnsi="Book Antiqua"/>
          <w:sz w:val="16"/>
          <w:szCs w:val="16"/>
        </w:rPr>
      </w:pPr>
      <w:bookmarkStart w:id="149" w:name="_edn17"/>
      <w:r w:rsidRPr="007F536A">
        <w:rPr>
          <w:rFonts w:ascii="Book Antiqua" w:hAnsi="Book Antiqua"/>
          <w:sz w:val="16"/>
          <w:szCs w:val="16"/>
        </w:rPr>
        <w:t xml:space="preserve">[20] </w:t>
      </w:r>
      <w:bookmarkEnd w:id="149"/>
      <w:r w:rsidRPr="007F536A">
        <w:rPr>
          <w:rFonts w:ascii="Book Antiqua" w:hAnsi="Book Antiqua"/>
          <w:sz w:val="16"/>
          <w:szCs w:val="16"/>
        </w:rPr>
        <w:t xml:space="preserve">I. Newton, </w:t>
      </w:r>
      <w:r w:rsidRPr="007F536A">
        <w:rPr>
          <w:rStyle w:val="Emphasis"/>
          <w:rFonts w:ascii="Book Antiqua" w:hAnsi="Book Antiqua"/>
          <w:sz w:val="16"/>
          <w:szCs w:val="16"/>
        </w:rPr>
        <w:t>Philosophiae Naturalis Principia Mathematica</w:t>
      </w:r>
      <w:r w:rsidRPr="007F536A">
        <w:rPr>
          <w:rFonts w:ascii="Book Antiqua" w:hAnsi="Book Antiqua"/>
          <w:sz w:val="16"/>
          <w:szCs w:val="16"/>
        </w:rPr>
        <w:t>, (Cambridge, 1713).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 </w:t>
      </w:r>
      <w:bookmarkEnd w:id="148"/>
      <w:r w:rsidRPr="007F536A">
        <w:rPr>
          <w:rFonts w:ascii="Book Antiqua" w:hAnsi="Book Antiqua"/>
          <w:sz w:val="16"/>
          <w:szCs w:val="16"/>
        </w:rPr>
        <w:t xml:space="preserve">G. D. Cassini, </w:t>
      </w:r>
      <w:r w:rsidRPr="007F536A">
        <w:rPr>
          <w:rStyle w:val="Emphasis"/>
          <w:rFonts w:ascii="Book Antiqua" w:hAnsi="Book Antiqua"/>
          <w:sz w:val="16"/>
          <w:szCs w:val="16"/>
        </w:rPr>
        <w:t>Divers ouvrages d’astronimie</w:t>
      </w:r>
      <w:r w:rsidRPr="007F536A">
        <w:rPr>
          <w:rFonts w:ascii="Book Antiqua" w:hAnsi="Book Antiqua"/>
          <w:sz w:val="16"/>
          <w:szCs w:val="16"/>
        </w:rPr>
        <w:t xml:space="preserve">, p.475, (Amsterdam, 1736). </w:t>
      </w:r>
    </w:p>
    <w:p w:rsidR="00821A88" w:rsidRPr="007F536A" w:rsidRDefault="00821A88" w:rsidP="00821A88">
      <w:pPr>
        <w:pStyle w:val="NoSpacing"/>
        <w:rPr>
          <w:rFonts w:ascii="Book Antiqua" w:hAnsi="Book Antiqua"/>
          <w:sz w:val="16"/>
          <w:szCs w:val="16"/>
        </w:rPr>
      </w:pPr>
      <w:bookmarkStart w:id="150" w:name="_edn14"/>
      <w:r w:rsidRPr="007F536A">
        <w:rPr>
          <w:rFonts w:ascii="Book Antiqua" w:hAnsi="Book Antiqua"/>
          <w:sz w:val="16"/>
          <w:szCs w:val="16"/>
        </w:rPr>
        <w:lastRenderedPageBreak/>
        <w:t xml:space="preserve">[22] </w:t>
      </w:r>
      <w:bookmarkEnd w:id="150"/>
      <w:r w:rsidRPr="007F536A">
        <w:rPr>
          <w:rStyle w:val="Emphasis"/>
          <w:rFonts w:ascii="Book Antiqua" w:hAnsi="Book Antiqua"/>
          <w:sz w:val="16"/>
          <w:szCs w:val="16"/>
        </w:rPr>
        <w:t>Philosophical Transactions</w:t>
      </w:r>
      <w:r w:rsidRPr="007F536A">
        <w:rPr>
          <w:rFonts w:ascii="Book Antiqua" w:hAnsi="Book Antiqua"/>
          <w:sz w:val="16"/>
          <w:szCs w:val="16"/>
        </w:rPr>
        <w:t>., vol XVIII, No. 214, pp. 237-256, (Nov-Dec 1694).</w:t>
      </w:r>
    </w:p>
    <w:p w:rsidR="00821A88" w:rsidRPr="007F536A" w:rsidRDefault="00821A88" w:rsidP="00821A88">
      <w:pPr>
        <w:pStyle w:val="NoSpacing"/>
        <w:rPr>
          <w:rFonts w:ascii="Book Antiqua" w:hAnsi="Book Antiqua"/>
          <w:sz w:val="16"/>
          <w:szCs w:val="16"/>
        </w:rPr>
      </w:pPr>
      <w:bookmarkStart w:id="151" w:name="_edn15"/>
      <w:r w:rsidRPr="007F536A">
        <w:rPr>
          <w:rFonts w:ascii="Book Antiqua" w:hAnsi="Book Antiqua"/>
          <w:sz w:val="16"/>
          <w:szCs w:val="16"/>
        </w:rPr>
        <w:t xml:space="preserve">[23] </w:t>
      </w:r>
      <w:bookmarkEnd w:id="151"/>
      <w:r w:rsidRPr="007F536A">
        <w:rPr>
          <w:rFonts w:ascii="Book Antiqua" w:hAnsi="Book Antiqua"/>
          <w:sz w:val="16"/>
          <w:szCs w:val="16"/>
        </w:rPr>
        <w:t>I. Newton, ‘</w:t>
      </w:r>
      <w:r w:rsidRPr="007F536A">
        <w:rPr>
          <w:rFonts w:ascii="Book Antiqua" w:hAnsi="Book Antiqua"/>
          <w:i/>
          <w:sz w:val="16"/>
          <w:szCs w:val="16"/>
        </w:rPr>
        <w:t>Opticks’</w:t>
      </w:r>
      <w:r w:rsidRPr="007F536A">
        <w:rPr>
          <w:rFonts w:ascii="Book Antiqua" w:hAnsi="Book Antiqua"/>
          <w:sz w:val="16"/>
          <w:szCs w:val="16"/>
        </w:rPr>
        <w:t xml:space="preserve">, </w:t>
      </w:r>
      <w:r w:rsidRPr="007F536A">
        <w:rPr>
          <w:rStyle w:val="Emphasis"/>
          <w:rFonts w:ascii="Book Antiqua" w:hAnsi="Book Antiqua"/>
          <w:sz w:val="16"/>
          <w:szCs w:val="16"/>
        </w:rPr>
        <w:t>The Second Book of Opticks</w:t>
      </w:r>
      <w:r w:rsidRPr="007F536A">
        <w:rPr>
          <w:rFonts w:ascii="Book Antiqua" w:hAnsi="Book Antiqua"/>
          <w:sz w:val="16"/>
          <w:szCs w:val="16"/>
        </w:rPr>
        <w:t>, Part III, Proposition XI.</w:t>
      </w:r>
    </w:p>
    <w:p w:rsidR="00821A88" w:rsidRPr="007F536A" w:rsidRDefault="00821A88" w:rsidP="00821A88">
      <w:pPr>
        <w:pStyle w:val="NoSpacing"/>
        <w:rPr>
          <w:rFonts w:ascii="Book Antiqua" w:hAnsi="Book Antiqua"/>
          <w:sz w:val="16"/>
          <w:szCs w:val="16"/>
        </w:rPr>
      </w:pPr>
      <w:bookmarkStart w:id="152" w:name="_edn18"/>
      <w:r w:rsidRPr="007F536A">
        <w:rPr>
          <w:rFonts w:ascii="Book Antiqua" w:hAnsi="Book Antiqua"/>
          <w:sz w:val="16"/>
          <w:szCs w:val="16"/>
        </w:rPr>
        <w:t xml:space="preserve">[24] </w:t>
      </w:r>
      <w:bookmarkEnd w:id="152"/>
      <w:r w:rsidRPr="007F536A">
        <w:rPr>
          <w:rFonts w:ascii="Book Antiqua" w:hAnsi="Book Antiqua"/>
          <w:sz w:val="16"/>
          <w:szCs w:val="16"/>
        </w:rPr>
        <w:t xml:space="preserve">I. Newton (translator unknown), </w:t>
      </w:r>
      <w:r w:rsidRPr="007F536A">
        <w:rPr>
          <w:rStyle w:val="Emphasis"/>
          <w:rFonts w:ascii="Book Antiqua" w:hAnsi="Book Antiqua"/>
          <w:sz w:val="16"/>
          <w:szCs w:val="16"/>
        </w:rPr>
        <w:t>Les Nouvelles de la Republique des Lettres</w:t>
      </w:r>
      <w:r w:rsidRPr="007F536A">
        <w:rPr>
          <w:rFonts w:ascii="Book Antiqua" w:hAnsi="Book Antiqua"/>
          <w:sz w:val="16"/>
          <w:szCs w:val="16"/>
        </w:rPr>
        <w:t>, (May 1706).</w:t>
      </w:r>
    </w:p>
    <w:p w:rsidR="00821A88" w:rsidRPr="007F536A" w:rsidRDefault="00821A88" w:rsidP="00821A88">
      <w:pPr>
        <w:pStyle w:val="NoSpacing"/>
        <w:rPr>
          <w:rFonts w:ascii="Book Antiqua" w:hAnsi="Book Antiqua"/>
          <w:sz w:val="16"/>
          <w:szCs w:val="16"/>
        </w:rPr>
      </w:pPr>
      <w:bookmarkStart w:id="153" w:name="_edn19"/>
      <w:r w:rsidRPr="007F536A">
        <w:rPr>
          <w:rFonts w:ascii="Book Antiqua" w:hAnsi="Book Antiqua"/>
          <w:sz w:val="16"/>
          <w:szCs w:val="16"/>
        </w:rPr>
        <w:t xml:space="preserve">[25] </w:t>
      </w:r>
      <w:bookmarkEnd w:id="153"/>
      <w:r w:rsidRPr="007F536A">
        <w:rPr>
          <w:rFonts w:ascii="Book Antiqua" w:hAnsi="Book Antiqua"/>
          <w:i/>
          <w:sz w:val="16"/>
          <w:szCs w:val="16"/>
        </w:rPr>
        <w:t>Encyclopaedia Britannica,</w:t>
      </w:r>
      <w:r w:rsidRPr="007F536A">
        <w:rPr>
          <w:rFonts w:ascii="Book Antiqua" w:hAnsi="Book Antiqua"/>
          <w:sz w:val="16"/>
          <w:szCs w:val="16"/>
        </w:rPr>
        <w:t xml:space="preserve"> 1771, Vol. 1, p. 457.</w:t>
      </w:r>
    </w:p>
    <w:p w:rsidR="00821A88" w:rsidRPr="007F536A" w:rsidRDefault="00821A88" w:rsidP="00821A88">
      <w:pPr>
        <w:pStyle w:val="NoSpacing"/>
        <w:rPr>
          <w:rFonts w:ascii="Book Antiqua" w:hAnsi="Book Antiqua"/>
          <w:sz w:val="16"/>
          <w:szCs w:val="16"/>
        </w:rPr>
      </w:pPr>
      <w:bookmarkStart w:id="154" w:name="_edn20"/>
      <w:r w:rsidRPr="007F536A">
        <w:rPr>
          <w:rFonts w:ascii="Book Antiqua" w:hAnsi="Book Antiqua"/>
          <w:sz w:val="16"/>
          <w:szCs w:val="16"/>
        </w:rPr>
        <w:t xml:space="preserve">[26] </w:t>
      </w:r>
      <w:bookmarkEnd w:id="154"/>
      <w:r w:rsidRPr="007F536A">
        <w:rPr>
          <w:rFonts w:ascii="Book Antiqua" w:hAnsi="Book Antiqua"/>
          <w:sz w:val="16"/>
          <w:szCs w:val="16"/>
        </w:rPr>
        <w:t xml:space="preserve">J. Bradley, </w:t>
      </w:r>
      <w:r w:rsidRPr="007F536A">
        <w:rPr>
          <w:rStyle w:val="Emphasis"/>
          <w:rFonts w:ascii="Book Antiqua" w:hAnsi="Book Antiqua"/>
          <w:sz w:val="16"/>
          <w:szCs w:val="16"/>
        </w:rPr>
        <w:t xml:space="preserve">Philosophical Transactions, </w:t>
      </w:r>
      <w:r w:rsidRPr="007F536A">
        <w:rPr>
          <w:rFonts w:ascii="Book Antiqua" w:hAnsi="Book Antiqua"/>
          <w:sz w:val="16"/>
          <w:szCs w:val="16"/>
        </w:rPr>
        <w:t>Vol. 35, No. 406, pp 653 and 655, (1729).</w:t>
      </w:r>
    </w:p>
    <w:p w:rsidR="00821A88" w:rsidRPr="007F536A" w:rsidRDefault="00821A88" w:rsidP="00821A88">
      <w:pPr>
        <w:pStyle w:val="NoSpacing"/>
        <w:rPr>
          <w:rFonts w:ascii="Book Antiqua" w:hAnsi="Book Antiqua"/>
          <w:sz w:val="16"/>
          <w:szCs w:val="16"/>
        </w:rPr>
      </w:pPr>
      <w:bookmarkStart w:id="155" w:name="_edn21"/>
      <w:r w:rsidRPr="007F536A">
        <w:rPr>
          <w:rFonts w:ascii="Book Antiqua" w:hAnsi="Book Antiqua"/>
          <w:sz w:val="16"/>
          <w:szCs w:val="16"/>
        </w:rPr>
        <w:t xml:space="preserve">[27] </w:t>
      </w:r>
      <w:bookmarkEnd w:id="155"/>
      <w:r w:rsidRPr="007F536A">
        <w:rPr>
          <w:rFonts w:ascii="Book Antiqua" w:hAnsi="Book Antiqua"/>
          <w:sz w:val="16"/>
          <w:szCs w:val="16"/>
        </w:rPr>
        <w:t xml:space="preserve">S. J. Goldstein, J. D. Trasco, T. J. OGburn III, </w:t>
      </w:r>
      <w:r w:rsidRPr="007F536A">
        <w:rPr>
          <w:rFonts w:ascii="Book Antiqua" w:hAnsi="Book Antiqua"/>
          <w:i/>
          <w:sz w:val="16"/>
          <w:szCs w:val="16"/>
        </w:rPr>
        <w:t xml:space="preserve">Astronomical Journal </w:t>
      </w:r>
      <w:r w:rsidRPr="007F536A">
        <w:rPr>
          <w:rFonts w:ascii="Book Antiqua" w:hAnsi="Book Antiqua"/>
          <w:sz w:val="16"/>
          <w:szCs w:val="16"/>
        </w:rPr>
        <w:t>, Vol.</w:t>
      </w:r>
      <w:r w:rsidRPr="007F536A">
        <w:rPr>
          <w:rFonts w:ascii="Book Antiqua" w:hAnsi="Book Antiqua"/>
          <w:b/>
          <w:sz w:val="16"/>
          <w:szCs w:val="16"/>
        </w:rPr>
        <w:t xml:space="preserve"> 78</w:t>
      </w:r>
      <w:r w:rsidRPr="007F536A">
        <w:rPr>
          <w:rFonts w:ascii="Book Antiqua" w:hAnsi="Book Antiqua"/>
          <w:sz w:val="16"/>
          <w:szCs w:val="16"/>
        </w:rPr>
        <w:t>:1, p. 122, (Feb. 1973).</w:t>
      </w:r>
    </w:p>
    <w:p w:rsidR="00821A88" w:rsidRPr="007F536A" w:rsidRDefault="00821A88" w:rsidP="00821A88">
      <w:pPr>
        <w:pStyle w:val="NoSpacing"/>
        <w:rPr>
          <w:rFonts w:ascii="Book Antiqua" w:hAnsi="Book Antiqua"/>
          <w:sz w:val="16"/>
          <w:szCs w:val="16"/>
        </w:rPr>
      </w:pPr>
      <w:bookmarkStart w:id="156" w:name="_edn22"/>
      <w:r w:rsidRPr="007F536A">
        <w:rPr>
          <w:rFonts w:ascii="Book Antiqua" w:hAnsi="Book Antiqua"/>
          <w:sz w:val="16"/>
          <w:szCs w:val="16"/>
        </w:rPr>
        <w:t xml:space="preserve">[28] </w:t>
      </w:r>
      <w:bookmarkEnd w:id="156"/>
      <w:r w:rsidRPr="007F536A">
        <w:rPr>
          <w:rFonts w:ascii="Book Antiqua" w:hAnsi="Book Antiqua"/>
          <w:sz w:val="16"/>
          <w:szCs w:val="16"/>
        </w:rPr>
        <w:t>Lew Mammel Jr., AT&amp;T Bell Labs, Naperville, Ill. USA, Dec. 2 and Dec. 7, 1983, News Groups: Net Astro. Message ID: &lt;795 ihuxr. UUCP&gt; and &lt;800 ihuxr. UUCP&gt; .</w:t>
      </w:r>
      <w:bookmarkStart w:id="157" w:name="_edn23"/>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[29] A. Bhardwaj and M. Michael in </w:t>
      </w:r>
      <w:r w:rsidRPr="007F536A">
        <w:rPr>
          <w:rFonts w:ascii="Book Antiqua" w:hAnsi="Book Antiqua"/>
          <w:i/>
          <w:sz w:val="16"/>
          <w:szCs w:val="16"/>
        </w:rPr>
        <w:t>Proceedings of the 36</w:t>
      </w:r>
      <w:r w:rsidRPr="007F536A">
        <w:rPr>
          <w:rFonts w:ascii="Book Antiqua" w:hAnsi="Book Antiqua"/>
          <w:i/>
          <w:sz w:val="16"/>
          <w:szCs w:val="16"/>
          <w:vertAlign w:val="superscript"/>
        </w:rPr>
        <w:t>th</w:t>
      </w:r>
      <w:r w:rsidRPr="007F536A">
        <w:rPr>
          <w:rFonts w:ascii="Book Antiqua" w:hAnsi="Book Antiqua"/>
          <w:i/>
          <w:sz w:val="16"/>
          <w:szCs w:val="16"/>
        </w:rPr>
        <w:t xml:space="preserve"> ESLAB Symposium “Earth-like Planets and Moons,”</w:t>
      </w:r>
      <w:r w:rsidRPr="007F536A">
        <w:rPr>
          <w:rFonts w:ascii="Book Antiqua" w:hAnsi="Book Antiqua"/>
          <w:sz w:val="16"/>
          <w:szCs w:val="16"/>
        </w:rPr>
        <w:t xml:space="preserve"> Ed. Bruce Battrick , ESTEC, The Netherlands, ESA SP-514, (June 3-7, 2002).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[30] </w:t>
      </w:r>
      <w:bookmarkEnd w:id="157"/>
      <w:r w:rsidRPr="007F536A">
        <w:rPr>
          <w:rFonts w:ascii="Book Antiqua" w:hAnsi="Book Antiqua"/>
          <w:sz w:val="16"/>
          <w:szCs w:val="16"/>
        </w:rPr>
        <w:t xml:space="preserve">J. B. J. DeLambre, </w:t>
      </w:r>
      <w:r w:rsidRPr="007F536A">
        <w:rPr>
          <w:rStyle w:val="Emphasis"/>
          <w:rFonts w:ascii="Book Antiqua" w:hAnsi="Book Antiqua"/>
          <w:sz w:val="16"/>
          <w:szCs w:val="16"/>
        </w:rPr>
        <w:t>Tables ecliptiques des satellites de Jupiter</w:t>
      </w:r>
      <w:r w:rsidRPr="007F536A">
        <w:rPr>
          <w:rFonts w:ascii="Book Antiqua" w:hAnsi="Book Antiqua"/>
          <w:sz w:val="16"/>
          <w:szCs w:val="16"/>
        </w:rPr>
        <w:t xml:space="preserve">, Paris, 1817; also in </w:t>
      </w:r>
      <w:r w:rsidRPr="007F536A">
        <w:rPr>
          <w:rStyle w:val="Emphasis"/>
          <w:rFonts w:ascii="Book Antiqua" w:hAnsi="Book Antiqua"/>
          <w:b/>
          <w:sz w:val="16"/>
          <w:szCs w:val="16"/>
        </w:rPr>
        <w:t>Histoire de l’astronomie moderne</w:t>
      </w:r>
      <w:r w:rsidRPr="007F536A">
        <w:rPr>
          <w:rFonts w:ascii="Book Antiqua" w:hAnsi="Book Antiqua"/>
          <w:sz w:val="16"/>
          <w:szCs w:val="16"/>
        </w:rPr>
        <w:t>, Vol. II, p. 653, (Paris, 1821),.</w:t>
      </w:r>
    </w:p>
    <w:p w:rsidR="00821A88" w:rsidRPr="007F536A" w:rsidRDefault="00821A88" w:rsidP="00821A88">
      <w:pPr>
        <w:pStyle w:val="NoSpacing"/>
        <w:rPr>
          <w:rFonts w:ascii="Book Antiqua" w:hAnsi="Book Antiqua"/>
          <w:sz w:val="16"/>
          <w:szCs w:val="16"/>
        </w:rPr>
      </w:pPr>
      <w:bookmarkStart w:id="158" w:name="_edn24"/>
      <w:r w:rsidRPr="007F536A">
        <w:rPr>
          <w:rFonts w:ascii="Book Antiqua" w:hAnsi="Book Antiqua"/>
          <w:sz w:val="16"/>
          <w:szCs w:val="16"/>
        </w:rPr>
        <w:t xml:space="preserve">[31] </w:t>
      </w:r>
      <w:bookmarkEnd w:id="158"/>
      <w:r w:rsidRPr="007F536A">
        <w:rPr>
          <w:rFonts w:ascii="Book Antiqua" w:hAnsi="Book Antiqua"/>
          <w:sz w:val="16"/>
          <w:szCs w:val="16"/>
        </w:rPr>
        <w:t xml:space="preserve">S. Newcomb, </w:t>
      </w:r>
      <w:r w:rsidRPr="007F536A">
        <w:rPr>
          <w:rStyle w:val="Emphasis"/>
          <w:rFonts w:ascii="Book Antiqua" w:hAnsi="Book Antiqua"/>
          <w:sz w:val="16"/>
          <w:szCs w:val="16"/>
        </w:rPr>
        <w:t>Nature</w:t>
      </w:r>
      <w:r w:rsidRPr="007F536A">
        <w:rPr>
          <w:rFonts w:ascii="Book Antiqua" w:hAnsi="Book Antiqua"/>
          <w:sz w:val="16"/>
          <w:szCs w:val="16"/>
        </w:rPr>
        <w:t xml:space="preserve">, p. 29, (May 13, 1886). Also C. Boyer, </w:t>
      </w:r>
      <w:r w:rsidRPr="007F536A">
        <w:rPr>
          <w:rStyle w:val="Emphasis"/>
          <w:rFonts w:ascii="Book Antiqua" w:hAnsi="Book Antiqua"/>
          <w:sz w:val="16"/>
          <w:szCs w:val="16"/>
        </w:rPr>
        <w:t>Isis</w:t>
      </w:r>
      <w:r w:rsidRPr="007F536A">
        <w:rPr>
          <w:rFonts w:ascii="Book Antiqua" w:hAnsi="Book Antiqua"/>
          <w:sz w:val="16"/>
          <w:szCs w:val="16"/>
        </w:rPr>
        <w:t xml:space="preserve">, </w:t>
      </w:r>
      <w:r w:rsidRPr="007F536A">
        <w:rPr>
          <w:rFonts w:ascii="Book Antiqua" w:hAnsi="Book Antiqua"/>
          <w:b/>
          <w:sz w:val="16"/>
          <w:szCs w:val="16"/>
        </w:rPr>
        <w:t>33</w:t>
      </w:r>
      <w:r w:rsidRPr="007F536A">
        <w:rPr>
          <w:rFonts w:ascii="Book Antiqua" w:hAnsi="Book Antiqua"/>
          <w:sz w:val="16"/>
          <w:szCs w:val="16"/>
        </w:rPr>
        <w:t>, p. 39, (1941).</w:t>
      </w:r>
    </w:p>
    <w:p w:rsidR="00821A88" w:rsidRPr="007F536A" w:rsidRDefault="00821A88" w:rsidP="00821A88">
      <w:pPr>
        <w:pStyle w:val="NoSpacing"/>
        <w:rPr>
          <w:rFonts w:ascii="Book Antiqua" w:hAnsi="Book Antiqua"/>
          <w:sz w:val="16"/>
          <w:szCs w:val="16"/>
        </w:rPr>
      </w:pPr>
      <w:bookmarkStart w:id="159" w:name="_edn25"/>
      <w:r w:rsidRPr="007F536A">
        <w:rPr>
          <w:rFonts w:ascii="Book Antiqua" w:hAnsi="Book Antiqua"/>
          <w:sz w:val="16"/>
          <w:szCs w:val="16"/>
        </w:rPr>
        <w:t xml:space="preserve">[32] </w:t>
      </w:r>
      <w:bookmarkEnd w:id="159"/>
      <w:r w:rsidRPr="007F536A">
        <w:rPr>
          <w:rFonts w:ascii="Book Antiqua" w:hAnsi="Book Antiqua"/>
          <w:sz w:val="16"/>
          <w:szCs w:val="16"/>
        </w:rPr>
        <w:t xml:space="preserve">S. P. Glazenap (Glasenapp), </w:t>
      </w:r>
      <w:r w:rsidRPr="007F536A">
        <w:rPr>
          <w:rFonts w:ascii="Book Antiqua" w:hAnsi="Book Antiqua"/>
          <w:i/>
          <w:sz w:val="16"/>
          <w:szCs w:val="16"/>
        </w:rPr>
        <w:t>Sravnenie nablyudenii sputnikav Yupitera</w:t>
      </w:r>
      <w:r w:rsidRPr="007F536A">
        <w:rPr>
          <w:rFonts w:ascii="Book Antiqua" w:hAnsi="Book Antiqua"/>
          <w:b/>
          <w:sz w:val="16"/>
          <w:szCs w:val="16"/>
        </w:rPr>
        <w:t xml:space="preserve"> </w:t>
      </w:r>
      <w:r w:rsidRPr="007F536A">
        <w:rPr>
          <w:rFonts w:ascii="Book Antiqua" w:hAnsi="Book Antiqua"/>
          <w:sz w:val="16"/>
          <w:szCs w:val="16"/>
        </w:rPr>
        <w:t>(A Comparative Study of the Observations of Eclipses of Jupiter’s Satellites), Sankt-Petersburg, 1874.</w:t>
      </w:r>
    </w:p>
    <w:p w:rsidR="00821A88" w:rsidRPr="007F536A" w:rsidRDefault="00821A88" w:rsidP="00821A88">
      <w:pPr>
        <w:pStyle w:val="NoSpacing"/>
        <w:rPr>
          <w:rFonts w:ascii="Book Antiqua" w:hAnsi="Book Antiqua"/>
          <w:sz w:val="16"/>
          <w:szCs w:val="16"/>
        </w:rPr>
      </w:pPr>
      <w:bookmarkStart w:id="160" w:name="_edn26"/>
      <w:r w:rsidRPr="007F536A">
        <w:rPr>
          <w:rFonts w:ascii="Book Antiqua" w:hAnsi="Book Antiqua"/>
          <w:sz w:val="16"/>
          <w:szCs w:val="16"/>
        </w:rPr>
        <w:t xml:space="preserve">[33] </w:t>
      </w:r>
      <w:bookmarkEnd w:id="160"/>
      <w:r w:rsidRPr="007F536A">
        <w:rPr>
          <w:rFonts w:ascii="Book Antiqua" w:hAnsi="Book Antiqua"/>
          <w:sz w:val="16"/>
          <w:szCs w:val="16"/>
        </w:rPr>
        <w:t xml:space="preserve">S. Goudsmit, R. Claiborne, eds., </w:t>
      </w:r>
      <w:r w:rsidRPr="007F536A">
        <w:rPr>
          <w:rStyle w:val="Emphasis"/>
          <w:rFonts w:ascii="Book Antiqua" w:hAnsi="Book Antiqua"/>
          <w:b/>
          <w:sz w:val="16"/>
          <w:szCs w:val="16"/>
        </w:rPr>
        <w:t>Time</w:t>
      </w:r>
      <w:r w:rsidRPr="007F536A">
        <w:rPr>
          <w:rFonts w:ascii="Book Antiqua" w:hAnsi="Book Antiqua"/>
          <w:sz w:val="16"/>
          <w:szCs w:val="16"/>
        </w:rPr>
        <w:t>, p. 193, Life Science Library, (1967).</w:t>
      </w:r>
    </w:p>
    <w:p w:rsidR="00821A88" w:rsidRPr="007F536A" w:rsidRDefault="00821A88" w:rsidP="00821A88">
      <w:pPr>
        <w:pStyle w:val="NoSpacing"/>
        <w:rPr>
          <w:rFonts w:ascii="Book Antiqua" w:hAnsi="Book Antiqua"/>
          <w:sz w:val="16"/>
          <w:szCs w:val="16"/>
        </w:rPr>
      </w:pPr>
      <w:bookmarkStart w:id="161" w:name="_edn27"/>
      <w:r w:rsidRPr="007F536A">
        <w:rPr>
          <w:rFonts w:ascii="Book Antiqua" w:hAnsi="Book Antiqua"/>
          <w:sz w:val="16"/>
          <w:szCs w:val="16"/>
        </w:rPr>
        <w:t xml:space="preserve">[34] </w:t>
      </w:r>
      <w:bookmarkEnd w:id="161"/>
      <w:r w:rsidRPr="007F536A">
        <w:rPr>
          <w:rFonts w:ascii="Book Antiqua" w:hAnsi="Book Antiqua"/>
          <w:sz w:val="16"/>
          <w:szCs w:val="16"/>
        </w:rPr>
        <w:t xml:space="preserve">Note: Newcomb in Ref. 31 quotes </w:t>
      </w:r>
      <w:r w:rsidRPr="007F536A">
        <w:rPr>
          <w:rFonts w:ascii="Book Antiqua" w:hAnsi="Book Antiqua"/>
          <w:i/>
          <w:sz w:val="16"/>
          <w:szCs w:val="16"/>
        </w:rPr>
        <w:t>“results between 496 s [seconds] and 501 s could be obtained”</w:t>
      </w:r>
      <w:r w:rsidRPr="007F536A">
        <w:rPr>
          <w:rFonts w:ascii="Book Antiqua" w:hAnsi="Book Antiqua"/>
          <w:sz w:val="16"/>
          <w:szCs w:val="16"/>
        </w:rPr>
        <w:t>. This gives a mean of 498.5 s and c = 300,096 km/s. K.A. Kulikov</w:t>
      </w:r>
      <w:r w:rsidRPr="007F536A">
        <w:rPr>
          <w:rFonts w:ascii="Book Antiqua" w:hAnsi="Book Antiqua"/>
          <w:b/>
          <w:i/>
          <w:sz w:val="16"/>
          <w:szCs w:val="16"/>
        </w:rPr>
        <w:t xml:space="preserve">, </w:t>
      </w:r>
      <w:r w:rsidRPr="007F536A">
        <w:rPr>
          <w:rStyle w:val="Emphasis"/>
          <w:rFonts w:ascii="Book Antiqua" w:hAnsi="Book Antiqua"/>
          <w:sz w:val="16"/>
          <w:szCs w:val="16"/>
        </w:rPr>
        <w:t>Fundamental Constants of Astronomy</w:t>
      </w:r>
      <w:r w:rsidRPr="007F536A">
        <w:rPr>
          <w:rStyle w:val="Emphasis"/>
          <w:rFonts w:ascii="Book Antiqua" w:hAnsi="Book Antiqua"/>
          <w:b/>
          <w:sz w:val="16"/>
          <w:szCs w:val="16"/>
        </w:rPr>
        <w:t>,</w:t>
      </w:r>
      <w:r w:rsidRPr="007F536A">
        <w:rPr>
          <w:rFonts w:ascii="Book Antiqua" w:hAnsi="Book Antiqua"/>
          <w:sz w:val="16"/>
          <w:szCs w:val="16"/>
        </w:rPr>
        <w:t xml:space="preserve"> (translated from Russian and published for NASA by the Israel Program for Scientific Translations, Jerusalem. Original dated Moscow, 1955 ), p. 58, quotes the weighted mean of 498.82 second. This gives a speed of light as 299,904 km/s.</w:t>
      </w:r>
    </w:p>
    <w:p w:rsidR="00821A88" w:rsidRPr="007F536A" w:rsidRDefault="00821A88" w:rsidP="00821A88">
      <w:pPr>
        <w:pStyle w:val="NoSpacing"/>
        <w:rPr>
          <w:rFonts w:ascii="Book Antiqua" w:hAnsi="Book Antiqua"/>
          <w:sz w:val="16"/>
          <w:szCs w:val="16"/>
        </w:rPr>
      </w:pPr>
      <w:bookmarkStart w:id="162" w:name="_edn28"/>
      <w:r w:rsidRPr="007F536A">
        <w:rPr>
          <w:rFonts w:ascii="Book Antiqua" w:hAnsi="Book Antiqua"/>
          <w:sz w:val="16"/>
          <w:szCs w:val="16"/>
        </w:rPr>
        <w:t xml:space="preserve">[35] </w:t>
      </w:r>
      <w:bookmarkEnd w:id="162"/>
      <w:r w:rsidRPr="007F536A">
        <w:rPr>
          <w:rFonts w:ascii="Book Antiqua" w:hAnsi="Book Antiqua"/>
          <w:sz w:val="16"/>
          <w:szCs w:val="16"/>
        </w:rPr>
        <w:t xml:space="preserve">E.T. Whittaker, </w:t>
      </w:r>
      <w:r w:rsidRPr="007F536A">
        <w:rPr>
          <w:rStyle w:val="Emphasis"/>
          <w:rFonts w:ascii="Book Antiqua" w:hAnsi="Book Antiqua"/>
          <w:sz w:val="16"/>
          <w:szCs w:val="16"/>
        </w:rPr>
        <w:t>A History of the Theories of Aether and Electricity…,</w:t>
      </w:r>
      <w:r w:rsidRPr="007F536A">
        <w:rPr>
          <w:rFonts w:ascii="Book Antiqua" w:hAnsi="Book Antiqua"/>
          <w:sz w:val="16"/>
          <w:szCs w:val="16"/>
        </w:rPr>
        <w:t xml:space="preserve"> p. 22, (Dublin, 1910). Also I. B. Cohen, ref. 15, p. 358.</w:t>
      </w:r>
    </w:p>
    <w:p w:rsidR="00821A88" w:rsidRPr="007F536A" w:rsidRDefault="00821A88" w:rsidP="00821A88">
      <w:pPr>
        <w:pStyle w:val="NoSpacing"/>
        <w:rPr>
          <w:rFonts w:ascii="Book Antiqua" w:hAnsi="Book Antiqua"/>
          <w:sz w:val="16"/>
          <w:szCs w:val="16"/>
        </w:rPr>
      </w:pPr>
      <w:bookmarkStart w:id="163" w:name="_edn29"/>
      <w:r w:rsidRPr="007F536A">
        <w:rPr>
          <w:rFonts w:ascii="Book Antiqua" w:hAnsi="Book Antiqua"/>
          <w:sz w:val="16"/>
          <w:szCs w:val="16"/>
        </w:rPr>
        <w:t xml:space="preserve">[36] </w:t>
      </w:r>
      <w:bookmarkEnd w:id="163"/>
      <w:r w:rsidRPr="007F536A">
        <w:rPr>
          <w:rFonts w:ascii="Book Antiqua" w:hAnsi="Book Antiqua"/>
          <w:sz w:val="16"/>
          <w:szCs w:val="16"/>
        </w:rPr>
        <w:t xml:space="preserve">C. Boyer, </w:t>
      </w:r>
      <w:r w:rsidRPr="007F536A">
        <w:rPr>
          <w:rFonts w:ascii="Book Antiqua" w:hAnsi="Book Antiqua"/>
          <w:i/>
          <w:sz w:val="16"/>
          <w:szCs w:val="16"/>
        </w:rPr>
        <w:t>Isis</w:t>
      </w:r>
      <w:r w:rsidRPr="007F536A">
        <w:rPr>
          <w:rFonts w:ascii="Book Antiqua" w:hAnsi="Book Antiqua"/>
          <w:sz w:val="16"/>
          <w:szCs w:val="16"/>
        </w:rPr>
        <w:t xml:space="preserve">, Vol. </w:t>
      </w:r>
      <w:r w:rsidRPr="007F536A">
        <w:rPr>
          <w:rFonts w:ascii="Book Antiqua" w:hAnsi="Book Antiqua"/>
          <w:b/>
          <w:sz w:val="16"/>
          <w:szCs w:val="16"/>
        </w:rPr>
        <w:t>33</w:t>
      </w:r>
      <w:r w:rsidRPr="007F536A">
        <w:rPr>
          <w:rFonts w:ascii="Book Antiqua" w:hAnsi="Book Antiqua"/>
          <w:sz w:val="16"/>
          <w:szCs w:val="16"/>
        </w:rPr>
        <w:t xml:space="preserve">, p. 37, (1941). </w:t>
      </w:r>
    </w:p>
    <w:p w:rsidR="00821A88" w:rsidRPr="007F536A" w:rsidRDefault="00821A88" w:rsidP="00821A88">
      <w:pPr>
        <w:pStyle w:val="NoSpacing"/>
        <w:rPr>
          <w:rFonts w:ascii="Book Antiqua" w:hAnsi="Book Antiqua"/>
          <w:sz w:val="16"/>
          <w:szCs w:val="16"/>
        </w:rPr>
      </w:pPr>
      <w:bookmarkStart w:id="164" w:name="_edn30"/>
      <w:r w:rsidRPr="007F536A">
        <w:rPr>
          <w:rFonts w:ascii="Book Antiqua" w:hAnsi="Book Antiqua"/>
          <w:sz w:val="16"/>
          <w:szCs w:val="16"/>
        </w:rPr>
        <w:t xml:space="preserve">[37] </w:t>
      </w:r>
      <w:bookmarkEnd w:id="164"/>
      <w:r w:rsidRPr="007F536A">
        <w:rPr>
          <w:rFonts w:ascii="Book Antiqua" w:hAnsi="Book Antiqua"/>
          <w:sz w:val="16"/>
          <w:szCs w:val="16"/>
        </w:rPr>
        <w:t>Ibid. p. 38.</w:t>
      </w:r>
    </w:p>
    <w:p w:rsidR="00821A88" w:rsidRPr="007F536A" w:rsidRDefault="00821A88" w:rsidP="00821A88">
      <w:pPr>
        <w:pStyle w:val="NoSpacing"/>
        <w:rPr>
          <w:rFonts w:ascii="Book Antiqua" w:hAnsi="Book Antiqua"/>
          <w:sz w:val="16"/>
          <w:szCs w:val="16"/>
        </w:rPr>
      </w:pPr>
      <w:bookmarkStart w:id="165" w:name="_edn31"/>
      <w:r w:rsidRPr="007F536A">
        <w:rPr>
          <w:rFonts w:ascii="Book Antiqua" w:hAnsi="Book Antiqua"/>
          <w:sz w:val="16"/>
          <w:szCs w:val="16"/>
        </w:rPr>
        <w:t xml:space="preserve">[38] </w:t>
      </w:r>
      <w:bookmarkEnd w:id="165"/>
      <w:r w:rsidRPr="007F536A">
        <w:rPr>
          <w:rFonts w:ascii="Book Antiqua" w:hAnsi="Book Antiqua"/>
          <w:sz w:val="16"/>
          <w:szCs w:val="16"/>
        </w:rPr>
        <w:t>Ibid.</w:t>
      </w:r>
    </w:p>
    <w:p w:rsidR="00821A88" w:rsidRPr="007F536A" w:rsidRDefault="00821A88" w:rsidP="00821A88">
      <w:pPr>
        <w:pStyle w:val="NoSpacing"/>
        <w:rPr>
          <w:rFonts w:ascii="Book Antiqua" w:hAnsi="Book Antiqua"/>
          <w:sz w:val="16"/>
          <w:szCs w:val="16"/>
        </w:rPr>
      </w:pPr>
      <w:bookmarkStart w:id="166" w:name="_edn32"/>
      <w:r w:rsidRPr="007F536A">
        <w:rPr>
          <w:rFonts w:ascii="Book Antiqua" w:hAnsi="Book Antiqua"/>
          <w:sz w:val="16"/>
          <w:szCs w:val="16"/>
        </w:rPr>
        <w:t xml:space="preserve">[39] </w:t>
      </w:r>
      <w:bookmarkEnd w:id="166"/>
      <w:r w:rsidRPr="007F536A">
        <w:rPr>
          <w:rFonts w:ascii="Book Antiqua" w:hAnsi="Book Antiqua"/>
          <w:sz w:val="16"/>
          <w:szCs w:val="16"/>
        </w:rPr>
        <w:t>Ibid.</w:t>
      </w:r>
    </w:p>
    <w:tbl>
      <w:tblPr>
        <w:tblW w:w="10500" w:type="dxa"/>
        <w:tblCellSpacing w:w="7" w:type="dxa"/>
        <w:tblCellMar>
          <w:top w:w="15" w:type="dxa"/>
          <w:left w:w="15" w:type="dxa"/>
          <w:bottom w:w="15" w:type="dxa"/>
          <w:right w:w="15" w:type="dxa"/>
        </w:tblCellMar>
        <w:tblLook w:val="04A0"/>
      </w:tblPr>
      <w:tblGrid>
        <w:gridCol w:w="10500"/>
      </w:tblGrid>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[40] G. Sarton, “Discovery of the Aberration of Light”, </w:t>
            </w:r>
            <w:r w:rsidRPr="007F536A">
              <w:rPr>
                <w:rStyle w:val="Emphasis"/>
                <w:rFonts w:ascii="Book Antiqua" w:hAnsi="Book Antiqua"/>
                <w:sz w:val="16"/>
                <w:szCs w:val="16"/>
              </w:rPr>
              <w:t>Isis</w:t>
            </w:r>
            <w:r w:rsidRPr="007F536A">
              <w:rPr>
                <w:rFonts w:ascii="Book Antiqua" w:hAnsi="Book Antiqua"/>
                <w:sz w:val="16"/>
                <w:szCs w:val="16"/>
              </w:rPr>
              <w:t xml:space="preserve">, Vol. </w:t>
            </w:r>
            <w:r w:rsidRPr="007F536A">
              <w:rPr>
                <w:rFonts w:ascii="Book Antiqua" w:hAnsi="Book Antiqua"/>
                <w:b/>
                <w:sz w:val="16"/>
                <w:szCs w:val="16"/>
              </w:rPr>
              <w:t>16</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p. 233, (1931).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[41] J. B. J. DeLambre, </w:t>
            </w:r>
            <w:r w:rsidRPr="007F536A">
              <w:rPr>
                <w:rFonts w:ascii="Book Antiqua" w:hAnsi="Book Antiqua"/>
                <w:i/>
                <w:sz w:val="16"/>
                <w:szCs w:val="16"/>
              </w:rPr>
              <w:t>Histoire de L’Astronmie Moderne, Vol. II,</w:t>
            </w:r>
            <w:r w:rsidRPr="007F536A">
              <w:rPr>
                <w:rFonts w:ascii="Book Antiqua" w:hAnsi="Book Antiqua"/>
                <w:sz w:val="16"/>
                <w:szCs w:val="16"/>
              </w:rPr>
              <w:t xml:space="preserve"> Paris, p. 616, 1821.</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[42]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pp 639-40. One mss copy is dated Jan. 1, 1729, though it was in the </w:t>
            </w:r>
            <w:r w:rsidRPr="007F536A">
              <w:rPr>
                <w:rStyle w:val="Emphasis"/>
                <w:rFonts w:ascii="Book Antiqua" w:hAnsi="Book Antiqua"/>
                <w:sz w:val="16"/>
                <w:szCs w:val="16"/>
              </w:rPr>
              <w:t>Phil. Trans</w:t>
            </w:r>
            <w:r w:rsidRPr="007F536A">
              <w:rPr>
                <w:rFonts w:ascii="Book Antiqua" w:hAnsi="Book Antiqua"/>
                <w:sz w:val="16"/>
                <w:szCs w:val="16"/>
              </w:rPr>
              <w:t>. For December 1728.</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[43] J. Audouze and G. Israel, editors, </w:t>
            </w:r>
            <w:r w:rsidRPr="007F536A">
              <w:rPr>
                <w:rStyle w:val="Emphasis"/>
                <w:rFonts w:ascii="Book Antiqua" w:hAnsi="Book Antiqua"/>
                <w:sz w:val="16"/>
                <w:szCs w:val="16"/>
              </w:rPr>
              <w:t>Cambridge Atlas of Astronomy</w:t>
            </w:r>
            <w:r w:rsidRPr="007F536A">
              <w:rPr>
                <w:rFonts w:ascii="Book Antiqua" w:hAnsi="Book Antiqua"/>
                <w:sz w:val="16"/>
                <w:szCs w:val="16"/>
              </w:rPr>
              <w:t xml:space="preserve">,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Cambridge University Press, p. 413, (Dec. 1985).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[44] The I.A.U. value in 1984 of K = 20”.496 ± 0.001. Now redefined as</w:t>
            </w:r>
            <w:r w:rsidR="00EB1629">
              <w:rPr>
                <w:rFonts w:ascii="Book Antiqua" w:hAnsi="Book Antiqua"/>
                <w:sz w:val="16"/>
                <w:szCs w:val="16"/>
              </w:rPr>
              <w:t xml:space="preserve"> </w:t>
            </w:r>
            <w:r w:rsidRPr="007F536A">
              <w:rPr>
                <w:rFonts w:ascii="Book Antiqua" w:hAnsi="Book Antiqua"/>
                <w:sz w:val="16"/>
                <w:szCs w:val="16"/>
              </w:rPr>
              <w:t xml:space="preserve"> 20”.49552. With </w:t>
            </w:r>
            <w:r w:rsidRPr="007F536A">
              <w:rPr>
                <w:rStyle w:val="Emphasis"/>
                <w:rFonts w:ascii="Book Antiqua" w:hAnsi="Book Antiqua"/>
                <w:sz w:val="16"/>
                <w:szCs w:val="16"/>
              </w:rPr>
              <w:t>c</w:t>
            </w:r>
            <w:r w:rsidRPr="007F536A">
              <w:rPr>
                <w:rFonts w:ascii="Book Antiqua" w:hAnsi="Book Antiqua"/>
                <w:sz w:val="16"/>
                <w:szCs w:val="16"/>
              </w:rPr>
              <w:t xml:space="preserve"> defined as 299792.458 km/s, this gives Kc = 6144402.</w:t>
            </w:r>
            <w:r w:rsidR="00EB1629">
              <w:rPr>
                <w:rFonts w:ascii="Book Antiqua" w:hAnsi="Book Antiqua"/>
                <w:sz w:val="16"/>
                <w:szCs w:val="16"/>
              </w:rPr>
              <w:t xml:space="preserve"> </w:t>
            </w:r>
            <w:r w:rsidRPr="007F536A">
              <w:rPr>
                <w:rFonts w:ascii="Book Antiqua" w:hAnsi="Book Antiqua"/>
                <w:sz w:val="16"/>
                <w:szCs w:val="16"/>
              </w:rPr>
              <w:t xml:space="preserve"> This value is adopted here to be conservative.</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[45] Bradley’s letter to Halley in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vol. </w:t>
            </w:r>
            <w:r w:rsidRPr="007F536A">
              <w:rPr>
                <w:rFonts w:ascii="Book Antiqua" w:hAnsi="Book Antiqua"/>
                <w:b/>
                <w:sz w:val="16"/>
                <w:szCs w:val="16"/>
              </w:rPr>
              <w:t>35</w:t>
            </w:r>
            <w:r w:rsidRPr="007F536A">
              <w:rPr>
                <w:rFonts w:ascii="Book Antiqua" w:hAnsi="Book Antiqua"/>
                <w:sz w:val="16"/>
                <w:szCs w:val="16"/>
              </w:rPr>
              <w:t xml:space="preserve"> No. 408,</w:t>
            </w:r>
            <w:r w:rsidR="00EB1629">
              <w:rPr>
                <w:rFonts w:ascii="Book Antiqua" w:hAnsi="Book Antiqua"/>
                <w:sz w:val="16"/>
                <w:szCs w:val="16"/>
              </w:rPr>
              <w:t xml:space="preserve"> </w:t>
            </w:r>
            <w:r w:rsidRPr="007F536A">
              <w:rPr>
                <w:rFonts w:ascii="Book Antiqua" w:hAnsi="Book Antiqua"/>
                <w:sz w:val="16"/>
                <w:szCs w:val="16"/>
              </w:rPr>
              <w:t>p.653.</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[46] Ibid.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[47]</w:t>
            </w:r>
            <w:bookmarkStart w:id="167" w:name="a1"/>
            <w:bookmarkEnd w:id="167"/>
            <w:r w:rsidRPr="007F536A">
              <w:rPr>
                <w:rFonts w:ascii="Book Antiqua" w:hAnsi="Book Antiqua"/>
                <w:sz w:val="16"/>
                <w:szCs w:val="16"/>
              </w:rPr>
              <w:t xml:space="preserve"> Ibid, pp. 653-655.</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[48</w:t>
            </w:r>
            <w:bookmarkStart w:id="168" w:name="anine"/>
            <w:bookmarkEnd w:id="168"/>
            <w:r w:rsidRPr="007F536A">
              <w:rPr>
                <w:rFonts w:ascii="Book Antiqua" w:hAnsi="Book Antiqua"/>
                <w:sz w:val="16"/>
                <w:szCs w:val="16"/>
              </w:rPr>
              <w:t xml:space="preserve">] K.A. Kulikov, </w:t>
            </w:r>
            <w:r w:rsidRPr="007F536A">
              <w:rPr>
                <w:rStyle w:val="Emphasis"/>
                <w:rFonts w:ascii="Book Antiqua" w:hAnsi="Book Antiqua"/>
                <w:sz w:val="16"/>
                <w:szCs w:val="16"/>
              </w:rPr>
              <w:t>Fundamental Constants of Astronomy</w:t>
            </w:r>
            <w:r w:rsidRPr="007F536A">
              <w:rPr>
                <w:rFonts w:ascii="Book Antiqua" w:hAnsi="Book Antiqua"/>
                <w:sz w:val="16"/>
                <w:szCs w:val="16"/>
              </w:rPr>
              <w:t>, (translated from</w:t>
            </w:r>
            <w:r w:rsidR="00EB1629">
              <w:rPr>
                <w:rFonts w:ascii="Book Antiqua" w:hAnsi="Book Antiqua"/>
                <w:sz w:val="16"/>
                <w:szCs w:val="16"/>
              </w:rPr>
              <w:t xml:space="preserve"> </w:t>
            </w:r>
            <w:r w:rsidRPr="007F536A">
              <w:rPr>
                <w:rFonts w:ascii="Book Antiqua" w:hAnsi="Book Antiqua"/>
                <w:sz w:val="16"/>
                <w:szCs w:val="16"/>
              </w:rPr>
              <w:t>the Russian for NASA by the Israel Program for Scientific Translations),</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 original version Moscow, 1955, pp 81-83. Note: If the observations of 20,</w:t>
            </w:r>
            <w:r w:rsidR="00EB1629">
              <w:rPr>
                <w:rFonts w:ascii="Book Antiqua" w:hAnsi="Book Antiqua"/>
                <w:sz w:val="16"/>
                <w:szCs w:val="16"/>
              </w:rPr>
              <w:t xml:space="preserve"> </w:t>
            </w:r>
            <w:r w:rsidRPr="007F536A">
              <w:rPr>
                <w:rFonts w:ascii="Book Antiqua" w:hAnsi="Book Antiqua"/>
                <w:sz w:val="16"/>
                <w:szCs w:val="16"/>
              </w:rPr>
              <w:t>21, 23 February, 1754 are included, Bessel obtained K = 20”.797.</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[49] Ibid</w:t>
            </w:r>
          </w:p>
        </w:tc>
      </w:tr>
      <w:tr w:rsidR="00821A88" w:rsidRPr="007F536A" w:rsidTr="00400B4E">
        <w:trPr>
          <w:tblCellSpacing w:w="7" w:type="dxa"/>
        </w:trPr>
        <w:tc>
          <w:tcPr>
            <w:tcW w:w="0" w:type="auto"/>
            <w:vAlign w:val="center"/>
            <w:hideMark/>
          </w:tcPr>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[50] Kulikov, reference [ 9 ], Table III, No. 15. Errors obtained from a </w:t>
            </w:r>
            <w:r w:rsidR="00EB1629">
              <w:rPr>
                <w:rFonts w:ascii="Book Antiqua" w:hAnsi="Book Antiqua"/>
                <w:sz w:val="16"/>
                <w:szCs w:val="16"/>
              </w:rPr>
              <w:t>c</w:t>
            </w:r>
            <w:r w:rsidRPr="007F536A">
              <w:rPr>
                <w:rFonts w:ascii="Book Antiqua" w:hAnsi="Book Antiqua"/>
                <w:sz w:val="16"/>
                <w:szCs w:val="16"/>
              </w:rPr>
              <w:t xml:space="preserve">omparison of weights.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[51] S. Newcomb, </w:t>
            </w:r>
            <w:r w:rsidRPr="007F536A">
              <w:rPr>
                <w:rFonts w:ascii="Book Antiqua" w:hAnsi="Book Antiqua"/>
                <w:i/>
                <w:sz w:val="16"/>
                <w:szCs w:val="16"/>
              </w:rPr>
              <w:t>Nature</w:t>
            </w:r>
            <w:r w:rsidRPr="007F536A">
              <w:rPr>
                <w:rFonts w:ascii="Book Antiqua" w:hAnsi="Book Antiqua"/>
                <w:sz w:val="16"/>
                <w:szCs w:val="16"/>
              </w:rPr>
              <w:t>, May 13, 1886, p. 30. Also Kulikov, op.cit., p. 83, and Table III, No. 35.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[52</w:t>
            </w:r>
            <w:bookmarkStart w:id="169" w:name="athirteen"/>
            <w:bookmarkEnd w:id="169"/>
            <w:r w:rsidRPr="007F536A">
              <w:rPr>
                <w:rFonts w:ascii="Book Antiqua" w:hAnsi="Book Antiqua"/>
                <w:sz w:val="16"/>
                <w:szCs w:val="16"/>
              </w:rPr>
              <w:t>] Kulikov, reference [ 9 ], p. 84 and Table III, no. 36.</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[53</w:t>
            </w:r>
            <w:bookmarkStart w:id="170" w:name="afourteen"/>
            <w:bookmarkEnd w:id="170"/>
            <w:r w:rsidRPr="007F536A">
              <w:rPr>
                <w:rFonts w:ascii="Book Antiqua" w:hAnsi="Book Antiqua"/>
                <w:sz w:val="16"/>
                <w:szCs w:val="16"/>
              </w:rPr>
              <w:t xml:space="preserve">] E.T. Whittaker, </w:t>
            </w:r>
            <w:r w:rsidRPr="007F536A">
              <w:rPr>
                <w:rStyle w:val="Emphasis"/>
                <w:rFonts w:ascii="Book Antiqua" w:hAnsi="Book Antiqua"/>
                <w:sz w:val="16"/>
                <w:szCs w:val="16"/>
              </w:rPr>
              <w:t>History of Theories of Aether and Electricity</w:t>
            </w:r>
            <w:r w:rsidRPr="007F536A">
              <w:rPr>
                <w:rFonts w:ascii="Book Antiqua" w:hAnsi="Book Antiqua"/>
                <w:sz w:val="16"/>
                <w:szCs w:val="16"/>
              </w:rPr>
              <w:t xml:space="preserve">, Vol. 1,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 95, Dublin 1910. also Kulikov, reference [ 9 ], p. 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[54</w:t>
            </w:r>
            <w:bookmarkStart w:id="171" w:name="afifteen"/>
            <w:bookmarkEnd w:id="171"/>
            <w:r w:rsidRPr="007F536A">
              <w:rPr>
                <w:rFonts w:ascii="Book Antiqua" w:hAnsi="Book Antiqua"/>
                <w:sz w:val="16"/>
                <w:szCs w:val="16"/>
              </w:rPr>
              <w:t>] S. Newcomb, op.cit. reference [12].</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[55] </w:t>
            </w:r>
            <w:bookmarkStart w:id="172" w:name="asixteen"/>
            <w:bookmarkEnd w:id="172"/>
            <w:r w:rsidRPr="007F536A">
              <w:rPr>
                <w:rFonts w:ascii="Book Antiqua" w:hAnsi="Book Antiqua"/>
                <w:sz w:val="16"/>
                <w:szCs w:val="16"/>
              </w:rPr>
              <w:t>Kulikov, op.cit., Table III, No. 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[56</w:t>
            </w:r>
            <w:bookmarkStart w:id="173" w:name="aseventeen"/>
            <w:bookmarkEnd w:id="173"/>
            <w:r w:rsidRPr="007F536A">
              <w:rPr>
                <w:rFonts w:ascii="Book Antiqua" w:hAnsi="Book Antiqua"/>
                <w:sz w:val="16"/>
                <w:szCs w:val="16"/>
              </w:rPr>
              <w:t xml:space="preserve">] Kulikov, op.cit., p. 85.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[57</w:t>
            </w:r>
            <w:bookmarkStart w:id="174" w:name="aeighteen"/>
            <w:bookmarkEnd w:id="174"/>
            <w:r w:rsidRPr="007F536A">
              <w:rPr>
                <w:rFonts w:ascii="Book Antiqua" w:hAnsi="Book Antiqua"/>
                <w:sz w:val="16"/>
                <w:szCs w:val="16"/>
              </w:rPr>
              <w:t>] S. Newcomb, op.cit.</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[58] Kulikov, op. cit, p.85.</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[59] </w:t>
            </w:r>
            <w:bookmarkStart w:id="175" w:name="anineteen"/>
            <w:bookmarkEnd w:id="175"/>
            <w:r w:rsidRPr="007F536A">
              <w:rPr>
                <w:rFonts w:ascii="Book Antiqua" w:hAnsi="Book Antiqua"/>
                <w:sz w:val="16"/>
                <w:szCs w:val="16"/>
              </w:rPr>
              <w:t xml:space="preserve">Taken from Kulikov, op.cit., Table III, p. 191 – 195. Dated values only taken from Table and repeats from Table III Parts 1 and 2 that occur in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Part 3 are omitted. Also four values from Table 10 not listed in Table III have been included.</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[60</w:t>
            </w:r>
            <w:bookmarkStart w:id="176" w:name="atwenty"/>
            <w:bookmarkEnd w:id="176"/>
            <w:r w:rsidRPr="007F536A">
              <w:rPr>
                <w:rFonts w:ascii="Book Antiqua" w:hAnsi="Book Antiqua"/>
                <w:sz w:val="16"/>
                <w:szCs w:val="16"/>
              </w:rPr>
              <w:t xml:space="preserve">] See Kulikov, op.cit., pp 88, 92, 93. These values of K are systematically high when compared with the USA results. Nevertheless, as a class, </w:t>
            </w:r>
          </w:p>
          <w:p w:rsidR="00821A88" w:rsidRPr="007F536A" w:rsidRDefault="00821A88" w:rsidP="00400B4E">
            <w:pPr>
              <w:pStyle w:val="NoSpacing"/>
              <w:rPr>
                <w:rFonts w:ascii="Book Antiqua" w:hAnsi="Book Antiqua"/>
                <w:sz w:val="16"/>
                <w:szCs w:val="16"/>
              </w:rPr>
            </w:pPr>
            <w:r w:rsidRPr="007F536A">
              <w:rPr>
                <w:rFonts w:ascii="Book Antiqua" w:hAnsi="Book Antiqua"/>
                <w:sz w:val="16"/>
                <w:szCs w:val="16"/>
              </w:rPr>
              <w:t xml:space="preserve">they still exhibit the feature of </w:t>
            </w:r>
            <w:r w:rsidRPr="007F536A">
              <w:rPr>
                <w:rStyle w:val="Emphasis"/>
                <w:rFonts w:ascii="Book Antiqua" w:hAnsi="Book Antiqua"/>
                <w:sz w:val="16"/>
                <w:szCs w:val="16"/>
              </w:rPr>
              <w:t>c</w:t>
            </w:r>
            <w:r w:rsidRPr="007F536A">
              <w:rPr>
                <w:rFonts w:ascii="Book Antiqua" w:hAnsi="Book Antiqua"/>
                <w:sz w:val="16"/>
                <w:szCs w:val="16"/>
              </w:rPr>
              <w:t xml:space="preserve"> decay, though shifting the </w:t>
            </w:r>
            <w:r w:rsidRPr="007F536A">
              <w:rPr>
                <w:rStyle w:val="Emphasis"/>
                <w:rFonts w:ascii="Book Antiqua" w:hAnsi="Book Antiqua"/>
                <w:sz w:val="16"/>
                <w:szCs w:val="16"/>
              </w:rPr>
              <w:t>c</w:t>
            </w:r>
            <w:r w:rsidRPr="007F536A">
              <w:rPr>
                <w:rFonts w:ascii="Book Antiqua" w:hAnsi="Book Antiqua"/>
                <w:sz w:val="16"/>
                <w:szCs w:val="16"/>
              </w:rPr>
              <w:t xml:space="preserve"> values into a</w:t>
            </w:r>
            <w:r w:rsidR="00EB1629">
              <w:rPr>
                <w:rFonts w:ascii="Book Antiqua" w:hAnsi="Book Antiqua"/>
                <w:sz w:val="16"/>
                <w:szCs w:val="16"/>
              </w:rPr>
              <w:t xml:space="preserve"> </w:t>
            </w:r>
            <w:r w:rsidRPr="007F536A">
              <w:rPr>
                <w:rFonts w:ascii="Book Antiqua" w:hAnsi="Book Antiqua"/>
                <w:sz w:val="16"/>
                <w:szCs w:val="16"/>
              </w:rPr>
              <w:t>lower range of values.</w:t>
            </w:r>
          </w:p>
          <w:p w:rsidR="00821A88" w:rsidRPr="007F536A" w:rsidRDefault="00821A88" w:rsidP="00EB1629">
            <w:pPr>
              <w:pStyle w:val="NoSpacing"/>
              <w:rPr>
                <w:rFonts w:ascii="Book Antiqua" w:hAnsi="Book Antiqua"/>
                <w:sz w:val="16"/>
                <w:szCs w:val="16"/>
              </w:rPr>
            </w:pPr>
            <w:r w:rsidRPr="007F536A">
              <w:rPr>
                <w:rFonts w:ascii="Book Antiqua" w:hAnsi="Book Antiqua"/>
                <w:sz w:val="16"/>
                <w:szCs w:val="16"/>
              </w:rPr>
              <w:t>[61</w:t>
            </w:r>
            <w:bookmarkStart w:id="177" w:name="atwenty1"/>
            <w:bookmarkEnd w:id="177"/>
            <w:r w:rsidRPr="007F536A">
              <w:rPr>
                <w:rFonts w:ascii="Book Antiqua" w:hAnsi="Book Antiqua"/>
                <w:sz w:val="16"/>
                <w:szCs w:val="16"/>
              </w:rPr>
              <w:t xml:space="preserve">] S. Newcomb, </w:t>
            </w:r>
            <w:r w:rsidRPr="007F536A">
              <w:rPr>
                <w:rFonts w:ascii="Book Antiqua" w:hAnsi="Book Antiqua"/>
                <w:i/>
                <w:sz w:val="16"/>
                <w:szCs w:val="16"/>
              </w:rPr>
              <w:t>“The Elements of the Four Inner Planets and the Fundamental Constants of Astronomy</w:t>
            </w:r>
            <w:r w:rsidRPr="007F536A">
              <w:rPr>
                <w:rFonts w:ascii="Book Antiqua" w:hAnsi="Book Antiqua"/>
                <w:sz w:val="16"/>
                <w:szCs w:val="16"/>
              </w:rPr>
              <w:t xml:space="preserve">”, </w:t>
            </w:r>
            <w:r w:rsidRPr="007F536A">
              <w:rPr>
                <w:rStyle w:val="Emphasis"/>
                <w:rFonts w:ascii="Book Antiqua" w:hAnsi="Book Antiqua"/>
                <w:sz w:val="16"/>
                <w:szCs w:val="16"/>
              </w:rPr>
              <w:t>Supplement to the American</w:t>
            </w:r>
            <w:r w:rsidR="00EB1629">
              <w:rPr>
                <w:rStyle w:val="Emphasis"/>
                <w:rFonts w:ascii="Book Antiqua" w:hAnsi="Book Antiqua"/>
                <w:sz w:val="16"/>
                <w:szCs w:val="16"/>
              </w:rPr>
              <w:t xml:space="preserve"> </w:t>
            </w:r>
            <w:r w:rsidRPr="007F536A">
              <w:rPr>
                <w:rStyle w:val="Emphasis"/>
                <w:rFonts w:ascii="Book Antiqua" w:hAnsi="Book Antiqua"/>
                <w:sz w:val="16"/>
                <w:szCs w:val="16"/>
              </w:rPr>
              <w:t>Ephemeris and NauticalAlmanac for 1897</w:t>
            </w:r>
            <w:r w:rsidRPr="007F536A">
              <w:rPr>
                <w:rFonts w:ascii="Book Antiqua" w:hAnsi="Book Antiqua"/>
                <w:sz w:val="16"/>
                <w:szCs w:val="16"/>
              </w:rPr>
              <w:t>, Washington, 1895, p. 136.</w:t>
            </w:r>
            <w:r w:rsidR="00EB1629">
              <w:rPr>
                <w:rFonts w:ascii="Book Antiqua" w:hAnsi="Book Antiqua"/>
                <w:sz w:val="16"/>
                <w:szCs w:val="16"/>
              </w:rPr>
              <w:t xml:space="preserve"> The </w:t>
            </w:r>
            <w:r w:rsidRPr="007F536A">
              <w:rPr>
                <w:rFonts w:ascii="Book Antiqua" w:hAnsi="Book Antiqua"/>
                <w:sz w:val="16"/>
                <w:szCs w:val="16"/>
              </w:rPr>
              <w:t xml:space="preserve"> Aberration values quoted here </w:t>
            </w:r>
            <w:r w:rsidR="00EB1629">
              <w:rPr>
                <w:rFonts w:ascii="Book Antiqua" w:hAnsi="Book Antiqua"/>
                <w:sz w:val="16"/>
                <w:szCs w:val="16"/>
              </w:rPr>
              <w:t xml:space="preserve">also </w:t>
            </w:r>
            <w:r w:rsidRPr="007F536A">
              <w:rPr>
                <w:rFonts w:ascii="Book Antiqua" w:hAnsi="Book Antiqua"/>
                <w:sz w:val="16"/>
                <w:szCs w:val="16"/>
              </w:rPr>
              <w:t>appear in Kulikov’s Table.</w:t>
            </w:r>
          </w:p>
        </w:tc>
      </w:tr>
      <w:tr w:rsidR="00821A88" w:rsidRPr="007F536A" w:rsidTr="00400B4E">
        <w:trPr>
          <w:tblCellSpacing w:w="7" w:type="dxa"/>
        </w:trPr>
        <w:tc>
          <w:tcPr>
            <w:tcW w:w="0" w:type="auto"/>
            <w:vAlign w:val="center"/>
            <w:hideMark/>
          </w:tcPr>
          <w:p w:rsidR="00821A88" w:rsidRPr="007F536A" w:rsidRDefault="00821A88" w:rsidP="00400B4E">
            <w:pPr>
              <w:rPr>
                <w:rFonts w:ascii="Book Antiqua" w:hAnsi="Book Antiqua"/>
                <w:sz w:val="16"/>
                <w:szCs w:val="16"/>
              </w:rPr>
            </w:pPr>
          </w:p>
        </w:tc>
      </w:tr>
    </w:tbl>
    <w:p w:rsidR="00821A88" w:rsidRPr="007F536A" w:rsidRDefault="00821A88" w:rsidP="00821A88">
      <w:pPr>
        <w:pStyle w:val="NoSpacing"/>
        <w:rPr>
          <w:rFonts w:ascii="Book Antiqua" w:hAnsi="Book Antiqua"/>
          <w:sz w:val="16"/>
          <w:szCs w:val="16"/>
        </w:rPr>
      </w:pPr>
      <w:bookmarkStart w:id="178" w:name="aone"/>
      <w:bookmarkEnd w:id="178"/>
      <w:r w:rsidRPr="007F536A">
        <w:rPr>
          <w:rFonts w:ascii="Book Antiqua" w:hAnsi="Book Antiqua"/>
          <w:sz w:val="16"/>
          <w:szCs w:val="16"/>
        </w:rPr>
        <w:t xml:space="preserve">[62]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:90-92, 132 (1849); also E.R. Cohen et. al., </w:t>
      </w:r>
      <w:r w:rsidRPr="007F536A">
        <w:rPr>
          <w:rStyle w:val="Emphasis"/>
          <w:rFonts w:ascii="Book Antiqua" w:hAnsi="Book Antiqua"/>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 xml:space="preserve">27 </w:t>
      </w:r>
      <w:r w:rsidRPr="007F536A">
        <w:rPr>
          <w:rFonts w:ascii="Book Antiqua" w:hAnsi="Book Antiqua"/>
          <w:sz w:val="16"/>
          <w:szCs w:val="16"/>
        </w:rPr>
        <w:t xml:space="preserve">(4), p. 363, (1955). </w:t>
      </w:r>
    </w:p>
    <w:p w:rsidR="00821A88" w:rsidRPr="007F536A" w:rsidRDefault="00821A88" w:rsidP="00821A88">
      <w:pPr>
        <w:pStyle w:val="NoSpacing"/>
        <w:rPr>
          <w:rFonts w:ascii="Book Antiqua" w:hAnsi="Book Antiqua"/>
          <w:sz w:val="16"/>
          <w:szCs w:val="16"/>
        </w:rPr>
      </w:pPr>
      <w:bookmarkStart w:id="179" w:name="atwo"/>
      <w:bookmarkEnd w:id="179"/>
      <w:r w:rsidRPr="007F536A">
        <w:rPr>
          <w:rFonts w:ascii="Book Antiqua" w:hAnsi="Book Antiqua"/>
          <w:sz w:val="16"/>
          <w:szCs w:val="16"/>
        </w:rPr>
        <w:t xml:space="preserve">[63]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0" w:name="athree"/>
      <w:bookmarkEnd w:id="180"/>
      <w:r w:rsidRPr="007F536A">
        <w:rPr>
          <w:rFonts w:ascii="Book Antiqua" w:hAnsi="Book Antiqua"/>
          <w:sz w:val="16"/>
          <w:szCs w:val="16"/>
        </w:rPr>
        <w:t xml:space="preserve">[64 ] K. D. Froome and L. Essen, </w:t>
      </w:r>
      <w:r w:rsidRPr="007F536A">
        <w:rPr>
          <w:rStyle w:val="Emphasis"/>
          <w:rFonts w:ascii="Book Antiqua" w:hAnsi="Book Antiqua"/>
          <w:sz w:val="16"/>
          <w:szCs w:val="16"/>
        </w:rPr>
        <w:t>The Velocity of Light and Radio Waves</w:t>
      </w:r>
      <w:r w:rsidRPr="007F536A">
        <w:rPr>
          <w:rFonts w:ascii="Book Antiqua" w:hAnsi="Book Antiqua"/>
          <w:sz w:val="16"/>
          <w:szCs w:val="16"/>
        </w:rPr>
        <w:t xml:space="preserve">, Academic Press, London, p. 4, (1969). Also Martin and Connor, </w:t>
      </w:r>
      <w:r w:rsidRPr="007F536A">
        <w:rPr>
          <w:rStyle w:val="Emphasis"/>
          <w:rFonts w:ascii="Book Antiqua" w:hAnsi="Book Antiqua"/>
          <w:sz w:val="16"/>
          <w:szCs w:val="16"/>
        </w:rPr>
        <w:t>Basic Physics</w:t>
      </w:r>
      <w:r w:rsidRPr="007F536A">
        <w:rPr>
          <w:rFonts w:ascii="Book Antiqua" w:hAnsi="Book Antiqua"/>
          <w:sz w:val="16"/>
          <w:szCs w:val="16"/>
        </w:rPr>
        <w:t>, Vol. 3, p. 1377,  (Whitcomb and Tombs, Melbourne, 1958).</w:t>
      </w:r>
    </w:p>
    <w:p w:rsidR="00821A88" w:rsidRPr="007F536A" w:rsidRDefault="00821A88" w:rsidP="00821A88">
      <w:pPr>
        <w:pStyle w:val="NoSpacing"/>
        <w:rPr>
          <w:rFonts w:ascii="Book Antiqua" w:hAnsi="Book Antiqua"/>
          <w:sz w:val="16"/>
          <w:szCs w:val="16"/>
        </w:rPr>
      </w:pPr>
      <w:bookmarkStart w:id="181" w:name="afour"/>
      <w:bookmarkEnd w:id="181"/>
      <w:r w:rsidRPr="007F536A">
        <w:rPr>
          <w:rFonts w:ascii="Book Antiqua" w:hAnsi="Book Antiqua"/>
          <w:sz w:val="16"/>
          <w:szCs w:val="16"/>
        </w:rPr>
        <w:t xml:space="preserve">[65] Froome and Essen, op. cit., p. 4. Also Martin and Connor, op. cit., p. 1378. Also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xml:space="preserve">, Supp. x, Sept. 30, 1927 in quoting an article from </w:t>
      </w:r>
      <w:r w:rsidRPr="007F536A">
        <w:rPr>
          <w:rStyle w:val="Emphasis"/>
          <w:rFonts w:ascii="Book Antiqua" w:hAnsi="Book Antiqua"/>
          <w:sz w:val="16"/>
          <w:szCs w:val="16"/>
        </w:rPr>
        <w:t>L’Astronomie</w:t>
      </w:r>
      <w:r w:rsidRPr="007F536A">
        <w:rPr>
          <w:rFonts w:ascii="Book Antiqua" w:hAnsi="Book Antiqua"/>
          <w:sz w:val="16"/>
          <w:szCs w:val="16"/>
        </w:rPr>
        <w:t>, no exact reference given.</w:t>
      </w:r>
    </w:p>
    <w:p w:rsidR="00821A88" w:rsidRPr="007F536A" w:rsidRDefault="00821A88" w:rsidP="00821A88">
      <w:pPr>
        <w:pStyle w:val="NoSpacing"/>
        <w:rPr>
          <w:rFonts w:ascii="Book Antiqua" w:hAnsi="Book Antiqua"/>
          <w:sz w:val="16"/>
          <w:szCs w:val="16"/>
        </w:rPr>
      </w:pPr>
      <w:bookmarkStart w:id="182" w:name="afive"/>
      <w:bookmarkEnd w:id="182"/>
      <w:r w:rsidRPr="007F536A">
        <w:rPr>
          <w:rFonts w:ascii="Book Antiqua" w:hAnsi="Book Antiqua"/>
          <w:sz w:val="16"/>
          <w:szCs w:val="16"/>
        </w:rPr>
        <w:t xml:space="preserve">[66] H. Fizeau, </w:t>
      </w:r>
      <w:r w:rsidRPr="007F536A">
        <w:rPr>
          <w:rFonts w:ascii="Book Antiqua" w:hAnsi="Book Antiqua"/>
          <w:i/>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:90-92, 132 (1849); Also, Gheury de Bray,</w:t>
      </w:r>
      <w:r w:rsidRPr="007F536A">
        <w:rPr>
          <w:rFonts w:ascii="Book Antiqua" w:hAnsi="Book Antiqua"/>
          <w:i/>
          <w:sz w:val="16"/>
          <w:szCs w:val="16"/>
        </w:rPr>
        <w:t xml:space="preserve"> 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xml:space="preserve">, p. 603, (October 22, 1927). Also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13, (October, 1944).</w:t>
      </w:r>
    </w:p>
    <w:p w:rsidR="00821A88" w:rsidRPr="007F536A" w:rsidRDefault="00821A88" w:rsidP="00821A88">
      <w:pPr>
        <w:pStyle w:val="NoSpacing"/>
        <w:rPr>
          <w:rFonts w:ascii="Book Antiqua" w:hAnsi="Book Antiqua"/>
          <w:sz w:val="16"/>
          <w:szCs w:val="16"/>
        </w:rPr>
      </w:pPr>
      <w:bookmarkStart w:id="183" w:name="asix"/>
      <w:bookmarkEnd w:id="183"/>
      <w:r w:rsidRPr="007F536A">
        <w:rPr>
          <w:rFonts w:ascii="Book Antiqua" w:hAnsi="Book Antiqua"/>
          <w:sz w:val="16"/>
          <w:szCs w:val="16"/>
        </w:rPr>
        <w:t xml:space="preserve">[67]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op. cit. Also Dorsey, op. cit. Note: W. Harkness, </w:t>
      </w:r>
      <w:r w:rsidRPr="007F536A">
        <w:rPr>
          <w:rFonts w:ascii="Book Antiqua" w:hAnsi="Book Antiqua"/>
          <w:i/>
          <w:sz w:val="16"/>
          <w:szCs w:val="16"/>
        </w:rPr>
        <w:t>“Washington Observations for 1885 Appendix III”</w:t>
      </w:r>
      <w:r w:rsidRPr="007F536A">
        <w:rPr>
          <w:rFonts w:ascii="Book Antiqua" w:hAnsi="Book Antiqua"/>
          <w:sz w:val="16"/>
          <w:szCs w:val="16"/>
        </w:rPr>
        <w:t xml:space="preserve"> p. 29 lists this value erroneously as an </w:t>
      </w:r>
      <w:r w:rsidRPr="007F536A">
        <w:rPr>
          <w:rStyle w:val="Emphasis"/>
          <w:rFonts w:ascii="Book Antiqua" w:hAnsi="Book Antiqua"/>
          <w:sz w:val="16"/>
          <w:szCs w:val="16"/>
        </w:rPr>
        <w:t>in vacuo</w:t>
      </w:r>
      <w:r w:rsidRPr="007F536A">
        <w:rPr>
          <w:rFonts w:ascii="Book Antiqua" w:hAnsi="Book Antiqua"/>
          <w:sz w:val="16"/>
          <w:szCs w:val="16"/>
        </w:rPr>
        <w:t xml:space="preserve"> result. </w:t>
      </w:r>
    </w:p>
    <w:p w:rsidR="00821A88" w:rsidRPr="007F536A" w:rsidRDefault="00821A88" w:rsidP="00821A88">
      <w:pPr>
        <w:pStyle w:val="NoSpacing"/>
        <w:rPr>
          <w:rFonts w:ascii="Book Antiqua" w:hAnsi="Book Antiqua"/>
          <w:sz w:val="16"/>
          <w:szCs w:val="16"/>
        </w:rPr>
      </w:pPr>
      <w:bookmarkStart w:id="184" w:name="aseven"/>
      <w:bookmarkEnd w:id="184"/>
      <w:r w:rsidRPr="007F536A">
        <w:rPr>
          <w:rFonts w:ascii="Book Antiqua" w:hAnsi="Book Antiqua"/>
          <w:sz w:val="16"/>
          <w:szCs w:val="16"/>
        </w:rPr>
        <w:lastRenderedPageBreak/>
        <w:t xml:space="preserve">[68] Anon, </w:t>
      </w:r>
      <w:r w:rsidRPr="007F536A">
        <w:rPr>
          <w:rStyle w:val="Emphasis"/>
          <w:rFonts w:ascii="Book Antiqua" w:hAnsi="Book Antiqua"/>
          <w:sz w:val="16"/>
          <w:szCs w:val="16"/>
        </w:rPr>
        <w:t>Science</w:t>
      </w:r>
      <w:r w:rsidRPr="007F536A">
        <w:rPr>
          <w:rFonts w:ascii="Book Antiqua" w:hAnsi="Book Antiqua"/>
          <w:sz w:val="16"/>
          <w:szCs w:val="16"/>
        </w:rPr>
        <w:t xml:space="preserve">, </w:t>
      </w:r>
      <w:r w:rsidRPr="007F536A">
        <w:rPr>
          <w:rFonts w:ascii="Book Antiqua" w:hAnsi="Book Antiqua"/>
          <w:b/>
          <w:sz w:val="16"/>
          <w:szCs w:val="16"/>
        </w:rPr>
        <w:t>66</w:t>
      </w:r>
      <w:r w:rsidRPr="007F536A">
        <w:rPr>
          <w:rFonts w:ascii="Book Antiqua" w:hAnsi="Book Antiqua"/>
          <w:sz w:val="16"/>
          <w:szCs w:val="16"/>
        </w:rPr>
        <w:t>, Supp. x, Sept. 30, 1927. No exact reference quoted.</w:t>
      </w:r>
    </w:p>
    <w:p w:rsidR="00821A88" w:rsidRPr="007F536A" w:rsidRDefault="00821A88" w:rsidP="00821A88">
      <w:pPr>
        <w:pStyle w:val="NoSpacing"/>
        <w:rPr>
          <w:rFonts w:ascii="Book Antiqua" w:hAnsi="Book Antiqua"/>
          <w:sz w:val="16"/>
          <w:szCs w:val="16"/>
        </w:rPr>
      </w:pPr>
      <w:bookmarkStart w:id="185" w:name="aneight"/>
      <w:bookmarkEnd w:id="185"/>
      <w:r w:rsidRPr="007F536A">
        <w:rPr>
          <w:rFonts w:ascii="Book Antiqua" w:hAnsi="Book Antiqua"/>
          <w:sz w:val="16"/>
          <w:szCs w:val="16"/>
        </w:rPr>
        <w:t xml:space="preserve">[69] A. Cornu, </w:t>
      </w:r>
      <w:r w:rsidRPr="007F536A">
        <w:rPr>
          <w:rStyle w:val="Emphasis"/>
          <w:rFonts w:ascii="Book Antiqua" w:hAnsi="Book Antiqua"/>
          <w:sz w:val="16"/>
          <w:szCs w:val="16"/>
        </w:rPr>
        <w:t>Journal de L’Ecole Polytechnique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:133-180,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[70]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 298, footnote, (1876).</w:t>
      </w:r>
    </w:p>
    <w:p w:rsidR="00821A88" w:rsidRPr="007F536A" w:rsidRDefault="00821A88" w:rsidP="00821A88">
      <w:pPr>
        <w:pStyle w:val="NoSpacing"/>
        <w:rPr>
          <w:rFonts w:ascii="Book Antiqua" w:hAnsi="Book Antiqua"/>
          <w:sz w:val="16"/>
          <w:szCs w:val="16"/>
        </w:rPr>
      </w:pPr>
      <w:bookmarkStart w:id="186" w:name="aten"/>
      <w:bookmarkEnd w:id="186"/>
      <w:r w:rsidRPr="007F536A">
        <w:rPr>
          <w:rFonts w:ascii="Book Antiqua" w:hAnsi="Book Antiqua"/>
          <w:sz w:val="16"/>
          <w:szCs w:val="16"/>
        </w:rPr>
        <w:t xml:space="preserve">[71] M. E. J. Gheury de Bray, </w:t>
      </w:r>
      <w:r w:rsidRPr="007F536A">
        <w:rPr>
          <w:rFonts w:ascii="Book Antiqua" w:hAnsi="Book Antiqua"/>
          <w:i/>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603 Note (3), (October 22,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[72]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 15,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[73] N. E. Dorsey, ibid. p. 16. Also Gheury de Bray, reference [10],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[74]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w:t>
      </w:r>
      <w:r w:rsidRPr="007F536A">
        <w:rPr>
          <w:rFonts w:ascii="Book Antiqua" w:hAnsi="Book Antiqua"/>
          <w:b/>
          <w:sz w:val="16"/>
          <w:szCs w:val="16"/>
        </w:rPr>
        <w:t>. 13</w:t>
      </w:r>
      <w:r w:rsidRPr="007F536A">
        <w:rPr>
          <w:rFonts w:ascii="Book Antiqua" w:hAnsi="Book Antiqua"/>
          <w:sz w:val="16"/>
          <w:szCs w:val="16"/>
        </w:rPr>
        <w:t xml:space="preserve">, p. A 298, footnote, (1876). Also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(1874), p. 1361. Also N. E. Dorsey, reference [11], pp 18, 19.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[75] A. Cornu,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79</w:t>
      </w:r>
      <w:r w:rsidRPr="007F536A">
        <w:rPr>
          <w:rFonts w:ascii="Book Antiqua" w:hAnsi="Book Antiqua"/>
          <w:sz w:val="16"/>
          <w:szCs w:val="16"/>
        </w:rPr>
        <w:t>, p. 1363, (1874).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[76</w:t>
      </w:r>
      <w:hyperlink r:id="rId130" w:anchor="fifteen" w:history="1"/>
      <w:r w:rsidRPr="007F536A">
        <w:rPr>
          <w:rFonts w:ascii="Book Antiqua" w:hAnsi="Book Antiqua"/>
          <w:sz w:val="16"/>
          <w:szCs w:val="16"/>
        </w:rPr>
        <w:t xml:space="preserve"> ]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xml:space="preserve">, p. A 293, , (1876). Also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New Series, Vol. XXXIV, Part 1, pp 34, 35, ( October, 1944) lists it as 300,340 km/s.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[77] A. Cornu, </w:t>
      </w:r>
      <w:r w:rsidRPr="007F536A">
        <w:rPr>
          <w:rStyle w:val="Emphasis"/>
          <w:rFonts w:ascii="Book Antiqua" w:hAnsi="Book Antiqua"/>
          <w:sz w:val="16"/>
          <w:szCs w:val="16"/>
        </w:rPr>
        <w:t>Annales de L’Observatoire de Paris</w:t>
      </w:r>
      <w:r w:rsidRPr="007F536A">
        <w:rPr>
          <w:rFonts w:ascii="Book Antiqua" w:hAnsi="Book Antiqua"/>
          <w:sz w:val="16"/>
          <w:szCs w:val="16"/>
        </w:rPr>
        <w:t xml:space="preserve"> Vol. </w:t>
      </w:r>
      <w:r w:rsidRPr="007F536A">
        <w:rPr>
          <w:rFonts w:ascii="Book Antiqua" w:hAnsi="Book Antiqua"/>
          <w:b/>
          <w:sz w:val="16"/>
          <w:szCs w:val="16"/>
        </w:rPr>
        <w:t>13</w:t>
      </w:r>
      <w:r w:rsidRPr="007F536A">
        <w:rPr>
          <w:rFonts w:ascii="Book Antiqua" w:hAnsi="Book Antiqua"/>
          <w:sz w:val="16"/>
          <w:szCs w:val="16"/>
        </w:rPr>
        <w:t>, p. A266, (1876).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[78] F. R. Helmert, </w:t>
      </w:r>
      <w:r w:rsidRPr="007F536A">
        <w:rPr>
          <w:rStyle w:val="Emphasis"/>
          <w:rFonts w:ascii="Book Antiqua" w:hAnsi="Book Antiqua"/>
          <w:sz w:val="16"/>
          <w:szCs w:val="16"/>
        </w:rPr>
        <w:t>Astronomische Nachrichten</w:t>
      </w:r>
      <w:r w:rsidRPr="007F536A">
        <w:rPr>
          <w:rFonts w:ascii="Book Antiqua" w:hAnsi="Book Antiqua"/>
          <w:sz w:val="16"/>
          <w:szCs w:val="16"/>
        </w:rPr>
        <w:t>,</w:t>
      </w:r>
      <w:r w:rsidRPr="007F536A">
        <w:rPr>
          <w:rFonts w:ascii="Book Antiqua" w:hAnsi="Book Antiqua"/>
          <w:b/>
          <w:sz w:val="16"/>
          <w:szCs w:val="16"/>
        </w:rPr>
        <w:t xml:space="preserve"> 87</w:t>
      </w:r>
      <w:r w:rsidRPr="007F536A">
        <w:rPr>
          <w:rFonts w:ascii="Book Antiqua" w:hAnsi="Book Antiqua"/>
          <w:sz w:val="16"/>
          <w:szCs w:val="16"/>
        </w:rPr>
        <w:t xml:space="preserve"> (2072), pp. 123-124, (1876).</w:t>
      </w:r>
    </w:p>
    <w:p w:rsidR="00821A88" w:rsidRPr="007F536A" w:rsidRDefault="00821A88" w:rsidP="00821A88">
      <w:pPr>
        <w:pStyle w:val="NoSpacing"/>
        <w:rPr>
          <w:rFonts w:ascii="Book Antiqua" w:hAnsi="Book Antiqua"/>
          <w:sz w:val="16"/>
          <w:szCs w:val="16"/>
        </w:rPr>
      </w:pPr>
      <w:bookmarkStart w:id="187" w:name="aneighteen"/>
      <w:bookmarkEnd w:id="187"/>
      <w:r w:rsidRPr="007F536A">
        <w:rPr>
          <w:rFonts w:ascii="Book Antiqua" w:hAnsi="Book Antiqua"/>
          <w:sz w:val="16"/>
          <w:szCs w:val="16"/>
        </w:rPr>
        <w:t xml:space="preserve">[79] N. E. Dorsey, </w:t>
      </w:r>
      <w:r w:rsidRPr="007F536A">
        <w:rPr>
          <w:rStyle w:val="Emphasis"/>
          <w:rFonts w:ascii="Book Antiqua" w:hAnsi="Book Antiqua"/>
          <w:sz w:val="16"/>
          <w:szCs w:val="16"/>
        </w:rPr>
        <w:t>Transaction of the American Philosophical Society</w:t>
      </w:r>
      <w:r w:rsidRPr="007F536A">
        <w:rPr>
          <w:rFonts w:ascii="Book Antiqua" w:hAnsi="Book Antiqua"/>
          <w:sz w:val="16"/>
          <w:szCs w:val="16"/>
        </w:rPr>
        <w:t xml:space="preserve">, New Series, Vol. </w:t>
      </w:r>
      <w:r w:rsidRPr="007F536A">
        <w:rPr>
          <w:rFonts w:ascii="Book Antiqua" w:hAnsi="Book Antiqua"/>
          <w:b/>
          <w:sz w:val="16"/>
          <w:szCs w:val="16"/>
        </w:rPr>
        <w:t>XXXIV</w:t>
      </w:r>
      <w:r w:rsidRPr="007F536A">
        <w:rPr>
          <w:rFonts w:ascii="Book Antiqua" w:hAnsi="Book Antiqua"/>
          <w:sz w:val="16"/>
          <w:szCs w:val="16"/>
        </w:rPr>
        <w:t>, Part 1, pp. 17, 95, eqn. (103), (October,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[80]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xml:space="preserve">, pp225-227. The probable error was estimated by Todd,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3rd series, Vol. </w:t>
      </w:r>
      <w:r w:rsidRPr="007F536A">
        <w:rPr>
          <w:rFonts w:ascii="Book Antiqua" w:hAnsi="Book Antiqua"/>
          <w:b/>
          <w:sz w:val="16"/>
          <w:szCs w:val="16"/>
        </w:rPr>
        <w:t>19</w:t>
      </w:r>
      <w:r w:rsidRPr="007F536A">
        <w:rPr>
          <w:rFonts w:ascii="Book Antiqua" w:hAnsi="Book Antiqua"/>
          <w:sz w:val="16"/>
          <w:szCs w:val="16"/>
        </w:rPr>
        <w:t>, p. 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[81] N. E. Dorsey, op.cit., p. 36.</w:t>
      </w:r>
    </w:p>
    <w:p w:rsidR="00821A88" w:rsidRPr="007F536A" w:rsidRDefault="00821A88" w:rsidP="00821A88">
      <w:pPr>
        <w:pStyle w:val="NoSpacing"/>
        <w:rPr>
          <w:rFonts w:ascii="Book Antiqua" w:hAnsi="Book Antiqua"/>
          <w:sz w:val="16"/>
          <w:szCs w:val="16"/>
        </w:rPr>
      </w:pPr>
      <w:bookmarkStart w:id="188" w:name="a21"/>
      <w:bookmarkEnd w:id="188"/>
      <w:r w:rsidRPr="007F536A">
        <w:rPr>
          <w:rFonts w:ascii="Book Antiqua" w:hAnsi="Book Antiqua"/>
          <w:sz w:val="16"/>
          <w:szCs w:val="16"/>
        </w:rPr>
        <w:t xml:space="preserve">[82]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(1891) p. 202.</w:t>
      </w:r>
    </w:p>
    <w:p w:rsidR="00821A88" w:rsidRPr="007F536A" w:rsidRDefault="00821A88" w:rsidP="00821A88">
      <w:pPr>
        <w:pStyle w:val="NoSpacing"/>
        <w:rPr>
          <w:rFonts w:ascii="Book Antiqua" w:hAnsi="Book Antiqua"/>
          <w:sz w:val="16"/>
          <w:szCs w:val="16"/>
        </w:rPr>
      </w:pPr>
      <w:bookmarkStart w:id="189" w:name="a22"/>
      <w:bookmarkEnd w:id="189"/>
      <w:r w:rsidRPr="007F536A">
        <w:rPr>
          <w:rFonts w:ascii="Book Antiqua" w:hAnsi="Book Antiqua"/>
          <w:sz w:val="16"/>
          <w:szCs w:val="16"/>
        </w:rPr>
        <w:t xml:space="preserve">[83] A. A. Michelson, </w:t>
      </w:r>
      <w:r w:rsidRPr="007F536A">
        <w:rPr>
          <w:rFonts w:ascii="Book Antiqua" w:hAnsi="Book Antiqua"/>
          <w:i/>
          <w:sz w:val="16"/>
          <w:szCs w:val="16"/>
        </w:rPr>
        <w:t>Decennial Publications of the University of Chicago</w:t>
      </w:r>
      <w:r w:rsidRPr="007F536A">
        <w:rPr>
          <w:rFonts w:ascii="Book Antiqua" w:hAnsi="Book Antiqua"/>
          <w:sz w:val="16"/>
          <w:szCs w:val="16"/>
        </w:rPr>
        <w:t xml:space="preserve">, Vol. </w:t>
      </w:r>
      <w:r w:rsidRPr="007F536A">
        <w:rPr>
          <w:rFonts w:ascii="Book Antiqua" w:hAnsi="Book Antiqua"/>
          <w:b/>
          <w:sz w:val="16"/>
          <w:szCs w:val="16"/>
        </w:rPr>
        <w:t>9</w:t>
      </w:r>
      <w:r w:rsidRPr="007F536A">
        <w:rPr>
          <w:rFonts w:ascii="Book Antiqua" w:hAnsi="Book Antiqua"/>
          <w:sz w:val="16"/>
          <w:szCs w:val="16"/>
        </w:rPr>
        <w:t xml:space="preserve">, (1902) p. 6. Also N. E. Dorsey, op.cit., pp 76-79.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[84] A. A. Michelson, </w:t>
      </w:r>
      <w:r w:rsidRPr="007F536A">
        <w:rPr>
          <w:rFonts w:ascii="Book Antiqua" w:hAnsi="Book Antiqua"/>
          <w:i/>
          <w:sz w:val="16"/>
          <w:szCs w:val="16"/>
        </w:rPr>
        <w:t>Phil. Mag</w:t>
      </w:r>
      <w:r w:rsidRPr="007F536A">
        <w:rPr>
          <w:rFonts w:ascii="Book Antiqua" w:hAnsi="Book Antiqua"/>
          <w:sz w:val="16"/>
          <w:szCs w:val="16"/>
        </w:rPr>
        <w:t>., 6th series, Vol. 3, p. 334, (1902).</w:t>
      </w:r>
    </w:p>
    <w:p w:rsidR="00821A88" w:rsidRPr="007F536A" w:rsidRDefault="00821A88" w:rsidP="00821A88">
      <w:pPr>
        <w:pStyle w:val="NoSpacing"/>
        <w:rPr>
          <w:rFonts w:ascii="Book Antiqua" w:hAnsi="Book Antiqua"/>
          <w:sz w:val="16"/>
          <w:szCs w:val="16"/>
        </w:rPr>
      </w:pPr>
      <w:bookmarkStart w:id="190" w:name="a23"/>
      <w:bookmarkEnd w:id="190"/>
      <w:r w:rsidRPr="007F536A">
        <w:rPr>
          <w:rFonts w:ascii="Book Antiqua" w:hAnsi="Book Antiqua"/>
          <w:sz w:val="16"/>
          <w:szCs w:val="16"/>
        </w:rPr>
        <w:t xml:space="preserve">[85]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Dec. 6, 1924, p. 831.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1" w:name="a24"/>
      <w:bookmarkEnd w:id="191"/>
      <w:r w:rsidRPr="007F536A">
        <w:rPr>
          <w:rFonts w:ascii="Book Antiqua" w:hAnsi="Book Antiqua"/>
          <w:sz w:val="16"/>
          <w:szCs w:val="16"/>
        </w:rPr>
        <w:t xml:space="preserve">[86] S. Newcomb, </w:t>
      </w:r>
      <w:r w:rsidRPr="007F536A">
        <w:rPr>
          <w:rStyle w:val="Emphasis"/>
          <w:rFonts w:ascii="Book Antiqua" w:hAnsi="Book Antiqua"/>
          <w:sz w:val="16"/>
          <w:szCs w:val="16"/>
        </w:rPr>
        <w:t>Astronomical Papers for American Ephemeris and Nautical Almanac</w:t>
      </w:r>
      <w:r w:rsidRPr="007F536A">
        <w:rPr>
          <w:rFonts w:ascii="Book Antiqua" w:hAnsi="Book Antiqua"/>
          <w:sz w:val="16"/>
          <w:szCs w:val="16"/>
        </w:rPr>
        <w:t>, Vol</w:t>
      </w:r>
      <w:r w:rsidRPr="007F536A">
        <w:rPr>
          <w:rFonts w:ascii="Book Antiqua" w:hAnsi="Book Antiqua"/>
          <w:b/>
          <w:sz w:val="16"/>
          <w:szCs w:val="16"/>
        </w:rPr>
        <w:t>. 2</w:t>
      </w:r>
      <w:r w:rsidRPr="007F536A">
        <w:rPr>
          <w:rFonts w:ascii="Book Antiqua" w:hAnsi="Book Antiqua"/>
          <w:sz w:val="16"/>
          <w:szCs w:val="16"/>
        </w:rPr>
        <w:t>, part 3, p. 119, (1891).</w:t>
      </w:r>
    </w:p>
    <w:p w:rsidR="00821A88" w:rsidRPr="007F536A" w:rsidRDefault="00821A88" w:rsidP="00821A88">
      <w:pPr>
        <w:pStyle w:val="NoSpacing"/>
        <w:rPr>
          <w:rFonts w:ascii="Book Antiqua" w:hAnsi="Book Antiqua"/>
          <w:sz w:val="16"/>
          <w:szCs w:val="16"/>
        </w:rPr>
      </w:pPr>
      <w:bookmarkStart w:id="192" w:name="a25"/>
      <w:bookmarkEnd w:id="192"/>
      <w:r w:rsidRPr="007F536A">
        <w:rPr>
          <w:rFonts w:ascii="Book Antiqua" w:hAnsi="Book Antiqua"/>
          <w:sz w:val="16"/>
          <w:szCs w:val="16"/>
        </w:rPr>
        <w:t xml:space="preserve">[87] </w:t>
      </w:r>
      <w:r w:rsidRPr="007F536A">
        <w:rPr>
          <w:rStyle w:val="Emphasis"/>
          <w:rFonts w:ascii="Book Antiqua" w:hAnsi="Book Antiqua"/>
          <w:sz w:val="16"/>
          <w:szCs w:val="16"/>
        </w:rPr>
        <w:t>Rapports presentes au Congres International de Physique de 1900</w:t>
      </w:r>
      <w:r w:rsidRPr="007F536A">
        <w:rPr>
          <w:rFonts w:ascii="Book Antiqua" w:hAnsi="Book Antiqua"/>
          <w:sz w:val="16"/>
          <w:szCs w:val="16"/>
        </w:rPr>
        <w:t xml:space="preserve">, vol </w:t>
      </w:r>
      <w:r w:rsidRPr="007F536A">
        <w:rPr>
          <w:rFonts w:ascii="Book Antiqua" w:hAnsi="Book Antiqua"/>
          <w:b/>
          <w:sz w:val="16"/>
          <w:szCs w:val="16"/>
        </w:rPr>
        <w:t>2</w:t>
      </w:r>
      <w:r w:rsidRPr="007F536A">
        <w:rPr>
          <w:rFonts w:ascii="Book Antiqua" w:hAnsi="Book Antiqua"/>
          <w:sz w:val="16"/>
          <w:szCs w:val="16"/>
        </w:rPr>
        <w:t>, p. 229.</w:t>
      </w:r>
    </w:p>
    <w:p w:rsidR="00821A88" w:rsidRPr="007F536A" w:rsidRDefault="00821A88" w:rsidP="00821A88">
      <w:pPr>
        <w:pStyle w:val="NoSpacing"/>
        <w:rPr>
          <w:rFonts w:ascii="Book Antiqua" w:hAnsi="Book Antiqua"/>
          <w:sz w:val="16"/>
          <w:szCs w:val="16"/>
        </w:rPr>
      </w:pPr>
      <w:bookmarkStart w:id="193" w:name="a26"/>
      <w:bookmarkEnd w:id="193"/>
      <w:r w:rsidRPr="007F536A">
        <w:rPr>
          <w:rFonts w:ascii="Book Antiqua" w:hAnsi="Book Antiqua"/>
          <w:sz w:val="16"/>
          <w:szCs w:val="16"/>
        </w:rPr>
        <w:t xml:space="preserve">[88] R. T. Birge, </w:t>
      </w:r>
      <w:r w:rsidRPr="007F536A">
        <w:rPr>
          <w:rFonts w:ascii="Book Antiqua" w:hAnsi="Book Antiqua"/>
          <w:i/>
          <w:sz w:val="16"/>
          <w:szCs w:val="16"/>
        </w:rPr>
        <w:t>Reports on Progress 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p.99, (1941).</w:t>
      </w:r>
    </w:p>
    <w:p w:rsidR="00821A88" w:rsidRPr="007F536A" w:rsidRDefault="00821A88" w:rsidP="00821A88">
      <w:pPr>
        <w:pStyle w:val="NoSpacing"/>
        <w:rPr>
          <w:rFonts w:ascii="Book Antiqua" w:hAnsi="Book Antiqua"/>
          <w:sz w:val="16"/>
          <w:szCs w:val="16"/>
        </w:rPr>
      </w:pPr>
      <w:bookmarkStart w:id="194" w:name="a27"/>
      <w:bookmarkEnd w:id="194"/>
      <w:r w:rsidRPr="007F536A">
        <w:rPr>
          <w:rFonts w:ascii="Book Antiqua" w:hAnsi="Book Antiqua"/>
          <w:sz w:val="16"/>
          <w:szCs w:val="16"/>
        </w:rPr>
        <w:t>[89] N. E. Dorsey, op.cit., p. 4.</w:t>
      </w:r>
    </w:p>
    <w:p w:rsidR="00821A88" w:rsidRPr="007F536A" w:rsidRDefault="00821A88" w:rsidP="00821A88">
      <w:pPr>
        <w:pStyle w:val="NoSpacing"/>
        <w:rPr>
          <w:rFonts w:ascii="Book Antiqua" w:hAnsi="Book Antiqua"/>
          <w:sz w:val="16"/>
          <w:szCs w:val="16"/>
        </w:rPr>
      </w:pPr>
      <w:bookmarkStart w:id="195" w:name="a28"/>
      <w:bookmarkEnd w:id="195"/>
      <w:r w:rsidRPr="007F536A">
        <w:rPr>
          <w:rFonts w:ascii="Book Antiqua" w:hAnsi="Book Antiqua"/>
          <w:sz w:val="16"/>
          <w:szCs w:val="16"/>
        </w:rPr>
        <w:t xml:space="preserve">[90] J. Young, G. Forbes, “Experimental determination of the velocity of white and coloured light,” </w:t>
      </w:r>
      <w:r w:rsidRPr="007F536A">
        <w:rPr>
          <w:rStyle w:val="Emphasis"/>
          <w:rFonts w:ascii="Book Antiqua" w:hAnsi="Book Antiqua"/>
          <w:sz w:val="16"/>
          <w:szCs w:val="16"/>
        </w:rPr>
        <w:t>Phil. Trans</w:t>
      </w:r>
      <w:r w:rsidRPr="007F536A">
        <w:rPr>
          <w:rFonts w:ascii="Book Antiqua" w:hAnsi="Book Antiqua"/>
          <w:sz w:val="16"/>
          <w:szCs w:val="16"/>
        </w:rPr>
        <w:t>., vol.</w:t>
      </w:r>
      <w:r w:rsidRPr="007F536A">
        <w:rPr>
          <w:rFonts w:ascii="Book Antiqua" w:hAnsi="Book Antiqua"/>
          <w:b/>
          <w:sz w:val="16"/>
          <w:szCs w:val="16"/>
        </w:rPr>
        <w:t xml:space="preserve"> 173:1</w:t>
      </w:r>
      <w:r w:rsidRPr="007F536A">
        <w:rPr>
          <w:rFonts w:ascii="Book Antiqua" w:hAnsi="Book Antiqua"/>
          <w:sz w:val="16"/>
          <w:szCs w:val="16"/>
        </w:rPr>
        <w:t>, p. 231-289, (1882) .</w:t>
      </w:r>
    </w:p>
    <w:p w:rsidR="00821A88" w:rsidRPr="007F536A" w:rsidRDefault="00821A88" w:rsidP="00821A88">
      <w:pPr>
        <w:pStyle w:val="NoSpacing"/>
        <w:rPr>
          <w:rFonts w:ascii="Book Antiqua" w:hAnsi="Book Antiqua"/>
          <w:sz w:val="16"/>
          <w:szCs w:val="16"/>
        </w:rPr>
      </w:pPr>
      <w:bookmarkStart w:id="196" w:name="a29"/>
      <w:bookmarkEnd w:id="196"/>
      <w:r w:rsidRPr="007F536A">
        <w:rPr>
          <w:rFonts w:ascii="Book Antiqua" w:hAnsi="Book Antiqua"/>
          <w:sz w:val="16"/>
          <w:szCs w:val="16"/>
        </w:rPr>
        <w:t xml:space="preserve">[91]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604, Oct. 22, (1927).</w:t>
      </w:r>
    </w:p>
    <w:p w:rsidR="00821A88" w:rsidRPr="007F536A" w:rsidRDefault="00821A88" w:rsidP="00821A88">
      <w:pPr>
        <w:pStyle w:val="NoSpacing"/>
        <w:rPr>
          <w:rFonts w:ascii="Book Antiqua" w:hAnsi="Book Antiqua"/>
          <w:sz w:val="16"/>
          <w:szCs w:val="16"/>
        </w:rPr>
      </w:pPr>
      <w:bookmarkStart w:id="197" w:name="a30"/>
      <w:bookmarkEnd w:id="197"/>
      <w:r w:rsidRPr="007F536A">
        <w:rPr>
          <w:rFonts w:ascii="Book Antiqua" w:hAnsi="Book Antiqua"/>
          <w:sz w:val="16"/>
          <w:szCs w:val="16"/>
        </w:rPr>
        <w:t xml:space="preserve">[92]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pp A1-A98, (1908).</w:t>
      </w:r>
    </w:p>
    <w:p w:rsidR="00821A88" w:rsidRPr="007F536A" w:rsidRDefault="00821A88" w:rsidP="00821A88">
      <w:pPr>
        <w:pStyle w:val="NoSpacing"/>
        <w:rPr>
          <w:rFonts w:ascii="Book Antiqua" w:hAnsi="Book Antiqua"/>
          <w:sz w:val="16"/>
          <w:szCs w:val="16"/>
        </w:rPr>
      </w:pPr>
      <w:bookmarkStart w:id="198" w:name="a31"/>
      <w:bookmarkEnd w:id="198"/>
      <w:r w:rsidRPr="007F536A">
        <w:rPr>
          <w:rFonts w:ascii="Book Antiqua" w:hAnsi="Book Antiqua"/>
          <w:sz w:val="16"/>
          <w:szCs w:val="16"/>
        </w:rPr>
        <w:t>[93] Ibid. Tableau III, See also Dorsey, op.cit., pp 40-41.</w:t>
      </w:r>
    </w:p>
    <w:p w:rsidR="00821A88" w:rsidRPr="007F536A" w:rsidRDefault="00821A88" w:rsidP="00821A88">
      <w:pPr>
        <w:pStyle w:val="NoSpacing"/>
        <w:rPr>
          <w:rFonts w:ascii="Book Antiqua" w:hAnsi="Book Antiqua"/>
          <w:sz w:val="16"/>
          <w:szCs w:val="16"/>
        </w:rPr>
      </w:pPr>
      <w:bookmarkStart w:id="199" w:name="a32"/>
      <w:bookmarkEnd w:id="199"/>
      <w:r w:rsidRPr="007F536A">
        <w:rPr>
          <w:rFonts w:ascii="Book Antiqua" w:hAnsi="Book Antiqua"/>
          <w:sz w:val="16"/>
          <w:szCs w:val="16"/>
        </w:rPr>
        <w:t>[94] See Dorsey, op.cit., p. 37, for comparison of equipment.</w:t>
      </w:r>
    </w:p>
    <w:p w:rsidR="00821A88" w:rsidRPr="007F536A" w:rsidRDefault="00821A88" w:rsidP="00821A88">
      <w:pPr>
        <w:pStyle w:val="NoSpacing"/>
        <w:rPr>
          <w:rFonts w:ascii="Book Antiqua" w:hAnsi="Book Antiqua"/>
          <w:sz w:val="16"/>
          <w:szCs w:val="16"/>
        </w:rPr>
      </w:pPr>
      <w:bookmarkStart w:id="200" w:name="a33"/>
      <w:bookmarkEnd w:id="200"/>
      <w:r w:rsidRPr="007F536A">
        <w:rPr>
          <w:rFonts w:ascii="Book Antiqua" w:hAnsi="Book Antiqua"/>
          <w:sz w:val="16"/>
          <w:szCs w:val="16"/>
        </w:rPr>
        <w:t xml:space="preserve">[95]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131</w:t>
      </w:r>
      <w:r w:rsidRPr="007F536A">
        <w:rPr>
          <w:rFonts w:ascii="Book Antiqua" w:hAnsi="Book Antiqua"/>
          <w:sz w:val="16"/>
          <w:szCs w:val="16"/>
        </w:rPr>
        <w:t xml:space="preserve">, p. 731, (1900). </w:t>
      </w:r>
    </w:p>
    <w:p w:rsidR="00821A88" w:rsidRPr="007F536A" w:rsidRDefault="00821A88" w:rsidP="00821A88">
      <w:pPr>
        <w:pStyle w:val="NoSpacing"/>
        <w:rPr>
          <w:rFonts w:ascii="Book Antiqua" w:hAnsi="Book Antiqua"/>
          <w:sz w:val="16"/>
          <w:szCs w:val="16"/>
        </w:rPr>
      </w:pPr>
      <w:bookmarkStart w:id="201" w:name="a34"/>
      <w:bookmarkEnd w:id="201"/>
      <w:r w:rsidRPr="007F536A">
        <w:rPr>
          <w:rFonts w:ascii="Book Antiqua" w:hAnsi="Book Antiqua"/>
          <w:sz w:val="16"/>
          <w:szCs w:val="16"/>
        </w:rPr>
        <w:t xml:space="preserve">[96] J. Perrotin, </w:t>
      </w:r>
      <w:r w:rsidRPr="007F536A">
        <w:rPr>
          <w:rStyle w:val="Emphasis"/>
          <w:rFonts w:ascii="Book Antiqua" w:hAnsi="Book Antiqua"/>
          <w:sz w:val="16"/>
          <w:szCs w:val="16"/>
        </w:rPr>
        <w:t>Comptus Rendus</w:t>
      </w:r>
      <w:r w:rsidRPr="007F536A">
        <w:rPr>
          <w:rFonts w:ascii="Book Antiqua" w:hAnsi="Book Antiqua"/>
          <w:sz w:val="16"/>
          <w:szCs w:val="16"/>
        </w:rPr>
        <w:t xml:space="preserve">, Vol. </w:t>
      </w:r>
      <w:r w:rsidRPr="007F536A">
        <w:rPr>
          <w:rFonts w:ascii="Book Antiqua" w:hAnsi="Book Antiqua"/>
          <w:b/>
          <w:sz w:val="16"/>
          <w:szCs w:val="16"/>
        </w:rPr>
        <w:t>135</w:t>
      </w:r>
      <w:r w:rsidRPr="007F536A">
        <w:rPr>
          <w:rFonts w:ascii="Book Antiqua" w:hAnsi="Book Antiqua"/>
          <w:sz w:val="16"/>
          <w:szCs w:val="16"/>
        </w:rPr>
        <w:t>, p. 881, (1902).</w:t>
      </w:r>
    </w:p>
    <w:p w:rsidR="00821A88" w:rsidRPr="007F536A" w:rsidRDefault="00821A88" w:rsidP="00821A88">
      <w:pPr>
        <w:pStyle w:val="NoSpacing"/>
        <w:rPr>
          <w:rFonts w:ascii="Book Antiqua" w:hAnsi="Book Antiqua"/>
          <w:sz w:val="16"/>
          <w:szCs w:val="16"/>
        </w:rPr>
      </w:pPr>
      <w:bookmarkStart w:id="202" w:name="a35"/>
      <w:bookmarkEnd w:id="202"/>
      <w:r w:rsidRPr="007F536A">
        <w:rPr>
          <w:rFonts w:ascii="Book Antiqua" w:hAnsi="Book Antiqua"/>
          <w:sz w:val="16"/>
          <w:szCs w:val="16"/>
        </w:rPr>
        <w:t>[ 97] Ibid. p. 883.</w:t>
      </w:r>
    </w:p>
    <w:p w:rsidR="00821A88" w:rsidRPr="007F536A" w:rsidRDefault="00821A88" w:rsidP="00821A88">
      <w:pPr>
        <w:pStyle w:val="NoSpacing"/>
        <w:rPr>
          <w:rFonts w:ascii="Book Antiqua" w:hAnsi="Book Antiqua"/>
          <w:sz w:val="16"/>
          <w:szCs w:val="16"/>
        </w:rPr>
      </w:pPr>
      <w:bookmarkStart w:id="203" w:name="a36"/>
      <w:bookmarkEnd w:id="203"/>
      <w:r w:rsidRPr="007F536A">
        <w:rPr>
          <w:rFonts w:ascii="Book Antiqua" w:hAnsi="Book Antiqua"/>
          <w:sz w:val="16"/>
          <w:szCs w:val="16"/>
        </w:rPr>
        <w:t xml:space="preserve">[98] Dorsey, op.cit., p. 37. See also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1927, pp. 603-604.</w:t>
      </w:r>
    </w:p>
    <w:p w:rsidR="00821A88" w:rsidRPr="007F536A" w:rsidRDefault="00821A88" w:rsidP="00821A88">
      <w:pPr>
        <w:pStyle w:val="NoSpacing"/>
        <w:rPr>
          <w:rFonts w:ascii="Book Antiqua" w:hAnsi="Book Antiqua"/>
          <w:sz w:val="16"/>
          <w:szCs w:val="16"/>
        </w:rPr>
      </w:pPr>
      <w:bookmarkStart w:id="204" w:name="a37"/>
      <w:bookmarkEnd w:id="204"/>
      <w:r w:rsidRPr="007F536A">
        <w:rPr>
          <w:rFonts w:ascii="Book Antiqua" w:hAnsi="Book Antiqua"/>
          <w:sz w:val="16"/>
          <w:szCs w:val="16"/>
        </w:rPr>
        <w:t xml:space="preserve">[99] J. Perrotin and Prim, </w:t>
      </w:r>
      <w:r w:rsidRPr="007F536A">
        <w:rPr>
          <w:rStyle w:val="Emphasis"/>
          <w:rFonts w:ascii="Book Antiqua" w:hAnsi="Book Antiqua"/>
          <w:sz w:val="16"/>
          <w:szCs w:val="16"/>
        </w:rPr>
        <w:t>Annales de L’Observatoire Nice</w:t>
      </w:r>
      <w:r w:rsidRPr="007F536A">
        <w:rPr>
          <w:rFonts w:ascii="Book Antiqua" w:hAnsi="Book Antiqua"/>
          <w:sz w:val="16"/>
          <w:szCs w:val="16"/>
        </w:rPr>
        <w:t xml:space="preserve">, vol. </w:t>
      </w:r>
      <w:r w:rsidRPr="007F536A">
        <w:rPr>
          <w:rFonts w:ascii="Book Antiqua" w:hAnsi="Book Antiqua"/>
          <w:b/>
          <w:sz w:val="16"/>
          <w:szCs w:val="16"/>
        </w:rPr>
        <w:t>11</w:t>
      </w:r>
      <w:r w:rsidRPr="007F536A">
        <w:rPr>
          <w:rFonts w:ascii="Book Antiqua" w:hAnsi="Book Antiqua"/>
          <w:sz w:val="16"/>
          <w:szCs w:val="16"/>
        </w:rPr>
        <w:t>, pp. A1-A98, (1908).</w:t>
      </w:r>
    </w:p>
    <w:p w:rsidR="00821A88" w:rsidRPr="007F536A" w:rsidRDefault="00821A88" w:rsidP="00821A88">
      <w:pPr>
        <w:pStyle w:val="NoSpacing"/>
        <w:rPr>
          <w:rFonts w:ascii="Book Antiqua" w:hAnsi="Book Antiqua"/>
          <w:sz w:val="16"/>
          <w:szCs w:val="16"/>
        </w:rPr>
      </w:pPr>
      <w:bookmarkStart w:id="205" w:name="a38"/>
      <w:bookmarkEnd w:id="205"/>
      <w:r w:rsidRPr="007F536A">
        <w:rPr>
          <w:rFonts w:ascii="Book Antiqua" w:hAnsi="Book Antiqua"/>
          <w:sz w:val="16"/>
          <w:szCs w:val="16"/>
        </w:rPr>
        <w:t xml:space="preserve">[100] A. A. Michelson, </w:t>
      </w:r>
      <w:r w:rsidRPr="007F536A">
        <w:rPr>
          <w:rStyle w:val="Emphasis"/>
          <w:rFonts w:ascii="Book Antiqua" w:hAnsi="Book Antiqua"/>
          <w:sz w:val="16"/>
          <w:szCs w:val="16"/>
        </w:rPr>
        <w:t>Journal of the Franklin Institute</w:t>
      </w:r>
      <w:r w:rsidRPr="007F536A">
        <w:rPr>
          <w:rFonts w:ascii="Book Antiqua" w:hAnsi="Book Antiqua"/>
          <w:sz w:val="16"/>
          <w:szCs w:val="16"/>
        </w:rPr>
        <w:t xml:space="preserve">,  p. 627 (Nov. 1924), and </w:t>
      </w:r>
      <w:r w:rsidRPr="007F536A">
        <w:rPr>
          <w:rStyle w:val="Emphasis"/>
          <w:rFonts w:ascii="Book Antiqua" w:hAnsi="Book Antiqua"/>
          <w:sz w:val="16"/>
          <w:szCs w:val="16"/>
        </w:rPr>
        <w:t>Nature</w:t>
      </w:r>
      <w:r w:rsidRPr="007F536A">
        <w:rPr>
          <w:rFonts w:ascii="Book Antiqua" w:hAnsi="Book Antiqua"/>
          <w:sz w:val="16"/>
          <w:szCs w:val="16"/>
        </w:rPr>
        <w:t xml:space="preserve">,  p. 831, (Dec. 6, 1924). See also M. E. J. Gheury de Bray, </w:t>
      </w:r>
      <w:r w:rsidRPr="007F536A">
        <w:rPr>
          <w:rStyle w:val="Emphasis"/>
          <w:rFonts w:ascii="Book Antiqua" w:hAnsi="Book Antiqua"/>
          <w:sz w:val="16"/>
          <w:szCs w:val="16"/>
        </w:rPr>
        <w:t>Nature</w:t>
      </w:r>
      <w:r w:rsidRPr="007F536A">
        <w:rPr>
          <w:rFonts w:ascii="Book Antiqua" w:hAnsi="Book Antiqua"/>
          <w:sz w:val="16"/>
          <w:szCs w:val="16"/>
        </w:rPr>
        <w:t>, Vol.</w:t>
      </w:r>
      <w:r w:rsidRPr="007F536A">
        <w:rPr>
          <w:rFonts w:ascii="Book Antiqua" w:hAnsi="Book Antiqua"/>
          <w:b/>
          <w:sz w:val="16"/>
          <w:szCs w:val="16"/>
        </w:rPr>
        <w:t xml:space="preserve"> 120</w:t>
      </w:r>
      <w:r w:rsidRPr="007F536A">
        <w:rPr>
          <w:rFonts w:ascii="Book Antiqua" w:hAnsi="Book Antiqua"/>
          <w:sz w:val="16"/>
          <w:szCs w:val="16"/>
        </w:rPr>
        <w:t>, p. 604, (Oct. 22, 1927) .</w:t>
      </w:r>
    </w:p>
    <w:p w:rsidR="00821A88" w:rsidRPr="007F536A" w:rsidRDefault="00821A88" w:rsidP="00821A88">
      <w:pPr>
        <w:pStyle w:val="NoSpacing"/>
        <w:rPr>
          <w:rFonts w:ascii="Book Antiqua" w:hAnsi="Book Antiqua"/>
          <w:sz w:val="16"/>
          <w:szCs w:val="16"/>
        </w:rPr>
      </w:pPr>
      <w:bookmarkStart w:id="206" w:name="a39"/>
      <w:bookmarkEnd w:id="206"/>
      <w:r w:rsidRPr="007F536A">
        <w:rPr>
          <w:rFonts w:ascii="Book Antiqua" w:hAnsi="Book Antiqua"/>
          <w:sz w:val="16"/>
          <w:szCs w:val="16"/>
        </w:rPr>
        <w:t xml:space="preserve">[101] M. E. 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Oct. 22, p. 603, (1927), quoting H. Fizeau,</w:t>
      </w:r>
      <w:r w:rsidRPr="007F536A">
        <w:rPr>
          <w:rFonts w:ascii="Book Antiqua" w:hAnsi="Book Antiqua"/>
          <w:i/>
          <w:sz w:val="16"/>
          <w:szCs w:val="16"/>
        </w:rPr>
        <w:t xml:space="preserve"> </w:t>
      </w:r>
      <w:r w:rsidRPr="007F536A">
        <w:rPr>
          <w:rStyle w:val="Emphasis"/>
          <w:rFonts w:ascii="Book Antiqua" w:hAnsi="Book Antiqua"/>
          <w:sz w:val="16"/>
          <w:szCs w:val="16"/>
        </w:rPr>
        <w:t>Comptus Rendus</w:t>
      </w:r>
      <w:r w:rsidRPr="007F536A">
        <w:rPr>
          <w:rFonts w:ascii="Book Antiqua" w:hAnsi="Book Antiqua"/>
          <w:b/>
          <w:i/>
          <w:sz w:val="16"/>
          <w:szCs w:val="16"/>
        </w:rPr>
        <w:t xml:space="preserve"> </w:t>
      </w:r>
      <w:r w:rsidRPr="007F536A">
        <w:rPr>
          <w:rFonts w:ascii="Book Antiqua" w:hAnsi="Book Antiqua"/>
          <w:b/>
          <w:sz w:val="16"/>
          <w:szCs w:val="16"/>
        </w:rPr>
        <w:t>29</w:t>
      </w:r>
      <w:r w:rsidRPr="007F536A">
        <w:rPr>
          <w:rFonts w:ascii="Book Antiqua" w:hAnsi="Book Antiqua"/>
          <w:sz w:val="16"/>
          <w:szCs w:val="16"/>
        </w:rPr>
        <w:t>:90 (1849).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[102] C. Wheatstone, </w:t>
      </w:r>
      <w:r w:rsidRPr="007F536A">
        <w:rPr>
          <w:rStyle w:val="Emphasis"/>
          <w:rFonts w:ascii="Book Antiqua" w:hAnsi="Book Antiqua"/>
          <w:sz w:val="16"/>
          <w:szCs w:val="16"/>
        </w:rPr>
        <w:t>Philosophical Transactions</w:t>
      </w:r>
      <w:r w:rsidRPr="007F536A">
        <w:rPr>
          <w:rFonts w:ascii="Book Antiqua" w:hAnsi="Book Antiqua"/>
          <w:sz w:val="16"/>
          <w:szCs w:val="16"/>
        </w:rPr>
        <w:t xml:space="preserve">, 583 (1834).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[103] F. A. Jenkins and H. E. White, </w:t>
      </w:r>
      <w:r w:rsidRPr="007F536A">
        <w:rPr>
          <w:rStyle w:val="Emphasis"/>
          <w:rFonts w:ascii="Book Antiqua" w:hAnsi="Book Antiqua"/>
          <w:sz w:val="16"/>
          <w:szCs w:val="16"/>
        </w:rPr>
        <w:t>Fundamentals of Optics</w:t>
      </w:r>
      <w:r w:rsidRPr="007F536A">
        <w:rPr>
          <w:rFonts w:ascii="Book Antiqua" w:hAnsi="Book Antiqua"/>
          <w:i/>
          <w:sz w:val="16"/>
          <w:szCs w:val="16"/>
        </w:rPr>
        <w:t>,</w:t>
      </w:r>
      <w:r w:rsidRPr="007F536A">
        <w:rPr>
          <w:rFonts w:ascii="Book Antiqua" w:hAnsi="Book Antiqua"/>
          <w:sz w:val="16"/>
          <w:szCs w:val="16"/>
        </w:rPr>
        <w:t xml:space="preserve"> pp 387, 388, 554, McGraw-Hill,  New York, 3rd Edition,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[104] S. G. Starling &amp; A. J. Woodall, </w:t>
      </w:r>
      <w:r w:rsidRPr="007F536A">
        <w:rPr>
          <w:rStyle w:val="Emphasis"/>
          <w:rFonts w:ascii="Book Antiqua" w:hAnsi="Book Antiqua"/>
          <w:b/>
          <w:sz w:val="16"/>
          <w:szCs w:val="16"/>
        </w:rPr>
        <w:t>Physics</w:t>
      </w:r>
      <w:r w:rsidRPr="007F536A">
        <w:rPr>
          <w:rFonts w:ascii="Book Antiqua" w:hAnsi="Book Antiqua"/>
          <w:sz w:val="16"/>
          <w:szCs w:val="16"/>
        </w:rPr>
        <w:t>, p. 691, Longmans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[105] D. F. J. Arago,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7</w:t>
      </w:r>
      <w:r w:rsidRPr="007F536A">
        <w:rPr>
          <w:rFonts w:ascii="Book Antiqua" w:hAnsi="Book Antiqua"/>
          <w:sz w:val="16"/>
          <w:szCs w:val="16"/>
        </w:rPr>
        <w:t xml:space="preserve">:954 (1838) and </w:t>
      </w:r>
      <w:r w:rsidRPr="007F536A">
        <w:rPr>
          <w:rFonts w:ascii="Book Antiqua" w:hAnsi="Book Antiqua"/>
          <w:b/>
          <w:sz w:val="16"/>
          <w:szCs w:val="16"/>
        </w:rPr>
        <w:t>30</w:t>
      </w:r>
      <w:r w:rsidRPr="007F536A">
        <w:rPr>
          <w:rFonts w:ascii="Book Antiqua" w:hAnsi="Book Antiqua"/>
          <w:sz w:val="16"/>
          <w:szCs w:val="16"/>
        </w:rPr>
        <w:t>:489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Also  </w:t>
      </w:r>
      <w:r w:rsidRPr="007F536A">
        <w:rPr>
          <w:rStyle w:val="Emphasis"/>
          <w:rFonts w:ascii="Book Antiqua" w:hAnsi="Book Antiqua"/>
          <w:sz w:val="16"/>
          <w:szCs w:val="16"/>
        </w:rPr>
        <w:t>Pogg. Ann</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:28 (1839).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[106] L. Foucault, </w:t>
      </w:r>
      <w:r w:rsidRPr="007F536A">
        <w:rPr>
          <w:rStyle w:val="Emphasis"/>
          <w:rFonts w:ascii="Book Antiqua" w:hAnsi="Book Antiqua"/>
          <w:sz w:val="16"/>
          <w:szCs w:val="16"/>
        </w:rPr>
        <w:t>Comptus Rendus</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xml:space="preserve">:551-560 (1850), also </w:t>
      </w:r>
      <w:r w:rsidRPr="007F536A">
        <w:rPr>
          <w:rStyle w:val="Emphasis"/>
          <w:rFonts w:ascii="Book Antiqua" w:hAnsi="Book Antiqua"/>
          <w:sz w:val="16"/>
          <w:szCs w:val="16"/>
        </w:rPr>
        <w:t>Annales</w:t>
      </w:r>
      <w:r w:rsidR="00EB1629">
        <w:rPr>
          <w:rStyle w:val="Emphasis"/>
          <w:rFonts w:ascii="Book Antiqua" w:hAnsi="Book Antiqua"/>
          <w:sz w:val="16"/>
          <w:szCs w:val="16"/>
        </w:rPr>
        <w:t xml:space="preserve"> </w:t>
      </w:r>
      <w:r w:rsidRPr="007F536A">
        <w:rPr>
          <w:rStyle w:val="Emphasis"/>
          <w:rFonts w:ascii="Book Antiqua" w:hAnsi="Book Antiqua"/>
          <w:sz w:val="16"/>
          <w:szCs w:val="16"/>
        </w:rPr>
        <w:t>de Chmie et Physique</w:t>
      </w:r>
      <w:r w:rsidRPr="007F536A">
        <w:rPr>
          <w:rFonts w:ascii="Book Antiqua" w:hAnsi="Book Antiqua"/>
          <w:sz w:val="16"/>
          <w:szCs w:val="16"/>
        </w:rPr>
        <w:t xml:space="preserve">, Ser. 3, </w:t>
      </w:r>
      <w:r w:rsidRPr="007F536A">
        <w:rPr>
          <w:rFonts w:ascii="Book Antiqua" w:hAnsi="Book Antiqua"/>
          <w:b/>
          <w:sz w:val="16"/>
          <w:szCs w:val="16"/>
        </w:rPr>
        <w:t>41</w:t>
      </w:r>
      <w:r w:rsidRPr="007F536A">
        <w:rPr>
          <w:rFonts w:ascii="Book Antiqua" w:hAnsi="Book Antiqua"/>
          <w:sz w:val="16"/>
          <w:szCs w:val="16"/>
        </w:rPr>
        <w:t>:129-164 (1854).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[107] N.E. Dorsey, </w:t>
      </w:r>
      <w:r w:rsidRPr="007F536A">
        <w:rPr>
          <w:rStyle w:val="Emphasis"/>
          <w:rFonts w:ascii="Book Antiqua" w:hAnsi="Book Antiqua"/>
          <w:sz w:val="16"/>
          <w:szCs w:val="16"/>
        </w:rPr>
        <w:t>Transactions of the American Philosophical Society</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 xml:space="preserve"> Vol. XXXIV, Part 1, pp 1-108,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[108]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w:t>
      </w:r>
      <w:r w:rsidR="00EB1629">
        <w:rPr>
          <w:rFonts w:ascii="Book Antiqua" w:hAnsi="Book Antiqua"/>
          <w:sz w:val="16"/>
          <w:szCs w:val="16"/>
        </w:rPr>
        <w:t xml:space="preserve"> </w:t>
      </w:r>
      <w:r w:rsidRPr="007F536A">
        <w:rPr>
          <w:rFonts w:ascii="Book Antiqua" w:hAnsi="Book Antiqua"/>
          <w:sz w:val="16"/>
          <w:szCs w:val="16"/>
        </w:rPr>
        <w:t>pp. 219-226, Paris (1878). Numerical data, drawings and detailed description of apparatus: pp 173-226, 517-518, 546-548.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[109] L. Foucault, Comptus Rendus, </w:t>
      </w:r>
      <w:r w:rsidRPr="007F536A">
        <w:rPr>
          <w:rFonts w:ascii="Book Antiqua" w:hAnsi="Book Antiqua"/>
          <w:b/>
          <w:sz w:val="16"/>
          <w:szCs w:val="16"/>
        </w:rPr>
        <w:t>55</w:t>
      </w:r>
      <w:r w:rsidRPr="007F536A">
        <w:rPr>
          <w:rFonts w:ascii="Book Antiqua" w:hAnsi="Book Antiqua"/>
          <w:sz w:val="16"/>
          <w:szCs w:val="16"/>
        </w:rPr>
        <w:t>:501-503, 792-798 (1862).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[110] A. A. Michelson, Studies in Optics, pp 120-138, Chicago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[111] Starling and Woodall, op. cit., p. 448.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[112] L. Foucalt, </w:t>
      </w:r>
      <w:r w:rsidRPr="007F536A">
        <w:rPr>
          <w:rStyle w:val="Emphasis"/>
          <w:rFonts w:ascii="Book Antiqua" w:hAnsi="Book Antiqua"/>
          <w:sz w:val="16"/>
          <w:szCs w:val="16"/>
        </w:rPr>
        <w:t>Recueil des travaux scientifiques de Leon Foucault</w:t>
      </w:r>
      <w:r w:rsidRPr="007F536A">
        <w:rPr>
          <w:rFonts w:ascii="Book Antiqua" w:hAnsi="Book Antiqua"/>
          <w:sz w:val="16"/>
          <w:szCs w:val="16"/>
        </w:rPr>
        <w:t>, pp 792-796, (Paris,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[113]  See also Dorsey, op.cit., pp 13-14 for other details.</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[114] M.E.J. Gheury de Bray, </w:t>
      </w:r>
      <w:r w:rsidRPr="007F536A">
        <w:rPr>
          <w:rStyle w:val="Emphasis"/>
          <w:rFonts w:ascii="Book Antiqua" w:hAnsi="Book Antiqua"/>
          <w:sz w:val="16"/>
          <w:szCs w:val="16"/>
        </w:rPr>
        <w:t>Nature</w:t>
      </w:r>
      <w:r w:rsidRPr="007F536A">
        <w:rPr>
          <w:rFonts w:ascii="Book Antiqua" w:hAnsi="Book Antiqua"/>
          <w:sz w:val="16"/>
          <w:szCs w:val="16"/>
        </w:rPr>
        <w:t xml:space="preserve">, Vol. </w:t>
      </w:r>
      <w:r w:rsidRPr="007F536A">
        <w:rPr>
          <w:rFonts w:ascii="Book Antiqua" w:hAnsi="Book Antiqua"/>
          <w:b/>
          <w:sz w:val="16"/>
          <w:szCs w:val="16"/>
        </w:rPr>
        <w:t>120</w:t>
      </w:r>
      <w:r w:rsidRPr="007F536A">
        <w:rPr>
          <w:rFonts w:ascii="Book Antiqua" w:hAnsi="Book Antiqua"/>
          <w:sz w:val="16"/>
          <w:szCs w:val="16"/>
        </w:rPr>
        <w:t>, p. 603, Oct 22,1927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[115] W. Harkness, </w:t>
      </w:r>
      <w:r w:rsidRPr="007F536A">
        <w:rPr>
          <w:rStyle w:val="Emphasis"/>
          <w:rFonts w:ascii="Book Antiqua" w:hAnsi="Book Antiqua"/>
          <w:sz w:val="16"/>
          <w:szCs w:val="16"/>
        </w:rPr>
        <w:t>Washington Observations for 1885</w:t>
      </w:r>
      <w:r w:rsidRPr="007F536A">
        <w:rPr>
          <w:rFonts w:ascii="Book Antiqua" w:hAnsi="Book Antiqua"/>
          <w:sz w:val="16"/>
          <w:szCs w:val="16"/>
        </w:rPr>
        <w:t>, App. III, p. 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[116] Bulletin of the Astronomical Society of South Australia, September 1967. Also full manuscript now available on the net at:</w:t>
      </w:r>
    </w:p>
    <w:p w:rsidR="00821A88" w:rsidRPr="007F536A" w:rsidRDefault="007B3EBC" w:rsidP="00821A88">
      <w:pPr>
        <w:pStyle w:val="NoSpacing"/>
        <w:rPr>
          <w:rFonts w:ascii="Book Antiqua" w:hAnsi="Book Antiqua"/>
          <w:color w:val="FF0000"/>
          <w:sz w:val="16"/>
          <w:szCs w:val="16"/>
        </w:rPr>
      </w:pPr>
      <w:hyperlink r:id="rId131" w:history="1">
        <w:r w:rsidR="00821A88" w:rsidRPr="007F536A">
          <w:rPr>
            <w:rStyle w:val="Hyperlink"/>
            <w:rFonts w:ascii="Book Antiqua" w:hAnsi="Book Antiqua"/>
            <w:i/>
            <w:szCs w:val="16"/>
          </w:rPr>
          <w:t>http://www.setterfield.org/Dodwell_Manuscript_1.html</w:t>
        </w:r>
      </w:hyperlink>
      <w:r w:rsidR="00821A88" w:rsidRPr="007F536A">
        <w:rPr>
          <w:rFonts w:ascii="Book Antiqua" w:hAnsi="Book Antiqua"/>
          <w:sz w:val="16"/>
          <w:szCs w:val="16"/>
        </w:rPr>
        <w:t xml:space="preserve">. Also in preparation the book by G. F. Dodwell, </w:t>
      </w:r>
      <w:r w:rsidR="00821A88" w:rsidRPr="007F536A">
        <w:rPr>
          <w:rFonts w:ascii="Book Antiqua" w:hAnsi="Book Antiqua"/>
          <w:i/>
          <w:sz w:val="16"/>
          <w:szCs w:val="16"/>
        </w:rPr>
        <w:t>Our Tilted Earth</w:t>
      </w:r>
      <w:r w:rsidR="00821A88" w:rsidRPr="007F536A">
        <w:rPr>
          <w:rFonts w:ascii="Book Antiqua" w:hAnsi="Book Antiqua"/>
          <w:sz w:val="16"/>
          <w:szCs w:val="16"/>
        </w:rPr>
        <w:t>, ready for publication by Loma Linda University Press, Christmas 2012.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[117] S. Newcomb, Astronomical Papers for the American Ephemeris, Vol. 2, pp 107-230,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[118] N. E. Dorsey, op.cit.,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[119] Ibid. p. 53.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[120] S. Newcomb, op.cit., p. 192.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[121] Ibid. pp 168, 185.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[122] Ibid. Also see Dorsey, op.cit., p. 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[123] Dorsey op.cit. p. 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[124] S. Newcomb op.cit., pp 201-202; also M.E.J. Gheury de</w:t>
      </w:r>
      <w:r w:rsidR="00EB1629">
        <w:rPr>
          <w:rFonts w:ascii="Book Antiqua" w:hAnsi="Book Antiqua"/>
          <w:sz w:val="16"/>
          <w:szCs w:val="16"/>
        </w:rPr>
        <w:t xml:space="preserve"> </w:t>
      </w:r>
      <w:r w:rsidRPr="007F536A">
        <w:rPr>
          <w:rFonts w:ascii="Book Antiqua" w:hAnsi="Book Antiqua"/>
          <w:sz w:val="16"/>
          <w:szCs w:val="16"/>
        </w:rPr>
        <w:t>Bray, op.cit.,  p. 604.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[125] Jenkins and White, op.cit., pp 244-245.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[126] A.A. Michelson, </w:t>
      </w:r>
      <w:r w:rsidRPr="007F536A">
        <w:rPr>
          <w:rStyle w:val="Emphasis"/>
          <w:rFonts w:ascii="Book Antiqua" w:hAnsi="Book Antiqua"/>
          <w:sz w:val="16"/>
          <w:szCs w:val="16"/>
        </w:rPr>
        <w:t>Procedures of the American Association for the Advancement of Science</w:t>
      </w:r>
      <w:r w:rsidRPr="007F536A">
        <w:rPr>
          <w:rFonts w:ascii="Book Antiqua" w:hAnsi="Book Antiqua"/>
          <w:sz w:val="16"/>
          <w:szCs w:val="16"/>
        </w:rPr>
        <w:t xml:space="preserve">, </w:t>
      </w:r>
      <w:r w:rsidRPr="007F536A">
        <w:rPr>
          <w:rFonts w:ascii="Book Antiqua" w:hAnsi="Book Antiqua"/>
          <w:b/>
          <w:sz w:val="16"/>
          <w:szCs w:val="16"/>
        </w:rPr>
        <w:t>27</w:t>
      </w:r>
      <w:r w:rsidRPr="007F536A">
        <w:rPr>
          <w:rFonts w:ascii="Book Antiqua" w:hAnsi="Book Antiqua"/>
          <w:sz w:val="16"/>
          <w:szCs w:val="16"/>
        </w:rPr>
        <w:t xml:space="preserve">:71-77 (1878). Also </w:t>
      </w:r>
      <w:r w:rsidRPr="007F536A">
        <w:rPr>
          <w:rStyle w:val="Emphasis"/>
          <w:rFonts w:ascii="Book Antiqua" w:hAnsi="Book Antiqua"/>
          <w:sz w:val="16"/>
          <w:szCs w:val="16"/>
        </w:rPr>
        <w:t>American Journal of Science</w:t>
      </w:r>
      <w:r w:rsidRPr="007F536A">
        <w:rPr>
          <w:rFonts w:ascii="Book Antiqua" w:hAnsi="Book Antiqua"/>
          <w:sz w:val="16"/>
          <w:szCs w:val="16"/>
        </w:rPr>
        <w:t>,  Ser. 3, 15:394-395  (1878).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[127] Dorsey, op. cit. p. 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[128]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115-116,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[129] Ibid. p. 128.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[130] Ibid, comparison of pp 116, 124, 128, 132.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[131] Dorsey op.cit., p. 62.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[132]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1 Part 3, pp 141,144,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[133]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 244,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[134] Dorsey, op.cit. p. 63.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[135]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3, p. 119, footnote, (1891).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[136] D. P. Todd, </w:t>
      </w:r>
      <w:r w:rsidRPr="007F536A">
        <w:rPr>
          <w:rFonts w:ascii="Book Antiqua" w:hAnsi="Book Antiqua"/>
          <w:i/>
          <w:sz w:val="16"/>
          <w:szCs w:val="16"/>
        </w:rPr>
        <w:t>American Journal of Science</w:t>
      </w:r>
      <w:r w:rsidRPr="007F536A">
        <w:rPr>
          <w:rFonts w:ascii="Book Antiqua" w:hAnsi="Book Antiqua"/>
          <w:sz w:val="16"/>
          <w:szCs w:val="16"/>
        </w:rPr>
        <w:t>, series 3, 19:61 (1880).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[ 137 ] A. A. Michelson, </w:t>
      </w:r>
      <w:r w:rsidRPr="007F536A">
        <w:rPr>
          <w:rStyle w:val="Emphasis"/>
          <w:rFonts w:ascii="Book Antiqua" w:hAnsi="Book Antiqua"/>
          <w:sz w:val="16"/>
          <w:szCs w:val="16"/>
        </w:rPr>
        <w:t xml:space="preserve">Procedures of the American Association for the Advancement of Science, </w:t>
      </w:r>
      <w:r w:rsidRPr="007F536A">
        <w:rPr>
          <w:rFonts w:ascii="Book Antiqua" w:hAnsi="Book Antiqua"/>
          <w:sz w:val="16"/>
          <w:szCs w:val="16"/>
        </w:rPr>
        <w:t>28:124-160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[138] </w:t>
      </w:r>
      <w:r w:rsidRPr="007F536A">
        <w:rPr>
          <w:rStyle w:val="Emphasis"/>
          <w:rFonts w:ascii="Book Antiqua" w:hAnsi="Book Antiqua"/>
          <w:sz w:val="16"/>
          <w:szCs w:val="16"/>
        </w:rPr>
        <w:t>American Journal of Science</w:t>
      </w:r>
      <w:r w:rsidRPr="007F536A">
        <w:rPr>
          <w:rFonts w:ascii="Book Antiqua" w:hAnsi="Book Antiqua"/>
          <w:sz w:val="16"/>
          <w:szCs w:val="16"/>
        </w:rPr>
        <w:t xml:space="preserve">, series 3, </w:t>
      </w:r>
      <w:r w:rsidRPr="007F536A">
        <w:rPr>
          <w:rFonts w:ascii="Book Antiqua" w:hAnsi="Book Antiqua"/>
          <w:b/>
          <w:sz w:val="16"/>
          <w:szCs w:val="16"/>
        </w:rPr>
        <w:t>18</w:t>
      </w:r>
      <w:r w:rsidRPr="007F536A">
        <w:rPr>
          <w:rFonts w:ascii="Book Antiqua" w:hAnsi="Book Antiqua"/>
          <w:sz w:val="16"/>
          <w:szCs w:val="16"/>
        </w:rPr>
        <w:t>:390-393 (1879).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[139] A. A. Michelson,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Vol. 2, Part 4, pp 231-258, (1891). See also Dorsey, op.cit., pp 64-66.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[140] A. Cornu, </w:t>
      </w:r>
      <w:r w:rsidRPr="007F536A">
        <w:rPr>
          <w:rStyle w:val="Emphasis"/>
          <w:rFonts w:ascii="Book Antiqua" w:hAnsi="Book Antiqua"/>
          <w:sz w:val="16"/>
          <w:szCs w:val="16"/>
        </w:rPr>
        <w:t>Rapp. Cong. Internat. De Physique (Paris)</w:t>
      </w:r>
      <w:r w:rsidRPr="007F536A">
        <w:rPr>
          <w:rFonts w:ascii="Book Antiqua" w:hAnsi="Book Antiqua"/>
          <w:sz w:val="16"/>
          <w:szCs w:val="16"/>
        </w:rPr>
        <w:t>, 2:225-246 (1900).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[141] A. A. Michelson, astrophysical Journal, 60:256-261 (1924), especially p. 259.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[142] Newcomb, </w:t>
      </w:r>
      <w:r w:rsidRPr="007F536A">
        <w:rPr>
          <w:rStyle w:val="Emphasis"/>
          <w:rFonts w:ascii="Book Antiqua" w:hAnsi="Book Antiqua"/>
          <w:sz w:val="16"/>
          <w:szCs w:val="16"/>
        </w:rPr>
        <w:t>Astronomical Papers of the American Ephemeris Nautical Almanac</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:107-230 (1891), especially Chapter VIII.</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[143] A. A. Michelson, </w:t>
      </w:r>
      <w:r w:rsidRPr="007F536A">
        <w:rPr>
          <w:rStyle w:val="Emphasis"/>
          <w:rFonts w:ascii="Book Antiqua" w:hAnsi="Book Antiqua"/>
          <w:sz w:val="16"/>
          <w:szCs w:val="16"/>
        </w:rPr>
        <w:t>Astrophysical Journal</w:t>
      </w:r>
      <w:r w:rsidRPr="007F536A">
        <w:rPr>
          <w:rFonts w:ascii="Book Antiqua" w:hAnsi="Book Antiqua"/>
          <w:sz w:val="16"/>
          <w:szCs w:val="16"/>
        </w:rPr>
        <w:t>, 65:1-22 (1927), quoting Major W. Bowie’s report, p. 14.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[144] Michelson called 144 feet 44 meters instead of 43.9 meters, and</w:t>
      </w:r>
      <w:r w:rsidR="00EB1629">
        <w:rPr>
          <w:rFonts w:ascii="Book Antiqua" w:hAnsi="Book Antiqua"/>
          <w:sz w:val="16"/>
          <w:szCs w:val="16"/>
        </w:rPr>
        <w:t xml:space="preserve"> </w:t>
      </w:r>
      <w:r w:rsidRPr="007F536A">
        <w:rPr>
          <w:rFonts w:ascii="Book Antiqua" w:hAnsi="Book Antiqua"/>
          <w:sz w:val="16"/>
          <w:szCs w:val="16"/>
        </w:rPr>
        <w:t xml:space="preserve"> Dorsey somehow gets 35,426.18 meters out of these figures, which does not compute. Gheury de Bray (see [13]), quotes survey distance only.</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[145] A. 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60</w:t>
      </w:r>
      <w:r w:rsidRPr="007F536A">
        <w:rPr>
          <w:rFonts w:ascii="Book Antiqua" w:hAnsi="Book Antiqua"/>
          <w:sz w:val="16"/>
          <w:szCs w:val="16"/>
        </w:rPr>
        <w:t xml:space="preserve">:256-261 (1924). Also </w:t>
      </w:r>
      <w:r w:rsidRPr="007F536A">
        <w:rPr>
          <w:rStyle w:val="Emphasis"/>
          <w:rFonts w:ascii="Book Antiqua" w:hAnsi="Book Antiqua"/>
          <w:sz w:val="16"/>
          <w:szCs w:val="16"/>
        </w:rPr>
        <w:t>Journal of the Franklin Institute</w:t>
      </w:r>
      <w:r w:rsidRPr="007F536A">
        <w:rPr>
          <w:rFonts w:ascii="Book Antiqua" w:hAnsi="Book Antiqua"/>
          <w:sz w:val="16"/>
          <w:szCs w:val="16"/>
        </w:rPr>
        <w:t>,</w:t>
      </w:r>
      <w:r w:rsidRPr="007F536A">
        <w:rPr>
          <w:rFonts w:ascii="Book Antiqua" w:hAnsi="Book Antiqua"/>
          <w:b/>
          <w:sz w:val="16"/>
          <w:szCs w:val="16"/>
        </w:rPr>
        <w:t xml:space="preserve"> 198</w:t>
      </w:r>
      <w:r w:rsidRPr="007F536A">
        <w:rPr>
          <w:rFonts w:ascii="Book Antiqua" w:hAnsi="Book Antiqua"/>
          <w:sz w:val="16"/>
          <w:szCs w:val="16"/>
        </w:rPr>
        <w:t xml:space="preserve">:627-628 (1924). Also </w:t>
      </w:r>
      <w:r w:rsidRPr="007F536A">
        <w:rPr>
          <w:rStyle w:val="Emphasis"/>
          <w:rFonts w:ascii="Book Antiqua" w:hAnsi="Book Antiqua"/>
          <w:sz w:val="16"/>
          <w:szCs w:val="16"/>
        </w:rPr>
        <w:t>Nature</w:t>
      </w:r>
      <w:r w:rsidRPr="007F536A">
        <w:rPr>
          <w:rFonts w:ascii="Book Antiqua" w:hAnsi="Book Antiqua"/>
          <w:sz w:val="16"/>
          <w:szCs w:val="16"/>
        </w:rPr>
        <w:t>,</w:t>
      </w:r>
      <w:r w:rsidRPr="007F536A">
        <w:rPr>
          <w:rFonts w:ascii="Book Antiqua" w:hAnsi="Book Antiqua"/>
          <w:b/>
          <w:sz w:val="16"/>
          <w:szCs w:val="16"/>
        </w:rPr>
        <w:t xml:space="preserve"> 114</w:t>
      </w:r>
      <w:r w:rsidRPr="007F536A">
        <w:rPr>
          <w:rFonts w:ascii="Book Antiqua" w:hAnsi="Book Antiqua"/>
          <w:sz w:val="16"/>
          <w:szCs w:val="16"/>
        </w:rPr>
        <w:t xml:space="preserve">:831 (1924). Also information from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:1-22 (1927). See also Dorsey, op.cit., pp 66-69.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[146] A.A. Michelson,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:2 (1927).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[147] Dorsey, op.cit., P. 69 c.f. 70.</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[148] Description in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65</w:t>
      </w:r>
      <w:r w:rsidRPr="007F536A">
        <w:rPr>
          <w:rFonts w:ascii="Book Antiqua" w:hAnsi="Book Antiqua"/>
          <w:sz w:val="16"/>
          <w:szCs w:val="16"/>
        </w:rPr>
        <w:t xml:space="preserve">:1-22 (1927).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[ 149 ] R.T. Birge, </w:t>
      </w:r>
      <w:r w:rsidRPr="007F536A">
        <w:rPr>
          <w:rFonts w:ascii="Book Antiqua" w:hAnsi="Book Antiqua"/>
          <w:i/>
          <w:sz w:val="16"/>
          <w:szCs w:val="16"/>
        </w:rPr>
        <w:t>Reports on Progress in Physics</w:t>
      </w:r>
      <w:r w:rsidRPr="007F536A">
        <w:rPr>
          <w:rFonts w:ascii="Book Antiqua" w:hAnsi="Book Antiqua"/>
          <w:sz w:val="16"/>
          <w:szCs w:val="16"/>
        </w:rPr>
        <w:t xml:space="preserve">, vol. </w:t>
      </w:r>
      <w:r w:rsidRPr="007F536A">
        <w:rPr>
          <w:rFonts w:ascii="Book Antiqua" w:hAnsi="Book Antiqua"/>
          <w:b/>
          <w:sz w:val="16"/>
          <w:szCs w:val="16"/>
        </w:rPr>
        <w:t>8</w:t>
      </w:r>
      <w:r w:rsidRPr="007F536A">
        <w:rPr>
          <w:rFonts w:ascii="Book Antiqua" w:hAnsi="Book Antiqua"/>
          <w:sz w:val="16"/>
          <w:szCs w:val="16"/>
        </w:rPr>
        <w:t>, p. 94,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[150] Jenkins and White, op. cit., p. 389; Gheury de Bray, ref. [13], p. 603.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[151] Dorsey, op.cit.,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[152] Michelson, Pease, Pearson, </w:t>
      </w:r>
      <w:r w:rsidRPr="007F536A">
        <w:rPr>
          <w:rStyle w:val="Emphasis"/>
          <w:rFonts w:ascii="Book Antiqua" w:hAnsi="Book Antiqua"/>
          <w:sz w:val="16"/>
          <w:szCs w:val="16"/>
        </w:rPr>
        <w:t>Astrophysical Journal</w:t>
      </w:r>
      <w:r w:rsidRPr="007F536A">
        <w:rPr>
          <w:rFonts w:ascii="Book Antiqua" w:hAnsi="Book Antiqua"/>
          <w:sz w:val="16"/>
          <w:szCs w:val="16"/>
        </w:rPr>
        <w:t xml:space="preserve">, </w:t>
      </w:r>
      <w:r w:rsidRPr="007F536A">
        <w:rPr>
          <w:rFonts w:ascii="Book Antiqua" w:hAnsi="Book Antiqua"/>
          <w:b/>
          <w:sz w:val="16"/>
          <w:szCs w:val="16"/>
        </w:rPr>
        <w:t>82</w:t>
      </w:r>
      <w:r w:rsidRPr="007F536A">
        <w:rPr>
          <w:rFonts w:ascii="Book Antiqua" w:hAnsi="Book Antiqua"/>
          <w:sz w:val="16"/>
          <w:szCs w:val="16"/>
        </w:rPr>
        <w:t>:26-61 (1935).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[153] R.T. Birge, op,cit., p. 95.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[154] E.R. Cohen, et. al., </w:t>
      </w:r>
      <w:r w:rsidRPr="007F536A">
        <w:rPr>
          <w:rStyle w:val="Emphasis"/>
          <w:rFonts w:ascii="Book Antiqua" w:hAnsi="Book Antiqua"/>
          <w:sz w:val="16"/>
          <w:szCs w:val="16"/>
        </w:rPr>
        <w:t>The Fundamental Constants of Physics</w:t>
      </w:r>
      <w:r w:rsidRPr="007F536A">
        <w:rPr>
          <w:rFonts w:ascii="Book Antiqua" w:hAnsi="Book Antiqua"/>
          <w:sz w:val="16"/>
          <w:szCs w:val="16"/>
        </w:rPr>
        <w:t>, (1957) p. 108.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[155] R.T. Birge, op. cit., p. 93.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[156] Dorsey, op. cit. p. 74.</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[157] M.E.J. Gheury de Bray, </w:t>
      </w:r>
      <w:r w:rsidRPr="007F536A">
        <w:rPr>
          <w:rFonts w:ascii="Book Antiqua" w:hAnsi="Book Antiqua"/>
          <w:i/>
          <w:sz w:val="16"/>
          <w:szCs w:val="16"/>
        </w:rPr>
        <w:t>Isis</w:t>
      </w:r>
      <w:r w:rsidRPr="007F536A">
        <w:rPr>
          <w:rFonts w:ascii="Book Antiqua" w:hAnsi="Book Antiqua"/>
          <w:sz w:val="16"/>
          <w:szCs w:val="16"/>
        </w:rPr>
        <w:t>, vol</w:t>
      </w:r>
      <w:r w:rsidRPr="007F536A">
        <w:rPr>
          <w:rFonts w:ascii="Book Antiqua" w:hAnsi="Book Antiqua"/>
          <w:b/>
          <w:sz w:val="16"/>
          <w:szCs w:val="16"/>
        </w:rPr>
        <w:t>. 25</w:t>
      </w:r>
      <w:r w:rsidRPr="007F536A">
        <w:rPr>
          <w:rFonts w:ascii="Book Antiqua" w:hAnsi="Book Antiqua"/>
          <w:sz w:val="16"/>
          <w:szCs w:val="16"/>
        </w:rPr>
        <w:t>, pp 437-448, esp. p. 442, (1936).</w:t>
      </w:r>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[158] D. P. Todd, “Solar Parallax From the Velocity of light,” </w:t>
      </w:r>
      <w:r w:rsidRPr="007F536A">
        <w:rPr>
          <w:rFonts w:ascii="Book Antiqua" w:hAnsi="Book Antiqua"/>
          <w:i/>
          <w:sz w:val="16"/>
          <w:szCs w:val="16"/>
        </w:rPr>
        <w:t>American Journal of Science</w:t>
      </w:r>
      <w:r w:rsidRPr="007F536A">
        <w:rPr>
          <w:rFonts w:ascii="Book Antiqua" w:hAnsi="Book Antiqua"/>
          <w:sz w:val="16"/>
          <w:szCs w:val="16"/>
        </w:rPr>
        <w:t xml:space="preserve">, Series 3, Volume </w:t>
      </w:r>
      <w:r w:rsidRPr="007F536A">
        <w:rPr>
          <w:rFonts w:ascii="Book Antiqua" w:hAnsi="Book Antiqua"/>
          <w:b/>
          <w:sz w:val="16"/>
          <w:szCs w:val="16"/>
        </w:rPr>
        <w:t>19</w:t>
      </w:r>
      <w:r w:rsidRPr="007F536A">
        <w:rPr>
          <w:rFonts w:ascii="Book Antiqua" w:hAnsi="Book Antiqua"/>
          <w:sz w:val="16"/>
          <w:szCs w:val="16"/>
        </w:rPr>
        <w:t xml:space="preserve"> (1880), pp.59-64.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[159] R. T. Birge, “The General Physical Constants,” </w:t>
      </w:r>
      <w:r w:rsidRPr="007F536A">
        <w:rPr>
          <w:rFonts w:ascii="Book Antiqua" w:hAnsi="Book Antiqua"/>
          <w:i/>
          <w:sz w:val="16"/>
          <w:szCs w:val="16"/>
        </w:rPr>
        <w:t>Reports on Progress in Physics,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xml:space="preserve"> pp.90-101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[160] A. Karolus, O. Mittelstaedt, “Die Bestimmung der Lichtgeschwindigkeit unter Verwendung des elektrooptischen Kerr-Effektes,”</w:t>
      </w:r>
      <w:r w:rsidRPr="007F536A">
        <w:rPr>
          <w:rFonts w:ascii="Book Antiqua" w:hAnsi="Book Antiqua"/>
          <w:i/>
          <w:sz w:val="16"/>
          <w:szCs w:val="16"/>
        </w:rPr>
        <w:t>Physikalische Zeitschrift</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pp.698-702 (1928).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[161] O. Mittelstaedt, “Die Bestimmung der Lichtgeschwindigkeit unter Verwendung des elektrooptischen Kerreffektes,” </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series 5, pp.285-312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[162] O. Mittelstaedt, “Uber die Messung der Lichtgeschwindigkeit,” </w:t>
      </w:r>
      <w:r w:rsidRPr="007F536A">
        <w:rPr>
          <w:rFonts w:ascii="Book Antiqua" w:hAnsi="Book Antiqua"/>
          <w:i/>
          <w:sz w:val="16"/>
          <w:szCs w:val="16"/>
        </w:rPr>
        <w:t>Physikalische Zeitschrift</w:t>
      </w:r>
      <w:r w:rsidRPr="007F536A">
        <w:rPr>
          <w:rFonts w:ascii="Book Antiqua" w:hAnsi="Book Antiqua"/>
          <w:sz w:val="16"/>
          <w:szCs w:val="16"/>
        </w:rPr>
        <w:t>, 30, pp.165-167 (1929).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[163] M. E. J. Gheury de Bray, “The Velocity of Light,” </w:t>
      </w:r>
      <w:r w:rsidRPr="007F536A">
        <w:rPr>
          <w:rFonts w:ascii="Book Antiqua" w:hAnsi="Book Antiqua"/>
          <w:i/>
          <w:sz w:val="16"/>
          <w:szCs w:val="16"/>
        </w:rPr>
        <w:t>Isis</w:t>
      </w:r>
      <w:r w:rsidRPr="007F536A">
        <w:rPr>
          <w:rFonts w:ascii="Book Antiqua" w:hAnsi="Book Antiqua"/>
          <w:sz w:val="16"/>
          <w:szCs w:val="16"/>
        </w:rPr>
        <w:t>, 25, pp.437-448 (1936).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[164] W. C. Anderson, “A Measurement of the Velocity of Light,” </w:t>
      </w:r>
      <w:r w:rsidRPr="007F536A">
        <w:rPr>
          <w:rFonts w:ascii="Book Antiqua" w:hAnsi="Book Antiqua"/>
          <w:i/>
          <w:sz w:val="16"/>
          <w:szCs w:val="16"/>
        </w:rPr>
        <w:t>Review of Scientific Instruments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pp.239-247, July 1937.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[165] W. C. Anderson, “Final Measurements of the Velocity of Light,”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 pp. 187-197, March 1941.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[166] A. Huttel, “Ein Methode zur Bestimmung der Lichtgeschwindigkeit unter Anwendung des Kerreffektes und einer Photozelle als phasenabhangigen Gleichrichter,”</w:t>
      </w:r>
      <w:r w:rsidRPr="007F536A">
        <w:rPr>
          <w:rFonts w:ascii="Book Antiqua" w:hAnsi="Book Antiqua"/>
          <w:i/>
          <w:sz w:val="16"/>
          <w:szCs w:val="16"/>
        </w:rPr>
        <w:t>Annalen der Physik</w:t>
      </w:r>
      <w:r w:rsidRPr="007F536A">
        <w:rPr>
          <w:rFonts w:ascii="Book Antiqua" w:hAnsi="Book Antiqua"/>
          <w:sz w:val="16"/>
          <w:szCs w:val="16"/>
        </w:rPr>
        <w:t xml:space="preserve">, </w:t>
      </w:r>
      <w:r w:rsidRPr="007F536A">
        <w:rPr>
          <w:rFonts w:ascii="Book Antiqua" w:hAnsi="Book Antiqua"/>
          <w:b/>
          <w:sz w:val="16"/>
          <w:szCs w:val="16"/>
        </w:rPr>
        <w:t>37</w:t>
      </w:r>
      <w:r w:rsidRPr="007F536A">
        <w:rPr>
          <w:rFonts w:ascii="Book Antiqua" w:hAnsi="Book Antiqua"/>
          <w:sz w:val="16"/>
          <w:szCs w:val="16"/>
        </w:rPr>
        <w:t>, series 5, pp. 365-402 (1940).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[167] N. E. Dorsey, “The Velocity of Light</w:t>
      </w:r>
      <w:r w:rsidRPr="007F536A">
        <w:rPr>
          <w:rFonts w:ascii="Book Antiqua" w:hAnsi="Book Antiqua"/>
          <w:i/>
          <w:sz w:val="16"/>
          <w:szCs w:val="16"/>
        </w:rPr>
        <w:t>,” Transactions of the American Philosophical Society</w:t>
      </w:r>
      <w:r w:rsidRPr="007F536A">
        <w:rPr>
          <w:rFonts w:ascii="Book Antiqua" w:hAnsi="Book Antiqua"/>
          <w:sz w:val="16"/>
          <w:szCs w:val="16"/>
        </w:rPr>
        <w:t xml:space="preserve">, </w:t>
      </w:r>
      <w:r w:rsidRPr="007F536A">
        <w:rPr>
          <w:rFonts w:ascii="Book Antiqua" w:hAnsi="Book Antiqua"/>
          <w:b/>
          <w:sz w:val="16"/>
          <w:szCs w:val="16"/>
        </w:rPr>
        <w:t>34</w:t>
      </w:r>
      <w:r w:rsidRPr="007F536A">
        <w:rPr>
          <w:rFonts w:ascii="Book Antiqua" w:hAnsi="Book Antiqua"/>
          <w:sz w:val="16"/>
          <w:szCs w:val="16"/>
        </w:rPr>
        <w:t xml:space="preserve"> (Part 1), pp. 83-84, Oct. 1944.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[168] R. T. Birge, reference [1], p.97.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[169] K. D. Froome and L. Essen, </w:t>
      </w:r>
      <w:r w:rsidRPr="007F536A">
        <w:rPr>
          <w:rFonts w:ascii="Book Antiqua" w:hAnsi="Book Antiqua"/>
          <w:i/>
          <w:sz w:val="16"/>
          <w:szCs w:val="16"/>
        </w:rPr>
        <w:t>The Velocity of Light and Radio Waves</w:t>
      </w:r>
      <w:r w:rsidRPr="007F536A">
        <w:rPr>
          <w:rFonts w:ascii="Book Antiqua" w:hAnsi="Book Antiqua"/>
          <w:sz w:val="16"/>
          <w:szCs w:val="16"/>
        </w:rPr>
        <w:t>, data from pp. 136-137, Academic Press, London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[170] B. N. Taylor, W. H. Parker, D. N. Langenberg,”Determination of e/h Using Macroscopic Quantum Phase Coherence in Superconductors: Implications for Quantum Electrodynamics and the Fundamental Physical Constants,”</w:t>
      </w:r>
      <w:r w:rsidRPr="007F536A">
        <w:rPr>
          <w:rFonts w:ascii="Book Antiqua" w:hAnsi="Book Antiqua"/>
          <w:i/>
          <w:sz w:val="16"/>
          <w:szCs w:val="16"/>
        </w:rPr>
        <w:t>Reviews of Modern Physics</w:t>
      </w:r>
      <w:r w:rsidRPr="007F536A">
        <w:rPr>
          <w:rFonts w:ascii="Book Antiqua" w:hAnsi="Book Antiqua"/>
          <w:sz w:val="16"/>
          <w:szCs w:val="16"/>
        </w:rPr>
        <w:t xml:space="preserve">, </w:t>
      </w:r>
      <w:r w:rsidRPr="007F536A">
        <w:rPr>
          <w:rFonts w:ascii="Book Antiqua" w:hAnsi="Book Antiqua"/>
          <w:b/>
          <w:sz w:val="16"/>
          <w:szCs w:val="16"/>
        </w:rPr>
        <w:t>41</w:t>
      </w:r>
      <w:r w:rsidRPr="007F536A">
        <w:rPr>
          <w:rFonts w:ascii="Book Antiqua" w:hAnsi="Book Antiqua"/>
          <w:sz w:val="16"/>
          <w:szCs w:val="16"/>
        </w:rPr>
        <w:t>:3, pp. 375-496, July 1969.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[171] K. D. Froome and L. Essen, op. cit., p. 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[172] J. F. Mulligan, D. F. McDonald, “Some Recent Determinations of the Velocity of Light II,”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25</w:t>
      </w:r>
      <w:r w:rsidRPr="007F536A">
        <w:rPr>
          <w:rFonts w:ascii="Book Antiqua" w:hAnsi="Book Antiqua"/>
          <w:sz w:val="16"/>
          <w:szCs w:val="16"/>
        </w:rPr>
        <w:t>, pp. 180-192, (1957). Also Froome and Essen, op. cit., reference [1</w:t>
      </w:r>
      <w:r w:rsidR="00BD6F2A">
        <w:rPr>
          <w:rFonts w:ascii="Book Antiqua" w:hAnsi="Book Antiqua"/>
          <w:sz w:val="16"/>
          <w:szCs w:val="16"/>
        </w:rPr>
        <w:t>69</w:t>
      </w:r>
      <w:r w:rsidRPr="007F536A">
        <w:rPr>
          <w:rFonts w:ascii="Book Antiqua" w:hAnsi="Book Antiqua"/>
          <w:sz w:val="16"/>
          <w:szCs w:val="16"/>
        </w:rPr>
        <w:t xml:space="preserve">], pp. 81-82.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[173] K. D. Froome and L. Essen, op. cit., reference [1</w:t>
      </w:r>
      <w:r w:rsidR="0084686D">
        <w:rPr>
          <w:rFonts w:ascii="Book Antiqua" w:hAnsi="Book Antiqua"/>
          <w:sz w:val="16"/>
          <w:szCs w:val="16"/>
        </w:rPr>
        <w:t>69</w:t>
      </w:r>
      <w:r w:rsidRPr="007F536A">
        <w:rPr>
          <w:rFonts w:ascii="Book Antiqua" w:hAnsi="Book Antiqua"/>
          <w:sz w:val="16"/>
          <w:szCs w:val="16"/>
        </w:rPr>
        <w:t>], pp. 84, 137.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[174] L. Essen, A. C. Gordon-Smith, “The velocity of propagation of electromagnetic waves derived from the resonant frequencies of a cylindrical cavity resonator,”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A194</w:t>
      </w:r>
      <w:r w:rsidRPr="007F536A">
        <w:rPr>
          <w:rFonts w:ascii="Book Antiqua" w:hAnsi="Book Antiqua"/>
          <w:sz w:val="16"/>
          <w:szCs w:val="16"/>
        </w:rPr>
        <w:t>, pp. 348-361, (1948).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[175] C. I. Aslakson, “Velocity of Electromagnetic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164</w:t>
      </w:r>
      <w:r w:rsidRPr="007F536A">
        <w:rPr>
          <w:rFonts w:ascii="Book Antiqua" w:hAnsi="Book Antiqua"/>
          <w:sz w:val="16"/>
          <w:szCs w:val="16"/>
        </w:rPr>
        <w:t xml:space="preserve">, pp. 711-712, Oct. 22, 1949. Also, C. I. Aslakson, “Can the Velocity of Propagation of Radio Waves be Measured by Shoran?”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30</w:t>
      </w:r>
      <w:r w:rsidRPr="007F536A">
        <w:rPr>
          <w:rFonts w:ascii="Book Antiqua" w:hAnsi="Book Antiqua"/>
          <w:sz w:val="16"/>
          <w:szCs w:val="16"/>
        </w:rPr>
        <w:t>, pp. 475-487, August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[176] L. E. Bergstrand, “Velocity of Light and Measurement of Distances by High Frequency Light Signaling,”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163</w:t>
      </w:r>
      <w:r w:rsidRPr="007F536A">
        <w:rPr>
          <w:rFonts w:ascii="Book Antiqua" w:hAnsi="Book Antiqua"/>
          <w:sz w:val="16"/>
          <w:szCs w:val="16"/>
        </w:rPr>
        <w:t xml:space="preserve">, p. 338, Feb. 26, 1949. Also L. E. Bergstrand, “A preliminary determination of the velocity of light,” </w:t>
      </w:r>
      <w:r w:rsidRPr="007F536A">
        <w:rPr>
          <w:rFonts w:ascii="Book Antiqua" w:hAnsi="Book Antiqua"/>
          <w:i/>
          <w:sz w:val="16"/>
          <w:szCs w:val="16"/>
        </w:rPr>
        <w:t>Arkiv For Matematik Astronomi Och Fysik</w:t>
      </w:r>
      <w:r w:rsidRPr="007F536A">
        <w:rPr>
          <w:rFonts w:ascii="Book Antiqua" w:hAnsi="Book Antiqua"/>
          <w:sz w:val="16"/>
          <w:szCs w:val="16"/>
        </w:rPr>
        <w:t xml:space="preserve">, </w:t>
      </w:r>
      <w:r w:rsidRPr="007F536A">
        <w:rPr>
          <w:rFonts w:ascii="Book Antiqua" w:hAnsi="Book Antiqua"/>
          <w:b/>
          <w:sz w:val="16"/>
          <w:szCs w:val="16"/>
        </w:rPr>
        <w:t>A36</w:t>
      </w:r>
      <w:r w:rsidRPr="007F536A">
        <w:rPr>
          <w:rFonts w:ascii="Book Antiqua" w:hAnsi="Book Antiqua"/>
          <w:sz w:val="16"/>
          <w:szCs w:val="16"/>
        </w:rPr>
        <w:t>:20, pp. 1-11, 1949.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[177] L. Essen, “The velocity of propagation of electromagnetic waves derived from the resonant frequencies of a cylindrical cavity resonator,” Proceedings of the Royal Society (London), A204, pp. 260-277, (1950). Also L. Essen, “Velocity of Light and of Radio Waves,”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165</w:t>
      </w:r>
      <w:r w:rsidRPr="007F536A">
        <w:rPr>
          <w:rFonts w:ascii="Book Antiqua" w:hAnsi="Book Antiqua"/>
          <w:sz w:val="16"/>
          <w:szCs w:val="16"/>
        </w:rPr>
        <w:t xml:space="preserve">, pp.582-583, April 15, 1950. Also L. Essen, “Proposed New Value for the Velocity of Light,”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167</w:t>
      </w:r>
      <w:r w:rsidRPr="007F536A">
        <w:rPr>
          <w:rFonts w:ascii="Book Antiqua" w:hAnsi="Book Antiqua"/>
          <w:sz w:val="16"/>
          <w:szCs w:val="16"/>
        </w:rPr>
        <w:t>, pp. 258-259, Feb 17,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[178] K. Bol, “A Determination of the Speed of Light by the Resonant Cavity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80</w:t>
      </w:r>
      <w:r w:rsidRPr="007F536A">
        <w:rPr>
          <w:rFonts w:ascii="Book Antiqua" w:hAnsi="Book Antiqua"/>
          <w:sz w:val="16"/>
          <w:szCs w:val="16"/>
        </w:rPr>
        <w:t>, p.298, Oct. 15,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[179] L. E. Bergstrand,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165</w:t>
      </w:r>
      <w:r w:rsidRPr="007F536A">
        <w:rPr>
          <w:rFonts w:ascii="Book Antiqua" w:hAnsi="Book Antiqua"/>
          <w:sz w:val="16"/>
          <w:szCs w:val="16"/>
        </w:rPr>
        <w:t xml:space="preserve">, p. 405, Mar. 11, 1950. Also L. E. Bergstrand, “A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2</w:t>
      </w:r>
      <w:r w:rsidRPr="007F536A">
        <w:rPr>
          <w:rFonts w:ascii="Book Antiqua" w:hAnsi="Book Antiqua"/>
          <w:sz w:val="16"/>
          <w:szCs w:val="16"/>
        </w:rPr>
        <w:t>, pp.119-150, (1950).</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[180] L. E. Bergstrand, “A check determination of the velocity of light,” </w:t>
      </w:r>
      <w:r w:rsidRPr="007F536A">
        <w:rPr>
          <w:rFonts w:ascii="Book Antiqua" w:hAnsi="Book Antiqua"/>
          <w:i/>
          <w:sz w:val="16"/>
          <w:szCs w:val="16"/>
        </w:rPr>
        <w:t>Arkiv For Fysik</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pp. 479-490, (1951).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[181] C. I. Aslakson, “A New Measurement of the Velocity of Radio Waves,”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168</w:t>
      </w:r>
      <w:r w:rsidRPr="007F536A">
        <w:rPr>
          <w:rFonts w:ascii="Book Antiqua" w:hAnsi="Book Antiqua"/>
          <w:sz w:val="16"/>
          <w:szCs w:val="16"/>
        </w:rPr>
        <w:t xml:space="preserve">, pp. 505-506, Sept. 22, 1951. Also C. I. Aslakson, “Some Aspects of Electronic Surveying,” Proceedings of the American Society of Civil Engineers, 77, Separate No. 52, pp.1-17, (1951). Also C. I. Aslakson, “New Determinations of the Velocity of Radio Waves,” </w:t>
      </w:r>
      <w:r w:rsidRPr="007F536A">
        <w:rPr>
          <w:rFonts w:ascii="Book Antiqua" w:hAnsi="Book Antiqua"/>
          <w:i/>
          <w:sz w:val="16"/>
          <w:szCs w:val="16"/>
        </w:rPr>
        <w:t>Transactions of the American Geophysical Union</w:t>
      </w:r>
      <w:r w:rsidRPr="007F536A">
        <w:rPr>
          <w:rFonts w:ascii="Book Antiqua" w:hAnsi="Book Antiqua"/>
          <w:sz w:val="16"/>
          <w:szCs w:val="16"/>
        </w:rPr>
        <w:t xml:space="preserve">, </w:t>
      </w:r>
      <w:r w:rsidRPr="007F536A">
        <w:rPr>
          <w:rFonts w:ascii="Book Antiqua" w:hAnsi="Book Antiqua"/>
          <w:b/>
          <w:sz w:val="16"/>
          <w:szCs w:val="16"/>
        </w:rPr>
        <w:t>32</w:t>
      </w:r>
      <w:r w:rsidRPr="007F536A">
        <w:rPr>
          <w:rFonts w:ascii="Book Antiqua" w:hAnsi="Book Antiqua"/>
          <w:sz w:val="16"/>
          <w:szCs w:val="16"/>
        </w:rPr>
        <w:t xml:space="preserve">, pp. 813-821, Dec. 1951.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[182] K. D. Froome, “Determination of the velocity of short electromagnetic waves by interferometry</w:t>
      </w:r>
      <w:r w:rsidRPr="007F536A">
        <w:rPr>
          <w:rFonts w:ascii="Book Antiqua" w:hAnsi="Book Antiqua"/>
          <w:i/>
          <w:sz w:val="16"/>
          <w:szCs w:val="16"/>
        </w:rPr>
        <w:t>,” Proceedings of the Royal Society (London)</w:t>
      </w:r>
      <w:r w:rsidRPr="007F536A">
        <w:rPr>
          <w:rFonts w:ascii="Book Antiqua" w:hAnsi="Book Antiqua"/>
          <w:sz w:val="16"/>
          <w:szCs w:val="16"/>
        </w:rPr>
        <w:t xml:space="preserve">, </w:t>
      </w:r>
      <w:r w:rsidRPr="007F536A">
        <w:rPr>
          <w:rFonts w:ascii="Book Antiqua" w:hAnsi="Book Antiqua"/>
          <w:b/>
          <w:sz w:val="16"/>
          <w:szCs w:val="16"/>
        </w:rPr>
        <w:t>A213</w:t>
      </w:r>
      <w:r w:rsidRPr="007F536A">
        <w:rPr>
          <w:rFonts w:ascii="Book Antiqua" w:hAnsi="Book Antiqua"/>
          <w:sz w:val="16"/>
          <w:szCs w:val="16"/>
        </w:rPr>
        <w:t xml:space="preserve">, pp. 123-141, (1952). Also K. D. Froome, “A New Determination of the Velocity of Electromagnetic Radiation by Microwave Interferometry,” </w:t>
      </w:r>
      <w:r w:rsidRPr="007F536A">
        <w:rPr>
          <w:rFonts w:ascii="Book Antiqua" w:hAnsi="Book Antiqua"/>
          <w:i/>
          <w:sz w:val="16"/>
          <w:szCs w:val="16"/>
        </w:rPr>
        <w:t>Nature</w:t>
      </w:r>
      <w:r w:rsidRPr="007F536A">
        <w:rPr>
          <w:rFonts w:ascii="Book Antiqua" w:hAnsi="Book Antiqua"/>
          <w:sz w:val="16"/>
          <w:szCs w:val="16"/>
        </w:rPr>
        <w:t>,</w:t>
      </w:r>
      <w:r w:rsidRPr="007F536A">
        <w:rPr>
          <w:rFonts w:ascii="Book Antiqua" w:hAnsi="Book Antiqua"/>
          <w:b/>
          <w:sz w:val="16"/>
          <w:szCs w:val="16"/>
        </w:rPr>
        <w:t xml:space="preserve"> 169</w:t>
      </w:r>
      <w:r w:rsidRPr="007F536A">
        <w:rPr>
          <w:rFonts w:ascii="Book Antiqua" w:hAnsi="Book Antiqua"/>
          <w:sz w:val="16"/>
          <w:szCs w:val="16"/>
        </w:rPr>
        <w:t>, pp. 107-108, Jan. 19, 1952.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[183] L. E. Bergstrand, “Modern Determination of the Velocity of Light,” </w:t>
      </w:r>
      <w:r w:rsidRPr="007F536A">
        <w:rPr>
          <w:rFonts w:ascii="Book Antiqua" w:hAnsi="Book Antiqua"/>
          <w:i/>
          <w:sz w:val="16"/>
          <w:szCs w:val="16"/>
        </w:rPr>
        <w:t>Annales Francaises de Chronometrie</w:t>
      </w:r>
      <w:r w:rsidRPr="007F536A">
        <w:rPr>
          <w:rFonts w:ascii="Book Antiqua" w:hAnsi="Book Antiqua"/>
          <w:sz w:val="16"/>
          <w:szCs w:val="16"/>
        </w:rPr>
        <w:t xml:space="preserve">, </w:t>
      </w:r>
      <w:r w:rsidRPr="007F536A">
        <w:rPr>
          <w:rFonts w:ascii="Book Antiqua" w:hAnsi="Book Antiqua"/>
          <w:b/>
          <w:sz w:val="16"/>
          <w:szCs w:val="16"/>
        </w:rPr>
        <w:t>11</w:t>
      </w:r>
      <w:r w:rsidRPr="007F536A">
        <w:rPr>
          <w:rFonts w:ascii="Book Antiqua" w:hAnsi="Book Antiqua"/>
          <w:sz w:val="16"/>
          <w:szCs w:val="16"/>
        </w:rPr>
        <w:t>, pp. 97-107, (1957).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[184] K. D. Froome, “Investigation of a new form of micro-wave interferometer for determining the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A223</w:t>
      </w:r>
      <w:r w:rsidRPr="007F536A">
        <w:rPr>
          <w:rFonts w:ascii="Book Antiqua" w:hAnsi="Book Antiqua"/>
          <w:sz w:val="16"/>
          <w:szCs w:val="16"/>
        </w:rPr>
        <w:t xml:space="preserve">, pp. 195-215, (1954). Also K. D. Froome, “The Refractive Indices of Water Vapour, Air, Oxygen, Nitrogen and Argon at 72 kMc/s,” </w:t>
      </w:r>
      <w:r w:rsidRPr="007F536A">
        <w:rPr>
          <w:rFonts w:ascii="Book Antiqua" w:hAnsi="Book Antiqua"/>
          <w:i/>
          <w:sz w:val="16"/>
          <w:szCs w:val="16"/>
        </w:rPr>
        <w:t>Proceedings of the Physical Society (London)</w:t>
      </w:r>
      <w:r w:rsidRPr="007F536A">
        <w:rPr>
          <w:rFonts w:ascii="Book Antiqua" w:hAnsi="Book Antiqua"/>
          <w:sz w:val="16"/>
          <w:szCs w:val="16"/>
        </w:rPr>
        <w:t xml:space="preserve">, </w:t>
      </w:r>
      <w:r w:rsidRPr="007F536A">
        <w:rPr>
          <w:rFonts w:ascii="Book Antiqua" w:hAnsi="Book Antiqua"/>
          <w:b/>
          <w:sz w:val="16"/>
          <w:szCs w:val="16"/>
        </w:rPr>
        <w:t>B68</w:t>
      </w:r>
      <w:r w:rsidRPr="007F536A">
        <w:rPr>
          <w:rFonts w:ascii="Book Antiqua" w:hAnsi="Book Antiqua"/>
          <w:sz w:val="16"/>
          <w:szCs w:val="16"/>
        </w:rPr>
        <w:t>, pp833-835,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[185] E. F. Florman, “A Measurement of the Velocity of Propagation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pp.335-345,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[186] R. Scholdstrom, </w:t>
      </w:r>
      <w:r w:rsidRPr="007F536A">
        <w:rPr>
          <w:rFonts w:ascii="Book Antiqua" w:hAnsi="Book Antiqua"/>
          <w:i/>
          <w:sz w:val="16"/>
          <w:szCs w:val="16"/>
        </w:rPr>
        <w:t>Determination of Light Velocity on the Oland Base Line, 1955</w:t>
      </w:r>
      <w:r w:rsidRPr="007F536A">
        <w:rPr>
          <w:rFonts w:ascii="Book Antiqua" w:hAnsi="Book Antiqua"/>
          <w:sz w:val="16"/>
          <w:szCs w:val="16"/>
        </w:rPr>
        <w:t>. Issued by the AGA Ltd., Stockholm, (1955).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[187] E. K. Plyler, L. R. Blaine and W. S. Connor, “Velocity of Light From the Molecular Constants of Carbon Monoxide,”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45</w:t>
      </w:r>
      <w:r w:rsidRPr="007F536A">
        <w:rPr>
          <w:rFonts w:ascii="Book Antiqua" w:hAnsi="Book Antiqua"/>
          <w:sz w:val="16"/>
          <w:szCs w:val="16"/>
        </w:rPr>
        <w:t>, pp.102-106, Feb. 1955.</w:t>
      </w:r>
    </w:p>
    <w:p w:rsidR="00821A88" w:rsidRPr="007F536A" w:rsidRDefault="00821A88" w:rsidP="00821A88">
      <w:pPr>
        <w:pStyle w:val="NoSpacing"/>
        <w:ind w:left="720" w:hanging="720"/>
        <w:rPr>
          <w:rFonts w:ascii="Book Antiqua" w:hAnsi="Book Antiqua"/>
          <w:sz w:val="16"/>
          <w:szCs w:val="16"/>
        </w:rPr>
      </w:pPr>
      <w:r w:rsidRPr="007F536A">
        <w:rPr>
          <w:rFonts w:ascii="Book Antiqua" w:hAnsi="Book Antiqua"/>
          <w:sz w:val="16"/>
          <w:szCs w:val="16"/>
        </w:rPr>
        <w:t xml:space="preserve">[188] T. L. Wadley, “The Tellurometer System of Distance Measurement,” </w:t>
      </w:r>
      <w:r w:rsidRPr="007F536A">
        <w:rPr>
          <w:rFonts w:ascii="Book Antiqua" w:hAnsi="Book Antiqua"/>
          <w:i/>
          <w:sz w:val="16"/>
          <w:szCs w:val="16"/>
        </w:rPr>
        <w:t>Empire Survey Review</w:t>
      </w:r>
      <w:r w:rsidRPr="007F536A">
        <w:rPr>
          <w:rFonts w:ascii="Book Antiqua" w:hAnsi="Book Antiqua"/>
          <w:sz w:val="16"/>
          <w:szCs w:val="16"/>
        </w:rPr>
        <w:t xml:space="preserve">, </w:t>
      </w:r>
      <w:r w:rsidRPr="007F536A">
        <w:rPr>
          <w:rFonts w:ascii="Book Antiqua" w:hAnsi="Book Antiqua"/>
          <w:b/>
          <w:sz w:val="16"/>
          <w:szCs w:val="16"/>
        </w:rPr>
        <w:t>14</w:t>
      </w:r>
      <w:r w:rsidRPr="007F536A">
        <w:rPr>
          <w:rFonts w:ascii="Book Antiqua" w:hAnsi="Book Antiqua"/>
          <w:sz w:val="16"/>
          <w:szCs w:val="16"/>
        </w:rPr>
        <w:t>, (1957-1958). No. 105, pp. 100-111, July 1957; No. 106, pp. 146-160, Oct. 1957; No. 107, pp. 227-230, Jan.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[189] D. H. Rank, H. E. Bennett, J. M. Bennett, “Improved Value of the Velocity of Light Derived From a Band Spectrum Method,” </w:t>
      </w:r>
      <w:r w:rsidRPr="007F536A">
        <w:rPr>
          <w:rFonts w:ascii="Book Antiqua" w:hAnsi="Book Antiqua"/>
          <w:i/>
          <w:sz w:val="16"/>
          <w:szCs w:val="16"/>
        </w:rPr>
        <w:t>Physical Review</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xml:space="preserve">, p. 993, Nov. 15 1955. Also D. H. Rank, J. M. Bennett, H. E. Bennett, “Measurement of Interferometric Secondary Wavelength Standards in the Near Infrared,” </w:t>
      </w:r>
      <w:r w:rsidRPr="007F536A">
        <w:rPr>
          <w:rFonts w:ascii="Book Antiqua" w:hAnsi="Book Antiqua"/>
          <w:i/>
          <w:sz w:val="16"/>
          <w:szCs w:val="16"/>
        </w:rPr>
        <w:t>Journal of the Optical Society of America</w:t>
      </w:r>
      <w:r w:rsidRPr="007F536A">
        <w:rPr>
          <w:rFonts w:ascii="Book Antiqua" w:hAnsi="Book Antiqua"/>
          <w:sz w:val="16"/>
          <w:szCs w:val="16"/>
        </w:rPr>
        <w:t xml:space="preserve">, </w:t>
      </w:r>
      <w:r w:rsidRPr="007F536A">
        <w:rPr>
          <w:rFonts w:ascii="Book Antiqua" w:hAnsi="Book Antiqua"/>
          <w:b/>
          <w:sz w:val="16"/>
          <w:szCs w:val="16"/>
        </w:rPr>
        <w:t>46</w:t>
      </w:r>
      <w:r w:rsidRPr="007F536A">
        <w:rPr>
          <w:rFonts w:ascii="Book Antiqua" w:hAnsi="Book Antiqua"/>
          <w:sz w:val="16"/>
          <w:szCs w:val="16"/>
        </w:rPr>
        <w:t>, pp. 477-484,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[190] R. C. A. Edge, “New Determinations of the Velocity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177</w:t>
      </w:r>
      <w:r w:rsidRPr="007F536A">
        <w:rPr>
          <w:rFonts w:ascii="Book Antiqua" w:hAnsi="Book Antiqua"/>
          <w:sz w:val="16"/>
          <w:szCs w:val="16"/>
        </w:rPr>
        <w:t>, pp. 618-619, Mar. 31, 1956.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[191] K. D. Froome, “A new determination of the free-space velocity of electromagnetic waves,” </w:t>
      </w:r>
      <w:r w:rsidRPr="007F536A">
        <w:rPr>
          <w:rFonts w:ascii="Book Antiqua" w:hAnsi="Book Antiqua"/>
          <w:i/>
          <w:sz w:val="16"/>
          <w:szCs w:val="16"/>
        </w:rPr>
        <w:t>Proceedings of the Royal Society (London)</w:t>
      </w:r>
      <w:r w:rsidRPr="007F536A">
        <w:rPr>
          <w:rFonts w:ascii="Book Antiqua" w:hAnsi="Book Antiqua"/>
          <w:sz w:val="16"/>
          <w:szCs w:val="16"/>
        </w:rPr>
        <w:t xml:space="preserve">, </w:t>
      </w:r>
      <w:r w:rsidRPr="007F536A">
        <w:rPr>
          <w:rFonts w:ascii="Book Antiqua" w:hAnsi="Book Antiqua"/>
          <w:b/>
          <w:sz w:val="16"/>
          <w:szCs w:val="16"/>
        </w:rPr>
        <w:t>A247</w:t>
      </w:r>
      <w:r w:rsidRPr="007F536A">
        <w:rPr>
          <w:rFonts w:ascii="Book Antiqua" w:hAnsi="Book Antiqua"/>
          <w:sz w:val="16"/>
          <w:szCs w:val="16"/>
        </w:rPr>
        <w:t>, pp. 109-122, (1958).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[192] V. A. Kolibayev, “Determination of the Velocity of Light From Measurements With (Pulsed) Light Rangefinders on Control Bases,” </w:t>
      </w:r>
      <w:r w:rsidRPr="007F536A">
        <w:rPr>
          <w:rFonts w:ascii="Book Antiqua" w:hAnsi="Book Antiqua"/>
          <w:i/>
          <w:sz w:val="16"/>
          <w:szCs w:val="16"/>
        </w:rPr>
        <w:t>Geodesy and Aerophotography</w:t>
      </w:r>
      <w:r w:rsidRPr="007F536A">
        <w:rPr>
          <w:rFonts w:ascii="Book Antiqua" w:hAnsi="Book Antiqua"/>
          <w:sz w:val="16"/>
          <w:szCs w:val="16"/>
        </w:rPr>
        <w:t>,</w:t>
      </w:r>
      <w:r w:rsidRPr="007F536A">
        <w:rPr>
          <w:rFonts w:ascii="Book Antiqua" w:hAnsi="Book Antiqua"/>
          <w:b/>
          <w:sz w:val="16"/>
          <w:szCs w:val="16"/>
        </w:rPr>
        <w:t xml:space="preserve"> 3</w:t>
      </w:r>
      <w:r w:rsidRPr="007F536A">
        <w:rPr>
          <w:rFonts w:ascii="Book Antiqua" w:hAnsi="Book Antiqua"/>
          <w:sz w:val="16"/>
          <w:szCs w:val="16"/>
        </w:rPr>
        <w:t>, pp. 228-230. Translated for the American Geophysical Union, 1965.</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[193] A. Karolus in Fifth International Conference on Geodetic Measurement, 1965, </w:t>
      </w:r>
      <w:r w:rsidRPr="007F536A">
        <w:rPr>
          <w:rFonts w:ascii="Book Antiqua" w:hAnsi="Book Antiqua"/>
          <w:i/>
          <w:sz w:val="16"/>
          <w:szCs w:val="16"/>
        </w:rPr>
        <w:t>Deutsche Geodetische Kommission, Munich</w:t>
      </w:r>
      <w:r w:rsidRPr="007F536A">
        <w:rPr>
          <w:rFonts w:ascii="Book Antiqua" w:hAnsi="Book Antiqua"/>
          <w:sz w:val="16"/>
          <w:szCs w:val="16"/>
        </w:rPr>
        <w:t xml:space="preserve">, p.1, 1966.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[194] G. S. Simkin, I. V. Lukin, S. V. Sikora, V. E. Strelenskii, </w:t>
      </w:r>
      <w:r w:rsidRPr="007F536A">
        <w:rPr>
          <w:rFonts w:ascii="Book Antiqua" w:hAnsi="Book Antiqua"/>
          <w:i/>
          <w:sz w:val="16"/>
          <w:szCs w:val="16"/>
        </w:rPr>
        <w:t>Ismeritel’naya Tekhnika</w:t>
      </w:r>
      <w:r w:rsidRPr="007F536A">
        <w:rPr>
          <w:rFonts w:ascii="Book Antiqua" w:hAnsi="Book Antiqua"/>
          <w:sz w:val="16"/>
          <w:szCs w:val="16"/>
        </w:rPr>
        <w:t xml:space="preserve">, 8, p. 92 (1967). Translation: “New Measurements of the Electromagnetic Wave Propagation Speed (Speed of Light),” </w:t>
      </w:r>
      <w:r w:rsidRPr="007F536A">
        <w:rPr>
          <w:rFonts w:ascii="Book Antiqua" w:hAnsi="Book Antiqua"/>
          <w:i/>
          <w:sz w:val="16"/>
          <w:szCs w:val="16"/>
        </w:rPr>
        <w:t>Measures of Technology</w:t>
      </w:r>
      <w:r w:rsidRPr="007F536A">
        <w:rPr>
          <w:rFonts w:ascii="Book Antiqua" w:hAnsi="Book Antiqua"/>
          <w:sz w:val="16"/>
          <w:szCs w:val="16"/>
        </w:rPr>
        <w:t>, pp. 1018-1019,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[195] H. Grosse, “Geodimeter-2A-Messungen in Basisvergrosserungsnedtzen,” </w:t>
      </w:r>
      <w:r w:rsidRPr="007F536A">
        <w:rPr>
          <w:rFonts w:ascii="Book Antiqua" w:hAnsi="Book Antiqua"/>
          <w:i/>
          <w:sz w:val="16"/>
          <w:szCs w:val="16"/>
        </w:rPr>
        <w:t>Nachrichten Karten-und-Vermessungwesen</w:t>
      </w:r>
      <w:r w:rsidRPr="007F536A">
        <w:rPr>
          <w:rFonts w:ascii="Book Antiqua" w:hAnsi="Book Antiqua"/>
          <w:sz w:val="16"/>
          <w:szCs w:val="16"/>
        </w:rPr>
        <w:t xml:space="preserve">, </w:t>
      </w:r>
      <w:r w:rsidRPr="007F536A">
        <w:rPr>
          <w:rFonts w:ascii="Book Antiqua" w:hAnsi="Book Antiqua"/>
          <w:b/>
          <w:sz w:val="16"/>
          <w:szCs w:val="16"/>
        </w:rPr>
        <w:t>Ser. I, 35</w:t>
      </w:r>
      <w:r w:rsidRPr="007F536A">
        <w:rPr>
          <w:rFonts w:ascii="Book Antiqua" w:hAnsi="Book Antiqua"/>
          <w:sz w:val="16"/>
          <w:szCs w:val="16"/>
        </w:rPr>
        <w:t>, pp. 93-106, (1967).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[196] Z. Bay, G. G. Luther, J. A. White, “Measurement of an Optical Frequency and the Speed of Light,” </w:t>
      </w:r>
      <w:r w:rsidRPr="007F536A">
        <w:rPr>
          <w:rFonts w:ascii="Book Antiqua" w:hAnsi="Book Antiqua"/>
          <w:i/>
          <w:sz w:val="16"/>
          <w:szCs w:val="16"/>
        </w:rPr>
        <w:t>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pp. 189-192, July 17, 1972.</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[197] J. F. Mulligan, “Some Recent Determinations of the Velocity of Light III, “ </w:t>
      </w:r>
      <w:r w:rsidRPr="007F536A">
        <w:rPr>
          <w:rFonts w:ascii="Book Antiqua" w:hAnsi="Book Antiqua"/>
          <w:i/>
          <w:sz w:val="16"/>
          <w:szCs w:val="16"/>
        </w:rPr>
        <w:t>American Journal of Physics</w:t>
      </w:r>
      <w:r w:rsidRPr="007F536A">
        <w:rPr>
          <w:rFonts w:ascii="Book Antiqua" w:hAnsi="Book Antiqua"/>
          <w:sz w:val="16"/>
          <w:szCs w:val="16"/>
        </w:rPr>
        <w:t xml:space="preserve">, </w:t>
      </w:r>
      <w:r w:rsidRPr="007F536A">
        <w:rPr>
          <w:rFonts w:ascii="Book Antiqua" w:hAnsi="Book Antiqua"/>
          <w:b/>
          <w:sz w:val="16"/>
          <w:szCs w:val="16"/>
        </w:rPr>
        <w:t>44</w:t>
      </w:r>
      <w:r w:rsidRPr="007F536A">
        <w:rPr>
          <w:rFonts w:ascii="Book Antiqua" w:hAnsi="Book Antiqua"/>
          <w:sz w:val="16"/>
          <w:szCs w:val="16"/>
        </w:rPr>
        <w:t>:10, pp. 960-969, Oct. 1976.</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[198] K. M. Evenson, et al., “Speed of Light From Direct Frequency and Wavelength Measurements of the Methane-Stabilized Laser</w:t>
      </w:r>
      <w:r w:rsidRPr="007F536A">
        <w:rPr>
          <w:rFonts w:ascii="Book Antiqua" w:hAnsi="Book Antiqua"/>
          <w:i/>
          <w:sz w:val="16"/>
          <w:szCs w:val="16"/>
        </w:rPr>
        <w:t>,” Physical Review Letters,</w:t>
      </w:r>
      <w:r w:rsidRPr="007F536A">
        <w:rPr>
          <w:rFonts w:ascii="Book Antiqua" w:hAnsi="Book Antiqua"/>
          <w:sz w:val="16"/>
          <w:szCs w:val="16"/>
        </w:rPr>
        <w:t xml:space="preserve"> </w:t>
      </w:r>
      <w:r w:rsidRPr="007F536A">
        <w:rPr>
          <w:rFonts w:ascii="Book Antiqua" w:hAnsi="Book Antiqua"/>
          <w:b/>
          <w:sz w:val="16"/>
          <w:szCs w:val="16"/>
        </w:rPr>
        <w:t>29</w:t>
      </w:r>
      <w:r w:rsidRPr="007F536A">
        <w:rPr>
          <w:rFonts w:ascii="Book Antiqua" w:hAnsi="Book Antiqua"/>
          <w:sz w:val="16"/>
          <w:szCs w:val="16"/>
        </w:rPr>
        <w:t xml:space="preserve">, pp. 1346-1349, Nov. 6, 1972. Also, K. M. Evenson et al., “Accurate frequencies of molecular transitions used in laser stabilization,” </w:t>
      </w:r>
      <w:r w:rsidRPr="007F536A">
        <w:rPr>
          <w:rFonts w:ascii="Book Antiqua" w:hAnsi="Book Antiqua"/>
          <w:i/>
          <w:sz w:val="16"/>
          <w:szCs w:val="16"/>
        </w:rPr>
        <w:t>Applied Physics Letters</w:t>
      </w:r>
      <w:r w:rsidRPr="007F536A">
        <w:rPr>
          <w:rFonts w:ascii="Book Antiqua" w:hAnsi="Book Antiqua"/>
          <w:sz w:val="16"/>
          <w:szCs w:val="16"/>
        </w:rPr>
        <w:t xml:space="preserve">, </w:t>
      </w:r>
      <w:r w:rsidRPr="007F536A">
        <w:rPr>
          <w:rFonts w:ascii="Book Antiqua" w:hAnsi="Book Antiqua"/>
          <w:b/>
          <w:sz w:val="16"/>
          <w:szCs w:val="16"/>
        </w:rPr>
        <w:t>22</w:t>
      </w:r>
      <w:r w:rsidRPr="007F536A">
        <w:rPr>
          <w:rFonts w:ascii="Book Antiqua" w:hAnsi="Book Antiqua"/>
          <w:sz w:val="16"/>
          <w:szCs w:val="16"/>
        </w:rPr>
        <w:t>, pp.192-195, Feb. 15, 1973.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[199] T. G. Blaney et al., “Measurement of the speed of light,” </w:t>
      </w:r>
      <w:r w:rsidRPr="007F536A">
        <w:rPr>
          <w:rFonts w:ascii="Book Antiqua" w:hAnsi="Book Antiqua"/>
          <w:i/>
          <w:sz w:val="16"/>
          <w:szCs w:val="16"/>
        </w:rPr>
        <w:t>Nature</w:t>
      </w:r>
      <w:r w:rsidRPr="007F536A">
        <w:rPr>
          <w:rFonts w:ascii="Book Antiqua" w:hAnsi="Book Antiqua"/>
          <w:sz w:val="16"/>
          <w:szCs w:val="16"/>
        </w:rPr>
        <w:t xml:space="preserve">, </w:t>
      </w:r>
      <w:r w:rsidRPr="007F536A">
        <w:rPr>
          <w:rFonts w:ascii="Book Antiqua" w:hAnsi="Book Antiqua"/>
          <w:b/>
          <w:sz w:val="16"/>
          <w:szCs w:val="16"/>
        </w:rPr>
        <w:t>251</w:t>
      </w:r>
      <w:r w:rsidRPr="007F536A">
        <w:rPr>
          <w:rFonts w:ascii="Book Antiqua" w:hAnsi="Book Antiqua"/>
          <w:sz w:val="16"/>
          <w:szCs w:val="16"/>
        </w:rPr>
        <w:t>, p. 46, Sept. 6, 1974.</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[200] P. T. Woods, K. C. Shotton, W. R. C. Rowley, “Frequency determination of visible laser light by interferometric comparison with upconverted </w:t>
      </w:r>
      <m:oMath>
        <m:r>
          <w:rPr>
            <w:rFonts w:ascii="Cambria Math" w:hAnsi="Cambria Math"/>
            <w:sz w:val="16"/>
            <w:szCs w:val="16"/>
          </w:rPr>
          <m:t>C</m:t>
        </m:r>
        <m:sSub>
          <m:sSubPr>
            <m:ctrlPr>
              <w:rPr>
                <w:rFonts w:ascii="Cambria Math" w:hAnsi="Cambria Math"/>
                <w:i/>
                <w:sz w:val="16"/>
                <w:szCs w:val="16"/>
              </w:rPr>
            </m:ctrlPr>
          </m:sSubPr>
          <m:e>
            <m:r>
              <w:rPr>
                <w:rFonts w:ascii="Cambria Math" w:hAnsi="Cambria Math"/>
                <w:sz w:val="16"/>
                <w:szCs w:val="16"/>
              </w:rPr>
              <m:t>O</m:t>
            </m:r>
          </m:e>
          <m:sub>
            <m:r>
              <w:rPr>
                <w:rFonts w:ascii="Cambria Math" w:hAnsi="Cambria Math"/>
                <w:sz w:val="16"/>
                <w:szCs w:val="16"/>
              </w:rPr>
              <m:t>2</m:t>
            </m:r>
          </m:sub>
        </m:sSub>
      </m:oMath>
      <w:r w:rsidRPr="007F536A">
        <w:rPr>
          <w:rFonts w:ascii="Book Antiqua" w:hAnsi="Book Antiqua"/>
          <w:sz w:val="16"/>
          <w:szCs w:val="16"/>
        </w:rPr>
        <w:t xml:space="preserve"> laser radiation,” </w:t>
      </w:r>
      <w:r w:rsidRPr="007F536A">
        <w:rPr>
          <w:rFonts w:ascii="Book Antiqua" w:hAnsi="Book Antiqua"/>
          <w:i/>
          <w:sz w:val="16"/>
          <w:szCs w:val="16"/>
        </w:rPr>
        <w:t>Applied Optics</w:t>
      </w:r>
      <w:r w:rsidRPr="007F536A">
        <w:rPr>
          <w:rFonts w:ascii="Book Antiqua" w:hAnsi="Book Antiqua"/>
          <w:sz w:val="16"/>
          <w:szCs w:val="16"/>
        </w:rPr>
        <w:t xml:space="preserve">, </w:t>
      </w:r>
      <w:r w:rsidRPr="007F536A">
        <w:rPr>
          <w:rFonts w:ascii="Book Antiqua" w:hAnsi="Book Antiqua"/>
          <w:b/>
          <w:sz w:val="16"/>
          <w:szCs w:val="16"/>
        </w:rPr>
        <w:t>17</w:t>
      </w:r>
      <w:r w:rsidRPr="007F536A">
        <w:rPr>
          <w:rFonts w:ascii="Book Antiqua" w:hAnsi="Book Antiqua"/>
          <w:sz w:val="16"/>
          <w:szCs w:val="16"/>
        </w:rPr>
        <w:t>:7, pp. 1048-1054, Apr 1, 1978.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[201] K. M. Baird, D. S. Smith, B. G. Whitford, “Confirmation of the Currently Accepted Value for the Speed of Light, </w:t>
      </w:r>
      <w:r w:rsidRPr="007F536A">
        <w:rPr>
          <w:rFonts w:ascii="Book Antiqua" w:hAnsi="Book Antiqua"/>
          <w:i/>
          <w:sz w:val="16"/>
          <w:szCs w:val="16"/>
        </w:rPr>
        <w:t>“ Optics Communications</w:t>
      </w:r>
      <w:r w:rsidRPr="007F536A">
        <w:rPr>
          <w:rFonts w:ascii="Book Antiqua" w:hAnsi="Book Antiqua"/>
          <w:sz w:val="16"/>
          <w:szCs w:val="16"/>
        </w:rPr>
        <w:t xml:space="preserve">, </w:t>
      </w:r>
      <w:r w:rsidRPr="007F536A">
        <w:rPr>
          <w:rFonts w:ascii="Book Antiqua" w:hAnsi="Book Antiqua"/>
          <w:b/>
          <w:sz w:val="16"/>
          <w:szCs w:val="16"/>
        </w:rPr>
        <w:t>31</w:t>
      </w:r>
      <w:r w:rsidRPr="007F536A">
        <w:rPr>
          <w:rFonts w:ascii="Book Antiqua" w:hAnsi="Book Antiqua"/>
          <w:sz w:val="16"/>
          <w:szCs w:val="16"/>
        </w:rPr>
        <w:t>:3, pp. 367-368, Dec. 1979.</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[202] T. Wilkie, “Time to Remeasure the Metre,” </w:t>
      </w:r>
      <w:r w:rsidRPr="007F536A">
        <w:rPr>
          <w:rFonts w:ascii="Book Antiqua" w:hAnsi="Book Antiqua"/>
          <w:i/>
          <w:sz w:val="16"/>
          <w:szCs w:val="16"/>
        </w:rPr>
        <w:t>New Scientist</w:t>
      </w:r>
      <w:r w:rsidRPr="007F536A">
        <w:rPr>
          <w:rFonts w:ascii="Book Antiqua" w:hAnsi="Book Antiqua"/>
          <w:sz w:val="16"/>
          <w:szCs w:val="16"/>
        </w:rPr>
        <w:t xml:space="preserve">, </w:t>
      </w:r>
      <w:r w:rsidRPr="007F536A">
        <w:rPr>
          <w:rFonts w:ascii="Book Antiqua" w:hAnsi="Book Antiqua"/>
          <w:b/>
          <w:sz w:val="16"/>
          <w:szCs w:val="16"/>
        </w:rPr>
        <w:t>100</w:t>
      </w:r>
      <w:r w:rsidRPr="007F536A">
        <w:rPr>
          <w:rFonts w:ascii="Book Antiqua" w:hAnsi="Book Antiqua"/>
          <w:sz w:val="16"/>
          <w:szCs w:val="16"/>
        </w:rPr>
        <w:t>, No. 1381, pp. 258-263, Oct. 27,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[203] K. D. Froome and L. Essen, op. cit., reference [1</w:t>
      </w:r>
      <w:r w:rsidR="00BD6F2A">
        <w:rPr>
          <w:rFonts w:ascii="Book Antiqua" w:hAnsi="Book Antiqua"/>
          <w:sz w:val="16"/>
          <w:szCs w:val="16"/>
        </w:rPr>
        <w:t>69</w:t>
      </w:r>
      <w:r w:rsidRPr="007F536A">
        <w:rPr>
          <w:rFonts w:ascii="Book Antiqua" w:hAnsi="Book Antiqua"/>
          <w:sz w:val="16"/>
          <w:szCs w:val="16"/>
        </w:rPr>
        <w:t>], p. 127.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[204] J. F. Mulligan, reference [</w:t>
      </w:r>
      <w:r w:rsidR="005D00F3">
        <w:rPr>
          <w:rFonts w:ascii="Book Antiqua" w:hAnsi="Book Antiqua"/>
          <w:sz w:val="16"/>
          <w:szCs w:val="16"/>
        </w:rPr>
        <w:t>197</w:t>
      </w:r>
      <w:r w:rsidRPr="007F536A">
        <w:rPr>
          <w:rFonts w:ascii="Book Antiqua" w:hAnsi="Book Antiqua"/>
          <w:sz w:val="16"/>
          <w:szCs w:val="16"/>
        </w:rPr>
        <w:t>], pp. 967-968.</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[205] D. A. Jennings et al., “Direct frequency measurement of the </w:t>
      </w:r>
      <m:oMath>
        <m:sSub>
          <m:sSubPr>
            <m:ctrlPr>
              <w:rPr>
                <w:rFonts w:ascii="Cambria Math" w:hAnsi="Cambria Math"/>
                <w:i/>
                <w:sz w:val="16"/>
                <w:szCs w:val="16"/>
              </w:rPr>
            </m:ctrlPr>
          </m:sSubPr>
          <m:e>
            <m:r>
              <w:rPr>
                <w:rFonts w:ascii="Cambria Math" w:hAnsi="Cambria Math"/>
                <w:sz w:val="16"/>
                <w:szCs w:val="16"/>
              </w:rPr>
              <m:t>I</m:t>
            </m:r>
          </m:e>
          <m:sub>
            <m:r>
              <w:rPr>
                <w:rFonts w:ascii="Cambria Math" w:hAnsi="Cambria Math"/>
                <w:sz w:val="16"/>
                <w:szCs w:val="16"/>
              </w:rPr>
              <m:t>2</m:t>
            </m:r>
          </m:sub>
        </m:sSub>
      </m:oMath>
      <w:r w:rsidRPr="007F536A">
        <w:rPr>
          <w:rFonts w:ascii="Book Antiqua" w:hAnsi="Book Antiqua"/>
          <w:sz w:val="16"/>
          <w:szCs w:val="16"/>
        </w:rPr>
        <w:t xml:space="preserve">-stabilized He-Ne 473 THZ (633-nm) laser,”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136-138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[206] C. R. Pollock et al., “Direct frequency measurements of transitions at520 THz (576 nm) in iodine and 260 THz (1.15µm) n neon,” </w:t>
      </w:r>
      <w:r w:rsidRPr="007F536A">
        <w:rPr>
          <w:rFonts w:ascii="Book Antiqua" w:hAnsi="Book Antiqua"/>
          <w:i/>
          <w:sz w:val="16"/>
          <w:szCs w:val="16"/>
        </w:rPr>
        <w:t>Optics Letters</w:t>
      </w:r>
      <w:r w:rsidRPr="007F536A">
        <w:rPr>
          <w:rFonts w:ascii="Book Antiqua" w:hAnsi="Book Antiqua"/>
          <w:sz w:val="16"/>
          <w:szCs w:val="16"/>
        </w:rPr>
        <w:t xml:space="preserve">, </w:t>
      </w:r>
      <w:r w:rsidRPr="007F536A">
        <w:rPr>
          <w:rFonts w:ascii="Book Antiqua" w:hAnsi="Book Antiqua"/>
          <w:b/>
          <w:sz w:val="16"/>
          <w:szCs w:val="16"/>
        </w:rPr>
        <w:t>8</w:t>
      </w:r>
      <w:r w:rsidRPr="007F536A">
        <w:rPr>
          <w:rFonts w:ascii="Book Antiqua" w:hAnsi="Book Antiqua"/>
          <w:sz w:val="16"/>
          <w:szCs w:val="16"/>
        </w:rPr>
        <w:t>, pp. 13-135, (1983).</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[207] NIST document section titled “Speed of Light From Direct Frequency and Wavelength Measurements,”  available at: </w:t>
      </w:r>
      <w:hyperlink r:id="rId132" w:history="1">
        <w:r w:rsidRPr="007F536A">
          <w:rPr>
            <w:rStyle w:val="Hyperlink"/>
            <w:rFonts w:ascii="Book Antiqua" w:hAnsi="Book Antiqua"/>
            <w:i/>
            <w:szCs w:val="16"/>
          </w:rPr>
          <w:t>http://nvlpubs.nist.gov/nistpubs/sp958-lide/191-193.pdf</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[208] G. R. Fowles,</w:t>
      </w:r>
      <w:r w:rsidRPr="007F536A">
        <w:rPr>
          <w:rFonts w:ascii="Book Antiqua" w:hAnsi="Book Antiqua"/>
          <w:b/>
          <w:sz w:val="16"/>
          <w:szCs w:val="16"/>
        </w:rPr>
        <w:t xml:space="preserve"> </w:t>
      </w:r>
      <w:r w:rsidRPr="007F536A">
        <w:rPr>
          <w:rFonts w:ascii="Book Antiqua" w:hAnsi="Book Antiqua"/>
          <w:i/>
          <w:sz w:val="16"/>
          <w:szCs w:val="16"/>
        </w:rPr>
        <w:t>Introduction to Modern Optics</w:t>
      </w:r>
      <w:r w:rsidRPr="007F536A">
        <w:rPr>
          <w:rFonts w:ascii="Book Antiqua" w:hAnsi="Book Antiqua"/>
          <w:sz w:val="16"/>
          <w:szCs w:val="16"/>
        </w:rPr>
        <w:t xml:space="preserve">, p. 6, Holt, Rinehart and Winston, New York, 1968.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[209] H. Abraham, “Les Mesures De La Vitesse v.” Also R. Blondlot and C. Gutton, “Sur La Determination De La Vitesse De Propagation Des Ondulations Electromagnetiques.” Both articles in </w:t>
      </w:r>
      <w:r w:rsidRPr="007F536A">
        <w:rPr>
          <w:rFonts w:ascii="Book Antiqua" w:hAnsi="Book Antiqua"/>
          <w:i/>
          <w:sz w:val="16"/>
          <w:szCs w:val="16"/>
        </w:rPr>
        <w:t>Congres International De Physique Paris</w:t>
      </w:r>
      <w:r w:rsidRPr="007F536A">
        <w:rPr>
          <w:rFonts w:ascii="Book Antiqua" w:hAnsi="Book Antiqua"/>
          <w:sz w:val="16"/>
          <w:szCs w:val="16"/>
        </w:rPr>
        <w:t xml:space="preserve">, </w:t>
      </w:r>
      <w:r w:rsidRPr="007F536A">
        <w:rPr>
          <w:rFonts w:ascii="Book Antiqua" w:hAnsi="Book Antiqua"/>
          <w:i/>
          <w:sz w:val="16"/>
          <w:szCs w:val="16"/>
        </w:rPr>
        <w:t>1900</w:t>
      </w:r>
      <w:r w:rsidRPr="007F536A">
        <w:rPr>
          <w:rFonts w:ascii="Book Antiqua" w:hAnsi="Book Antiqua"/>
          <w:sz w:val="16"/>
          <w:szCs w:val="16"/>
        </w:rPr>
        <w:t xml:space="preserve">, </w:t>
      </w:r>
      <w:r w:rsidRPr="007F536A">
        <w:rPr>
          <w:rFonts w:ascii="Book Antiqua" w:hAnsi="Book Antiqua"/>
          <w:b/>
          <w:sz w:val="16"/>
          <w:szCs w:val="16"/>
        </w:rPr>
        <w:t>Vol. 2</w:t>
      </w:r>
      <w:r w:rsidRPr="007F536A">
        <w:rPr>
          <w:rFonts w:ascii="Book Antiqua" w:hAnsi="Book Antiqua"/>
          <w:sz w:val="16"/>
          <w:szCs w:val="16"/>
        </w:rPr>
        <w:t xml:space="preserve">, pp. 247-267 and 268-283.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lastRenderedPageBreak/>
        <w:t xml:space="preserve">[210] Froome and Essen, op. cit., pp. 10, 45, 48.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[211] E. F. Florman, “A Measurement of the Velocity of Propogation of Very-High--Frequency Radio Waves at the Surface of the Earth,” </w:t>
      </w:r>
      <w:r w:rsidRPr="007F536A">
        <w:rPr>
          <w:rFonts w:ascii="Book Antiqua" w:hAnsi="Book Antiqua"/>
          <w:i/>
          <w:sz w:val="16"/>
          <w:szCs w:val="16"/>
        </w:rPr>
        <w:t>Journal of Research of the National Bureau of Standards,</w:t>
      </w:r>
      <w:r w:rsidRPr="007F536A">
        <w:rPr>
          <w:rFonts w:ascii="Book Antiqua" w:hAnsi="Book Antiqua"/>
          <w:sz w:val="16"/>
          <w:szCs w:val="16"/>
        </w:rPr>
        <w:t xml:space="preserve"> </w:t>
      </w:r>
      <w:r w:rsidRPr="007F536A">
        <w:rPr>
          <w:rFonts w:ascii="Book Antiqua" w:hAnsi="Book Antiqua"/>
          <w:b/>
          <w:sz w:val="16"/>
          <w:szCs w:val="16"/>
        </w:rPr>
        <w:t>54</w:t>
      </w:r>
      <w:r w:rsidRPr="007F536A">
        <w:rPr>
          <w:rFonts w:ascii="Book Antiqua" w:hAnsi="Book Antiqua"/>
          <w:sz w:val="16"/>
          <w:szCs w:val="16"/>
        </w:rPr>
        <w:t xml:space="preserve">, 335-345, (1955).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[212] Froome and Essen, op. cit., pp.8, 9, 41.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[213] R. Kohlrausch, W. Weber, </w:t>
      </w:r>
      <w:r w:rsidRPr="007F536A">
        <w:rPr>
          <w:rFonts w:ascii="Book Antiqua" w:hAnsi="Book Antiqua"/>
          <w:i/>
          <w:sz w:val="16"/>
          <w:szCs w:val="16"/>
        </w:rPr>
        <w:t>Elektrodyn. Maasb.</w:t>
      </w:r>
      <w:r w:rsidRPr="007F536A">
        <w:rPr>
          <w:rFonts w:ascii="Book Antiqua" w:hAnsi="Book Antiqua"/>
          <w:sz w:val="16"/>
          <w:szCs w:val="16"/>
        </w:rPr>
        <w:t xml:space="preserve">, </w:t>
      </w:r>
      <w:r w:rsidRPr="007F536A">
        <w:rPr>
          <w:rFonts w:ascii="Book Antiqua" w:hAnsi="Book Antiqua"/>
          <w:b/>
          <w:sz w:val="16"/>
          <w:szCs w:val="16"/>
        </w:rPr>
        <w:t>Bd III</w:t>
      </w:r>
      <w:r w:rsidRPr="007F536A">
        <w:rPr>
          <w:rFonts w:ascii="Book Antiqua" w:hAnsi="Book Antiqua"/>
          <w:sz w:val="16"/>
          <w:szCs w:val="16"/>
        </w:rPr>
        <w:t xml:space="preserve">. p.221, Leipzig, (1857). Also, R. Kohlrausch,  </w:t>
      </w:r>
      <w:r w:rsidRPr="007F536A">
        <w:rPr>
          <w:rFonts w:ascii="Book Antiqua" w:hAnsi="Book Antiqua"/>
          <w:i/>
          <w:sz w:val="16"/>
          <w:szCs w:val="16"/>
        </w:rPr>
        <w:t>Poggendorf's Annalen</w:t>
      </w:r>
      <w:r w:rsidRPr="007F536A">
        <w:rPr>
          <w:rFonts w:ascii="Book Antiqua" w:hAnsi="Book Antiqua"/>
          <w:sz w:val="16"/>
          <w:szCs w:val="16"/>
        </w:rPr>
        <w:t>, Vol</w:t>
      </w:r>
      <w:r w:rsidRPr="007F536A">
        <w:rPr>
          <w:rFonts w:ascii="Book Antiqua" w:hAnsi="Book Antiqua"/>
          <w:b/>
          <w:sz w:val="16"/>
          <w:szCs w:val="16"/>
        </w:rPr>
        <w:t>. XCIX</w:t>
      </w:r>
      <w:r w:rsidRPr="007F536A">
        <w:rPr>
          <w:rFonts w:ascii="Book Antiqua" w:hAnsi="Book Antiqua"/>
          <w:sz w:val="16"/>
          <w:szCs w:val="16"/>
        </w:rPr>
        <w:t xml:space="preserve">, p. 10, (1856), and </w:t>
      </w:r>
      <w:r w:rsidRPr="007F536A">
        <w:rPr>
          <w:rFonts w:ascii="Book Antiqua" w:hAnsi="Book Antiqua"/>
          <w:i/>
          <w:sz w:val="16"/>
          <w:szCs w:val="16"/>
        </w:rPr>
        <w:t>Poggendorf's Annalen</w:t>
      </w:r>
      <w:r w:rsidRPr="007F536A">
        <w:rPr>
          <w:rFonts w:ascii="Book Antiqua" w:hAnsi="Book Antiqua"/>
          <w:sz w:val="16"/>
          <w:szCs w:val="16"/>
        </w:rPr>
        <w:t xml:space="preserve">, Vol. </w:t>
      </w:r>
      <w:r w:rsidRPr="007F536A">
        <w:rPr>
          <w:rFonts w:ascii="Book Antiqua" w:hAnsi="Book Antiqua"/>
          <w:b/>
          <w:sz w:val="16"/>
          <w:szCs w:val="16"/>
        </w:rPr>
        <w:t>CLVII</w:t>
      </w:r>
      <w:r w:rsidRPr="007F536A">
        <w:rPr>
          <w:rFonts w:ascii="Book Antiqua" w:hAnsi="Book Antiqua"/>
          <w:sz w:val="16"/>
          <w:szCs w:val="16"/>
        </w:rPr>
        <w:t xml:space="preserve">, p.641, (1876).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[214] J. C. Maxwell, “On a method of making a direct comparison of electrostatic with electromagnetic force,” </w:t>
      </w:r>
      <w:r w:rsidRPr="007F536A">
        <w:rPr>
          <w:rFonts w:ascii="Book Antiqua" w:hAnsi="Book Antiqua"/>
          <w:i/>
          <w:sz w:val="16"/>
          <w:szCs w:val="16"/>
        </w:rPr>
        <w:t>Philosophical Transactions</w:t>
      </w:r>
      <w:r w:rsidRPr="007F536A">
        <w:rPr>
          <w:rFonts w:ascii="Book Antiqua" w:hAnsi="Book Antiqua"/>
          <w:sz w:val="16"/>
          <w:szCs w:val="16"/>
        </w:rPr>
        <w:t xml:space="preserve">, (1868). Also </w:t>
      </w:r>
      <w:r w:rsidRPr="007F536A">
        <w:rPr>
          <w:rFonts w:ascii="Book Antiqua" w:hAnsi="Book Antiqua"/>
          <w:i/>
          <w:sz w:val="16"/>
          <w:szCs w:val="16"/>
        </w:rPr>
        <w:t>British Association Report</w:t>
      </w:r>
      <w:r w:rsidRPr="007F536A">
        <w:rPr>
          <w:rFonts w:ascii="Book Antiqua" w:hAnsi="Book Antiqua"/>
          <w:sz w:val="16"/>
          <w:szCs w:val="16"/>
        </w:rPr>
        <w:t xml:space="preserve">,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[215] W. F. King, “Description of the Sir W. Thomson's experiments for the determination of c, the number of electrostatic units in the electro-magnetic unit,” </w:t>
      </w:r>
      <w:r w:rsidRPr="007F536A">
        <w:rPr>
          <w:rFonts w:ascii="Book Antiqua" w:hAnsi="Book Antiqua"/>
          <w:i/>
          <w:sz w:val="16"/>
          <w:szCs w:val="16"/>
        </w:rPr>
        <w:t>British Association Report</w:t>
      </w:r>
      <w:r w:rsidRPr="007F536A">
        <w:rPr>
          <w:rFonts w:ascii="Book Antiqua" w:hAnsi="Book Antiqua"/>
          <w:sz w:val="16"/>
          <w:szCs w:val="16"/>
        </w:rPr>
        <w:t xml:space="preserve">, p. 434, (1869).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[216] McKichan, “Determination of the number of electrostatic units in the electromagnetic unit,”</w:t>
      </w:r>
      <w:r w:rsidRPr="007F536A">
        <w:rPr>
          <w:rFonts w:ascii="Book Antiqua" w:hAnsi="Book Antiqua"/>
          <w:i/>
          <w:sz w:val="16"/>
          <w:szCs w:val="16"/>
        </w:rPr>
        <w:t xml:space="preserve"> Philosophical Magazine</w:t>
      </w:r>
      <w:r w:rsidRPr="007F536A">
        <w:rPr>
          <w:rFonts w:ascii="Book Antiqua" w:hAnsi="Book Antiqua"/>
          <w:sz w:val="16"/>
          <w:szCs w:val="16"/>
        </w:rPr>
        <w:t xml:space="preserve">, Vol. </w:t>
      </w:r>
      <w:r w:rsidRPr="007F536A">
        <w:rPr>
          <w:rFonts w:ascii="Book Antiqua" w:hAnsi="Book Antiqua"/>
          <w:b/>
          <w:sz w:val="16"/>
          <w:szCs w:val="16"/>
        </w:rPr>
        <w:t>XLVII</w:t>
      </w:r>
      <w:r w:rsidRPr="007F536A">
        <w:rPr>
          <w:rFonts w:ascii="Book Antiqua" w:hAnsi="Book Antiqua"/>
          <w:sz w:val="16"/>
          <w:szCs w:val="16"/>
        </w:rPr>
        <w:t xml:space="preserve">, p. 218. (1874).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[217] Rowland, Hall, and Fletcher, “On the ratio of the electrostatic to the electromagnetic unit of Electricity,” </w:t>
      </w:r>
      <w:r w:rsidRPr="007F536A">
        <w:rPr>
          <w:rFonts w:ascii="Book Antiqua" w:hAnsi="Book Antiqua"/>
          <w:i/>
          <w:sz w:val="16"/>
          <w:szCs w:val="16"/>
        </w:rPr>
        <w:t>Philosophical Magazine</w:t>
      </w:r>
      <w:r w:rsidRPr="007F536A">
        <w:rPr>
          <w:rFonts w:ascii="Book Antiqua" w:hAnsi="Book Antiqua"/>
          <w:sz w:val="16"/>
          <w:szCs w:val="16"/>
        </w:rPr>
        <w:t xml:space="preserve">, 5th. series, Vol. </w:t>
      </w:r>
      <w:r w:rsidRPr="007F536A">
        <w:rPr>
          <w:rFonts w:ascii="Book Antiqua" w:hAnsi="Book Antiqua"/>
          <w:b/>
          <w:sz w:val="16"/>
          <w:szCs w:val="16"/>
        </w:rPr>
        <w:t>XXVIII</w:t>
      </w:r>
      <w:r w:rsidRPr="007F536A">
        <w:rPr>
          <w:rFonts w:ascii="Book Antiqua" w:hAnsi="Book Antiqua"/>
          <w:sz w:val="16"/>
          <w:szCs w:val="16"/>
        </w:rPr>
        <w:t xml:space="preserve">, p. 304,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[218] Ayrton and Perry, “Determination of the ratio of the electromagnetic to the electrostatic unit of electric quantity,” </w:t>
      </w:r>
      <w:r w:rsidRPr="007F536A">
        <w:rPr>
          <w:rFonts w:ascii="Book Antiqua" w:hAnsi="Book Antiqua"/>
          <w:i/>
          <w:sz w:val="16"/>
          <w:szCs w:val="16"/>
        </w:rPr>
        <w:t>Philosophical Magazine</w:t>
      </w:r>
      <w:r w:rsidRPr="007F536A">
        <w:rPr>
          <w:rFonts w:ascii="Book Antiqua" w:hAnsi="Book Antiqua"/>
          <w:sz w:val="16"/>
          <w:szCs w:val="16"/>
        </w:rPr>
        <w:t>, 5th series, Vol.</w:t>
      </w:r>
      <w:r w:rsidRPr="007F536A">
        <w:rPr>
          <w:rFonts w:ascii="Book Antiqua" w:hAnsi="Book Antiqua"/>
          <w:b/>
          <w:sz w:val="16"/>
          <w:szCs w:val="16"/>
        </w:rPr>
        <w:t>VII</w:t>
      </w:r>
      <w:r w:rsidRPr="007F536A">
        <w:rPr>
          <w:rFonts w:ascii="Book Antiqua" w:hAnsi="Book Antiqua"/>
          <w:sz w:val="16"/>
          <w:szCs w:val="16"/>
        </w:rPr>
        <w:t xml:space="preserve">, p. 277,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[219] Hockin, “Note on the capacity of a certain condenser and on the value of c,” </w:t>
      </w:r>
      <w:r w:rsidRPr="007F536A">
        <w:rPr>
          <w:rFonts w:ascii="Book Antiqua" w:hAnsi="Book Antiqua"/>
          <w:i/>
          <w:sz w:val="16"/>
          <w:szCs w:val="16"/>
        </w:rPr>
        <w:t>British Association Report</w:t>
      </w:r>
      <w:r w:rsidRPr="007F536A">
        <w:rPr>
          <w:rFonts w:ascii="Book Antiqua" w:hAnsi="Book Antiqua"/>
          <w:sz w:val="16"/>
          <w:szCs w:val="16"/>
        </w:rPr>
        <w:t xml:space="preserve">, p. 285, (1879).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[220] R. Shida, “On the number of electrostatic units in the electromagnetic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431, (1880).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[221] Stoletov, “Sur une methode pour determiner le rapport des unites electromagnetiques et electrostatiques,” </w:t>
      </w:r>
      <w:r w:rsidRPr="007F536A">
        <w:rPr>
          <w:rFonts w:ascii="Book Antiqua" w:hAnsi="Book Antiqua"/>
          <w:i/>
          <w:sz w:val="16"/>
          <w:szCs w:val="16"/>
        </w:rPr>
        <w:t>Journal de Physique</w:t>
      </w:r>
      <w:r w:rsidRPr="007F536A">
        <w:rPr>
          <w:rFonts w:ascii="Book Antiqua" w:hAnsi="Book Antiqua"/>
          <w:sz w:val="16"/>
          <w:szCs w:val="16"/>
        </w:rPr>
        <w:t>, p. 468, (1881).</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 [222] Exner, “Bestimmung des Verhaltnisses...”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LXXXVI</w:t>
      </w:r>
      <w:r w:rsidRPr="007F536A">
        <w:rPr>
          <w:rFonts w:ascii="Book Antiqua" w:hAnsi="Book Antiqua"/>
          <w:sz w:val="16"/>
          <w:szCs w:val="16"/>
        </w:rPr>
        <w:t xml:space="preserve">, (1882), and also </w:t>
      </w:r>
      <w:r w:rsidRPr="007F536A">
        <w:rPr>
          <w:rFonts w:ascii="Book Antiqua" w:hAnsi="Book Antiqua"/>
          <w:i/>
          <w:sz w:val="16"/>
          <w:szCs w:val="16"/>
        </w:rPr>
        <w:t>Exner's Repertorium</w:t>
      </w:r>
      <w:r w:rsidRPr="007F536A">
        <w:rPr>
          <w:rFonts w:ascii="Book Antiqua" w:hAnsi="Book Antiqua"/>
          <w:sz w:val="16"/>
          <w:szCs w:val="16"/>
        </w:rPr>
        <w:t xml:space="preserve">, Vol. </w:t>
      </w:r>
      <w:r w:rsidRPr="007F536A">
        <w:rPr>
          <w:rFonts w:ascii="Book Antiqua" w:hAnsi="Book Antiqua"/>
          <w:b/>
          <w:sz w:val="16"/>
          <w:szCs w:val="16"/>
        </w:rPr>
        <w:t>XIX</w:t>
      </w:r>
      <w:r w:rsidRPr="007F536A">
        <w:rPr>
          <w:rFonts w:ascii="Book Antiqua" w:hAnsi="Book Antiqua"/>
          <w:sz w:val="16"/>
          <w:szCs w:val="16"/>
        </w:rPr>
        <w:t xml:space="preserve">, p. 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[223] Details from Froome and Essen, reference [64], p. 11.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[224] I. Klemencic,  “Untersuchungen etc.,”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LXXXIX</w:t>
      </w:r>
      <w:r w:rsidRPr="007F536A">
        <w:rPr>
          <w:rFonts w:ascii="Book Antiqua" w:hAnsi="Book Antiqua"/>
          <w:sz w:val="16"/>
          <w:szCs w:val="16"/>
        </w:rPr>
        <w:t xml:space="preserve">, (1884). Also, </w:t>
      </w:r>
      <w:r w:rsidRPr="007F536A">
        <w:rPr>
          <w:rFonts w:ascii="Book Antiqua" w:hAnsi="Book Antiqua"/>
          <w:i/>
          <w:sz w:val="16"/>
          <w:szCs w:val="16"/>
        </w:rPr>
        <w:t>Sitz. Ber. Wien</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xml:space="preserve">, p. 470,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[225] Colley, “Ueber einige neue Methoden zur Beobachtung electrischer Schwingungen und einige Anwendungen derselben,”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1, (1886).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[226] Himstedt, “Ueber eine Bestimmung der Grosse c</w:t>
      </w:r>
      <w:r w:rsidRPr="007F536A">
        <w:rPr>
          <w:rFonts w:ascii="Book Antiqua" w:hAnsi="Book Antiqua"/>
          <w:i/>
          <w:sz w:val="16"/>
          <w:szCs w:val="16"/>
        </w:rPr>
        <w:t>,” Wiedemann's Annalen</w:t>
      </w:r>
      <w:r w:rsidRPr="007F536A">
        <w:rPr>
          <w:rFonts w:ascii="Book Antiqua" w:hAnsi="Book Antiqua"/>
          <w:sz w:val="16"/>
          <w:szCs w:val="16"/>
        </w:rPr>
        <w:t xml:space="preserve">, Vol. </w:t>
      </w:r>
      <w:r w:rsidRPr="007F536A">
        <w:rPr>
          <w:rFonts w:ascii="Book Antiqua" w:hAnsi="Book Antiqua"/>
          <w:b/>
          <w:sz w:val="16"/>
          <w:szCs w:val="16"/>
        </w:rPr>
        <w:t>XXIX</w:t>
      </w:r>
      <w:r w:rsidRPr="007F536A">
        <w:rPr>
          <w:rFonts w:ascii="Book Antiqua" w:hAnsi="Book Antiqua"/>
          <w:sz w:val="16"/>
          <w:szCs w:val="16"/>
        </w:rPr>
        <w:t xml:space="preserve">, p. 560, (1887). Also, “Ueber eine neue Bestimmung der Grosse c,”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XXXIII</w:t>
      </w:r>
      <w:r w:rsidRPr="007F536A">
        <w:rPr>
          <w:rFonts w:ascii="Book Antiqua" w:hAnsi="Book Antiqua"/>
          <w:sz w:val="16"/>
          <w:szCs w:val="16"/>
        </w:rPr>
        <w:t xml:space="preserve">, p. 1, (1888). Again, “Ueber die Bestimmung der Capacitat eines Schutzringcondensators in absolutem electromagnet-ischem Masse,” </w:t>
      </w:r>
      <w:r w:rsidRPr="007F536A">
        <w:rPr>
          <w:rFonts w:ascii="Book Antiqua" w:hAnsi="Book Antiqua"/>
          <w:i/>
          <w:sz w:val="16"/>
          <w:szCs w:val="16"/>
        </w:rPr>
        <w:t>Wiedemann's Annalen</w:t>
      </w:r>
      <w:r w:rsidRPr="007F536A">
        <w:rPr>
          <w:rFonts w:ascii="Book Antiqua" w:hAnsi="Book Antiqua"/>
          <w:sz w:val="16"/>
          <w:szCs w:val="16"/>
        </w:rPr>
        <w:t xml:space="preserve">, Vol. </w:t>
      </w:r>
      <w:r w:rsidRPr="007F536A">
        <w:rPr>
          <w:rFonts w:ascii="Book Antiqua" w:hAnsi="Book Antiqua"/>
          <w:b/>
          <w:sz w:val="16"/>
          <w:szCs w:val="16"/>
        </w:rPr>
        <w:t>XXXV</w:t>
      </w:r>
      <w:r w:rsidRPr="007F536A">
        <w:rPr>
          <w:rFonts w:ascii="Book Antiqua" w:hAnsi="Book Antiqua"/>
          <w:sz w:val="16"/>
          <w:szCs w:val="16"/>
        </w:rPr>
        <w:t xml:space="preserve">, p. 126, (1888).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[227] Thomson, Ayrton and Perry, “Electrometric determination of c,” </w:t>
      </w:r>
      <w:r w:rsidRPr="007F536A">
        <w:rPr>
          <w:rFonts w:ascii="Book Antiqua" w:hAnsi="Book Antiqua"/>
          <w:i/>
          <w:sz w:val="16"/>
          <w:szCs w:val="16"/>
        </w:rPr>
        <w:t>Electrical Review</w:t>
      </w:r>
      <w:r w:rsidRPr="007F536A">
        <w:rPr>
          <w:rFonts w:ascii="Book Antiqua" w:hAnsi="Book Antiqua"/>
          <w:sz w:val="16"/>
          <w:szCs w:val="16"/>
        </w:rPr>
        <w:t xml:space="preserve">, Vol. </w:t>
      </w:r>
      <w:r w:rsidRPr="007F536A">
        <w:rPr>
          <w:rFonts w:ascii="Book Antiqua" w:hAnsi="Book Antiqua"/>
          <w:b/>
          <w:sz w:val="16"/>
          <w:szCs w:val="16"/>
        </w:rPr>
        <w:t>XXIII</w:t>
      </w:r>
      <w:r w:rsidRPr="007F536A">
        <w:rPr>
          <w:rFonts w:ascii="Book Antiqua" w:hAnsi="Book Antiqua"/>
          <w:sz w:val="16"/>
          <w:szCs w:val="16"/>
        </w:rPr>
        <w:t xml:space="preserve">, p. 337, (1888-1889).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[228] E.B. Rosa, “Determination of c, the ratio of the electromagnetic to the electrostatic unit,” </w:t>
      </w:r>
      <w:r w:rsidRPr="007F536A">
        <w:rPr>
          <w:rFonts w:ascii="Book Antiqua" w:hAnsi="Book Antiqua"/>
          <w:i/>
          <w:sz w:val="16"/>
          <w:szCs w:val="16"/>
        </w:rPr>
        <w:t>Philosophical Magazine</w:t>
      </w:r>
      <w:r w:rsidRPr="007F536A">
        <w:rPr>
          <w:rFonts w:ascii="Book Antiqua" w:hAnsi="Book Antiqua"/>
          <w:sz w:val="16"/>
          <w:szCs w:val="16"/>
        </w:rPr>
        <w:t xml:space="preserve">, Vol. </w:t>
      </w:r>
      <w:r w:rsidRPr="007F536A">
        <w:rPr>
          <w:rFonts w:ascii="Book Antiqua" w:hAnsi="Book Antiqua"/>
          <w:b/>
          <w:sz w:val="16"/>
          <w:szCs w:val="16"/>
        </w:rPr>
        <w:t>XXVIII</w:t>
      </w:r>
      <w:r w:rsidRPr="007F536A">
        <w:rPr>
          <w:rFonts w:ascii="Book Antiqua" w:hAnsi="Book Antiqua"/>
          <w:sz w:val="16"/>
          <w:szCs w:val="16"/>
        </w:rPr>
        <w:t xml:space="preserve">, p. 315, (1889).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[229] Thomson, J.J., and G.F.C. Searle, “A determination of the ratio of the electromagnetic unit of electricity to the electrostatic unit,” </w:t>
      </w:r>
      <w:r w:rsidRPr="007F536A">
        <w:rPr>
          <w:rFonts w:ascii="Book Antiqua" w:hAnsi="Book Antiqua"/>
          <w:i/>
          <w:sz w:val="16"/>
          <w:szCs w:val="16"/>
        </w:rPr>
        <w:t>Philosophical Transactions</w:t>
      </w:r>
      <w:r w:rsidRPr="007F536A">
        <w:rPr>
          <w:rFonts w:ascii="Book Antiqua" w:hAnsi="Book Antiqua"/>
          <w:sz w:val="16"/>
          <w:szCs w:val="16"/>
        </w:rPr>
        <w:t xml:space="preserve">, p.583, (1890).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[230] Pellat, “Determination du rapport entre l'unite electromagnetique et l'unite electrostatique d'electricite,” </w:t>
      </w:r>
      <w:r w:rsidRPr="007F536A">
        <w:rPr>
          <w:rFonts w:ascii="Book Antiqua" w:hAnsi="Book Antiqua"/>
          <w:i/>
          <w:sz w:val="16"/>
          <w:szCs w:val="16"/>
        </w:rPr>
        <w:t>Journal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389,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[231] H. Abraham, “ Sur une nouvelle determination du rapport c entre les unites electromagnetiques et electrostatiques,”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XXVII</w:t>
      </w:r>
      <w:r w:rsidRPr="007F536A">
        <w:rPr>
          <w:rFonts w:ascii="Book Antiqua" w:hAnsi="Book Antiqua"/>
          <w:sz w:val="16"/>
          <w:szCs w:val="16"/>
        </w:rPr>
        <w:t xml:space="preserve">, p. 433, (1892).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[232] Hurmuzescu, “Nouvelle determination du rapport c entre les unites electrostatiques et electromagnetiques,” </w:t>
      </w:r>
      <w:r w:rsidRPr="007F536A">
        <w:rPr>
          <w:rFonts w:ascii="Book Antiqua" w:hAnsi="Book Antiqua"/>
          <w:i/>
          <w:sz w:val="16"/>
          <w:szCs w:val="16"/>
        </w:rPr>
        <w:t>Annales de Chimie et de Physique</w:t>
      </w:r>
      <w:r w:rsidRPr="007F536A">
        <w:rPr>
          <w:rFonts w:ascii="Book Antiqua" w:hAnsi="Book Antiqua"/>
          <w:sz w:val="16"/>
          <w:szCs w:val="16"/>
        </w:rPr>
        <w:t xml:space="preserve">, Vol. </w:t>
      </w:r>
      <w:r w:rsidRPr="007F536A">
        <w:rPr>
          <w:rFonts w:ascii="Book Antiqua" w:hAnsi="Book Antiqua"/>
          <w:b/>
          <w:sz w:val="16"/>
          <w:szCs w:val="16"/>
        </w:rPr>
        <w:t>X</w:t>
      </w:r>
      <w:r w:rsidRPr="007F536A">
        <w:rPr>
          <w:rFonts w:ascii="Book Antiqua" w:hAnsi="Book Antiqua"/>
          <w:sz w:val="16"/>
          <w:szCs w:val="16"/>
        </w:rPr>
        <w:t xml:space="preserve">, p. 433,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[233] Perot and Fabry, “Electrometre absolu pour petites differences de potential”, </w:t>
      </w:r>
      <w:r w:rsidRPr="007F536A">
        <w:rPr>
          <w:rFonts w:ascii="Book Antiqua" w:hAnsi="Book Antiqua"/>
          <w:i/>
          <w:sz w:val="16"/>
          <w:szCs w:val="16"/>
        </w:rPr>
        <w:t>Annales de Chimie et de Physique</w:t>
      </w:r>
      <w:r w:rsidRPr="007F536A">
        <w:rPr>
          <w:rFonts w:ascii="Book Antiqua" w:hAnsi="Book Antiqua"/>
          <w:sz w:val="16"/>
          <w:szCs w:val="16"/>
        </w:rPr>
        <w:t>, Vol.</w:t>
      </w:r>
      <w:r w:rsidRPr="007F536A">
        <w:rPr>
          <w:rFonts w:ascii="Book Antiqua" w:hAnsi="Book Antiqua"/>
          <w:b/>
          <w:sz w:val="16"/>
          <w:szCs w:val="16"/>
        </w:rPr>
        <w:t xml:space="preserve"> XIII</w:t>
      </w:r>
      <w:r w:rsidRPr="007F536A">
        <w:rPr>
          <w:rFonts w:ascii="Book Antiqua" w:hAnsi="Book Antiqua"/>
          <w:sz w:val="16"/>
          <w:szCs w:val="16"/>
        </w:rPr>
        <w:t xml:space="preserve">, p. 404,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[234] A.G. Webster, “An experimental determination of the period of electrical oscillation,” </w:t>
      </w:r>
      <w:r w:rsidRPr="007F536A">
        <w:rPr>
          <w:rFonts w:ascii="Book Antiqua" w:hAnsi="Book Antiqua"/>
          <w:i/>
          <w:sz w:val="16"/>
          <w:szCs w:val="16"/>
        </w:rPr>
        <w:t>Physical Review</w:t>
      </w:r>
      <w:r w:rsidRPr="007F536A">
        <w:rPr>
          <w:rFonts w:ascii="Book Antiqua" w:hAnsi="Book Antiqua"/>
          <w:sz w:val="16"/>
          <w:szCs w:val="16"/>
        </w:rPr>
        <w:t xml:space="preserve">, Vol. </w:t>
      </w:r>
      <w:r w:rsidRPr="007F536A">
        <w:rPr>
          <w:rFonts w:ascii="Book Antiqua" w:hAnsi="Book Antiqua"/>
          <w:b/>
          <w:sz w:val="16"/>
          <w:szCs w:val="16"/>
        </w:rPr>
        <w:t>VI</w:t>
      </w:r>
      <w:r w:rsidRPr="007F536A">
        <w:rPr>
          <w:rFonts w:ascii="Book Antiqua" w:hAnsi="Book Antiqua"/>
          <w:sz w:val="16"/>
          <w:szCs w:val="16"/>
        </w:rPr>
        <w:t xml:space="preserve">, p.297,( 1898).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[235] Lodge and Glazebrook, “Discharge of an air condenser, with a determination of c,” </w:t>
      </w:r>
      <w:r w:rsidRPr="007F536A">
        <w:rPr>
          <w:rFonts w:ascii="Book Antiqua" w:hAnsi="Book Antiqua"/>
          <w:i/>
          <w:sz w:val="16"/>
          <w:szCs w:val="16"/>
        </w:rPr>
        <w:t>Stokes Commemoration</w:t>
      </w:r>
      <w:r w:rsidRPr="007F536A">
        <w:rPr>
          <w:rFonts w:ascii="Book Antiqua" w:hAnsi="Book Antiqua"/>
          <w:sz w:val="16"/>
          <w:szCs w:val="16"/>
        </w:rPr>
        <w:t xml:space="preserve">, p. 136, Cambridge (1899). Also, </w:t>
      </w:r>
      <w:r w:rsidRPr="007F536A">
        <w:rPr>
          <w:rFonts w:ascii="Book Antiqua" w:hAnsi="Book Antiqua"/>
          <w:i/>
          <w:sz w:val="16"/>
          <w:szCs w:val="16"/>
        </w:rPr>
        <w:t>Transactions of the Cambridge Philosophical Society</w:t>
      </w:r>
      <w:r w:rsidRPr="007F536A">
        <w:rPr>
          <w:rFonts w:ascii="Book Antiqua" w:hAnsi="Book Antiqua"/>
          <w:sz w:val="16"/>
          <w:szCs w:val="16"/>
        </w:rPr>
        <w:t>, Vol</w:t>
      </w:r>
      <w:r w:rsidRPr="007F536A">
        <w:rPr>
          <w:rFonts w:ascii="Book Antiqua" w:hAnsi="Book Antiqua"/>
          <w:b/>
          <w:sz w:val="16"/>
          <w:szCs w:val="16"/>
        </w:rPr>
        <w:t>. XVIII</w:t>
      </w:r>
      <w:r w:rsidRPr="007F536A">
        <w:rPr>
          <w:rFonts w:ascii="Book Antiqua" w:hAnsi="Book Antiqua"/>
          <w:sz w:val="16"/>
          <w:szCs w:val="16"/>
        </w:rPr>
        <w:t xml:space="preserve">.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[236] E.B. Rosa, N.E. Dorsey, </w:t>
      </w:r>
      <w:r w:rsidRPr="007F536A">
        <w:rPr>
          <w:rFonts w:ascii="Book Antiqua" w:hAnsi="Book Antiqua"/>
          <w:i/>
          <w:sz w:val="16"/>
          <w:szCs w:val="16"/>
        </w:rPr>
        <w:t>Bulletin of the U.S. Bureau of Standards</w:t>
      </w:r>
      <w:r w:rsidRPr="007F536A">
        <w:rPr>
          <w:rFonts w:ascii="Book Antiqua" w:hAnsi="Book Antiqua"/>
          <w:sz w:val="16"/>
          <w:szCs w:val="16"/>
        </w:rPr>
        <w:t xml:space="preserve">, </w:t>
      </w:r>
      <w:r w:rsidRPr="007F536A">
        <w:rPr>
          <w:rFonts w:ascii="Book Antiqua" w:hAnsi="Book Antiqua"/>
          <w:b/>
          <w:sz w:val="16"/>
          <w:szCs w:val="16"/>
        </w:rPr>
        <w:t>3</w:t>
      </w:r>
      <w:r w:rsidRPr="007F536A">
        <w:rPr>
          <w:rFonts w:ascii="Book Antiqua" w:hAnsi="Book Antiqua"/>
          <w:sz w:val="16"/>
          <w:szCs w:val="16"/>
        </w:rPr>
        <w:t>, p. 433, (1907).</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[237]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XCIII</w:t>
      </w:r>
      <w:r w:rsidRPr="007F536A">
        <w:rPr>
          <w:rFonts w:ascii="Book Antiqua" w:hAnsi="Book Antiqua"/>
          <w:sz w:val="16"/>
          <w:szCs w:val="16"/>
        </w:rPr>
        <w:t>, p.628, (1891). Also</w:t>
      </w:r>
      <w:r w:rsidRPr="007F536A">
        <w:rPr>
          <w:rFonts w:ascii="Book Antiqua" w:hAnsi="Book Antiqua"/>
          <w:i/>
          <w:sz w:val="16"/>
          <w:szCs w:val="16"/>
        </w:rPr>
        <w:t>, Journal de Physique</w:t>
      </w:r>
      <w:r w:rsidRPr="007F536A">
        <w:rPr>
          <w:rFonts w:ascii="Book Antiqua" w:hAnsi="Book Antiqua"/>
          <w:sz w:val="16"/>
          <w:szCs w:val="16"/>
        </w:rPr>
        <w:t>, series 2, Vol.</w:t>
      </w:r>
      <w:r w:rsidRPr="007F536A">
        <w:rPr>
          <w:rFonts w:ascii="Book Antiqua" w:hAnsi="Book Antiqua"/>
          <w:b/>
          <w:sz w:val="16"/>
          <w:szCs w:val="16"/>
        </w:rPr>
        <w:t xml:space="preserve"> X</w:t>
      </w:r>
      <w:r w:rsidRPr="007F536A">
        <w:rPr>
          <w:rFonts w:ascii="Book Antiqua" w:hAnsi="Book Antiqua"/>
          <w:sz w:val="16"/>
          <w:szCs w:val="16"/>
        </w:rPr>
        <w:t xml:space="preserve">, p. 549, December (1891).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[238] R. Blondlot, </w:t>
      </w:r>
      <w:r w:rsidRPr="007F536A">
        <w:rPr>
          <w:rFonts w:ascii="Book Antiqua" w:hAnsi="Book Antiqua"/>
          <w:i/>
          <w:sz w:val="16"/>
          <w:szCs w:val="16"/>
        </w:rPr>
        <w:t>Comptes Rendus</w:t>
      </w:r>
      <w:r w:rsidRPr="007F536A">
        <w:rPr>
          <w:rFonts w:ascii="Book Antiqua" w:hAnsi="Book Antiqua"/>
          <w:sz w:val="16"/>
          <w:szCs w:val="16"/>
        </w:rPr>
        <w:t xml:space="preserve">. Vol. </w:t>
      </w:r>
      <w:r w:rsidRPr="007F536A">
        <w:rPr>
          <w:rFonts w:ascii="Book Antiqua" w:hAnsi="Book Antiqua"/>
          <w:b/>
          <w:sz w:val="16"/>
          <w:szCs w:val="16"/>
        </w:rPr>
        <w:t>CXVII</w:t>
      </w:r>
      <w:r w:rsidRPr="007F536A">
        <w:rPr>
          <w:rFonts w:ascii="Book Antiqua" w:hAnsi="Book Antiqua"/>
          <w:sz w:val="16"/>
          <w:szCs w:val="16"/>
        </w:rPr>
        <w:t xml:space="preserve">, p. 543, (1895). Also, </w:t>
      </w:r>
      <w:r w:rsidRPr="007F536A">
        <w:rPr>
          <w:rFonts w:ascii="Book Antiqua" w:hAnsi="Book Antiqua"/>
          <w:i/>
          <w:sz w:val="16"/>
          <w:szCs w:val="16"/>
        </w:rPr>
        <w:t>Annales de Chimie et de Physique</w:t>
      </w:r>
      <w:r w:rsidRPr="007F536A">
        <w:rPr>
          <w:rFonts w:ascii="Book Antiqua" w:hAnsi="Book Antiqua"/>
          <w:sz w:val="16"/>
          <w:szCs w:val="16"/>
        </w:rPr>
        <w:t xml:space="preserve">, series 7, Vol. </w:t>
      </w:r>
      <w:r w:rsidRPr="007F536A">
        <w:rPr>
          <w:rFonts w:ascii="Book Antiqua" w:hAnsi="Book Antiqua"/>
          <w:b/>
          <w:sz w:val="16"/>
          <w:szCs w:val="16"/>
        </w:rPr>
        <w:t>VII</w:t>
      </w:r>
      <w:r w:rsidRPr="007F536A">
        <w:rPr>
          <w:rFonts w:ascii="Book Antiqua" w:hAnsi="Book Antiqua"/>
          <w:sz w:val="16"/>
          <w:szCs w:val="16"/>
        </w:rPr>
        <w:t xml:space="preserve">, April 1896.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[239] Trowbridge and Duane, </w:t>
      </w:r>
      <w:r w:rsidRPr="007F536A">
        <w:rPr>
          <w:rFonts w:ascii="Book Antiqua" w:hAnsi="Book Antiqua"/>
          <w:i/>
          <w:sz w:val="16"/>
          <w:szCs w:val="16"/>
        </w:rPr>
        <w:t>Philosophical Magazine</w:t>
      </w:r>
      <w:r w:rsidRPr="007F536A">
        <w:rPr>
          <w:rFonts w:ascii="Book Antiqua" w:hAnsi="Book Antiqua"/>
          <w:sz w:val="16"/>
          <w:szCs w:val="16"/>
        </w:rPr>
        <w:t xml:space="preserve">, series 5, Vol. </w:t>
      </w:r>
      <w:r w:rsidRPr="007F536A">
        <w:rPr>
          <w:rFonts w:ascii="Book Antiqua" w:hAnsi="Book Antiqua"/>
          <w:b/>
          <w:sz w:val="16"/>
          <w:szCs w:val="16"/>
        </w:rPr>
        <w:t>XL</w:t>
      </w:r>
      <w:r w:rsidRPr="007F536A">
        <w:rPr>
          <w:rFonts w:ascii="Book Antiqua" w:hAnsi="Book Antiqua"/>
          <w:sz w:val="16"/>
          <w:szCs w:val="16"/>
        </w:rPr>
        <w:t xml:space="preserve">, p.211, (1895).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[240] C.A. Saunders, </w:t>
      </w:r>
      <w:r w:rsidRPr="007F536A">
        <w:rPr>
          <w:rFonts w:ascii="Book Antiqua" w:hAnsi="Book Antiqua"/>
          <w:i/>
          <w:sz w:val="16"/>
          <w:szCs w:val="16"/>
        </w:rPr>
        <w:t>Physical Review</w:t>
      </w:r>
      <w:r w:rsidRPr="007F536A">
        <w:rPr>
          <w:rFonts w:ascii="Book Antiqua" w:hAnsi="Book Antiqua"/>
          <w:sz w:val="16"/>
          <w:szCs w:val="16"/>
        </w:rPr>
        <w:t>, Vol.</w:t>
      </w:r>
      <w:r w:rsidRPr="007F536A">
        <w:rPr>
          <w:rFonts w:ascii="Book Antiqua" w:hAnsi="Book Antiqua"/>
          <w:b/>
          <w:sz w:val="16"/>
          <w:szCs w:val="16"/>
        </w:rPr>
        <w:t xml:space="preserve"> IV</w:t>
      </w:r>
      <w:r w:rsidRPr="007F536A">
        <w:rPr>
          <w:rFonts w:ascii="Book Antiqua" w:hAnsi="Book Antiqua"/>
          <w:sz w:val="16"/>
          <w:szCs w:val="16"/>
        </w:rPr>
        <w:t xml:space="preserve">, p.81, (1897).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[241] MacLean, </w:t>
      </w:r>
      <w:r w:rsidRPr="007F536A">
        <w:rPr>
          <w:rFonts w:ascii="Book Antiqua" w:hAnsi="Book Antiqua"/>
          <w:i/>
          <w:sz w:val="16"/>
          <w:szCs w:val="16"/>
        </w:rPr>
        <w:t>Philospohical Magazine</w:t>
      </w:r>
      <w:r w:rsidRPr="007F536A">
        <w:rPr>
          <w:rFonts w:ascii="Book Antiqua" w:hAnsi="Book Antiqua"/>
          <w:sz w:val="16"/>
          <w:szCs w:val="16"/>
        </w:rPr>
        <w:t xml:space="preserve">, series 5. Vol. </w:t>
      </w:r>
      <w:r w:rsidRPr="007F536A">
        <w:rPr>
          <w:rFonts w:ascii="Book Antiqua" w:hAnsi="Book Antiqua"/>
          <w:b/>
          <w:sz w:val="16"/>
          <w:szCs w:val="16"/>
        </w:rPr>
        <w:t>XLVIII</w:t>
      </w:r>
      <w:r w:rsidRPr="007F536A">
        <w:rPr>
          <w:rFonts w:ascii="Book Antiqua" w:hAnsi="Book Antiqua"/>
          <w:sz w:val="16"/>
          <w:szCs w:val="16"/>
        </w:rPr>
        <w:t xml:space="preserve">, p.117, (1899).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[242] J. Mercier, </w:t>
      </w:r>
      <w:r w:rsidRPr="007F536A">
        <w:rPr>
          <w:rFonts w:ascii="Book Antiqua" w:hAnsi="Book Antiqua"/>
          <w:i/>
          <w:sz w:val="16"/>
          <w:szCs w:val="16"/>
        </w:rPr>
        <w:t>Ann. Phys.</w:t>
      </w:r>
      <w:r w:rsidRPr="007F536A">
        <w:rPr>
          <w:rFonts w:ascii="Book Antiqua" w:hAnsi="Book Antiqua"/>
          <w:sz w:val="16"/>
          <w:szCs w:val="16"/>
        </w:rPr>
        <w:t xml:space="preserve"> Series 9, Vol. </w:t>
      </w:r>
      <w:r w:rsidRPr="007F536A">
        <w:rPr>
          <w:rFonts w:ascii="Book Antiqua" w:hAnsi="Book Antiqua"/>
          <w:b/>
          <w:sz w:val="16"/>
          <w:szCs w:val="16"/>
        </w:rPr>
        <w:t>19</w:t>
      </w:r>
      <w:r w:rsidRPr="007F536A">
        <w:rPr>
          <w:rFonts w:ascii="Book Antiqua" w:hAnsi="Book Antiqua"/>
          <w:sz w:val="16"/>
          <w:szCs w:val="16"/>
        </w:rPr>
        <w:t>, p. 248, (1923), Vol</w:t>
      </w:r>
      <w:r w:rsidRPr="007F536A">
        <w:rPr>
          <w:rFonts w:ascii="Book Antiqua" w:hAnsi="Book Antiqua"/>
          <w:b/>
          <w:sz w:val="16"/>
          <w:szCs w:val="16"/>
        </w:rPr>
        <w:t>. 20</w:t>
      </w:r>
      <w:r w:rsidRPr="007F536A">
        <w:rPr>
          <w:rFonts w:ascii="Book Antiqua" w:hAnsi="Book Antiqua"/>
          <w:sz w:val="16"/>
          <w:szCs w:val="16"/>
        </w:rPr>
        <w:t xml:space="preserve">, p.5, (1923). Also, </w:t>
      </w:r>
      <w:r w:rsidRPr="007F536A">
        <w:rPr>
          <w:rFonts w:ascii="Book Antiqua" w:hAnsi="Book Antiqua"/>
          <w:i/>
          <w:sz w:val="16"/>
          <w:szCs w:val="16"/>
        </w:rPr>
        <w:t>J. Phys. Radium</w:t>
      </w:r>
      <w:r w:rsidRPr="007F536A">
        <w:rPr>
          <w:rFonts w:ascii="Book Antiqua" w:hAnsi="Book Antiqua"/>
          <w:sz w:val="16"/>
          <w:szCs w:val="16"/>
        </w:rPr>
        <w:t>, (6), Vol.</w:t>
      </w:r>
      <w:r w:rsidRPr="007F536A">
        <w:rPr>
          <w:rFonts w:ascii="Book Antiqua" w:hAnsi="Book Antiqua"/>
          <w:b/>
          <w:sz w:val="16"/>
          <w:szCs w:val="16"/>
        </w:rPr>
        <w:t>5</w:t>
      </w:r>
      <w:r w:rsidRPr="007F536A">
        <w:rPr>
          <w:rFonts w:ascii="Book Antiqua" w:hAnsi="Book Antiqua"/>
          <w:sz w:val="16"/>
          <w:szCs w:val="16"/>
        </w:rPr>
        <w:t xml:space="preserve">, p.168, (1924). </w:t>
      </w: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[243] A. Montgomery, L. Dolphin, </w:t>
      </w:r>
      <w:r w:rsidRPr="007F536A">
        <w:rPr>
          <w:rFonts w:ascii="Book Antiqua" w:hAnsi="Book Antiqua"/>
          <w:i/>
          <w:sz w:val="16"/>
          <w:szCs w:val="16"/>
        </w:rPr>
        <w:t>Galilean Electrodynamics</w:t>
      </w:r>
      <w:r w:rsidRPr="007F536A">
        <w:rPr>
          <w:rFonts w:ascii="Book Antiqua" w:hAnsi="Book Antiqua"/>
          <w:sz w:val="16"/>
          <w:szCs w:val="16"/>
        </w:rPr>
        <w:t xml:space="preserve"> </w:t>
      </w:r>
      <w:r w:rsidRPr="007F536A">
        <w:rPr>
          <w:rFonts w:ascii="Book Antiqua" w:hAnsi="Book Antiqua"/>
          <w:b/>
          <w:sz w:val="16"/>
          <w:szCs w:val="16"/>
        </w:rPr>
        <w:t>4</w:t>
      </w:r>
      <w:r w:rsidRPr="007F536A">
        <w:rPr>
          <w:rFonts w:ascii="Book Antiqua" w:hAnsi="Book Antiqua"/>
          <w:sz w:val="16"/>
          <w:szCs w:val="16"/>
        </w:rPr>
        <w:t>:5 (1993) 93.</w:t>
      </w:r>
    </w:p>
    <w:p w:rsidR="00821A88" w:rsidRPr="007F536A" w:rsidRDefault="00821A88" w:rsidP="00821A88">
      <w:pPr>
        <w:pStyle w:val="NoSpacing"/>
        <w:rPr>
          <w:rFonts w:ascii="Book Antiqua" w:hAnsi="Book Antiqua"/>
          <w:b/>
          <w:sz w:val="16"/>
          <w:szCs w:val="16"/>
        </w:rPr>
      </w:pPr>
    </w:p>
    <w:p w:rsidR="00036707" w:rsidRDefault="00036707" w:rsidP="00821A88">
      <w:pPr>
        <w:pStyle w:val="NoSpacing"/>
        <w:rPr>
          <w:rFonts w:ascii="Book Antiqua" w:hAnsi="Book Antiqua"/>
          <w:b/>
          <w:sz w:val="20"/>
        </w:rPr>
      </w:pPr>
    </w:p>
    <w:p w:rsidR="00036707" w:rsidRDefault="00036707" w:rsidP="00821A88">
      <w:pPr>
        <w:pStyle w:val="NoSpacing"/>
        <w:rPr>
          <w:rFonts w:ascii="Book Antiqua" w:hAnsi="Book Antiqua"/>
          <w:b/>
          <w:sz w:val="20"/>
        </w:rPr>
      </w:pPr>
    </w:p>
    <w:p w:rsidR="00821A88" w:rsidRPr="007F536A" w:rsidRDefault="00821A88" w:rsidP="00821A88">
      <w:pPr>
        <w:pStyle w:val="NoSpacing"/>
        <w:rPr>
          <w:rFonts w:ascii="Book Antiqua" w:hAnsi="Book Antiqua"/>
          <w:i/>
          <w:sz w:val="20"/>
        </w:rPr>
      </w:pPr>
      <w:r w:rsidRPr="007F536A">
        <w:rPr>
          <w:rFonts w:ascii="Book Antiqua" w:hAnsi="Book Antiqua"/>
          <w:b/>
          <w:sz w:val="20"/>
        </w:rPr>
        <w:t xml:space="preserve">Figure References – </w:t>
      </w:r>
      <w:r w:rsidRPr="007F536A">
        <w:rPr>
          <w:rFonts w:ascii="Book Antiqua" w:hAnsi="Book Antiqua"/>
          <w:i/>
          <w:sz w:val="20"/>
        </w:rPr>
        <w:t>All URL’s retrieved 9/13/12</w:t>
      </w:r>
    </w:p>
    <w:p w:rsidR="00821A88" w:rsidRPr="007F536A" w:rsidRDefault="00821A88" w:rsidP="00821A88">
      <w:pPr>
        <w:pStyle w:val="NoSpacing"/>
        <w:rPr>
          <w:rFonts w:ascii="Book Antiqua" w:hAnsi="Book Antiqua"/>
          <w:b/>
          <w:sz w:val="16"/>
          <w:szCs w:val="16"/>
        </w:rPr>
      </w:pPr>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 (Left) Ole Rømer 1644-1710. Painting by Jacob Coning about 1700; (right)Ole Rømer at work in his home observatory in Copenhagen. Both images from </w:t>
      </w:r>
      <w:hyperlink r:id="rId133" w:history="1">
        <w:r w:rsidRPr="007F536A">
          <w:rPr>
            <w:rStyle w:val="Hyperlink"/>
            <w:rFonts w:ascii="Book Antiqua" w:hAnsi="Book Antiqua"/>
            <w:i/>
            <w:szCs w:val="16"/>
          </w:rPr>
          <w:t>http://en.wikipedia.org/wiki/Ole_R%C3%B8mer</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2: Ole Roemer’s drawing of Io’s Jupiter Eclipse</w:t>
      </w:r>
      <w:r w:rsidR="0091679C">
        <w:rPr>
          <w:rFonts w:ascii="Book Antiqua" w:hAnsi="Book Antiqua"/>
          <w:sz w:val="16"/>
          <w:szCs w:val="16"/>
        </w:rPr>
        <w:t xml:space="preserve">: </w:t>
      </w:r>
      <w:hyperlink r:id="rId134" w:history="1">
        <w:r w:rsidRPr="007F536A">
          <w:rPr>
            <w:rStyle w:val="Hyperlink"/>
            <w:rFonts w:ascii="Book Antiqua" w:hAnsi="Book Antiqua"/>
            <w:i/>
            <w:szCs w:val="16"/>
          </w:rPr>
          <w:t>http://www.olympusmicro.com/primer/lightandcolor/speedoflight.html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3: Explanation of light travel time across earth’s orbit</w:t>
      </w:r>
      <w:r w:rsidR="0091679C">
        <w:rPr>
          <w:rFonts w:ascii="Book Antiqua" w:hAnsi="Book Antiqua"/>
          <w:sz w:val="16"/>
          <w:szCs w:val="16"/>
        </w:rPr>
        <w:t xml:space="preserve">: </w:t>
      </w:r>
      <w:hyperlink r:id="rId135" w:history="1">
        <w:r w:rsidRPr="007F536A">
          <w:rPr>
            <w:rStyle w:val="Hyperlink"/>
            <w:rFonts w:ascii="Book Antiqua" w:hAnsi="Book Antiqua"/>
            <w:i/>
            <w:szCs w:val="16"/>
          </w:rPr>
          <w:t>http://en.wikinoticia.com/culture-science/Science/67700-the-speed-of-light</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Figure 4:</w:t>
      </w:r>
      <w:r w:rsidRPr="007F536A">
        <w:rPr>
          <w:rFonts w:ascii="Book Antiqua" w:hAnsi="Book Antiqua"/>
          <w:i/>
          <w:sz w:val="16"/>
          <w:szCs w:val="16"/>
        </w:rPr>
        <w:t xml:space="preserve"> </w:t>
      </w:r>
      <w:r w:rsidRPr="007F536A">
        <w:rPr>
          <w:rFonts w:ascii="Book Antiqua" w:hAnsi="Book Antiqua"/>
          <w:sz w:val="16"/>
          <w:szCs w:val="16"/>
        </w:rPr>
        <w:t xml:space="preserve">Left – J. B. J. Delambre 1749-1822. </w:t>
      </w:r>
      <w:hyperlink r:id="rId136" w:history="1">
        <w:r w:rsidRPr="007F536A">
          <w:rPr>
            <w:rStyle w:val="Hyperlink"/>
            <w:rFonts w:ascii="Book Antiqua" w:hAnsi="Book Antiqua"/>
            <w:i/>
            <w:szCs w:val="16"/>
          </w:rPr>
          <w:t>http://en.wikipedia.org/wiki/Jean_Baptiste_Joseph_Delambre</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Right - S. P. Glazenapp 1848-1937.  </w:t>
      </w:r>
      <w:hyperlink r:id="rId137" w:history="1">
        <w:r w:rsidRPr="007F536A">
          <w:rPr>
            <w:rStyle w:val="Hyperlink"/>
            <w:rFonts w:ascii="Book Antiqua" w:hAnsi="Book Antiqua"/>
            <w:i/>
            <w:szCs w:val="16"/>
          </w:rPr>
          <w:t>http://www.astronet.ru:8105/db/msg/1170951/1880.html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7: Aberration angle of rain and starlight compared. </w:t>
      </w:r>
      <w:hyperlink r:id="rId138" w:history="1">
        <w:r w:rsidRPr="007F536A">
          <w:rPr>
            <w:rStyle w:val="Hyperlink"/>
            <w:rFonts w:ascii="Book Antiqua" w:hAnsi="Book Antiqua"/>
            <w:i/>
            <w:szCs w:val="16"/>
          </w:rPr>
          <w:t>http://christophercrockett.com/astrowow/aberration/</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8: Aberration</w:t>
      </w:r>
      <w:r w:rsidR="0091679C">
        <w:rPr>
          <w:rFonts w:ascii="Book Antiqua" w:hAnsi="Book Antiqua"/>
          <w:sz w:val="16"/>
          <w:szCs w:val="16"/>
        </w:rPr>
        <w:t xml:space="preserve"> of light due to orbital motion: </w:t>
      </w:r>
      <w:hyperlink r:id="rId139" w:history="1">
        <w:r w:rsidRPr="007F536A">
          <w:rPr>
            <w:rStyle w:val="Hyperlink"/>
            <w:rFonts w:ascii="Book Antiqua" w:hAnsi="Book Antiqua"/>
            <w:i/>
            <w:szCs w:val="16"/>
          </w:rPr>
          <w:t>http://mitu-bobs.blogspot.com/2011/02/ss-h1-james-bradley-astronomer-royal-in.html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9: James Bradley. </w:t>
      </w:r>
      <w:hyperlink r:id="rId140" w:history="1">
        <w:r w:rsidRPr="007F536A">
          <w:rPr>
            <w:rStyle w:val="Hyperlink"/>
            <w:rFonts w:ascii="Book Antiqua" w:hAnsi="Book Antiqua"/>
            <w:i/>
            <w:szCs w:val="16"/>
          </w:rPr>
          <w:t>http://micro.magnet.fsu.edu/optics/timeline/people/bradley.html</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 xml:space="preserve">Figure 10: Bradley’s data on the aberration of gamma draconis. </w:t>
      </w:r>
      <w:hyperlink r:id="rId141" w:history="1">
        <w:r w:rsidRPr="007F536A">
          <w:rPr>
            <w:rStyle w:val="Hyperlink"/>
            <w:rFonts w:ascii="Book Antiqua" w:hAnsi="Book Antiqua"/>
            <w:i/>
            <w:szCs w:val="16"/>
          </w:rPr>
          <w:t>http://en.wikipedia.org/wiki/User:Brews_ohare</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Figure 11: Left - O. W. von Struve 1819-1905.</w:t>
      </w:r>
    </w:p>
    <w:p w:rsidR="00821A88" w:rsidRPr="007F536A" w:rsidRDefault="007B3EBC" w:rsidP="00821A88">
      <w:pPr>
        <w:pStyle w:val="NoSpacing"/>
        <w:jc w:val="both"/>
        <w:rPr>
          <w:rFonts w:ascii="Book Antiqua" w:hAnsi="Book Antiqua"/>
          <w:i/>
          <w:sz w:val="16"/>
          <w:szCs w:val="16"/>
        </w:rPr>
      </w:pPr>
      <w:hyperlink r:id="rId142" w:history="1">
        <w:r w:rsidR="00821A88" w:rsidRPr="007F536A">
          <w:rPr>
            <w:rStyle w:val="Hyperlink"/>
            <w:rFonts w:ascii="Book Antiqua" w:hAnsi="Book Antiqua"/>
            <w:i/>
            <w:szCs w:val="16"/>
          </w:rPr>
          <w:t>http://www.redorbit.com/education/reference_library/notable_figures/astronomers/2582478/von_struve_otto_wilhelm/</w:t>
        </w:r>
      </w:hyperlink>
    </w:p>
    <w:p w:rsidR="00821A88" w:rsidRPr="007F536A" w:rsidRDefault="00821A88" w:rsidP="00821A88">
      <w:pPr>
        <w:rPr>
          <w:rFonts w:ascii="Book Antiqua" w:hAnsi="Book Antiqua"/>
          <w:bCs/>
          <w:i/>
          <w:iCs/>
          <w:sz w:val="16"/>
          <w:szCs w:val="16"/>
        </w:rPr>
      </w:pPr>
      <w:r w:rsidRPr="007F536A">
        <w:rPr>
          <w:rFonts w:ascii="Book Antiqua" w:hAnsi="Book Antiqua"/>
          <w:sz w:val="16"/>
          <w:szCs w:val="16"/>
        </w:rPr>
        <w:t xml:space="preserve">Figure 11: Right – Pulkovo Observatory. </w:t>
      </w:r>
      <w:hyperlink r:id="rId143" w:history="1">
        <w:r w:rsidRPr="007F536A">
          <w:rPr>
            <w:rStyle w:val="Hyperlink"/>
            <w:rFonts w:ascii="Book Antiqua" w:hAnsi="Book Antiqua"/>
            <w:bCs/>
            <w:i/>
            <w:iCs/>
            <w:szCs w:val="16"/>
          </w:rPr>
          <w:t>http://en.wikipedia.org/wiki/Pulkovo_Observatory</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11A: Repsold’s Transit Instrument at Pulkovo Observatory</w:t>
      </w:r>
    </w:p>
    <w:p w:rsidR="00821A88" w:rsidRPr="007F536A" w:rsidRDefault="007B3EBC" w:rsidP="00821A88">
      <w:pPr>
        <w:pStyle w:val="NoSpacing"/>
        <w:jc w:val="both"/>
        <w:rPr>
          <w:rFonts w:ascii="Book Antiqua" w:hAnsi="Book Antiqua"/>
          <w:i/>
          <w:sz w:val="16"/>
          <w:szCs w:val="16"/>
        </w:rPr>
      </w:pPr>
      <w:hyperlink r:id="rId144" w:history="1">
        <w:r w:rsidR="00821A88" w:rsidRPr="007F536A">
          <w:rPr>
            <w:rStyle w:val="Hyperlink"/>
            <w:rFonts w:ascii="Book Antiqua" w:hAnsi="Book Antiqua"/>
            <w:i/>
            <w:szCs w:val="16"/>
          </w:rPr>
          <w:t>http://collectionsonline.nmsi.ac.uk/detail.php?t=objects&amp;type=ext&amp;f=&amp;s=&amp;record=801&amp;category1=SCM+-+Astronomy&amp;op-earliest_year=&amp;op-latest_year</w:t>
        </w:r>
      </w:hyperlink>
      <w:r w:rsidR="00821A88" w:rsidRPr="007F536A">
        <w:rPr>
          <w:rFonts w:ascii="Book Antiqua" w:hAnsi="Book Antiqua"/>
          <w:i/>
          <w:sz w:val="16"/>
          <w:szCs w:val="16"/>
        </w:rPr>
        <w:t>=</w:t>
      </w:r>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14: Armand Fizeau. </w:t>
      </w:r>
      <w:hyperlink r:id="rId145" w:history="1">
        <w:r w:rsidRPr="007F536A">
          <w:rPr>
            <w:rStyle w:val="Hyperlink"/>
            <w:rFonts w:ascii="Book Antiqua" w:hAnsi="Book Antiqua"/>
            <w:i/>
            <w:szCs w:val="16"/>
          </w:rPr>
          <w:t>http://dc270.4shared.com/doc/ZizRlyG8/preview.html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15: Fizeau’s toothed wheel method. </w:t>
      </w:r>
      <w:hyperlink r:id="rId146" w:history="1">
        <w:r w:rsidRPr="007F536A">
          <w:rPr>
            <w:rStyle w:val="Hyperlink"/>
            <w:rFonts w:ascii="Book Antiqua" w:hAnsi="Book Antiqua"/>
            <w:i/>
            <w:szCs w:val="16"/>
          </w:rPr>
          <w:t>http://www.setterfield.org/000docs/cx3.html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16: Marie Alfred Cornu. </w:t>
      </w:r>
      <w:hyperlink r:id="rId147" w:history="1">
        <w:r w:rsidRPr="007F536A">
          <w:rPr>
            <w:rStyle w:val="Hyperlink"/>
            <w:rFonts w:ascii="Book Antiqua" w:hAnsi="Book Antiqua"/>
            <w:i/>
            <w:szCs w:val="16"/>
          </w:rPr>
          <w:t>http://www.scientific-web.com/en/Physics/Biographies/MarieAlfredCornu01.html</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Figure 17:</w:t>
      </w:r>
      <w:r w:rsidRPr="007F536A">
        <w:rPr>
          <w:rFonts w:ascii="Book Antiqua" w:hAnsi="Book Antiqua"/>
          <w:i/>
          <w:sz w:val="16"/>
          <w:szCs w:val="16"/>
        </w:rPr>
        <w:t xml:space="preserve"> </w:t>
      </w:r>
      <w:r w:rsidRPr="007F536A">
        <w:rPr>
          <w:rFonts w:ascii="Book Antiqua" w:hAnsi="Book Antiqua"/>
          <w:sz w:val="16"/>
          <w:szCs w:val="16"/>
        </w:rPr>
        <w:t xml:space="preserve">Left - James Young 1811-1883. </w:t>
      </w:r>
      <w:hyperlink r:id="rId148" w:history="1">
        <w:r w:rsidRPr="007F536A">
          <w:rPr>
            <w:rStyle w:val="Hyperlink"/>
            <w:rFonts w:ascii="Book Antiqua" w:hAnsi="Book Antiqua"/>
            <w:i/>
            <w:szCs w:val="16"/>
          </w:rPr>
          <w:t>http://en.wikipedia.org/wiki/James_Young_(Scottish_chemist)</w:t>
        </w:r>
      </w:hyperlink>
    </w:p>
    <w:p w:rsidR="00821A88" w:rsidRPr="007F536A" w:rsidRDefault="00821A88" w:rsidP="00821A88">
      <w:pPr>
        <w:pStyle w:val="NoSpacing"/>
        <w:rPr>
          <w:rFonts w:ascii="Book Antiqua" w:hAnsi="Book Antiqua"/>
          <w:sz w:val="16"/>
          <w:szCs w:val="16"/>
        </w:rPr>
      </w:pPr>
      <w:r w:rsidRPr="007F536A">
        <w:rPr>
          <w:rFonts w:ascii="Book Antiqua" w:hAnsi="Book Antiqua"/>
          <w:sz w:val="16"/>
          <w:szCs w:val="16"/>
        </w:rPr>
        <w:t>Figure 17: Right – George Forbes 1849-1936</w:t>
      </w:r>
      <w:r w:rsidRPr="007F536A">
        <w:rPr>
          <w:rFonts w:ascii="Book Antiqua" w:hAnsi="Book Antiqua"/>
          <w:i/>
          <w:sz w:val="16"/>
          <w:szCs w:val="16"/>
        </w:rPr>
        <w:t>.</w:t>
      </w:r>
    </w:p>
    <w:p w:rsidR="00821A88" w:rsidRPr="007F536A" w:rsidRDefault="007B3EBC" w:rsidP="00821A88">
      <w:pPr>
        <w:pStyle w:val="NoSpacing"/>
        <w:rPr>
          <w:rFonts w:ascii="Book Antiqua" w:hAnsi="Book Antiqua"/>
          <w:i/>
          <w:sz w:val="16"/>
          <w:szCs w:val="16"/>
        </w:rPr>
      </w:pPr>
      <w:hyperlink r:id="rId149" w:history="1">
        <w:r w:rsidR="00821A88" w:rsidRPr="007F536A">
          <w:rPr>
            <w:rStyle w:val="Hyperlink"/>
            <w:rFonts w:ascii="Book Antiqua" w:hAnsi="Book Antiqua"/>
            <w:i/>
            <w:szCs w:val="16"/>
          </w:rPr>
          <w:t>http://www.theglasgowstory.com/image.php?inum=TGSS00023&amp;t=2&amp;urltp=search.php%3Fstart%3D180%26end%3D200%26what%3Duniversity%26where%3D%26who%3D%26period%3D0%26collection%3D0%26search%3D99</w:t>
        </w:r>
      </w:hyperlink>
    </w:p>
    <w:p w:rsidR="00821A88" w:rsidRPr="007F536A" w:rsidRDefault="00821A88" w:rsidP="00821A88">
      <w:pPr>
        <w:pStyle w:val="NoSpacing"/>
        <w:rPr>
          <w:rFonts w:ascii="Book Antiqua" w:hAnsi="Book Antiqua"/>
          <w:i/>
          <w:sz w:val="16"/>
          <w:szCs w:val="16"/>
        </w:rPr>
      </w:pPr>
      <w:r w:rsidRPr="007F536A">
        <w:rPr>
          <w:rFonts w:ascii="Book Antiqua" w:hAnsi="Book Antiqua"/>
          <w:sz w:val="16"/>
          <w:szCs w:val="16"/>
        </w:rPr>
        <w:t xml:space="preserve">Figure 18: Henri Joseph Anastase Perrotin. </w:t>
      </w:r>
      <w:hyperlink r:id="rId150" w:history="1">
        <w:r w:rsidRPr="007F536A">
          <w:rPr>
            <w:rStyle w:val="Hyperlink"/>
            <w:rFonts w:ascii="Book Antiqua" w:hAnsi="Book Antiqua"/>
            <w:i/>
            <w:szCs w:val="16"/>
          </w:rPr>
          <w:t>https://www.oca.eu/histoire-nice_en/perrotin.html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21: Jean-Bernard-Leon Foucault. </w:t>
      </w:r>
      <w:hyperlink r:id="rId151" w:history="1">
        <w:r w:rsidRPr="007F536A">
          <w:rPr>
            <w:rStyle w:val="Hyperlink"/>
            <w:rFonts w:ascii="Book Antiqua" w:hAnsi="Book Antiqua"/>
            <w:i/>
            <w:szCs w:val="16"/>
          </w:rPr>
          <w:t>http://micro.magnet.fsu.edu/optics/timeline/people/foucault.html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22: Foucault’s Rotating Mirror arrangement. </w:t>
      </w:r>
      <w:hyperlink r:id="rId152" w:history="1">
        <w:r w:rsidRPr="007F536A">
          <w:rPr>
            <w:rStyle w:val="Hyperlink"/>
            <w:rFonts w:ascii="Book Antiqua" w:hAnsi="Book Antiqua"/>
            <w:i/>
            <w:szCs w:val="16"/>
          </w:rPr>
          <w:t>http://www.daviddarling.info/encyclopedia/S/speedlight.html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23: Left – Simon Newcomb. </w:t>
      </w:r>
      <w:hyperlink r:id="rId153" w:history="1">
        <w:r w:rsidRPr="007F536A">
          <w:rPr>
            <w:rStyle w:val="Hyperlink"/>
            <w:rFonts w:ascii="Book Antiqua" w:hAnsi="Book Antiqua"/>
            <w:i/>
            <w:szCs w:val="16"/>
          </w:rPr>
          <w:t>http://www.physics.csbsju.edu/astro/newcomb/SNewcomb.html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23: Right – Albert A. Michelson. </w:t>
      </w:r>
      <w:hyperlink r:id="rId154" w:history="1">
        <w:r w:rsidRPr="007F536A">
          <w:rPr>
            <w:rStyle w:val="Hyperlink"/>
            <w:rFonts w:ascii="Book Antiqua" w:hAnsi="Book Antiqua"/>
            <w:i/>
            <w:szCs w:val="16"/>
          </w:rPr>
          <w:t>http://16inchtranscriptions.com/Michelson.html</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24: Simplified sketch of the Michelson-Newcomb experiment. </w:t>
      </w:r>
      <w:hyperlink r:id="rId155" w:history="1">
        <w:r w:rsidRPr="007F536A">
          <w:rPr>
            <w:rStyle w:val="Hyperlink"/>
            <w:rFonts w:ascii="Book Antiqua" w:hAnsi="Book Antiqua"/>
            <w:i/>
            <w:szCs w:val="16"/>
          </w:rPr>
          <w:t>http://vigo.ime.unicamp.br/~fismat/newcomb.pdf</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25: Left – A. A. Michelson. </w:t>
      </w:r>
      <w:hyperlink r:id="rId156" w:history="1">
        <w:r w:rsidRPr="007F536A">
          <w:rPr>
            <w:rStyle w:val="Hyperlink"/>
            <w:rFonts w:ascii="Book Antiqua" w:hAnsi="Book Antiqua"/>
            <w:i/>
            <w:szCs w:val="16"/>
          </w:rPr>
          <w:t>http://www.staff.amu.edu.pl/~zbzw/ph/sci/aam.htm/</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25: Middle and Right – A. A. Michelson. </w:t>
      </w:r>
    </w:p>
    <w:p w:rsidR="00821A88" w:rsidRPr="007F536A" w:rsidRDefault="007B3EBC" w:rsidP="00821A88">
      <w:pPr>
        <w:pStyle w:val="NoSpacing"/>
        <w:jc w:val="both"/>
        <w:rPr>
          <w:rFonts w:ascii="Book Antiqua" w:hAnsi="Book Antiqua"/>
          <w:i/>
          <w:sz w:val="16"/>
          <w:szCs w:val="16"/>
        </w:rPr>
      </w:pPr>
      <w:hyperlink r:id="rId157" w:history="1">
        <w:r w:rsidR="00821A88" w:rsidRPr="007F536A">
          <w:rPr>
            <w:rStyle w:val="Hyperlink"/>
            <w:rFonts w:ascii="Book Antiqua" w:hAnsi="Book Antiqua"/>
            <w:i/>
            <w:szCs w:val="16"/>
          </w:rPr>
          <w:t>http://www.studyhelpline.net/Biography/Albert-Abraham-Michelson-biography.aspx</w:t>
        </w:r>
      </w:hyperlink>
    </w:p>
    <w:p w:rsidR="00821A88" w:rsidRPr="007F536A" w:rsidRDefault="00821A88" w:rsidP="00821A88">
      <w:pPr>
        <w:pStyle w:val="NoSpacing"/>
        <w:jc w:val="both"/>
        <w:rPr>
          <w:rFonts w:ascii="Book Antiqua" w:hAnsi="Book Antiqua"/>
          <w:i/>
          <w:sz w:val="16"/>
          <w:szCs w:val="16"/>
        </w:rPr>
      </w:pPr>
      <w:r w:rsidRPr="007F536A">
        <w:rPr>
          <w:rFonts w:ascii="Book Antiqua" w:hAnsi="Book Antiqua"/>
          <w:sz w:val="16"/>
          <w:szCs w:val="16"/>
        </w:rPr>
        <w:t xml:space="preserve">Figure 26: Michelson’s 8-Faced Rotating Mirror. </w:t>
      </w:r>
      <w:hyperlink r:id="rId158" w:history="1">
        <w:r w:rsidRPr="007F536A">
          <w:rPr>
            <w:rStyle w:val="Hyperlink"/>
            <w:rFonts w:ascii="Book Antiqua" w:hAnsi="Book Antiqua"/>
            <w:i/>
            <w:szCs w:val="16"/>
          </w:rPr>
          <w:t>http://www.setterfield.org/000docs/cx4.html</w:t>
        </w:r>
      </w:hyperlink>
    </w:p>
    <w:p w:rsidR="00821A88" w:rsidRPr="007F536A" w:rsidRDefault="00821A88" w:rsidP="00821A88">
      <w:pPr>
        <w:pStyle w:val="NoSpacing"/>
        <w:jc w:val="both"/>
        <w:rPr>
          <w:rFonts w:ascii="Book Antiqua" w:hAnsi="Book Antiqua"/>
          <w:sz w:val="16"/>
          <w:szCs w:val="16"/>
        </w:rPr>
      </w:pPr>
      <w:r w:rsidRPr="007F536A">
        <w:rPr>
          <w:rFonts w:ascii="Book Antiqua" w:hAnsi="Book Antiqua"/>
          <w:sz w:val="16"/>
          <w:szCs w:val="16"/>
        </w:rPr>
        <w:t xml:space="preserve">Figure 27: Michelson-Pease-Pearson experiment. </w:t>
      </w:r>
      <w:hyperlink r:id="rId159" w:history="1">
        <w:r w:rsidRPr="007F536A">
          <w:rPr>
            <w:rStyle w:val="Hyperlink"/>
            <w:rFonts w:ascii="Book Antiqua" w:hAnsi="Book Antiqua"/>
            <w:i/>
            <w:szCs w:val="16"/>
          </w:rPr>
          <w:t>http://oisc.net/Speed_of_Light.htm</w:t>
        </w:r>
      </w:hyperlink>
    </w:p>
    <w:p w:rsidR="00821A88" w:rsidRPr="007F536A" w:rsidRDefault="00821A88" w:rsidP="00821A88">
      <w:pPr>
        <w:rPr>
          <w:rFonts w:ascii="Book Antiqua" w:hAnsi="Book Antiqua"/>
          <w:sz w:val="16"/>
          <w:szCs w:val="16"/>
        </w:rPr>
      </w:pPr>
    </w:p>
    <w:p w:rsidR="00821A88" w:rsidRPr="0091679C" w:rsidRDefault="00821A88" w:rsidP="00821A88">
      <w:pPr>
        <w:pStyle w:val="NoSpacing"/>
        <w:jc w:val="center"/>
        <w:rPr>
          <w:rFonts w:ascii="Book Antiqua" w:hAnsi="Book Antiqua"/>
          <w:b/>
          <w:i/>
          <w:sz w:val="28"/>
          <w:szCs w:val="28"/>
        </w:rPr>
      </w:pPr>
      <w:r w:rsidRPr="0091679C">
        <w:rPr>
          <w:rFonts w:ascii="Book Antiqua" w:hAnsi="Book Antiqua"/>
          <w:b/>
          <w:i/>
          <w:sz w:val="28"/>
          <w:szCs w:val="28"/>
        </w:rPr>
        <w:t>*  *  *  *  *  *  *</w:t>
      </w:r>
    </w:p>
    <w:p w:rsidR="00036707" w:rsidRDefault="00036707">
      <w:pPr>
        <w:widowControl/>
        <w:spacing w:after="200" w:line="276" w:lineRule="auto"/>
        <w:rPr>
          <w:rFonts w:ascii="Book Antiqua" w:hAnsi="Book Antiqua"/>
        </w:rPr>
      </w:pPr>
      <w:r>
        <w:rPr>
          <w:rFonts w:ascii="Book Antiqua" w:hAnsi="Book Antiqua"/>
        </w:rPr>
        <w:br w:type="page"/>
      </w:r>
    </w:p>
    <w:p w:rsidR="00820B57" w:rsidRPr="00B9776F" w:rsidRDefault="00820B57" w:rsidP="00820B57">
      <w:pPr>
        <w:pStyle w:val="NoSpacing"/>
        <w:jc w:val="center"/>
        <w:rPr>
          <w:rFonts w:ascii="Book Antiqua" w:hAnsi="Book Antiqua"/>
          <w:b/>
          <w:bCs/>
          <w:iCs/>
          <w:color w:val="000000"/>
          <w:szCs w:val="24"/>
        </w:rPr>
      </w:pPr>
      <w:r w:rsidRPr="00B9776F">
        <w:rPr>
          <w:rFonts w:ascii="Book Antiqua" w:hAnsi="Book Antiqua"/>
          <w:b/>
          <w:szCs w:val="24"/>
        </w:rPr>
        <w:lastRenderedPageBreak/>
        <w:t xml:space="preserve">Chapter 4: </w:t>
      </w:r>
      <w:r w:rsidRPr="00FF3454">
        <w:rPr>
          <w:rFonts w:ascii="Book Antiqua" w:hAnsi="Book Antiqua"/>
          <w:b/>
          <w:i/>
          <w:szCs w:val="24"/>
        </w:rPr>
        <w:t>The ZPE &amp; Atomic Behavior.</w:t>
      </w:r>
      <w:r w:rsidRPr="00B9776F">
        <w:rPr>
          <w:rFonts w:ascii="Book Antiqua" w:hAnsi="Book Antiqua"/>
          <w:b/>
          <w:szCs w:val="24"/>
        </w:rPr>
        <w:t xml:space="preserve"> </w:t>
      </w:r>
      <w:r w:rsidRPr="00B9776F">
        <w:rPr>
          <w:rFonts w:ascii="Book Antiqua" w:hAnsi="Book Antiqua"/>
          <w:b/>
          <w:bCs/>
          <w:iCs/>
          <w:color w:val="000000"/>
          <w:szCs w:val="24"/>
        </w:rPr>
        <w:t xml:space="preserve"> </w:t>
      </w:r>
    </w:p>
    <w:p w:rsidR="00820B57" w:rsidRPr="00B9776F" w:rsidRDefault="00820B57" w:rsidP="00820B57">
      <w:pPr>
        <w:pStyle w:val="NoSpacing"/>
        <w:rPr>
          <w:rFonts w:ascii="Book Antiqua" w:hAnsi="Book Antiqua"/>
          <w:b/>
          <w:bCs/>
          <w:iCs/>
          <w:color w:val="000000"/>
          <w:sz w:val="20"/>
          <w:u w:val="single"/>
        </w:rPr>
      </w:pPr>
    </w:p>
    <w:p w:rsidR="00820B57" w:rsidRPr="00B9776F" w:rsidRDefault="00820B57" w:rsidP="00820B57">
      <w:pPr>
        <w:pStyle w:val="NoSpacing"/>
        <w:rPr>
          <w:rFonts w:ascii="Book Antiqua" w:hAnsi="Book Antiqua"/>
          <w:b/>
          <w:bCs/>
          <w:iCs/>
          <w:color w:val="000000"/>
          <w:sz w:val="20"/>
        </w:rPr>
      </w:pPr>
      <w:r w:rsidRPr="00B9776F">
        <w:rPr>
          <w:rFonts w:ascii="Book Antiqua" w:hAnsi="Book Antiqua"/>
          <w:b/>
          <w:sz w:val="20"/>
        </w:rPr>
        <w:t>1. Mass and the Zero Point Energy.</w:t>
      </w:r>
      <w:r w:rsidRPr="00B9776F">
        <w:rPr>
          <w:rFonts w:ascii="Book Antiqua" w:hAnsi="Book Antiqua"/>
          <w:b/>
          <w:bCs/>
          <w:iCs/>
          <w:color w:val="000000"/>
          <w:sz w:val="20"/>
        </w:rPr>
        <w:t xml:space="preserve"> </w:t>
      </w:r>
    </w:p>
    <w:p w:rsidR="00820B57" w:rsidRPr="00B9776F" w:rsidRDefault="00820B57" w:rsidP="00820B57">
      <w:pPr>
        <w:pStyle w:val="Heading2"/>
        <w:numPr>
          <w:ilvl w:val="1"/>
          <w:numId w:val="28"/>
        </w:numPr>
        <w:spacing w:before="80" w:after="80" w:line="240" w:lineRule="atLeast"/>
        <w:rPr>
          <w:rFonts w:ascii="Book Antiqua" w:hAnsi="Book Antiqua"/>
          <w:i w:val="0"/>
          <w:sz w:val="20"/>
        </w:rPr>
      </w:pPr>
      <w:r w:rsidRPr="00B9776F">
        <w:rPr>
          <w:rFonts w:ascii="Book Antiqua" w:hAnsi="Book Antiqua" w:cs="Times New Roman"/>
          <w:b w:val="0"/>
          <w:sz w:val="20"/>
        </w:rPr>
        <w:t>The ZPE Origin For Mass</w:t>
      </w:r>
      <w:r w:rsidRPr="00B9776F">
        <w:rPr>
          <w:rFonts w:ascii="Book Antiqua" w:hAnsi="Book Antiqua"/>
          <w:i w:val="0"/>
          <w:sz w:val="20"/>
        </w:rPr>
        <w:t>.</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18"/>
          <w:szCs w:val="18"/>
        </w:rPr>
        <w:tab/>
      </w:r>
      <w:r w:rsidRPr="00B9776F">
        <w:rPr>
          <w:rFonts w:ascii="Book Antiqua" w:hAnsi="Book Antiqua"/>
          <w:sz w:val="20"/>
        </w:rPr>
        <w:t xml:space="preserve">There are a number of problems associated </w:t>
      </w:r>
      <w:r w:rsidRPr="003A5CA8">
        <w:rPr>
          <w:rFonts w:ascii="Book Antiqua" w:hAnsi="Book Antiqua"/>
          <w:sz w:val="20"/>
        </w:rPr>
        <w:t xml:space="preserve">with </w:t>
      </w:r>
      <w:r w:rsidR="003A5CA8">
        <w:rPr>
          <w:rFonts w:ascii="Book Antiqua" w:hAnsi="Book Antiqua"/>
          <w:sz w:val="20"/>
        </w:rPr>
        <w:t xml:space="preserve">the </w:t>
      </w:r>
      <w:r w:rsidRPr="003A5CA8">
        <w:rPr>
          <w:rFonts w:ascii="Book Antiqua" w:hAnsi="Book Antiqua"/>
          <w:sz w:val="20"/>
        </w:rPr>
        <w:t>standard</w:t>
      </w:r>
      <w:r w:rsidRPr="00B9776F">
        <w:rPr>
          <w:rFonts w:ascii="Book Antiqua" w:hAnsi="Book Antiqua"/>
          <w:sz w:val="20"/>
        </w:rPr>
        <w:t xml:space="preserve"> models for atomic masses. Many modern theories envisage the sub-atomic particles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 There were several possible approaches.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Historically, the first line of enquiry that emerged was from Quantum Electrodynamics [QED], and our standard model of particle physics resulted from that. This has now developed to the stage where a “Higgs boson” has been postulated in order to give subatomic particles mass.   The energy from a cloud of Higgs bosons around each particle is supposed to impart mass to the particle on the basis of the equation E = mc</w:t>
      </w:r>
      <w:r w:rsidRPr="00B9776F">
        <w:rPr>
          <w:rFonts w:ascii="Book Antiqua" w:hAnsi="Book Antiqua"/>
          <w:sz w:val="20"/>
          <w:vertAlign w:val="superscript"/>
        </w:rPr>
        <w:t>2</w:t>
      </w:r>
      <w:r w:rsidRPr="00B9776F">
        <w:rPr>
          <w:rFonts w:ascii="Book Antiqua" w:hAnsi="Book Antiqua"/>
          <w:sz w:val="20"/>
        </w:rPr>
        <w:t>.</w:t>
      </w:r>
      <w:r w:rsidRPr="00B9776F">
        <w:rPr>
          <w:rFonts w:ascii="Book Antiqua" w:hAnsi="Book Antiqua"/>
          <w:sz w:val="20"/>
          <w:vertAlign w:val="superscript"/>
        </w:rPr>
        <w:t xml:space="preserve"> </w:t>
      </w:r>
      <w:r w:rsidRPr="00B9776F">
        <w:rPr>
          <w:rFonts w:ascii="Book Antiqua" w:hAnsi="Book Antiqua"/>
          <w:sz w:val="20"/>
        </w:rPr>
        <w:t xml:space="preserve">This, however, depends on how well these hypothesized Higgs bosons “stick” to the particle. But, as Wilczek, of the Massachusetts Institute of Technology, points out, nobody knows what governs the amount of “sticking”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Wilczek also notes that this mechanism </w:t>
      </w:r>
      <w:r w:rsidRPr="00B9776F">
        <w:rPr>
          <w:rFonts w:ascii="Book Antiqua" w:hAnsi="Book Antiqua"/>
          <w:i/>
          <w:sz w:val="20"/>
        </w:rPr>
        <w:t>“hardly explains”</w:t>
      </w:r>
      <w:r w:rsidRPr="00B9776F">
        <w:rPr>
          <w:rFonts w:ascii="Book Antiqua" w:hAnsi="Book Antiqua"/>
          <w:sz w:val="20"/>
        </w:rPr>
        <w:t xml:space="preserve"> the rest mass of ordinary matter like protons and neutrons, which are thought to be composed of “up” and “down” quarks held together by gluons. Since gluons have no rest mass and quarks very little, most of the mass of ordinary matter is meant to come from the “colour field”, which is the force that binds quarks and gluons together. Therefore, even when a proton is stationary, energy is said to be residing within it. Wilczek then says </w:t>
      </w:r>
      <w:r w:rsidRPr="00B9776F">
        <w:rPr>
          <w:rFonts w:ascii="Book Antiqua" w:hAnsi="Book Antiqua"/>
          <w:i/>
          <w:sz w:val="20"/>
        </w:rPr>
        <w:t xml:space="preserve">“Whether you call this an explanation of mass is a matter of taste, I guess. I would be inclined to say no, since it doesn’t simplify the description of mass, nor suggest testable new properties of mass.” </w:t>
      </w:r>
      <w:r w:rsidRPr="00B9776F">
        <w:rPr>
          <w:rFonts w:ascii="Book Antiqua" w:hAnsi="Book Antiqua"/>
          <w:sz w:val="20"/>
        </w:rPr>
        <w:t>[1]</w:t>
      </w:r>
      <w:r w:rsidRPr="00B9776F">
        <w:rPr>
          <w:rFonts w:ascii="Book Antiqua" w:hAnsi="Book Antiqua"/>
          <w:i/>
          <w:sz w:val="20"/>
        </w:rPr>
        <w:t xml:space="preserve"> </w:t>
      </w:r>
      <w:r w:rsidRPr="00B9776F">
        <w:rPr>
          <w:rFonts w:ascii="Book Antiqua" w:hAnsi="Book Antiqua"/>
          <w:sz w:val="20"/>
        </w:rPr>
        <w:t xml:space="preserve">As Bernard Haisch of the California Institute for Physics and Astrophysics states in the same article, </w:t>
      </w:r>
      <w:r w:rsidRPr="00B9776F">
        <w:rPr>
          <w:rFonts w:ascii="Book Antiqua" w:hAnsi="Book Antiqua"/>
          <w:i/>
          <w:sz w:val="20"/>
        </w:rPr>
        <w:t>“the Higgs mechanism does not explain why mass, or its energy equivalent, resists motion or reacts to gravity.”</w:t>
      </w:r>
      <w:r w:rsidRPr="00B9776F">
        <w:rPr>
          <w:rFonts w:ascii="Book Antiqua" w:hAnsi="Book Antiqua"/>
          <w:sz w:val="20"/>
        </w:rPr>
        <w:t xml:space="preserve"> [1]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and other problems are basically overcome in the second line of enquiry, which opened up after 1962, with the development of Stochastic Electrodynamics (SED physics). It is true that SED physics uses the same standard foundation as the QED approach: both are built on the concepts of quantum pioneers Planck, de Broglie and Schrödinger who accepted that these particles are indeed massless, point-like charges. Richard Feynman called these particles by the generic terms 'partons' and ‘electrons’ in order to avoid preconceived ideas about the structure of protons and neutrons. In May, 2011, </w:t>
      </w:r>
      <w:r w:rsidRPr="00B9776F">
        <w:rPr>
          <w:rFonts w:ascii="Book Antiqua" w:hAnsi="Book Antiqua"/>
          <w:i/>
          <w:sz w:val="20"/>
        </w:rPr>
        <w:t>New Scientist</w:t>
      </w:r>
      <w:r w:rsidRPr="00B9776F">
        <w:rPr>
          <w:rFonts w:ascii="Book Antiqua" w:hAnsi="Book Antiqua"/>
          <w:sz w:val="20"/>
        </w:rPr>
        <w:t xml:space="preserve"> </w:t>
      </w:r>
      <w:r w:rsidR="003A5CA8">
        <w:rPr>
          <w:rFonts w:ascii="Book Antiqua" w:hAnsi="Book Antiqua"/>
          <w:sz w:val="20"/>
        </w:rPr>
        <w:t>reported</w:t>
      </w:r>
      <w:r w:rsidRPr="00B9776F">
        <w:rPr>
          <w:rFonts w:ascii="Book Antiqua" w:hAnsi="Book Antiqua"/>
          <w:sz w:val="20"/>
        </w:rPr>
        <w:t xml:space="preserve"> that experiments have revealed the electron is indeed point-like, but spherical, to about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rPr>
        <w:t xml:space="preserve"> [2]. Again, the difference from the QED approach is that SED physics considers the ZPE itself as the agency that imparts mass to </w:t>
      </w:r>
      <w:r w:rsidRPr="006A0563">
        <w:rPr>
          <w:rFonts w:ascii="Book Antiqua" w:hAnsi="Book Antiqua"/>
          <w:sz w:val="20"/>
        </w:rPr>
        <w:t>the partons and electrons.  No</w:t>
      </w:r>
      <w:r w:rsidRPr="00B9776F">
        <w:rPr>
          <w:rFonts w:ascii="Book Antiqua" w:hAnsi="Book Antiqua"/>
          <w:sz w:val="20"/>
        </w:rPr>
        <w:t xml:space="preserve"> Higgs bosons are needed to impart mass to anything in this approach, even if the Higgs exists.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Haisch notes that the vacuum contains energy expressed as the randomly fluctuating electromagnetic fields of the ZPE. The electromagnetic waves of the ZPE impinge upon all charged, mass-less particles. This causes them to randomly jitter in a manner similar to what we see in the Brownian motion of a dust particle bombarded by molecules of air. Schrödinger referred to this “jitter motion” by its German equivalent word, </w:t>
      </w:r>
      <w:r w:rsidRPr="00B9776F">
        <w:rPr>
          <w:rFonts w:ascii="Book Antiqua" w:hAnsi="Book Antiqua"/>
          <w:i/>
          <w:iCs/>
          <w:sz w:val="20"/>
        </w:rPr>
        <w:t>Zitterbewegung</w:t>
      </w:r>
      <w:r w:rsidRPr="00B9776F">
        <w:rPr>
          <w:rFonts w:ascii="Book Antiqua" w:hAnsi="Book Antiqua"/>
          <w:sz w:val="20"/>
        </w:rPr>
        <w:t xml:space="preserve">.  Dirac pointed out that the </w:t>
      </w:r>
      <w:r w:rsidRPr="00B9776F">
        <w:rPr>
          <w:rFonts w:ascii="Book Antiqua" w:hAnsi="Book Antiqua"/>
          <w:i/>
          <w:iCs/>
          <w:sz w:val="20"/>
        </w:rPr>
        <w:t>Zitterbewegung</w:t>
      </w:r>
      <w:r w:rsidRPr="00B9776F">
        <w:rPr>
          <w:rFonts w:ascii="Book Antiqua" w:hAnsi="Book Antiqua"/>
          <w:iCs/>
          <w:sz w:val="20"/>
        </w:rPr>
        <w:t xml:space="preserve"> jitter </w:t>
      </w:r>
      <w:r w:rsidRPr="00B9776F">
        <w:rPr>
          <w:rFonts w:ascii="Book Antiqua" w:hAnsi="Book Antiqua"/>
          <w:sz w:val="20"/>
        </w:rPr>
        <w:t xml:space="preserve">occurs either at, or very close to, the speed of light. This conclusion has been </w:t>
      </w:r>
      <w:r w:rsidR="003A5CA8">
        <w:rPr>
          <w:rFonts w:ascii="Book Antiqua" w:hAnsi="Book Antiqua"/>
          <w:sz w:val="20"/>
        </w:rPr>
        <w:t>suported</w:t>
      </w:r>
      <w:r w:rsidRPr="00B9776F">
        <w:rPr>
          <w:rFonts w:ascii="Book Antiqua" w:hAnsi="Book Antiqua"/>
          <w:sz w:val="20"/>
        </w:rPr>
        <w:t xml:space="preserve"> by several studies and the term "ultra-relativistic" has been used to describe this jitter motion [3, 4]. The physical reality of the </w:t>
      </w:r>
      <w:r w:rsidRPr="00B9776F">
        <w:rPr>
          <w:rFonts w:ascii="Book Antiqua" w:hAnsi="Book Antiqua"/>
          <w:i/>
          <w:sz w:val="20"/>
        </w:rPr>
        <w:t>Zitterbewegung</w:t>
      </w:r>
      <w:r w:rsidRPr="00B9776F">
        <w:rPr>
          <w:rFonts w:ascii="Book Antiqua" w:hAnsi="Book Antiqua"/>
          <w:sz w:val="20"/>
        </w:rPr>
        <w:t xml:space="preserve"> was demonstrated experimentally in 2010 by Roos and his colleagues, using calcium ions; Gerritsma was the lead author of the report [5].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As de Broglie and Schrödinger had pointed out initially, the result is that </w:t>
      </w:r>
      <w:r w:rsidRPr="00B9776F">
        <w:rPr>
          <w:rFonts w:ascii="Book Antiqua" w:hAnsi="Book Antiqua"/>
          <w:i/>
          <w:sz w:val="20"/>
        </w:rPr>
        <w:t xml:space="preserve">“an electron is actually a point-like charge which jitters about randomly within a certain volume.” </w:t>
      </w:r>
      <w:r w:rsidRPr="00B9776F">
        <w:rPr>
          <w:rFonts w:ascii="Book Antiqua" w:hAnsi="Book Antiqua"/>
          <w:sz w:val="20"/>
        </w:rPr>
        <w:t xml:space="preserve">[1] This causes it to appear as a fuzzy sphere. In this way Haisch </w:t>
      </w:r>
      <w:r w:rsidRPr="00B9776F">
        <w:rPr>
          <w:rFonts w:ascii="Book Antiqua" w:hAnsi="Book Antiqua"/>
          <w:sz w:val="20"/>
        </w:rPr>
        <w:lastRenderedPageBreak/>
        <w:t xml:space="preserve">explains, </w:t>
      </w:r>
      <w:r w:rsidRPr="00B9776F">
        <w:rPr>
          <w:rFonts w:ascii="Book Antiqua" w:hAnsi="Book Antiqua"/>
          <w:i/>
          <w:sz w:val="20"/>
        </w:rPr>
        <w:t>“Random battering by the jittery vacuum smears out the electron.”</w:t>
      </w:r>
      <w:r w:rsidRPr="00B9776F">
        <w:rPr>
          <w:rFonts w:ascii="Book Antiqua" w:hAnsi="Book Antiqua"/>
          <w:sz w:val="20"/>
        </w:rPr>
        <w:t xml:space="preserve"> [1] Hal Puthoff then explains what happens according to SED physics: </w:t>
      </w:r>
      <w:r w:rsidRPr="00B9776F">
        <w:rPr>
          <w:rFonts w:ascii="Book Antiqua" w:hAnsi="Book Antiqua"/>
          <w:i/>
          <w:iCs/>
          <w:sz w:val="20"/>
        </w:rPr>
        <w:t xml:space="preserve">“In this view the particle mass </w:t>
      </w:r>
      <w:r w:rsidRPr="00B9776F">
        <w:rPr>
          <w:rFonts w:ascii="Book Antiqua" w:hAnsi="Book Antiqua"/>
          <w:b/>
          <w:i/>
          <w:sz w:val="20"/>
        </w:rPr>
        <w:t>m</w:t>
      </w:r>
      <w:r w:rsidRPr="00B9776F">
        <w:rPr>
          <w:rFonts w:ascii="Book Antiqua" w:hAnsi="Book Antiqua"/>
          <w:sz w:val="20"/>
        </w:rPr>
        <w:t xml:space="preserve"> </w:t>
      </w:r>
      <w:r w:rsidRPr="00B9776F">
        <w:rPr>
          <w:rFonts w:ascii="Book Antiqua" w:hAnsi="Book Antiqua"/>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B9776F">
        <w:rPr>
          <w:rFonts w:ascii="Book Antiqua" w:hAnsi="Book Antiqua"/>
          <w:sz w:val="20"/>
        </w:rPr>
        <w:t xml:space="preserve">[6] Calculations by Puthoff and others quantitatively support this view. As a result, it has been stated that, even if it is found to exist, </w:t>
      </w:r>
      <w:r w:rsidRPr="00B9776F">
        <w:rPr>
          <w:rFonts w:ascii="Book Antiqua" w:hAnsi="Book Antiqua"/>
          <w:i/>
          <w:sz w:val="20"/>
        </w:rPr>
        <w:t>“the Higgs might not be needed to explain rest mass at all. The inherent energy in a particle may be a result of its jittering motion [caused by the ZPE]. A massless particle may pick up energy from it [ZPE], hence acquiring what we think of as rest mass.”</w:t>
      </w:r>
      <w:r w:rsidRPr="00B9776F">
        <w:rPr>
          <w:rFonts w:ascii="Book Antiqua" w:hAnsi="Book Antiqua"/>
          <w:sz w:val="20"/>
        </w:rPr>
        <w:t xml:space="preserve"> [1] Their mathematical calculations support this SED view. So SED physics does not need the Higgs to produce mass. However, this does not deny its existence.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On the 4</w:t>
      </w:r>
      <w:r w:rsidRPr="00B9776F">
        <w:rPr>
          <w:rFonts w:ascii="Book Antiqua" w:hAnsi="Book Antiqua"/>
          <w:sz w:val="20"/>
          <w:vertAlign w:val="superscript"/>
        </w:rPr>
        <w:t>th</w:t>
      </w:r>
      <w:r w:rsidRPr="00B9776F">
        <w:rPr>
          <w:rFonts w:ascii="Book Antiqua" w:hAnsi="Book Antiqua"/>
          <w:sz w:val="20"/>
        </w:rPr>
        <w:t xml:space="preserve"> July, 2012, in a QED context, scientists using the Large Hadron Collider at CERN announced that a “Higgs-like particle” had been discovered. The signal excess, which indicated its existence, suggested that it had a mass of 125 Giga electron Volts (GeV). This is too heavy to be in accord with the simplest models of super-symmetry, yet it is too light for the calculations based on the standard model [7]. In addition, it appears to decay into pairs of photons about twice as often as the standard model predicts and decays into other particles (such as taus and W bosons) less often than predicted. In fact, there was no excess tau production beyond the expected background. This has elicited the comment that, </w:t>
      </w:r>
      <w:r w:rsidRPr="00B9776F">
        <w:rPr>
          <w:rFonts w:ascii="Book Antiqua" w:hAnsi="Book Antiqua"/>
          <w:i/>
          <w:sz w:val="20"/>
        </w:rPr>
        <w:t>“According to the standard model, the Higgs field is responsible for the mass of all the fermions and bosons. But taus are fermions - and if the Higgs is not decaying into taus, it is probably not giving them mass either.”</w:t>
      </w:r>
      <w:r w:rsidRPr="00B9776F">
        <w:rPr>
          <w:rFonts w:ascii="Book Antiqua" w:hAnsi="Book Antiqua"/>
          <w:sz w:val="20"/>
        </w:rPr>
        <w:t xml:space="preserve"> [“Beyond the Higgs,” </w:t>
      </w:r>
      <w:r w:rsidRPr="00B9776F">
        <w:rPr>
          <w:rFonts w:ascii="Book Antiqua" w:hAnsi="Book Antiqua"/>
          <w:i/>
          <w:sz w:val="20"/>
        </w:rPr>
        <w:t>New Scientist</w:t>
      </w:r>
      <w:r w:rsidRPr="00B9776F">
        <w:rPr>
          <w:rFonts w:ascii="Book Antiqua" w:hAnsi="Book Antiqua"/>
          <w:sz w:val="20"/>
        </w:rPr>
        <w:t xml:space="preserve"> 14 July, 2012, No.2873, pp. 6-9]. This is a severe blow to the idea that the Higgs is the mechanism which imparts mass. Finally, the spin of this Higgs-like particle </w:t>
      </w:r>
      <w:r w:rsidR="00F36FB2">
        <w:rPr>
          <w:rFonts w:ascii="Book Antiqua" w:hAnsi="Book Antiqua"/>
          <w:sz w:val="20"/>
        </w:rPr>
        <w:t>is important.</w:t>
      </w:r>
      <w:r w:rsidRPr="00B9776F">
        <w:rPr>
          <w:rFonts w:ascii="Book Antiqua" w:hAnsi="Book Antiqua"/>
          <w:sz w:val="20"/>
        </w:rPr>
        <w:t xml:space="preserve"> According to theory its spin should be zero</w:t>
      </w:r>
      <w:r w:rsidR="00AC494E">
        <w:rPr>
          <w:rFonts w:ascii="Book Antiqua" w:hAnsi="Book Antiqua"/>
          <w:sz w:val="20"/>
        </w:rPr>
        <w:t xml:space="preserve"> with a positive parity</w:t>
      </w:r>
      <w:r w:rsidRPr="00B9776F">
        <w:rPr>
          <w:rFonts w:ascii="Book Antiqua" w:hAnsi="Book Antiqua"/>
          <w:sz w:val="20"/>
        </w:rPr>
        <w:t xml:space="preserve">. </w:t>
      </w:r>
      <w:r w:rsidR="00395C9D">
        <w:rPr>
          <w:rFonts w:ascii="Book Antiqua" w:hAnsi="Book Antiqua"/>
          <w:sz w:val="20"/>
        </w:rPr>
        <w:t>A press release from CERN dated 14 March, 2013, states that the particle discovered does have a spin of zero</w:t>
      </w:r>
      <w:r w:rsidR="00AC494E">
        <w:rPr>
          <w:rFonts w:ascii="Book Antiqua" w:hAnsi="Book Antiqua"/>
          <w:sz w:val="20"/>
        </w:rPr>
        <w:t>, though a negative parity cannot yet be ruled out</w:t>
      </w:r>
      <w:r w:rsidR="00395C9D">
        <w:rPr>
          <w:rFonts w:ascii="Book Antiqua" w:hAnsi="Book Antiqua"/>
          <w:sz w:val="20"/>
        </w:rPr>
        <w:t xml:space="preserve"> [8].</w:t>
      </w:r>
      <w:r w:rsidR="00AC494E">
        <w:rPr>
          <w:rFonts w:ascii="Book Antiqua" w:hAnsi="Book Antiqua"/>
          <w:sz w:val="20"/>
        </w:rPr>
        <w:t xml:space="preserve"> </w:t>
      </w:r>
      <w:r w:rsidRPr="00B9776F">
        <w:rPr>
          <w:rFonts w:ascii="Book Antiqua" w:hAnsi="Book Antiqua"/>
          <w:sz w:val="20"/>
        </w:rPr>
        <w:t>All this uncertainty makes no difference to SED physics; the ZPE alone is needed for mass</w:t>
      </w:r>
      <w:r w:rsidR="00AC494E">
        <w:rPr>
          <w:rFonts w:ascii="Book Antiqua" w:hAnsi="Book Antiqua"/>
          <w:sz w:val="20"/>
        </w:rPr>
        <w:t xml:space="preserve"> whether or not th</w:t>
      </w:r>
      <w:r w:rsidR="007B0944">
        <w:rPr>
          <w:rFonts w:ascii="Book Antiqua" w:hAnsi="Book Antiqua"/>
          <w:sz w:val="20"/>
        </w:rPr>
        <w:t>e</w:t>
      </w:r>
      <w:r w:rsidR="00AC494E">
        <w:rPr>
          <w:rFonts w:ascii="Book Antiqua" w:hAnsi="Book Antiqua"/>
          <w:sz w:val="20"/>
        </w:rPr>
        <w:t xml:space="preserve"> Higgs exists.</w:t>
      </w:r>
      <w:r w:rsidR="00F36FB2">
        <w:rPr>
          <w:rFonts w:ascii="Book Antiqua" w:hAnsi="Book Antiqua"/>
          <w:sz w:val="20"/>
        </w:rPr>
        <w:t xml:space="preserve"> This is a far simpler option than the complex Higgs interaction.</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Indeed, the SED approach not only accounts for rest-mass, but also accounts for inertial mass. An electron accelerating through the vacuum’s electromagnetic fields will experience a pressure, a retarding force, proportional to the acceleration, from these ambient fields.  This was formalized in 1994 by Haisch, Rueda and Puthoff [9]. Furthermore, different resonant frequencies of various particles result in different masses because </w:t>
      </w:r>
      <w:r w:rsidRPr="00B9776F">
        <w:rPr>
          <w:rFonts w:ascii="Book Antiqua" w:hAnsi="Book Antiqua"/>
          <w:i/>
          <w:sz w:val="20"/>
        </w:rPr>
        <w:t xml:space="preserve">“Photons in the quantum vacuum with the same frequency as the jitter are much more likely to bounce off a particle. …Higher resonance frequencies … probably mean a greater mass, as there are more high frequency vacuum photons to bounce off.” </w:t>
      </w:r>
      <w:r w:rsidRPr="00B9776F">
        <w:rPr>
          <w:rFonts w:ascii="Book Antiqua" w:hAnsi="Book Antiqua"/>
          <w:sz w:val="20"/>
        </w:rPr>
        <w:t xml:space="preserve">[9]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i/>
          <w:sz w:val="20"/>
        </w:rPr>
      </w:pPr>
      <w:r w:rsidRPr="00B9776F">
        <w:rPr>
          <w:rFonts w:ascii="Book Antiqua" w:hAnsi="Book Antiqua"/>
          <w:sz w:val="20"/>
        </w:rPr>
        <w:tab/>
        <w:t xml:space="preserve">In a question and answer segment on the website run by Haisch and his colleagues at the California Institute for Physics &amp; Astrophysics, they elaborate that </w:t>
      </w:r>
      <w:r w:rsidRPr="00B9776F">
        <w:rPr>
          <w:rFonts w:ascii="Book Antiqua" w:hAnsi="Book Antiqua"/>
          <w:i/>
          <w:sz w:val="20"/>
        </w:rPr>
        <w:t xml:space="preserve">“the kinetic energy associated with the ZPF-driven Zitterbewegung is what provides the energy for the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relation. The real stuff is the energy, </w:t>
      </w:r>
      <m:oMath>
        <m:r>
          <w:rPr>
            <w:rFonts w:ascii="Cambria Math" w:hAnsi="Cambria Math"/>
            <w:sz w:val="20"/>
          </w:rPr>
          <m:t>E</m:t>
        </m:r>
      </m:oMath>
      <w:r w:rsidRPr="00B9776F">
        <w:rPr>
          <w:rFonts w:ascii="Book Antiqua" w:hAnsi="Book Antiqua"/>
          <w:i/>
          <w:sz w:val="20"/>
        </w:rPr>
        <w:t xml:space="preserve">, and as with inertial mass, it is only our (obstinate) habit of believing that matter must possess mass that leads to our insisting that there must exist a right hand side to this equation, namely </w:t>
      </w:r>
      <m:oMath>
        <m:sSup>
          <m:sSupPr>
            <m:ctrlPr>
              <w:rPr>
                <w:rFonts w:ascii="Cambria Math" w:hAnsi="Book Antiqua"/>
                <w:i/>
                <w:sz w:val="20"/>
              </w:rPr>
            </m:ctrlPr>
          </m:sSupPr>
          <m:e>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In reality (perhaps) there is no mass, just the energy, </w:t>
      </w:r>
      <m:oMath>
        <m:r>
          <w:rPr>
            <w:rFonts w:ascii="Cambria Math" w:hAnsi="Cambria Math"/>
            <w:sz w:val="20"/>
          </w:rPr>
          <m:t>E</m:t>
        </m:r>
      </m:oMath>
      <w:r w:rsidRPr="00B9776F">
        <w:rPr>
          <w:rFonts w:ascii="Book Antiqua" w:hAnsi="Book Antiqua"/>
          <w:i/>
          <w:sz w:val="20"/>
        </w:rPr>
        <w:t xml:space="preserve">, that the quantum vacuum gives in the form of </w:t>
      </w:r>
      <w:r w:rsidRPr="00B9776F">
        <w:rPr>
          <w:rFonts w:ascii="Book Antiqua" w:hAnsi="Book Antiqua"/>
          <w:sz w:val="20"/>
        </w:rPr>
        <w:t>Zitterbewegung</w:t>
      </w:r>
      <w:r w:rsidRPr="00B9776F">
        <w:rPr>
          <w:rFonts w:ascii="Book Antiqua" w:hAnsi="Book Antiqua"/>
          <w:i/>
          <w:sz w:val="20"/>
        </w:rPr>
        <w:t xml:space="preserve"> in the same way that there is no inertial mass, just the force that the quantum vacuum gives when an object accelerates.”</w:t>
      </w:r>
      <w:r w:rsidRPr="00B9776F">
        <w:rPr>
          <w:rFonts w:ascii="Book Antiqua" w:hAnsi="Book Antiqua"/>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 formulation of Haisch's team then goes on to show that a particle's oscillation in response to the ZPE gives the particle its rest mass. Experiments with subatomic particles have been done to determine their masses and energies using a variety of nuclear interactions. Experiments that were performed using these methods during the time that </w:t>
      </w:r>
      <m:oMath>
        <m:r>
          <w:rPr>
            <w:rFonts w:ascii="Cambria Math" w:hAnsi="Cambria Math"/>
            <w:sz w:val="20"/>
          </w:rPr>
          <m:t>c</m:t>
        </m:r>
      </m:oMath>
      <w:r w:rsidRPr="00B9776F">
        <w:rPr>
          <w:rFonts w:ascii="Book Antiqua" w:hAnsi="Book Antiqua"/>
          <w:sz w:val="20"/>
        </w:rPr>
        <w:t xml:space="preserve"> and </w:t>
      </w:r>
      <m:oMath>
        <m:r>
          <w:rPr>
            <w:rFonts w:ascii="Cambria Math" w:hAnsi="Cambria Math"/>
            <w:sz w:val="20"/>
          </w:rPr>
          <m:t>m</m:t>
        </m:r>
      </m:oMath>
      <w:r w:rsidRPr="00B9776F">
        <w:rPr>
          <w:rFonts w:ascii="Book Antiqua" w:hAnsi="Book Antiqua"/>
          <w:sz w:val="20"/>
        </w:rPr>
        <w:t xml:space="preserve"> were measured as varying significantly have shown that energy, </w:t>
      </w:r>
      <w:r w:rsidRPr="00B9776F">
        <w:rPr>
          <w:rFonts w:ascii="Book Antiqua" w:hAnsi="Book Antiqua"/>
          <w:i/>
          <w:sz w:val="20"/>
        </w:rPr>
        <w:t>E</w:t>
      </w:r>
      <w:r w:rsidRPr="00B9776F">
        <w:rPr>
          <w:rFonts w:ascii="Book Antiqua" w:hAnsi="Book Antiqua"/>
          <w:sz w:val="20"/>
        </w:rPr>
        <w:t>, was conserved in all cases. Therefore, in a situation where the ZPE is varying, these experimental results require that sub-atomic particle rest-masses obey the standard equation</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i/>
          <w:sz w:val="20"/>
        </w:rPr>
        <w:t xml:space="preserve"> </w:t>
      </w:r>
      <w:r w:rsidRPr="00B9776F">
        <w:rPr>
          <w:rFonts w:ascii="Book Antiqua" w:hAnsi="Book Antiqua"/>
          <w:sz w:val="20"/>
        </w:rPr>
        <w:t xml:space="preserve">in which </w:t>
      </w:r>
      <w:r w:rsidRPr="00B9776F">
        <w:rPr>
          <w:rFonts w:ascii="Book Antiqua" w:hAnsi="Book Antiqua"/>
          <w:i/>
          <w:sz w:val="20"/>
        </w:rPr>
        <w:t>E</w:t>
      </w:r>
      <w:r w:rsidRPr="00B9776F">
        <w:rPr>
          <w:rFonts w:ascii="Book Antiqua" w:hAnsi="Book Antiqua"/>
          <w:sz w:val="20"/>
        </w:rPr>
        <w:t xml:space="preserve"> is conserved [11]. For this to be the case it is required that atomic rest masses, </w:t>
      </w:r>
      <w:r w:rsidRPr="00B9776F">
        <w:rPr>
          <w:rFonts w:ascii="Book Antiqua" w:hAnsi="Book Antiqua"/>
          <w:i/>
          <w:sz w:val="20"/>
        </w:rPr>
        <w:t>m</w:t>
      </w:r>
      <w:r w:rsidRPr="00B9776F">
        <w:rPr>
          <w:rFonts w:ascii="Book Antiqua" w:hAnsi="Book Antiqua"/>
          <w:sz w:val="20"/>
        </w:rPr>
        <w:t>, which mass derives from the ZPE “jiggling,” generally behave such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1/</m:t>
            </m:r>
            <m:r>
              <w:rPr>
                <w:rFonts w:ascii="Cambria Math" w:hAnsi="Cambria Math"/>
                <w:sz w:val="20"/>
              </w:rPr>
              <m:t>c</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(1)</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symbol </w:t>
      </w:r>
      <m:oMath>
        <m:r>
          <w:rPr>
            <w:rFonts w:ascii="Cambria Math" w:hAnsi="Book Antiqua"/>
            <w:sz w:val="20"/>
          </w:rPr>
          <m:t>(~</m:t>
        </m:r>
      </m:oMath>
      <w:r w:rsidRPr="00B9776F">
        <w:rPr>
          <w:rFonts w:ascii="Book Antiqua" w:hAnsi="Book Antiqua"/>
          <w:sz w:val="20"/>
        </w:rPr>
        <w:t xml:space="preserve"> ) again means "is proportional to." However, since equations (10) and (12) in Chapter 2 show that the speed of light is inversely proportional to </w:t>
      </w:r>
      <m:oMath>
        <m:r>
          <w:rPr>
            <w:rFonts w:ascii="Cambria Math" w:hAnsi="Cambria Math"/>
            <w:sz w:val="20"/>
          </w:rPr>
          <m:t>U</m:t>
        </m:r>
      </m:oMath>
      <w:r w:rsidRPr="00B9776F">
        <w:rPr>
          <w:rFonts w:ascii="Book Antiqua" w:hAnsi="Book Antiqua"/>
          <w:sz w:val="20"/>
        </w:rPr>
        <w:t>, the strength of the ZPE,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Cs/>
          <w:sz w:val="20"/>
        </w:rPr>
      </w:pPr>
      <m:oMath>
        <m:r>
          <w:rPr>
            <w:rFonts w:ascii="Cambria Math" w:hAnsi="Cambria Math"/>
            <w:sz w:val="20"/>
          </w:rPr>
          <w:lastRenderedPageBreak/>
          <m:t>m</m:t>
        </m:r>
        <m:r>
          <w:rPr>
            <w:rFonts w:ascii="Cambria Math" w:hAnsi="Book Antiqua"/>
            <w:sz w:val="20"/>
          </w:rPr>
          <m:t xml:space="preserve"> ~ 1/</m:t>
        </m:r>
        <m:sSup>
          <m:sSupPr>
            <m:ctrlPr>
              <w:rPr>
                <w:rFonts w:ascii="Cambria Math" w:hAnsi="Book Antiqua"/>
                <w:i/>
                <w:iCs/>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 </m:t>
        </m:r>
        <m:sSup>
          <m:sSupPr>
            <m:ctrlPr>
              <w:rPr>
                <w:rFonts w:ascii="Cambria Math" w:hAnsi="Book Antiqua"/>
                <w:i/>
                <w:iCs/>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xml:space="preserve"> </m:t>
        </m:r>
      </m:oMath>
      <w:r w:rsidRPr="00B9776F">
        <w:rPr>
          <w:rFonts w:ascii="Book Antiqua" w:hAnsi="Book Antiqua"/>
          <w:iCs/>
          <w:sz w:val="20"/>
        </w:rPr>
        <w:t>.</w:t>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Cs/>
          <w:sz w:val="20"/>
        </w:rPr>
        <w:tab/>
      </w:r>
      <w:r w:rsidRPr="00B9776F">
        <w:rPr>
          <w:rFonts w:ascii="Book Antiqua" w:hAnsi="Book Antiqua"/>
          <w:i/>
          <w:iCs/>
          <w:sz w:val="20"/>
        </w:rPr>
        <w:t>(2)</w:t>
      </w:r>
    </w:p>
    <w:p w:rsidR="00820B57" w:rsidRPr="00B9776F" w:rsidRDefault="00820B57" w:rsidP="00820B57">
      <w:pPr>
        <w:pStyle w:val="NoSpacing"/>
        <w:jc w:val="both"/>
        <w:rPr>
          <w:rFonts w:ascii="Book Antiqua" w:hAnsi="Book Antiqua"/>
          <w:iCs/>
          <w:sz w:val="20"/>
        </w:rPr>
      </w:pPr>
    </w:p>
    <w:p w:rsidR="00820B57" w:rsidRPr="00B9776F" w:rsidRDefault="00820B57" w:rsidP="00820B57">
      <w:pPr>
        <w:pStyle w:val="NoSpacing"/>
        <w:jc w:val="both"/>
        <w:rPr>
          <w:rFonts w:ascii="Book Antiqua" w:hAnsi="Book Antiqua"/>
          <w:iCs/>
          <w:sz w:val="20"/>
        </w:rPr>
      </w:pPr>
      <w:r w:rsidRPr="00B9776F">
        <w:rPr>
          <w:rFonts w:ascii="Book Antiqua" w:hAnsi="Book Antiqua"/>
          <w:iCs/>
          <w:sz w:val="20"/>
        </w:rPr>
        <w:t xml:space="preserve">Let us call this mass, </w:t>
      </w:r>
      <m:oMath>
        <m:r>
          <w:rPr>
            <w:rFonts w:ascii="Cambria Math" w:hAnsi="Cambria Math"/>
            <w:sz w:val="20"/>
          </w:rPr>
          <m:t>m</m:t>
        </m:r>
      </m:oMath>
      <w:r w:rsidRPr="00B9776F">
        <w:rPr>
          <w:rFonts w:ascii="Book Antiqua" w:hAnsi="Book Antiqua"/>
          <w:iCs/>
          <w:sz w:val="20"/>
        </w:rPr>
        <w:t xml:space="preserve">, the </w:t>
      </w:r>
      <w:r w:rsidRPr="00B9776F">
        <w:rPr>
          <w:rFonts w:ascii="Book Antiqua" w:hAnsi="Book Antiqua"/>
          <w:i/>
          <w:iCs/>
          <w:sz w:val="20"/>
        </w:rPr>
        <w:t>“atomic mass”</w:t>
      </w:r>
      <w:r w:rsidRPr="00B9776F">
        <w:rPr>
          <w:rFonts w:ascii="Book Antiqua" w:hAnsi="Book Antiqua"/>
          <w:iCs/>
          <w:sz w:val="20"/>
        </w:rPr>
        <w:t xml:space="preserve"> or, as an alternative, the “</w:t>
      </w:r>
      <w:r w:rsidRPr="00B9776F">
        <w:rPr>
          <w:rFonts w:ascii="Book Antiqua" w:hAnsi="Book Antiqua"/>
          <w:i/>
          <w:iCs/>
          <w:sz w:val="20"/>
        </w:rPr>
        <w:t>ZPE mass</w:t>
      </w:r>
      <w:r w:rsidRPr="00B9776F">
        <w:rPr>
          <w:rFonts w:ascii="Book Antiqua" w:hAnsi="Book Antiqua"/>
          <w:iCs/>
          <w:sz w:val="20"/>
        </w:rPr>
        <w:t>”, since it arises from the action of the ZPE.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ZPE Mass Governs All Atomic Interactions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jc w:val="both"/>
        <w:rPr>
          <w:rFonts w:ascii="Book Antiqua" w:hAnsi="Book Antiqua"/>
          <w:color w:val="FF0000"/>
          <w:sz w:val="20"/>
        </w:rPr>
      </w:pPr>
      <w:r w:rsidRPr="00B9776F">
        <w:rPr>
          <w:rFonts w:ascii="Book Antiqua" w:hAnsi="Book Antiqua"/>
          <w:sz w:val="20"/>
        </w:rPr>
        <w:tab/>
        <w:t xml:space="preserve">This ZPE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is the final result of all the parton or electron interactions with the ZPE. Consequently, from a subatomic particle point of view, it is this all-encompassing </w:t>
      </w:r>
      <m:oMath>
        <m:r>
          <w:rPr>
            <w:rFonts w:ascii="Cambria Math" w:hAnsi="Cambria Math"/>
            <w:sz w:val="20"/>
          </w:rPr>
          <m:t>m</m:t>
        </m:r>
      </m:oMath>
      <w:r w:rsidRPr="00B9776F">
        <w:rPr>
          <w:rFonts w:ascii="Book Antiqua" w:hAnsi="Book Antiqua"/>
          <w:sz w:val="20"/>
        </w:rPr>
        <w:t xml:space="preserve"> which governs atomic interactions.  It is this </w:t>
      </w:r>
      <m:oMath>
        <m:r>
          <w:rPr>
            <w:rFonts w:ascii="Cambria Math" w:hAnsi="Cambria Math"/>
            <w:sz w:val="20"/>
          </w:rPr>
          <m:t>m</m:t>
        </m:r>
      </m:oMath>
      <w:r w:rsidRPr="00B9776F">
        <w:rPr>
          <w:rFonts w:ascii="Book Antiqua" w:hAnsi="Book Antiqua"/>
          <w:sz w:val="20"/>
        </w:rPr>
        <w:t xml:space="preserve"> which increases when ZPE strength increases, and it is this </w:t>
      </w:r>
      <m:oMath>
        <m:r>
          <w:rPr>
            <w:rFonts w:ascii="Cambria Math" w:hAnsi="Cambria Math"/>
            <w:sz w:val="20"/>
          </w:rPr>
          <m:t>m</m:t>
        </m:r>
      </m:oMath>
      <w:r w:rsidRPr="00B9776F">
        <w:rPr>
          <w:rFonts w:ascii="Book Antiqua" w:hAnsi="Book Antiqua"/>
          <w:sz w:val="20"/>
        </w:rPr>
        <w:t xml:space="preserve"> which increases when subatomic particle velocities become relativistic. It is also this </w:t>
      </w:r>
      <m:oMath>
        <m:r>
          <w:rPr>
            <w:rFonts w:ascii="Cambria Math" w:hAnsi="Cambria Math"/>
            <w:sz w:val="20"/>
          </w:rPr>
          <m:t>m</m:t>
        </m:r>
      </m:oMath>
      <w:r w:rsidRPr="00B9776F">
        <w:rPr>
          <w:rFonts w:ascii="Book Antiqua" w:hAnsi="Book Antiqua"/>
          <w:sz w:val="20"/>
        </w:rPr>
        <w:t xml:space="preserve"> which is measured in any particle accelerator by using electric and magnetic fields. For this reason we are also using the name "</w:t>
      </w:r>
      <w:r w:rsidRPr="00B9776F">
        <w:rPr>
          <w:rFonts w:ascii="Book Antiqua" w:hAnsi="Book Antiqua"/>
          <w:i/>
          <w:sz w:val="20"/>
        </w:rPr>
        <w:t>atomic mass</w:t>
      </w:r>
      <w:r w:rsidRPr="00B9776F">
        <w:rPr>
          <w:rFonts w:ascii="Book Antiqua" w:hAnsi="Book Antiqua"/>
          <w:sz w:val="20"/>
        </w:rPr>
        <w:t xml:space="preserve">" to describe it.  Interestingly, it is in the atomic frame of reference that we have experimentally verified that the equation </w:t>
      </w:r>
      <m:oMath>
        <m:sSup>
          <m:sSupPr>
            <m:ctrlPr>
              <w:rPr>
                <w:rFonts w:ascii="Cambria Math" w:hAnsi="Book Antiqua"/>
                <w:i/>
                <w:sz w:val="20"/>
              </w:rPr>
            </m:ctrlPr>
          </m:sSupPr>
          <m:e>
            <m:r>
              <w:rPr>
                <w:rFonts w:ascii="Cambria Math" w:hAnsi="Cambria Math"/>
                <w:sz w:val="20"/>
              </w:rPr>
              <m:t>E</m:t>
            </m:r>
            <m:r>
              <w:rPr>
                <w:rFonts w:ascii="Cambria Math" w:hAnsi="Book Antiqua"/>
                <w:sz w:val="20"/>
              </w:rPr>
              <m:t xml:space="preserve"> = </m:t>
            </m:r>
            <m:r>
              <w:rPr>
                <w:rFonts w:ascii="Cambria Math" w:hAnsi="Cambria Math"/>
                <w:sz w:val="20"/>
              </w:rPr>
              <m:t>mc</m:t>
            </m:r>
          </m:e>
          <m:sup>
            <m:r>
              <w:rPr>
                <w:rFonts w:ascii="Cambria Math" w:hAnsi="Book Antiqua"/>
                <w:sz w:val="20"/>
              </w:rPr>
              <m:t>2</m:t>
            </m:r>
          </m:sup>
        </m:sSup>
      </m:oMath>
      <w:r w:rsidRPr="00B9776F">
        <w:rPr>
          <w:rFonts w:ascii="Book Antiqua" w:hAnsi="Book Antiqua"/>
          <w:sz w:val="20"/>
        </w:rPr>
        <w:t xml:space="preserve"> holds in atomic reactions with energy being conserved. So for all ZPE strengths, this equation is upheld for </w:t>
      </w:r>
      <m:oMath>
        <m:r>
          <w:rPr>
            <w:rFonts w:ascii="Cambria Math" w:hAnsi="Cambria Math"/>
            <w:sz w:val="20"/>
          </w:rPr>
          <m:t>m</m:t>
        </m:r>
      </m:oMath>
      <w:r w:rsidRPr="00B9776F">
        <w:rPr>
          <w:rFonts w:ascii="Book Antiqua" w:hAnsi="Book Antiqua"/>
          <w:sz w:val="20"/>
        </w:rPr>
        <w:t xml:space="preserve"> and </w:t>
      </w:r>
      <m:oMath>
        <m:r>
          <w:rPr>
            <w:rFonts w:ascii="Cambria Math" w:hAnsi="Cambria Math"/>
            <w:sz w:val="20"/>
          </w:rPr>
          <m:t>c</m:t>
        </m:r>
      </m:oMath>
      <w:r w:rsidRPr="00B9776F">
        <w:rPr>
          <w:rFonts w:ascii="Book Antiqua" w:hAnsi="Book Antiqua"/>
          <w:sz w:val="20"/>
        </w:rPr>
        <w:t xml:space="preserve">. These results are also in complete accord with the analyses by Puthoff, Haisch, Rueda and other SED physicists. The formulations of Haisch’s team show the parton’s rest mass, </w:t>
      </w:r>
      <m:oMath>
        <m:r>
          <w:rPr>
            <w:rFonts w:ascii="Cambria Math" w:hAnsi="Cambria Math"/>
            <w:sz w:val="20"/>
          </w:rPr>
          <m:t>m</m:t>
        </m:r>
      </m:oMath>
      <w:r w:rsidRPr="00B9776F">
        <w:rPr>
          <w:rFonts w:ascii="Book Antiqua" w:hAnsi="Book Antiqua"/>
          <w:sz w:val="20"/>
        </w:rPr>
        <w:t>, of ZPE origin, is given by the equation [12,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m:t>
        </m:r>
        <m:r>
          <w:rPr>
            <w:rFonts w:ascii="Cambria Math" w:hAnsi="Book Antiqua"/>
            <w:sz w:val="20"/>
          </w:rPr>
          <m:t> </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r>
          <w:rPr>
            <w:rFonts w:ascii="Cambria Math" w:hAnsi="Book Antiqua"/>
            <w:sz w:val="20"/>
          </w:rPr>
          <m:t> </m:t>
        </m:r>
        <m:r>
          <w:rPr>
            <w:rFonts w:ascii="Cambria Math" w:hAnsi="Book Antiqua"/>
            <w:sz w:val="20"/>
          </w:rPr>
          <m:t xml:space="preserve"> ~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r>
          <w:rPr>
            <w:rFonts w:ascii="Cambria Math" w:hAnsi="Book Antiqua"/>
            <w:sz w:val="20"/>
          </w:rPr>
          <m:t> </m:t>
        </m:r>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i/>
          <w:sz w:val="20"/>
        </w:rPr>
        <w:t>  .</w:t>
      </w:r>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sz w:val="20"/>
          </w:rPr>
          <m:t>ω</m:t>
        </m:r>
      </m:oMath>
      <w:r w:rsidRPr="00B9776F">
        <w:rPr>
          <w:rFonts w:ascii="Book Antiqua" w:hAnsi="Book Antiqua"/>
          <w:sz w:val="20"/>
        </w:rPr>
        <w:t xml:space="preserve"> is the </w:t>
      </w:r>
      <w:r w:rsidRPr="00B9776F">
        <w:rPr>
          <w:rStyle w:val="Emphasis"/>
          <w:rFonts w:ascii="Book Antiqua" w:hAnsi="Book Antiqua"/>
          <w:sz w:val="20"/>
        </w:rPr>
        <w:t xml:space="preserve">Zitterbewegung </w:t>
      </w:r>
      <w:r w:rsidRPr="00B9776F">
        <w:rPr>
          <w:rFonts w:ascii="Book Antiqua" w:hAnsi="Book Antiqua"/>
          <w:sz w:val="20"/>
        </w:rPr>
        <w:t xml:space="preserve">oscillation frequency of the particle, while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 xml:space="preserve">is the Abraham-Lorentz damping constant of the parton. The proportionalities in (3) hold because the terms </w:t>
      </w:r>
      <m:oMath>
        <m:sSup>
          <m:sSupPr>
            <m:ctrlPr>
              <w:rPr>
                <w:rFonts w:ascii="Cambria Math" w:hAnsi="Book Antiqua"/>
                <w:i/>
                <w:sz w:val="20"/>
              </w:rPr>
            </m:ctrlPr>
          </m:sSupPr>
          <m:e>
            <m:r>
              <w:rPr>
                <w:rFonts w:ascii="Cambria Math" w:hAnsi="Book Antiqua"/>
                <w:sz w:val="20"/>
              </w:rPr>
              <m:t>[</m:t>
            </m:r>
            <m:r>
              <w:rPr>
                <w:rFonts w:ascii="Cambria Math" w:hAnsi="Cambria Math"/>
                <w:sz w:val="20"/>
              </w:rPr>
              <m:t>Γ</m:t>
            </m:r>
            <m:r>
              <w:rPr>
                <w:rFonts w:ascii="Book Antiqua" w:hAnsi="Cambria Math"/>
                <w:sz w:val="20"/>
              </w:rPr>
              <m:t>h</m:t>
            </m:r>
            <m:r>
              <w:rPr>
                <w:rFonts w:ascii="Cambria Math" w:hAnsi="Cambria Math"/>
                <w:sz w:val="20"/>
              </w:rPr>
              <m:t>ω</m:t>
            </m:r>
          </m:e>
          <m:sup>
            <m:r>
              <w:rPr>
                <w:rFonts w:ascii="Cambria Math" w:hAnsi="Book Antiqua"/>
                <w:sz w:val="20"/>
              </w:rPr>
              <m:t>2</m:t>
            </m:r>
          </m:sup>
        </m:sSup>
      </m:oMath>
      <w:r w:rsidRPr="00B9776F">
        <w:rPr>
          <w:rFonts w:ascii="Book Antiqua" w:hAnsi="Book Antiqua"/>
          <w:sz w:val="20"/>
        </w:rPr>
        <w:t xml:space="preserve">] which make up the numerator of (3) can be shown to be constant in a changing ZPE scenario [11].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Experimentally, the recommended values of the electron rest-mass, </w:t>
      </w:r>
      <m:oMath>
        <m:r>
          <w:rPr>
            <w:rFonts w:ascii="Cambria Math" w:hAnsi="Cambria Math"/>
            <w:sz w:val="20"/>
          </w:rPr>
          <m:t>m</m:t>
        </m:r>
      </m:oMath>
      <w:r w:rsidRPr="00B9776F">
        <w:rPr>
          <w:rFonts w:ascii="Book Antiqua" w:hAnsi="Book Antiqua"/>
          <w:sz w:val="20"/>
        </w:rPr>
        <w:t xml:space="preserve">, support the contention that the ZPE strength increased until about 1970. The graph of these recommended values is given in Figure 1. A similar graph could be drawn of recommended rest-mass values, </w:t>
      </w:r>
      <m:oMath>
        <m:r>
          <w:rPr>
            <w:rFonts w:ascii="Cambria Math" w:hAnsi="Cambria Math"/>
            <w:sz w:val="20"/>
          </w:rPr>
          <m:t>m</m:t>
        </m:r>
      </m:oMath>
      <w:r w:rsidRPr="00B9776F">
        <w:rPr>
          <w:rFonts w:ascii="Book Antiqua" w:hAnsi="Book Antiqua"/>
          <w:sz w:val="20"/>
        </w:rPr>
        <w:t>, for the proton.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center"/>
        <w:rPr>
          <w:rFonts w:ascii="Book Antiqua" w:hAnsi="Book Antiqua"/>
          <w:sz w:val="20"/>
        </w:rPr>
      </w:pPr>
      <w:r w:rsidRPr="00B9776F">
        <w:rPr>
          <w:rFonts w:ascii="Book Antiqua" w:hAnsi="Book Antiqua"/>
          <w:noProof/>
          <w:sz w:val="20"/>
        </w:rPr>
        <w:drawing>
          <wp:inline distT="0" distB="0" distL="0" distR="0">
            <wp:extent cx="3080168" cy="3209925"/>
            <wp:effectExtent l="19050" t="0" r="5932" b="0"/>
            <wp:docPr id="168"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60" cstate="print">
                      <a:lum contrast="20000"/>
                    </a:blip>
                    <a:srcRect/>
                    <a:stretch>
                      <a:fillRect/>
                    </a:stretch>
                  </pic:blipFill>
                  <pic:spPr bwMode="auto">
                    <a:xfrm>
                      <a:off x="0" y="0"/>
                      <a:ext cx="3090480" cy="3220672"/>
                    </a:xfrm>
                    <a:prstGeom prst="rect">
                      <a:avLst/>
                    </a:prstGeom>
                    <a:noFill/>
                    <a:ln w="9525">
                      <a:noFill/>
                      <a:miter lim="800000"/>
                      <a:headEnd/>
                      <a:tailEnd/>
                    </a:ln>
                  </pic:spPr>
                </pic:pic>
              </a:graphicData>
            </a:graphic>
          </wp:inline>
        </w:drawing>
      </w:r>
    </w:p>
    <w:p w:rsidR="00820B57" w:rsidRPr="00B9776F" w:rsidRDefault="00820B57" w:rsidP="00820B57">
      <w:pPr>
        <w:pStyle w:val="NoSpacing"/>
        <w:jc w:val="both"/>
        <w:rPr>
          <w:rFonts w:ascii="Book Antiqua" w:hAnsi="Book Antiqua"/>
          <w:sz w:val="20"/>
        </w:rPr>
      </w:pPr>
    </w:p>
    <w:p w:rsidR="00820B57" w:rsidRPr="001808B5" w:rsidRDefault="00820B57" w:rsidP="00E74BCC">
      <w:pPr>
        <w:pStyle w:val="NoSpacing"/>
        <w:jc w:val="center"/>
        <w:rPr>
          <w:rFonts w:ascii="Book Antiqua" w:hAnsi="Book Antiqua"/>
          <w:b/>
          <w:i/>
          <w:sz w:val="18"/>
          <w:szCs w:val="18"/>
        </w:rPr>
      </w:pPr>
      <w:r w:rsidRPr="001808B5">
        <w:rPr>
          <w:rFonts w:ascii="Book Antiqua" w:hAnsi="Book Antiqua"/>
          <w:b/>
          <w:i/>
          <w:noProof/>
          <w:sz w:val="18"/>
          <w:szCs w:val="18"/>
        </w:rPr>
        <w:t>Figure 1:</w:t>
      </w:r>
      <w:r w:rsidRPr="001808B5">
        <w:rPr>
          <w:rFonts w:ascii="Book Antiqua" w:hAnsi="Book Antiqua"/>
          <w:i/>
          <w:noProof/>
          <w:sz w:val="18"/>
          <w:szCs w:val="18"/>
        </w:rPr>
        <w:t xml:space="preserve"> Recommended values of electron rest mass, </w:t>
      </w:r>
      <w:r w:rsidRPr="001808B5">
        <w:rPr>
          <w:rFonts w:ascii="Book Antiqua" w:hAnsi="Book Antiqua"/>
          <w:noProof/>
          <w:sz w:val="18"/>
          <w:szCs w:val="18"/>
        </w:rPr>
        <w:t>m</w:t>
      </w:r>
      <w:r w:rsidRPr="001808B5">
        <w:rPr>
          <w:rFonts w:ascii="Book Antiqua" w:hAnsi="Book Antiqua"/>
          <w:i/>
          <w:noProof/>
          <w:sz w:val="18"/>
          <w:szCs w:val="18"/>
        </w:rPr>
        <w:t>. [19-31</w:t>
      </w:r>
      <w:r w:rsidRPr="001808B5">
        <w:rPr>
          <w:rFonts w:ascii="Book Antiqua" w:hAnsi="Book Antiqua"/>
          <w:b/>
          <w:i/>
          <w:noProof/>
          <w:sz w:val="18"/>
          <w:szCs w:val="18"/>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lastRenderedPageBreak/>
        <w:t>An Intrinsic Mass For Sub-atomic Particles</w:t>
      </w:r>
    </w:p>
    <w:p w:rsidR="00820B57" w:rsidRPr="00B9776F" w:rsidRDefault="00820B57" w:rsidP="00820B57">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It is at this juncture that the damping constant, </w:t>
      </w:r>
      <m:oMath>
        <m:r>
          <w:rPr>
            <w:rFonts w:ascii="Cambria Math" w:hAnsi="Cambria Math"/>
            <w:sz w:val="20"/>
          </w:rPr>
          <m:t>Γ</m:t>
        </m:r>
      </m:oMath>
      <w:r w:rsidRPr="00B9776F">
        <w:rPr>
          <w:rFonts w:ascii="Book Antiqua" w:hAnsi="Book Antiqua"/>
          <w:sz w:val="20"/>
        </w:rPr>
        <w:t xml:space="preserve">, must undergo examination. Haisch et al. point out that the damping constant is given by the expression [12, 13]: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Style w:val="Emphasis"/>
            <w:rFonts w:ascii="Cambria Math" w:hAnsi="Book Antiqua"/>
            <w:sz w:val="20"/>
          </w:rPr>
          <m:t xml:space="preserve"> </m:t>
        </m:r>
        <m:sSup>
          <m:sSupPr>
            <m:ctrlPr>
              <w:rPr>
                <w:rStyle w:val="Emphasis"/>
                <w:rFonts w:ascii="Cambria Math" w:hAnsi="Book Antiqua"/>
                <w:i w:val="0"/>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/(6</m:t>
        </m:r>
        <m:r>
          <w:rPr>
            <w:rFonts w:ascii="Cambria Math" w:hAnsi="Cambria Math"/>
            <w:sz w:val="20"/>
          </w:rPr>
          <m:t>πε</m:t>
        </m:r>
        <m:sSup>
          <m:sSupPr>
            <m:ctrlPr>
              <w:rPr>
                <w:rStyle w:val="Emphasis"/>
                <w:rFonts w:ascii="Cambria Math" w:hAnsi="Book Antiqua"/>
                <w:i w:val="0"/>
                <w:sz w:val="20"/>
              </w:rPr>
            </m:ctrlPr>
          </m:sSupPr>
          <m:e>
            <m:r>
              <w:rPr>
                <w:rStyle w:val="Emphasis"/>
                <w:rFonts w:ascii="Cambria Math" w:hAnsi="Cambria Math"/>
                <w:sz w:val="20"/>
              </w:rPr>
              <m:t>m</m:t>
            </m:r>
          </m:e>
          <m:sup>
            <m:r>
              <w:rPr>
                <w:rStyle w:val="Emphasis"/>
                <w:rFonts w:ascii="Book Antiqua" w:hAnsi="Cambria Math"/>
                <w:sz w:val="20"/>
              </w:rPr>
              <m:t>*</m:t>
            </m:r>
          </m:sup>
        </m:sSup>
        <m:sSup>
          <m:sSupPr>
            <m:ctrlPr>
              <w:rPr>
                <w:rStyle w:val="Emphasis"/>
                <w:rFonts w:ascii="Cambria Math" w:hAnsi="Book Antiqua"/>
                <w:i w:val="0"/>
                <w:sz w:val="20"/>
              </w:rPr>
            </m:ctrlPr>
          </m:sSupPr>
          <m:e>
            <m:r>
              <w:rPr>
                <w:rStyle w:val="Emphasis"/>
                <w:rFonts w:ascii="Cambria Math" w:hAnsi="Cambria Math"/>
                <w:sz w:val="20"/>
              </w:rPr>
              <m:t>c</m:t>
            </m:r>
          </m:e>
          <m:sup>
            <m:r>
              <w:rPr>
                <w:rStyle w:val="Emphasis"/>
                <w:rFonts w:ascii="Cambria Math" w:hAnsi="Book Antiqua"/>
                <w:sz w:val="20"/>
              </w:rPr>
              <m:t>3</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Style w:val="Emphasis"/>
            <w:rFonts w:ascii="Cambria Math" w:hAnsi="Cambria Math"/>
            <w:sz w:val="20"/>
          </w:rPr>
          <m:t>e</m:t>
        </m:r>
      </m:oMath>
      <w:r w:rsidRPr="00B9776F">
        <w:rPr>
          <w:rStyle w:val="Emphasis"/>
          <w:rFonts w:ascii="Book Antiqua" w:hAnsi="Book Antiqua"/>
          <w:sz w:val="20"/>
        </w:rPr>
        <w:t xml:space="preserve"> </w:t>
      </w:r>
      <w:r w:rsidRPr="00B9776F">
        <w:rPr>
          <w:rFonts w:ascii="Book Antiqua" w:hAnsi="Book Antiqua"/>
          <w:sz w:val="20"/>
        </w:rPr>
        <w:t>is the electronic charge,</w:t>
      </w:r>
      <m:oMath>
        <m:r>
          <w:rPr>
            <w:rFonts w:ascii="Cambria Math" w:hAnsi="Book Antiqua"/>
            <w:sz w:val="20"/>
          </w:rPr>
          <m:t xml:space="preserve"> </m:t>
        </m:r>
        <m:r>
          <w:rPr>
            <w:rFonts w:ascii="Cambria Math" w:hAnsi="Cambria Math"/>
            <w:sz w:val="20"/>
          </w:rPr>
          <m:t>ε</m:t>
        </m:r>
      </m:oMath>
      <w:r w:rsidRPr="00B9776F">
        <w:rPr>
          <w:rFonts w:ascii="Book Antiqua" w:hAnsi="Book Antiqua"/>
          <w:sz w:val="20"/>
        </w:rPr>
        <w:t xml:space="preserve"> is the electric permittivity of the vacuum, and </w:t>
      </w:r>
      <m:oMath>
        <m:r>
          <w:rPr>
            <w:rFonts w:ascii="Cambria Math" w:hAnsi="Cambria Math"/>
            <w:sz w:val="20"/>
          </w:rPr>
          <m:t>c</m:t>
        </m:r>
      </m:oMath>
      <w:r w:rsidRPr="00B9776F">
        <w:rPr>
          <w:rFonts w:ascii="Book Antiqua" w:hAnsi="Book Antiqua"/>
          <w:sz w:val="20"/>
        </w:rPr>
        <w:t xml:space="preserve"> is the speed of light. The quantity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Fonts w:ascii="Book Antiqua" w:hAnsi="Book Antiqua"/>
          <w:sz w:val="20"/>
        </w:rPr>
        <w:t xml:space="preserve"> in (4) has been shown to be constant throughout the cosmos, except in strong gravitational fields </w:t>
      </w:r>
      <w:hyperlink r:id="rId161" w:anchor="3b19" w:history="1">
        <w:r w:rsidRPr="00B9776F">
          <w:rPr>
            <w:rStyle w:val="Hyperlink"/>
            <w:rFonts w:ascii="Book Antiqua" w:hAnsi="Book Antiqua"/>
            <w:sz w:val="20"/>
          </w:rPr>
          <w:t>[14]</w:t>
        </w:r>
      </w:hyperlink>
      <w:r w:rsidRPr="00B9776F">
        <w:rPr>
          <w:rFonts w:ascii="Book Antiqua" w:hAnsi="Book Antiqua"/>
          <w:sz w:val="20"/>
        </w:rPr>
        <w:t xml:space="preserve">. This proviso is explained in more detail in Chapter 7.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(4), the quantity </w:t>
      </w:r>
      <m:oMath>
        <m:sSup>
          <m:sSupPr>
            <m:ctrlPr>
              <w:rPr>
                <w:rStyle w:val="Emphasis"/>
                <w:rFonts w:ascii="Cambria Math" w:hAnsi="Book Antiqua"/>
                <w:sz w:val="20"/>
              </w:rPr>
            </m:ctrlPr>
          </m:sSupPr>
          <m:e>
            <m:r>
              <w:rPr>
                <w:rStyle w:val="Emphasis"/>
                <w:rFonts w:ascii="Cambria Math" w:hAnsi="Cambria Math"/>
                <w:sz w:val="20"/>
              </w:rPr>
              <m:t>m</m:t>
            </m:r>
          </m:e>
          <m:sup>
            <m:r>
              <w:rPr>
                <w:rStyle w:val="Emphasis"/>
                <w:rFonts w:ascii="Book Antiqua" w:hAnsi="Cambria Math"/>
                <w:sz w:val="20"/>
              </w:rPr>
              <m:t>*</m:t>
            </m:r>
          </m:sup>
        </m:sSup>
      </m:oMath>
      <w:r w:rsidRPr="00B9776F">
        <w:rPr>
          <w:rStyle w:val="Emphasis"/>
          <w:rFonts w:ascii="Book Antiqua" w:hAnsi="Book Antiqua"/>
          <w:sz w:val="20"/>
        </w:rPr>
        <w:t xml:space="preserve"> </w:t>
      </w:r>
      <w:r w:rsidRPr="00B9776F">
        <w:rPr>
          <w:rFonts w:ascii="Book Antiqua" w:hAnsi="Book Antiqua"/>
          <w:sz w:val="20"/>
        </w:rPr>
        <w:t xml:space="preserve">is the intrinsic mass of the parton. It is this </w:t>
      </w:r>
      <w:r w:rsidR="000E7181">
        <w:rPr>
          <w:rFonts w:ascii="Book Antiqua" w:hAnsi="Book Antiqua"/>
          <w:sz w:val="20"/>
        </w:rPr>
        <w:t xml:space="preserve">intrinsic </w:t>
      </w:r>
      <w:r w:rsidRPr="00B9776F">
        <w:rPr>
          <w:rFonts w:ascii="Book Antiqua" w:hAnsi="Book Antiqua"/>
          <w:sz w:val="20"/>
        </w:rPr>
        <w:t xml:space="preserve">mass which is undergoing the jitter-motion that the damping constant, </w:t>
      </w:r>
      <m:oMath>
        <m:r>
          <w:rPr>
            <w:rFonts w:ascii="Cambria Math" w:hAnsi="Cambria Math"/>
            <w:sz w:val="20"/>
          </w:rPr>
          <m:t>Γ</m:t>
        </m:r>
      </m:oMath>
      <w:r w:rsidRPr="00B9776F">
        <w:rPr>
          <w:rFonts w:ascii="Book Antiqua" w:hAnsi="Book Antiqua"/>
          <w:sz w:val="20"/>
        </w:rPr>
        <w:t xml:space="preserve">, is related to. This atomic system is similar to that of a mechanical system with a mass attached to a spring which is undergoing oscillation. The magnitude of the mass and the damping constant of this mechanical system determine its behavior. In like manner, the magnitude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and the quantity </w:t>
      </w:r>
      <m:oMath>
        <m:r>
          <w:rPr>
            <w:rFonts w:ascii="Cambria Math" w:hAnsi="Cambria Math"/>
            <w:sz w:val="20"/>
          </w:rPr>
          <m:t>Γ</m:t>
        </m:r>
      </m:oMath>
      <w:r w:rsidRPr="00B9776F">
        <w:rPr>
          <w:rFonts w:ascii="Book Antiqua" w:hAnsi="Book Antiqua"/>
          <w:i/>
          <w:sz w:val="20"/>
        </w:rPr>
        <w:t xml:space="preserve"> </w:t>
      </w:r>
      <w:r w:rsidRPr="00B9776F">
        <w:rPr>
          <w:rFonts w:ascii="Book Antiqua" w:hAnsi="Book Antiqua"/>
          <w:sz w:val="20"/>
        </w:rPr>
        <w:t>determine the behavior of the atomic system</w:t>
      </w:r>
      <w:r w:rsidR="00D43754">
        <w:rPr>
          <w:rFonts w:ascii="Book Antiqua" w:hAnsi="Book Antiqua"/>
          <w:sz w:val="20"/>
        </w:rPr>
        <w:t xml:space="preserve"> which results in the atomic mass being </w:t>
      </w:r>
      <m:oMath>
        <m:r>
          <w:rPr>
            <w:rFonts w:ascii="Cambria Math" w:hAnsi="Cambria Math"/>
            <w:sz w:val="20"/>
          </w:rPr>
          <m:t>m</m:t>
        </m:r>
      </m:oMath>
      <w:r w:rsidRPr="00B9776F">
        <w:rPr>
          <w:rFonts w:ascii="Book Antiqua" w:hAnsi="Book Antiqua"/>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This quantity,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has often been ignored in </w:t>
      </w:r>
      <w:r w:rsidR="003A5CA8">
        <w:rPr>
          <w:rFonts w:ascii="Book Antiqua" w:hAnsi="Book Antiqua"/>
          <w:sz w:val="20"/>
        </w:rPr>
        <w:t>most</w:t>
      </w:r>
      <w:r w:rsidRPr="00B9776F">
        <w:rPr>
          <w:rFonts w:ascii="Book Antiqua" w:hAnsi="Book Antiqua"/>
          <w:sz w:val="20"/>
        </w:rPr>
        <w:t xml:space="preserve"> discussions about partons and their behavior</w:t>
      </w:r>
      <w:r w:rsidR="00D43754">
        <w:rPr>
          <w:rFonts w:ascii="Book Antiqua" w:hAnsi="Book Antiqua"/>
          <w:sz w:val="20"/>
        </w:rPr>
        <w:t xml:space="preserve">, since </w:t>
      </w:r>
      <m:oMath>
        <m:r>
          <w:rPr>
            <w:rFonts w:ascii="Cambria Math" w:hAnsi="Cambria Math"/>
            <w:sz w:val="20"/>
          </w:rPr>
          <m:t>m</m:t>
        </m:r>
      </m:oMath>
      <w:r w:rsidR="00D43754">
        <w:rPr>
          <w:rFonts w:ascii="Book Antiqua" w:hAnsi="Book Antiqua"/>
          <w:sz w:val="20"/>
        </w:rPr>
        <w:t xml:space="preserve"> is usually the quantity under consideration</w:t>
      </w:r>
      <w:r w:rsidRPr="00B9776F">
        <w:rPr>
          <w:rFonts w:ascii="Book Antiqua" w:hAnsi="Book Antiqua"/>
          <w:sz w:val="20"/>
        </w:rPr>
        <w:t xml:space="preserve">. Nevertheless its presence is occasionally acknowledged, as did M.H. Mac Gregor in </w:t>
      </w:r>
      <w:r w:rsidRPr="00B9776F">
        <w:rPr>
          <w:rFonts w:ascii="Book Antiqua" w:hAnsi="Book Antiqua"/>
          <w:i/>
          <w:sz w:val="20"/>
        </w:rPr>
        <w:t>"The Enigmatic Electron"</w:t>
      </w:r>
      <w:r w:rsidRPr="00B9776F">
        <w:rPr>
          <w:rFonts w:ascii="Book Antiqua" w:hAnsi="Book Antiqua"/>
          <w:sz w:val="20"/>
        </w:rPr>
        <w:t xml:space="preserve"> [Kluwer, Dordrecht, 1992, p. 7], where he called it the "</w:t>
      </w:r>
      <w:r w:rsidRPr="00B9776F">
        <w:rPr>
          <w:rFonts w:ascii="Book Antiqua" w:hAnsi="Book Antiqua"/>
          <w:i/>
          <w:sz w:val="20"/>
        </w:rPr>
        <w:t>mechanical mass</w:t>
      </w:r>
      <w:r w:rsidRPr="00B9776F">
        <w:rPr>
          <w:rFonts w:ascii="Book Antiqua" w:hAnsi="Book Antiqua"/>
          <w:sz w:val="20"/>
        </w:rPr>
        <w:t>". [15] Others, like Haisch, have called it the "</w:t>
      </w:r>
      <w:r w:rsidRPr="00B9776F">
        <w:rPr>
          <w:rFonts w:ascii="Book Antiqua" w:hAnsi="Book Antiqua"/>
          <w:i/>
          <w:sz w:val="20"/>
        </w:rPr>
        <w:t>bare mass</w:t>
      </w:r>
      <w:r w:rsidRPr="00B9776F">
        <w:rPr>
          <w:rFonts w:ascii="Book Antiqua" w:hAnsi="Book Antiqua"/>
          <w:sz w:val="20"/>
        </w:rPr>
        <w:t xml:space="preserve">" of the parton [12]. However, it is preferable to call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the </w:t>
      </w:r>
      <w:r w:rsidRPr="00B9776F">
        <w:rPr>
          <w:rFonts w:ascii="Book Antiqua" w:hAnsi="Book Antiqua"/>
          <w:i/>
          <w:sz w:val="20"/>
        </w:rPr>
        <w:t>"intrinsic mass"</w:t>
      </w:r>
      <w:r w:rsidRPr="00B9776F">
        <w:rPr>
          <w:rFonts w:ascii="Book Antiqua" w:hAnsi="Book Antiqua"/>
          <w:sz w:val="20"/>
        </w:rPr>
        <w:t xml:space="preserve"> so that it is clear that this is something that partons and electrons innately possess as a result of their electric charge, irrespective of the ZPE. Further, it is this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that the ZPE acts upon to produce a variety of other effects, some of which have already been mentioned.</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avoids defining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r>
              <w:rPr>
                <w:rFonts w:ascii="Cambria Math" w:hAnsi="Book Antiqua"/>
                <w:sz w:val="20"/>
              </w:rPr>
              <m:t xml:space="preserve"> </m:t>
            </m:r>
          </m:sup>
        </m:sSup>
      </m:oMath>
      <w:r w:rsidRPr="00B9776F">
        <w:rPr>
          <w:rFonts w:ascii="Book Antiqua" w:hAnsi="Book Antiqua"/>
          <w:sz w:val="20"/>
        </w:rPr>
        <w:t>by stating that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and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 xml:space="preserve">are </w:t>
      </w:r>
      <w:r w:rsidRPr="00B9776F">
        <w:rPr>
          <w:rFonts w:ascii="Book Antiqua" w:hAnsi="Book Antiqua"/>
          <w:i/>
          <w:sz w:val="20"/>
        </w:rPr>
        <w:t>“entirely equivalent.”</w:t>
      </w:r>
      <w:r w:rsidRPr="00B9776F">
        <w:rPr>
          <w:rFonts w:ascii="Book Antiqua" w:hAnsi="Book Antiqua"/>
          <w:sz w:val="20"/>
        </w:rPr>
        <w:t xml:space="preserve"> [12] While the two terms are not equivalent, but are two separate things, Haisch is nonetheless able to correctly substitute the definition of </w:t>
      </w:r>
      <m:oMath>
        <m:r>
          <w:rPr>
            <w:rFonts w:ascii="Cambria Math" w:hAnsi="Cambria Math"/>
            <w:sz w:val="20"/>
          </w:rPr>
          <m:t>Γ</m:t>
        </m:r>
      </m:oMath>
      <w:r w:rsidRPr="00B9776F">
        <w:rPr>
          <w:rFonts w:ascii="Book Antiqua" w:hAnsi="Book Antiqua"/>
          <w:sz w:val="20"/>
        </w:rPr>
        <w:t xml:space="preserve"> from (4) into equation (3) which then gives the ZPE mass, </w:t>
      </w:r>
      <m:oMath>
        <m:r>
          <w:rPr>
            <w:rStyle w:val="Emphasis"/>
            <w:rFonts w:ascii="Cambria Math" w:hAnsi="Cambria Math"/>
            <w:sz w:val="20"/>
          </w:rPr>
          <m:t>m</m:t>
        </m:r>
      </m:oMath>
      <w:r w:rsidRPr="00B9776F">
        <w:rPr>
          <w:rFonts w:ascii="Book Antiqua" w:hAnsi="Book Antiqua"/>
          <w:sz w:val="20"/>
        </w:rPr>
        <w:t xml:space="preserve">, in terms of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so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w:t>
      </w: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r>
          <w:rPr>
            <w:rFonts w:ascii="Cambria Math" w:hAnsi="Cambria Math"/>
            <w:sz w:val="20"/>
          </w:rPr>
          <m:t>ε</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oMath>
      <w:r w:rsidRPr="00B9776F">
        <w:rPr>
          <w:rFonts w:ascii="Book Antiqua" w:hAnsi="Book Antiqua"/>
          <w:sz w:val="20"/>
        </w:rPr>
        <w:t>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once again, </w:t>
      </w:r>
      <m:oMath>
        <m:r>
          <w:rPr>
            <w:rFonts w:ascii="Cambria Math" w:hAnsi="Cambria Math"/>
            <w:sz w:val="20"/>
          </w:rPr>
          <m:t>ω</m:t>
        </m:r>
      </m:oMath>
      <w:r w:rsidRPr="00B9776F">
        <w:rPr>
          <w:rFonts w:ascii="Book Antiqua" w:hAnsi="Book Antiqua"/>
          <w:sz w:val="20"/>
        </w:rPr>
        <w:t xml:space="preserve"> is the oscillation frequency of the particle involved. From (5) we note that there are thus two sources for mass in subatomic particles. One is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of the parton or electron. The other is the mass which comes from the interaction of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with the ZPE. This interaction results in a jitter which imparts a kinetic energy to the parton. This kinetic energy then appears as atomic mass </w:t>
      </w:r>
      <m:oMath>
        <m:r>
          <w:rPr>
            <w:rFonts w:ascii="Cambria Math" w:hAnsi="Cambria Math"/>
            <w:sz w:val="20"/>
          </w:rPr>
          <m:t>m</m:t>
        </m:r>
      </m:oMath>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Unlike atomic mass,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due entirely to the charge which makes up the parton or electron. In other words,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is purely electromagnetic in origin. It is usual to employ the Classical Electron Radius formula to obtain this mass. However, the derivation of that formula involves an approximation [16]. A slightly more rigorous approach is to employ the formula for the</w:t>
      </w:r>
      <w:r w:rsidR="00E50A7C">
        <w:rPr>
          <w:rFonts w:ascii="Book Antiqua" w:hAnsi="Book Antiqua"/>
          <w:sz w:val="20"/>
        </w:rPr>
        <w:t xml:space="preserve"> e</w:t>
      </w:r>
      <w:r w:rsidRPr="00B9776F">
        <w:rPr>
          <w:rFonts w:ascii="Book Antiqua" w:hAnsi="Book Antiqua"/>
          <w:sz w:val="20"/>
        </w:rPr>
        <w:t>nergy</w:t>
      </w:r>
      <w:r w:rsidR="00D43754">
        <w:rPr>
          <w:rFonts w:ascii="Book Antiqua" w:hAnsi="Book Antiqua"/>
          <w:sz w:val="20"/>
        </w:rPr>
        <w:t xml:space="preserve">, </w:t>
      </w:r>
      <m:oMath>
        <m:r>
          <w:rPr>
            <w:rFonts w:ascii="Cambria Math" w:hAnsi="Cambria Math"/>
            <w:sz w:val="20"/>
          </w:rPr>
          <m:t>E</m:t>
        </m:r>
      </m:oMath>
      <w:r w:rsidR="00D43754">
        <w:rPr>
          <w:rFonts w:ascii="Book Antiqua" w:hAnsi="Book Antiqua"/>
          <w:sz w:val="20"/>
        </w:rPr>
        <w:t>,</w:t>
      </w:r>
      <w:r w:rsidRPr="00B9776F">
        <w:rPr>
          <w:rFonts w:ascii="Book Antiqua" w:hAnsi="Book Antiqua"/>
          <w:sz w:val="20"/>
        </w:rPr>
        <w:t xml:space="preserve"> of </w:t>
      </w:r>
      <w:r w:rsidR="00E50A7C">
        <w:rPr>
          <w:rFonts w:ascii="Book Antiqua" w:hAnsi="Book Antiqua"/>
          <w:sz w:val="20"/>
        </w:rPr>
        <w:t xml:space="preserve">the elecgtric chatge on </w:t>
      </w:r>
      <w:r w:rsidRPr="00B9776F">
        <w:rPr>
          <w:rFonts w:ascii="Book Antiqua" w:hAnsi="Book Antiqua"/>
          <w:sz w:val="20"/>
        </w:rPr>
        <w:t xml:space="preserve">a sphere of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with </w:t>
      </w:r>
      <w:r w:rsidR="00E50A7C">
        <w:rPr>
          <w:rFonts w:ascii="Book Antiqua" w:hAnsi="Book Antiqua"/>
          <w:sz w:val="20"/>
        </w:rPr>
        <w:t>the</w:t>
      </w:r>
      <w:r w:rsidRPr="00B9776F">
        <w:rPr>
          <w:rFonts w:ascii="Book Antiqua" w:hAnsi="Book Antiqua"/>
          <w:sz w:val="20"/>
        </w:rPr>
        <w:t xml:space="preserve"> </w:t>
      </w:r>
      <w:r w:rsidR="00E50A7C">
        <w:rPr>
          <w:rFonts w:ascii="Book Antiqua" w:hAnsi="Book Antiqua"/>
          <w:sz w:val="20"/>
        </w:rPr>
        <w:t xml:space="preserve">charge </w:t>
      </w:r>
      <w:r w:rsidRPr="00B9776F">
        <w:rPr>
          <w:rFonts w:ascii="Book Antiqua" w:hAnsi="Book Antiqua"/>
          <w:sz w:val="20"/>
        </w:rPr>
        <w:t xml:space="preserve">uniformly distributed on its surface. This is a good approximation to the model of an electron or parton since, as previously mentioned, it has been shown that the electron is point-like but spherical to one part in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18</m:t>
            </m:r>
          </m:sup>
        </m:sSup>
      </m:oMath>
      <w:r w:rsidRPr="00B9776F">
        <w:rPr>
          <w:rFonts w:ascii="Book Antiqua" w:hAnsi="Book Antiqua"/>
          <w:sz w:val="20"/>
          <w:vertAlign w:val="superscript"/>
        </w:rPr>
        <w:t xml:space="preserve"> </w:t>
      </w:r>
      <w:r w:rsidRPr="00B9776F">
        <w:rPr>
          <w:rFonts w:ascii="Book Antiqua" w:hAnsi="Book Antiqua"/>
          <w:sz w:val="20"/>
        </w:rPr>
        <w:t>[2]. Therefore, th</w:t>
      </w:r>
      <w:r w:rsidR="00E50A7C">
        <w:rPr>
          <w:rFonts w:ascii="Book Antiqua" w:hAnsi="Book Antiqua"/>
          <w:sz w:val="20"/>
        </w:rPr>
        <w:t>is</w:t>
      </w:r>
      <w:r w:rsidRPr="00B9776F">
        <w:rPr>
          <w:rFonts w:ascii="Book Antiqua" w:hAnsi="Book Antiqua"/>
          <w:sz w:val="20"/>
        </w:rPr>
        <w:t xml:space="preserve"> energy of an electron or parton is given by the standard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f>
          <m:fPr>
            <m:type m:val="skw"/>
            <m:ctrlPr>
              <w:rPr>
                <w:rFonts w:ascii="Cambria Math" w:hAnsi="Book Antiqua"/>
                <w:i/>
                <w:sz w:val="20"/>
              </w:rPr>
            </m:ctrlPr>
          </m:fPr>
          <m:num>
            <m:r>
              <w:rPr>
                <w:rFonts w:ascii="Cambria Math" w:hAnsi="Book Antiqua"/>
                <w:sz w:val="20"/>
              </w:rPr>
              <m:t>1</m:t>
            </m:r>
          </m:num>
          <m:den>
            <m:r>
              <w:rPr>
                <w:rFonts w:ascii="Cambria Math" w:hAnsi="Book Antiqua"/>
                <w:sz w:val="20"/>
              </w:rPr>
              <m:t>2</m:t>
            </m:r>
          </m:den>
        </m:f>
        <m:r>
          <w:rPr>
            <w:rFonts w:ascii="Cambria Math" w:hAnsi="Book Antiqua"/>
            <w:sz w:val="20"/>
          </w:rPr>
          <m:t>)(1/4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(6),</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charged sphere. From there we note that, according to the mass/energy conversion formula,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w:lastRenderedPageBreak/>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p>
    <w:p w:rsidR="00D43754" w:rsidRDefault="00D43754"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If we take this energy to be a form of kinetic energy for the parton of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then (7) becomes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(1/2)</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(1/2)(1/4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 re-arranging, we get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where</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is the radius of the charge. Since we have noted that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this means that</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dependent on only two factors: the speed of light, </w:t>
      </w:r>
      <m:oMath>
        <m:r>
          <w:rPr>
            <w:rFonts w:ascii="Cambria Math" w:hAnsi="Cambria Math"/>
            <w:sz w:val="20"/>
          </w:rPr>
          <m:t>c</m:t>
        </m:r>
      </m:oMath>
      <w:r w:rsidRPr="00B9776F">
        <w:rPr>
          <w:rFonts w:ascii="Book Antiqua" w:hAnsi="Book Antiqua"/>
          <w:sz w:val="20"/>
        </w:rPr>
        <w:t>, and charge radius,</w:t>
      </w:r>
      <m:oMath>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.We can substitute today’s known values for all the quantities in (9). This, then, gives us the mass that currently results from the energy of the electric charge, which is the intrinsic mass,</w:t>
      </w:r>
      <m:oMath>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so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=(1/4</m:t>
        </m:r>
        <m:r>
          <w:rPr>
            <w:rFonts w:ascii="Cambria Math" w:hAnsi="Cambria Math"/>
            <w:sz w:val="20"/>
          </w:rPr>
          <m:t>π</m:t>
        </m:r>
        <m:r>
          <w:rPr>
            <w:rFonts w:ascii="Cambria Math" w:hAnsi="Book Antiqua"/>
            <w:sz w:val="20"/>
          </w:rPr>
          <m:t>)(2.898</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)[1/(8.982</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r>
          <w:rPr>
            <w:rFonts w:ascii="Cambria Math" w:hAnsi="Book Antiqua"/>
            <w:sz w:val="20"/>
          </w:rPr>
          <m:t>)][(1/(2.817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i/>
          <w:sz w:val="20"/>
        </w:rPr>
        <w:t>(10)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(10) is evaluated, then it tells us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  9.114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vertAlign w:val="superscript"/>
          </w:rPr>
          <m:t xml:space="preserve"> </m:t>
        </m:r>
        <m:r>
          <w:rPr>
            <w:rFonts w:ascii="Cambria Math" w:hAnsi="Cambria Math"/>
            <w:sz w:val="20"/>
          </w:rPr>
          <m:t>kg</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(11)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Evaluating Atomic Masses</w:t>
      </w:r>
    </w:p>
    <w:p w:rsidR="00820B57" w:rsidRPr="00B9776F" w:rsidRDefault="00820B57" w:rsidP="00820B57">
      <w:pPr>
        <w:pStyle w:val="ListParagraph"/>
        <w:ind w:left="360"/>
        <w:rPr>
          <w:rFonts w:ascii="Book Antiqua" w:hAnsi="Book Antiqua"/>
        </w:rPr>
      </w:pPr>
    </w:p>
    <w:p w:rsidR="00820B57" w:rsidRPr="00B9776F" w:rsidRDefault="00BF1E1C" w:rsidP="00820B57">
      <w:pPr>
        <w:pStyle w:val="NoSpacing"/>
        <w:ind w:firstLine="720"/>
        <w:jc w:val="both"/>
        <w:rPr>
          <w:rFonts w:ascii="Book Antiqua" w:hAnsi="Book Antiqua"/>
          <w:sz w:val="20"/>
        </w:rPr>
      </w:pPr>
      <w:r>
        <w:rPr>
          <w:rFonts w:ascii="Book Antiqua" w:hAnsi="Book Antiqua"/>
          <w:sz w:val="20"/>
        </w:rPr>
        <w:t>However, w</w:t>
      </w:r>
      <w:r w:rsidR="00820B57" w:rsidRPr="00B9776F">
        <w:rPr>
          <w:rFonts w:ascii="Book Antiqua" w:hAnsi="Book Antiqua"/>
          <w:sz w:val="20"/>
        </w:rPr>
        <w:t xml:space="preserve">hat is </w:t>
      </w:r>
      <w:r>
        <w:rPr>
          <w:rFonts w:ascii="Book Antiqua" w:hAnsi="Book Antiqua"/>
          <w:sz w:val="20"/>
        </w:rPr>
        <w:t xml:space="preserve">usually discussed </w:t>
      </w:r>
      <w:r w:rsidR="00820B57" w:rsidRPr="00B9776F">
        <w:rPr>
          <w:rFonts w:ascii="Book Antiqua" w:hAnsi="Book Antiqua"/>
          <w:sz w:val="20"/>
        </w:rPr>
        <w:t xml:space="preserve">is not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00820B57" w:rsidRPr="00B9776F">
        <w:rPr>
          <w:rFonts w:ascii="Book Antiqua" w:hAnsi="Book Antiqua"/>
          <w:sz w:val="20"/>
        </w:rPr>
        <w:t xml:space="preserve">the intrinsic mass, but rather the atomic mass,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It is this atomic mass that results from the jiggling </w:t>
      </w:r>
      <w:r>
        <w:rPr>
          <w:rFonts w:ascii="Book Antiqua" w:hAnsi="Book Antiqua"/>
          <w:sz w:val="20"/>
        </w:rPr>
        <w:t xml:space="preserve">of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Pr>
          <w:rFonts w:ascii="Book Antiqua" w:hAnsi="Book Antiqua"/>
          <w:sz w:val="20"/>
        </w:rPr>
        <w:t xml:space="preserve"> </w:t>
      </w:r>
      <w:r w:rsidR="00820B57" w:rsidRPr="00B9776F">
        <w:rPr>
          <w:rFonts w:ascii="Book Antiqua" w:hAnsi="Book Antiqua"/>
          <w:sz w:val="20"/>
        </w:rPr>
        <w:t>by the ZPE (the</w:t>
      </w:r>
      <w:r w:rsidR="00820B57" w:rsidRPr="00B9776F">
        <w:rPr>
          <w:rFonts w:ascii="Book Antiqua" w:hAnsi="Book Antiqua"/>
          <w:i/>
          <w:sz w:val="20"/>
        </w:rPr>
        <w:t xml:space="preserve"> Zitterbewegung</w:t>
      </w:r>
      <w:r w:rsidR="00820B57" w:rsidRPr="00B9776F">
        <w:rPr>
          <w:rFonts w:ascii="Book Antiqua" w:hAnsi="Book Antiqua"/>
          <w:sz w:val="20"/>
        </w:rPr>
        <w:t>). Therefore we have the experimental result that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formula for </w:t>
      </w:r>
      <m:oMath>
        <m:r>
          <w:rPr>
            <w:rFonts w:ascii="Cambria Math" w:hAnsi="Cambria Math"/>
            <w:sz w:val="20"/>
          </w:rPr>
          <m:t>m</m:t>
        </m:r>
      </m:oMath>
      <w:r w:rsidRPr="00B9776F">
        <w:rPr>
          <w:rFonts w:ascii="Book Antiqua" w:hAnsi="Book Antiqua"/>
          <w:sz w:val="20"/>
        </w:rPr>
        <w:t xml:space="preserve"> given by Haisch, Rueda and Puthoff in reference [9] and their equation (110)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ω</m:t>
        </m:r>
      </m:oMath>
      <w:r w:rsidRPr="00B9776F">
        <w:rPr>
          <w:rFonts w:ascii="Book Antiqua" w:hAnsi="Book Antiqua"/>
          <w:sz w:val="20"/>
        </w:rPr>
        <w:t xml:space="preserve"> is the oscillation frequency of the particle. Haisch et al. attach an Appendix A to reference [9] pointing out that their </w:t>
      </w:r>
      <m:oMath>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in the denominator of (13) might probably be only </w:t>
      </w:r>
      <m:oMath>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oMath>
      <w:r w:rsidRPr="00B9776F">
        <w:rPr>
          <w:rFonts w:ascii="Book Antiqua" w:hAnsi="Book Antiqua"/>
          <w:sz w:val="20"/>
        </w:rPr>
        <w:t xml:space="preserve">, so (13) follows that factor of 2 correction. The formula for the damping constant </w:t>
      </w:r>
      <m:oMath>
        <m:r>
          <w:rPr>
            <w:rFonts w:ascii="Cambria Math" w:hAnsi="Cambria Math"/>
            <w:sz w:val="20"/>
          </w:rPr>
          <m:t>Γ</m:t>
        </m:r>
      </m:oMath>
      <w:r w:rsidRPr="00B9776F">
        <w:rPr>
          <w:rFonts w:ascii="Book Antiqua" w:hAnsi="Book Antiqua"/>
          <w:sz w:val="20"/>
        </w:rPr>
        <w:t xml:space="preserve"> is given in the same reference on p.685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Γ</m:t>
        </m:r>
        <m:r>
          <w:rPr>
            <w:rFonts w:ascii="Cambria Math" w:hAnsi="Book Antiqua"/>
            <w:sz w:val="20"/>
          </w:rPr>
          <m:t xml:space="preserve"> = (2/3)(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i/>
          <w:sz w:val="20"/>
        </w:rPr>
        <w:t>(14)</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The terms making up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are in (9) above. When they are substituted in (14) it becomes possible to cancel terms. So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the damping constant,</w:t>
      </w:r>
      <w:r w:rsidRPr="00B9776F">
        <w:rPr>
          <w:rFonts w:ascii="Book Antiqua" w:hAnsi="Book Antiqua"/>
          <w:i/>
          <w:sz w:val="20"/>
        </w:rPr>
        <w:t xml:space="preserve"> </w:t>
      </w:r>
      <m:oMath>
        <m:r>
          <w:rPr>
            <w:rFonts w:ascii="Cambria Math" w:hAnsi="Cambria Math"/>
            <w:sz w:val="20"/>
          </w:rPr>
          <m:t>Γ</m:t>
        </m:r>
      </m:oMath>
      <w:r w:rsidRPr="00B9776F">
        <w:rPr>
          <w:rFonts w:ascii="Book Antiqua" w:hAnsi="Book Antiqua"/>
          <w:sz w:val="20"/>
        </w:rPr>
        <w:t>, is dependent on two factors. These factors are charge radius, in direct proportion, and, in inverse proportion, the speed of light. We can now substitute (15) in (13) to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)=(4/3)(1/</m:t>
        </m:r>
        <m:r>
          <w:rPr>
            <w:rFonts w:ascii="Cambria Math" w:hAnsi="Cambria Math"/>
            <w:sz w:val="20"/>
          </w:rPr>
          <m:t>π</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(16)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 for a varying Zero Point Energy situation, atomic masses</w:t>
      </w:r>
      <w:r w:rsidR="00BF1E1C">
        <w:rPr>
          <w:rFonts w:ascii="Book Antiqua" w:hAnsi="Book Antiqua"/>
          <w:sz w:val="20"/>
        </w:rPr>
        <w:t xml:space="preserve">, </w:t>
      </w:r>
      <m:oMath>
        <m:r>
          <w:rPr>
            <w:rFonts w:ascii="Cambria Math" w:hAnsi="Cambria Math"/>
            <w:sz w:val="20"/>
          </w:rPr>
          <m:t>m</m:t>
        </m:r>
      </m:oMath>
      <w:r w:rsidR="00BF1E1C">
        <w:rPr>
          <w:rFonts w:ascii="Book Antiqua" w:hAnsi="Book Antiqua"/>
          <w:sz w:val="20"/>
        </w:rPr>
        <w:t>,</w:t>
      </w:r>
      <w:r w:rsidRPr="00B9776F">
        <w:rPr>
          <w:rFonts w:ascii="Book Antiqua" w:hAnsi="Book Antiqua"/>
          <w:sz w:val="20"/>
        </w:rPr>
        <w:t xml:space="preserve"> are dependent upon four things: the charge radius and Planck’s constant directly; inversely on the cube of the speed of light; and directly on the square of the </w:t>
      </w:r>
      <w:r w:rsidRPr="00B9776F">
        <w:rPr>
          <w:rFonts w:ascii="Book Antiqua" w:hAnsi="Book Antiqua"/>
          <w:sz w:val="20"/>
        </w:rPr>
        <w:lastRenderedPageBreak/>
        <w:t>oscillation frequency of the parton or electron.  For a situation where the ZPE is constant,  we substitute the following accepted values into (16), and get equation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Planck’s constant, </w:t>
      </w:r>
      <m:oMath>
        <m:r>
          <w:rPr>
            <w:rFonts w:ascii="Book Antiqua" w:hAnsi="Cambria Math"/>
            <w:sz w:val="20"/>
          </w:rPr>
          <m:t>h</m:t>
        </m:r>
        <m:r>
          <w:rPr>
            <w:rFonts w:ascii="Cambria Math" w:hAnsi="Book Antiqua"/>
            <w:sz w:val="20"/>
          </w:rPr>
          <m:t xml:space="preserve"> = 6.626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34</m:t>
            </m:r>
          </m:sup>
        </m:sSup>
        <m:r>
          <w:rPr>
            <w:rFonts w:ascii="Cambria Math" w:hAnsi="Book Antiqua"/>
            <w:sz w:val="20"/>
          </w:rPr>
          <m:t xml:space="preserve"> </m:t>
        </m:r>
        <m:r>
          <w:rPr>
            <w:rFonts w:ascii="Cambria Math" w:hAnsi="Cambria Math"/>
            <w:sz w:val="20"/>
          </w:rPr>
          <m:t>Joule</m:t>
        </m:r>
        <m:r>
          <w:rPr>
            <w:rFonts w:ascii="Book Antiqua" w:hAnsi="Book Antiqua"/>
            <w:sz w:val="20"/>
          </w:rPr>
          <m:t>-</m:t>
        </m:r>
        <m:r>
          <w:rPr>
            <w:rFonts w:ascii="Cambria Math" w:hAnsi="Cambria Math"/>
            <w:sz w:val="20"/>
          </w:rPr>
          <m:t>seconds</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The speed of light,</w:t>
      </w:r>
      <m:oMath>
        <m:r>
          <w:rPr>
            <w:rFonts w:ascii="Cambria Math" w:hAnsi="Book Antiqua"/>
            <w:sz w:val="20"/>
          </w:rPr>
          <m:t xml:space="preserve"> </m:t>
        </m:r>
        <m:r>
          <w:rPr>
            <w:rFonts w:ascii="Cambria Math" w:hAnsi="Cambria Math"/>
            <w:sz w:val="20"/>
          </w:rPr>
          <m:t>c</m:t>
        </m:r>
        <m:r>
          <w:rPr>
            <w:rFonts w:ascii="Cambria Math" w:hAnsi="Book Antiqua"/>
            <w:sz w:val="20"/>
          </w:rPr>
          <m:t xml:space="preserve"> = 2.997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 xml:space="preserve"> </m:t>
        </m:r>
        <m:r>
          <w:rPr>
            <w:rFonts w:ascii="Cambria Math" w:hAnsi="Cambria Math"/>
            <w:sz w:val="20"/>
          </w:rPr>
          <m:t>meters</m:t>
        </m:r>
        <m:r>
          <w:rPr>
            <w:rFonts w:ascii="Cambria Math" w:hAnsi="Book Antiqua"/>
            <w:sz w:val="20"/>
          </w:rPr>
          <m:t>/</m:t>
        </m:r>
        <m:r>
          <w:rPr>
            <w:rFonts w:ascii="Cambria Math" w:hAnsi="Cambria Math"/>
            <w:sz w:val="20"/>
          </w:rPr>
          <m:t>second</m:t>
        </m:r>
      </m:oMath>
    </w:p>
    <w:p w:rsidR="00820B57" w:rsidRPr="00B9776F" w:rsidRDefault="00820B57" w:rsidP="00820B57">
      <w:pPr>
        <w:pStyle w:val="NoSpacing"/>
        <w:ind w:left="720"/>
        <w:jc w:val="both"/>
        <w:rPr>
          <w:rFonts w:ascii="Book Antiqua" w:hAnsi="Book Antiqua"/>
          <w:sz w:val="20"/>
        </w:rPr>
      </w:pPr>
      <w:r w:rsidRPr="00B9776F">
        <w:rPr>
          <w:rFonts w:ascii="Book Antiqua" w:hAnsi="Book Antiqua"/>
          <w:sz w:val="20"/>
        </w:rPr>
        <w:t xml:space="preserve">The radius of the charge,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2.817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r>
          <w:rPr>
            <w:rFonts w:ascii="Cambria Math" w:hAnsi="Book Antiqua"/>
            <w:sz w:val="20"/>
          </w:rPr>
          <m:t xml:space="preserve"> </m:t>
        </m:r>
        <m:r>
          <w:rPr>
            <w:rFonts w:ascii="Cambria Math" w:hAnsi="Cambria Math"/>
            <w:sz w:val="20"/>
          </w:rPr>
          <m:t>meters</m:t>
        </m:r>
      </m:oMath>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=(4/3)(1/</m:t>
        </m:r>
        <m:r>
          <w:rPr>
            <w:rFonts w:ascii="Cambria Math" w:hAnsi="Cambria Math"/>
            <w:sz w:val="20"/>
          </w:rPr>
          <m:t>π</m:t>
        </m:r>
        <m:r>
          <w:rPr>
            <w:rFonts w:ascii="Cambria Math" w:hAnsi="Book Antiqua"/>
            <w:sz w:val="20"/>
          </w:rPr>
          <m:t>)(2.817</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15</m:t>
            </m:r>
          </m:sup>
        </m:sSup>
        <m:r>
          <w:rPr>
            <w:rFonts w:ascii="Cambria Math" w:hAnsi="Book Antiqua"/>
            <w:sz w:val="20"/>
          </w:rPr>
          <m:t>)( 6.626</m:t>
        </m:r>
        <m:r>
          <w:rPr>
            <w:rFonts w:ascii="Cambria Math" w:hAnsi="Cambria Math"/>
            <w:sz w:val="20"/>
          </w:rPr>
          <m:t>x</m:t>
        </m:r>
        <m:r>
          <w:rPr>
            <w:rFonts w:ascii="Cambria Math" w:hAnsi="Book Antiqua"/>
            <w:sz w:val="20"/>
          </w:rPr>
          <m:t>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34</m:t>
            </m:r>
          </m:sup>
        </m:sSup>
        <m:r>
          <w:rPr>
            <w:rFonts w:ascii="Cambria Math" w:hAnsi="Book Antiqua"/>
            <w:sz w:val="20"/>
          </w:rPr>
          <m:t>)[1/(</m:t>
        </m:r>
        <m:sSup>
          <m:sSupPr>
            <m:ctrlPr>
              <w:rPr>
                <w:rFonts w:ascii="Cambria Math" w:hAnsi="Book Antiqua"/>
                <w:i/>
                <w:sz w:val="20"/>
              </w:rPr>
            </m:ctrlPr>
          </m:sSupPr>
          <m:e>
            <m:r>
              <w:rPr>
                <w:rFonts w:ascii="Cambria Math" w:hAnsi="Book Antiqua"/>
                <w:sz w:val="20"/>
              </w:rPr>
              <m:t>2.997</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r>
              <w:rPr>
                <w:rFonts w:ascii="Cambria Math" w:hAnsi="Book Antiqua"/>
                <w:sz w:val="20"/>
              </w:rPr>
              <m:t>)</m:t>
            </m:r>
          </m:e>
          <m:sup>
            <m:r>
              <w:rPr>
                <w:rFonts w:ascii="Cambria Math" w:hAnsi="Book Antiqua"/>
                <w:sz w:val="20"/>
              </w:rPr>
              <m:t>3</m:t>
            </m:r>
          </m:sup>
        </m:sSup>
        <m:r>
          <w:rPr>
            <w:rFonts w:ascii="Cambria Math" w:hAnsi="Book Antiqua"/>
            <w:sz w:val="20"/>
          </w:rPr>
          <m:t>]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 xml:space="preserve"> (17)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Evaluating that, we get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m</m:t>
        </m:r>
        <m:r>
          <w:rPr>
            <w:rFonts w:ascii="Cambria Math" w:hAnsi="Book Antiqua"/>
            <w:sz w:val="20"/>
          </w:rPr>
          <m:t xml:space="preserve"> = (2.942 </m:t>
        </m:r>
        <m:r>
          <w:rPr>
            <w:rFonts w:ascii="Cambria Math" w:hAnsi="Cambria Math"/>
            <w:sz w:val="20"/>
          </w:rPr>
          <m:t>x</m:t>
        </m:r>
        <m:r>
          <w:rPr>
            <w:rFonts w:ascii="Cambria Math" w:hAnsi="Book Antiqua"/>
            <w:sz w:val="20"/>
          </w:rPr>
          <m:t xml:space="preserve"> 1</m:t>
        </m:r>
        <m:sSup>
          <m:sSupPr>
            <m:ctrlPr>
              <w:rPr>
                <w:rFonts w:ascii="Cambria Math" w:hAnsi="Book Antiqua"/>
                <w:i/>
                <w:sz w:val="20"/>
              </w:rPr>
            </m:ctrlPr>
          </m:sSupPr>
          <m:e>
            <m:r>
              <w:rPr>
                <w:rFonts w:ascii="Cambria Math" w:hAnsi="Book Antiqua"/>
                <w:sz w:val="20"/>
              </w:rPr>
              <m:t>0</m:t>
            </m:r>
          </m:e>
          <m:sup>
            <m:r>
              <w:rPr>
                <w:rFonts w:ascii="Book Antiqua" w:hAnsi="Book Antiqua"/>
                <w:sz w:val="20"/>
              </w:rPr>
              <m:t>-</m:t>
            </m:r>
            <m:r>
              <w:rPr>
                <w:rFonts w:ascii="Cambria Math" w:hAnsi="Book Antiqua"/>
                <w:sz w:val="20"/>
              </w:rPr>
              <m:t>74</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(18)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in a situation where the ZPE is constant, equation (18) shows that atomic masses only differ because they have a different oscillation frequency. Since higher oscillation frequencies mean more ZPE waves are involved, then those partons with higher oscillation frequencies will have greater atomic masses, just as Haisch et al. point out in [9].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For the purposes of the discussion here, we note that angular frequency, </w:t>
      </w:r>
      <m:oMath>
        <m:r>
          <w:rPr>
            <w:rFonts w:ascii="Cambria Math" w:hAnsi="Cambria Math"/>
            <w:sz w:val="20"/>
          </w:rPr>
          <m:t>ω</m:t>
        </m:r>
      </m:oMath>
      <w:r w:rsidRPr="00B9776F">
        <w:rPr>
          <w:rFonts w:ascii="Book Antiqua" w:hAnsi="Book Antiqua"/>
          <w:sz w:val="20"/>
        </w:rPr>
        <w:t>, is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(19)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the frequency, </w:t>
      </w:r>
      <m:oMath>
        <m:r>
          <w:rPr>
            <w:rFonts w:ascii="Cambria Math" w:hAnsi="Cambria Math"/>
            <w:sz w:val="20"/>
          </w:rPr>
          <m:t>f</m:t>
        </m:r>
      </m:oMath>
      <w:r w:rsidRPr="00B9776F">
        <w:rPr>
          <w:rFonts w:ascii="Book Antiqua" w:hAnsi="Book Antiqua"/>
          <w:i/>
          <w:sz w:val="20"/>
        </w:rPr>
        <w:t>,</w:t>
      </w:r>
      <w:r w:rsidRPr="00B9776F">
        <w:rPr>
          <w:rFonts w:ascii="Book Antiqua" w:hAnsi="Book Antiqua"/>
          <w:sz w:val="20"/>
        </w:rPr>
        <w:t xml:space="preserve"> is the Compton frequency of the electron, since it is the electron mass, </w:t>
      </w:r>
      <m:oMath>
        <m:r>
          <w:rPr>
            <w:rFonts w:ascii="Cambria Math" w:hAnsi="Cambria Math"/>
            <w:sz w:val="20"/>
          </w:rPr>
          <m:t>m</m:t>
        </m:r>
      </m:oMath>
      <w:r w:rsidRPr="00B9776F">
        <w:rPr>
          <w:rFonts w:ascii="Book Antiqua" w:hAnsi="Book Antiqua"/>
          <w:sz w:val="20"/>
        </w:rPr>
        <w:t xml:space="preserve">, that we have specifically in mind. However, the Compton frequency comes from the Compton wavelength, which is a linear quantity. For the jitter imposed on the electron by the ZPE we need this in spherical terms, so we multiply by </w:t>
      </w:r>
      <m:oMath>
        <m:r>
          <w:rPr>
            <w:rFonts w:ascii="Cambria Math" w:hAnsi="Book Antiqua"/>
            <w:sz w:val="20"/>
          </w:rPr>
          <m:t>4</m:t>
        </m:r>
        <m:r>
          <w:rPr>
            <w:rFonts w:ascii="Cambria Math" w:hAnsi="Cambria Math"/>
            <w:sz w:val="20"/>
          </w:rPr>
          <m:t>π</m:t>
        </m:r>
      </m:oMath>
      <w:r w:rsidRPr="00B9776F">
        <w:rPr>
          <w:rFonts w:ascii="Book Antiqua" w:hAnsi="Book Antiqua"/>
          <w:sz w:val="20"/>
        </w:rPr>
        <w:t xml:space="preserve"> steradians. </w:t>
      </w:r>
      <w:r w:rsidR="003A5CA8">
        <w:rPr>
          <w:rFonts w:ascii="Book Antiqua" w:hAnsi="Book Antiqua"/>
          <w:sz w:val="20"/>
        </w:rPr>
        <w:t>We</w:t>
      </w:r>
      <w:r w:rsidRPr="00B9776F">
        <w:rPr>
          <w:rFonts w:ascii="Book Antiqua" w:hAnsi="Book Antiqua"/>
          <w:sz w:val="20"/>
        </w:rPr>
        <w:t xml:space="preserve"> can </w:t>
      </w:r>
      <w:r w:rsidR="003A5CA8">
        <w:rPr>
          <w:rFonts w:ascii="Book Antiqua" w:hAnsi="Book Antiqua"/>
          <w:sz w:val="20"/>
        </w:rPr>
        <w:t xml:space="preserve">then </w:t>
      </w:r>
      <w:r w:rsidRPr="00B9776F">
        <w:rPr>
          <w:rFonts w:ascii="Book Antiqua" w:hAnsi="Book Antiqua"/>
          <w:sz w:val="20"/>
        </w:rPr>
        <w:t xml:space="preserve">determine that the angular frequency of the electron’s jitter as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2</m:t>
        </m:r>
        <m:r>
          <w:rPr>
            <w:rFonts w:ascii="Cambria Math" w:hAnsi="Cambria Math"/>
            <w:sz w:val="20"/>
          </w:rPr>
          <m:t>πf</m:t>
        </m:r>
        <m:r>
          <w:rPr>
            <w:rFonts w:ascii="Cambria Math" w:hAnsi="Book Antiqua"/>
            <w:sz w:val="20"/>
          </w:rPr>
          <m:t>(4</m:t>
        </m:r>
        <m:r>
          <w:rPr>
            <w:rFonts w:ascii="Cambria Math" w:hAnsi="Cambria Math"/>
            <w:sz w:val="20"/>
          </w:rPr>
          <m:t>π</m:t>
        </m:r>
        <m:r>
          <w:rPr>
            <w:rFonts w:ascii="Cambria Math" w:hAnsi="Book Antiqua"/>
            <w:sz w:val="20"/>
          </w:rPr>
          <m:t>) = 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the Compton frequency, </w:t>
      </w:r>
      <m:oMath>
        <m:r>
          <w:rPr>
            <w:rFonts w:ascii="Cambria Math" w:hAnsi="Cambria Math"/>
            <w:sz w:val="20"/>
          </w:rPr>
          <m:t>f</m:t>
        </m:r>
      </m:oMath>
      <w:r w:rsidRPr="00B9776F">
        <w:rPr>
          <w:rFonts w:ascii="Book Antiqua" w:hAnsi="Book Antiqua"/>
          <w:sz w:val="20"/>
        </w:rPr>
        <w:t>, of the electron is equal to</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i/>
          <w:sz w:val="20"/>
        </w:rPr>
      </w:pPr>
      <m:oMath>
        <m:r>
          <w:rPr>
            <w:rFonts w:ascii="Cambria Math" w:hAnsi="Cambria Math"/>
            <w:sz w:val="20"/>
          </w:rPr>
          <m:t>f</m:t>
        </m:r>
        <m:r>
          <w:rPr>
            <w:rFonts w:ascii="Cambria Math" w:hAnsi="Book Antiqua"/>
            <w:sz w:val="20"/>
          </w:rPr>
          <m:t xml:space="preserve"> = 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(21)</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therefore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means that</w:t>
      </w:r>
    </w:p>
    <w:p w:rsidR="00820B57" w:rsidRPr="00B9776F" w:rsidRDefault="00820B57" w:rsidP="00820B57">
      <w:pPr>
        <w:pStyle w:val="NoSpacing"/>
        <w:jc w:val="both"/>
        <w:rPr>
          <w:rFonts w:ascii="Book Antiqua" w:hAnsi="Book Antiqua"/>
          <w:i/>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00820B57" w:rsidRPr="00B9776F">
        <w:rPr>
          <w:rFonts w:ascii="Book Antiqua" w:hAnsi="Book Antiqua"/>
          <w:i/>
          <w:sz w:val="20"/>
        </w:rPr>
        <w:t>.</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sz w:val="20"/>
        </w:rPr>
        <w:tab/>
      </w:r>
      <w:r w:rsidR="00820B57" w:rsidRPr="00B9776F">
        <w:rPr>
          <w:rFonts w:ascii="Book Antiqua" w:hAnsi="Book Antiqua"/>
          <w:i/>
          <w:sz w:val="20"/>
        </w:rPr>
        <w:t>(23)</w:t>
      </w:r>
      <w:r w:rsidR="00820B57"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(23) in (18)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m:oMath>
        <m:r>
          <w:rPr>
            <w:rFonts w:ascii="Cambria Math" w:hAnsi="Cambria Math"/>
            <w:sz w:val="20"/>
          </w:rPr>
          <m:t>m</m:t>
        </m:r>
        <m:r>
          <w:rPr>
            <w:rFonts w:ascii="Cambria Math" w:hAnsi="Book Antiqua"/>
            <w:sz w:val="20"/>
          </w:rPr>
          <m:t xml:space="preserve">= </m:t>
        </m:r>
        <m:d>
          <m:dPr>
            <m:ctrlPr>
              <w:rPr>
                <w:rFonts w:ascii="Cambria Math" w:hAnsi="Book Antiqua"/>
                <w:i/>
                <w:sz w:val="20"/>
              </w:rPr>
            </m:ctrlPr>
          </m:dPr>
          <m:e>
            <m:r>
              <w:rPr>
                <w:rFonts w:ascii="Cambria Math" w:hAnsi="Book Antiqua"/>
                <w:sz w:val="20"/>
              </w:rPr>
              <m:t xml:space="preserve">2.942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74</m:t>
                </m:r>
              </m:sup>
            </m:sSup>
          </m:e>
        </m:d>
        <m:d>
          <m:dPr>
            <m:ctrlPr>
              <w:rPr>
                <w:rFonts w:ascii="Cambria Math" w:hAnsi="Book Antiqua"/>
                <w:i/>
                <w:sz w:val="20"/>
              </w:rPr>
            </m:ctrlPr>
          </m:dPr>
          <m:e>
            <m:r>
              <w:rPr>
                <w:rFonts w:ascii="Cambria Math" w:hAnsi="Book Antiqua"/>
                <w:sz w:val="20"/>
              </w:rPr>
              <m:t xml:space="preserve">9.508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e>
        </m:d>
        <m:r>
          <w:rPr>
            <w:rFonts w:ascii="Cambria Math" w:hAnsi="Book Antiqua"/>
            <w:sz w:val="20"/>
          </w:rPr>
          <m:t xml:space="preserve">= 2.798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30</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(24)</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r w:rsidRPr="00B9776F">
        <w:rPr>
          <w:rFonts w:ascii="Book Antiqua" w:hAnsi="Book Antiqua"/>
          <w:sz w:val="20"/>
        </w:rPr>
        <w:tab/>
        <w:t xml:space="preserve">However, we note from (12) that the atomic mass for electrons has been accurately determined as </w:t>
      </w:r>
      <m:oMath>
        <m:sSup>
          <m:sSupPr>
            <m:ctrlPr>
              <w:rPr>
                <w:rFonts w:ascii="Cambria Math" w:hAnsi="Book Antiqua"/>
                <w:i/>
                <w:sz w:val="20"/>
              </w:rPr>
            </m:ctrlPr>
          </m:sSupPr>
          <m:e>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10</m:t>
            </m:r>
          </m:e>
          <m:sup>
            <m:r>
              <w:rPr>
                <w:rFonts w:ascii="Cambria Math" w:hAnsi="Book Antiqua"/>
                <w:sz w:val="20"/>
              </w:rPr>
              <m:t>-</m:t>
            </m:r>
            <m:r>
              <w:rPr>
                <w:rFonts w:ascii="Cambria Math" w:hAnsi="Book Antiqua"/>
                <w:sz w:val="20"/>
              </w:rPr>
              <m:t>31</m:t>
            </m:r>
          </m:sup>
        </m:sSup>
      </m:oMath>
      <w:r w:rsidRPr="00B9776F">
        <w:rPr>
          <w:rFonts w:ascii="Book Antiqua" w:hAnsi="Book Antiqua"/>
          <w:sz w:val="20"/>
        </w:rPr>
        <w:t xml:space="preserve"> kg.  As a result, the value obtained from the Compton frequency is too large by a factor of about 3.07. This illustrates the difficulty in obtaining an accurate value for oscillation frequencies of partons generally. In the case of the electron it is usually assumed in SED physics that it oscillates at approximately the Compton frequency. If this is true, the </w:t>
      </w:r>
      <w:r w:rsidRPr="00B9776F">
        <w:rPr>
          <w:rFonts w:ascii="Book Antiqua" w:hAnsi="Book Antiqua"/>
          <w:sz w:val="20"/>
        </w:rPr>
        <w:lastRenderedPageBreak/>
        <w:t xml:space="preserve">treatment here in (22) that means </w:t>
      </w:r>
      <w:r w:rsidRPr="00B9776F">
        <w:rPr>
          <w:rFonts w:ascii="Book Antiqua" w:hAnsi="Book Antiqua"/>
          <w:i/>
          <w:sz w:val="20"/>
        </w:rPr>
        <w:t>ω</w:t>
      </w:r>
      <w:r w:rsidRPr="00B9776F">
        <w:rPr>
          <w:rFonts w:ascii="Book Antiqua" w:hAnsi="Book Antiqua"/>
          <w:sz w:val="20"/>
        </w:rPr>
        <w:t xml:space="preserve"> must be somewhere around </w:t>
      </w:r>
      <m:oMath>
        <m:r>
          <w:rPr>
            <w:rFonts w:ascii="Cambria Math" w:hAnsi="Book Antiqua"/>
            <w:sz w:val="20"/>
          </w:rPr>
          <m:t xml:space="preserve">9.751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sz w:val="20"/>
        </w:rPr>
        <w:t xml:space="preserve"> oscillations per second. In order to get an exact value for the frequency of the electron oscillation, we substitute the known atomic mass of </w:t>
      </w:r>
      <m:oMath>
        <m:r>
          <w:rPr>
            <w:rFonts w:ascii="Cambria Math" w:hAnsi="Cambria Math"/>
            <w:sz w:val="20"/>
          </w:rPr>
          <m:t>m</m:t>
        </m:r>
        <m:r>
          <w:rPr>
            <w:rFonts w:ascii="Cambria Math" w:hAnsi="Book Antiqua"/>
            <w:sz w:val="20"/>
          </w:rPr>
          <m:t xml:space="preserve"> = 9.109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kg</m:t>
        </m:r>
      </m:oMath>
      <w:r w:rsidRPr="00B9776F">
        <w:rPr>
          <w:rFonts w:ascii="Book Antiqua" w:hAnsi="Book Antiqua"/>
          <w:sz w:val="20"/>
        </w:rPr>
        <w:t xml:space="preserve"> in equation (18). This gives the value for the oscillation frequency of the electron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B9776F">
        <w:rPr>
          <w:rFonts w:ascii="Book Antiqua" w:hAnsi="Book Antiqua"/>
          <w:sz w:val="20"/>
        </w:rPr>
        <w:t>. So the approach here appears to be a good approximation.</w:t>
      </w:r>
    </w:p>
    <w:p w:rsidR="00FC304E" w:rsidRPr="00B9776F" w:rsidRDefault="00FC304E" w:rsidP="00820B57">
      <w:pPr>
        <w:pStyle w:val="NoSpacing"/>
        <w:jc w:val="both"/>
        <w:rPr>
          <w:rFonts w:ascii="Book Antiqua" w:hAnsi="Book Antiqua"/>
          <w:sz w:val="20"/>
        </w:rPr>
      </w:pPr>
    </w:p>
    <w:p w:rsidR="00820B57" w:rsidRPr="00B9776F" w:rsidRDefault="00820B57" w:rsidP="00820B57">
      <w:pPr>
        <w:pStyle w:val="Heading2"/>
        <w:numPr>
          <w:ilvl w:val="1"/>
          <w:numId w:val="28"/>
        </w:numPr>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The Behavior of the Charge Radius</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equations (6), (7), (15) and (16) the quantity </w:t>
      </w:r>
      <w:r w:rsidRPr="00B9776F">
        <w:rPr>
          <w:rFonts w:ascii="Book Antiqua" w:hAnsi="Book Antiqua"/>
          <w:i/>
          <w:sz w:val="20"/>
        </w:rPr>
        <w:t>r</w:t>
      </w:r>
      <w:r w:rsidRPr="00B9776F">
        <w:rPr>
          <w:rFonts w:ascii="Book Antiqua" w:hAnsi="Book Antiqua"/>
          <w:i/>
          <w:sz w:val="20"/>
          <w:vertAlign w:val="subscript"/>
        </w:rPr>
        <w:t>0</w:t>
      </w:r>
      <w:r w:rsidRPr="00B9776F">
        <w:rPr>
          <w:rFonts w:ascii="Book Antiqua" w:hAnsi="Book Antiqua"/>
          <w:sz w:val="20"/>
        </w:rPr>
        <w:t xml:space="preserve">, the charge radius, is introduced. In equations (6) and (7)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shown to be inversely proportional to the charge radius as long as other factors are unchanged. It then means that variations of the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between various partons of the same charge will occur due to differing charge radii,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xml:space="preserve">. Thus the smaller the radius of the parton, the greater will be the intrinsic mass, since the charge is concentrated on a smaller surface area and is thereby more intense.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Conversely, in the case of atomic mass, </w:t>
      </w:r>
      <m:oMath>
        <m:r>
          <w:rPr>
            <w:rFonts w:ascii="Cambria Math" w:hAnsi="Cambria Math"/>
            <w:sz w:val="20"/>
          </w:rPr>
          <m:t>m</m:t>
        </m:r>
      </m:oMath>
      <w:r w:rsidRPr="00B9776F">
        <w:rPr>
          <w:rFonts w:ascii="Book Antiqua" w:hAnsi="Book Antiqua"/>
          <w:sz w:val="20"/>
        </w:rPr>
        <w:t xml:space="preserve">, equations (15) and (16) show that, if other factors are unchanged, atomic masses are proportional to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Thus the larger the charge radius (which is intrinsic to the particle), the greater the atomic mass (which is the result of the ‘jiggling’). The reason for this can be found in the behavior of the damping constant,</w:t>
      </w:r>
      <m:oMath>
        <m:r>
          <w:rPr>
            <w:rFonts w:ascii="Cambria Math" w:hAnsi="Book Antiqua"/>
            <w:sz w:val="20"/>
          </w:rPr>
          <m:t xml:space="preserve"> </m:t>
        </m:r>
        <m:r>
          <w:rPr>
            <w:rFonts w:ascii="Cambria Math" w:hAnsi="Cambria Math"/>
            <w:sz w:val="20"/>
          </w:rPr>
          <m:t>Γ</m:t>
        </m:r>
      </m:oMath>
      <w:r w:rsidRPr="00B9776F">
        <w:rPr>
          <w:rFonts w:ascii="Book Antiqua" w:hAnsi="Book Antiqua"/>
          <w:sz w:val="20"/>
        </w:rPr>
        <w:t xml:space="preserve"> (which moderates the effects of the jiggling). If other factors are unchanged, a larger charge radius results in a larger damping constant. This makes the oscillating system behave in a similar way to a mechanical system with a larger mass on a spring.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Another matter also claims our attention. We have noted in (2) and (3) that atomic masses are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This has been proven experimentally. However, equation (5) shows that the intrinsic mass,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 xml:space="preserve"> is inversely proportional to atomic mass, </w:t>
      </w:r>
      <m:oMath>
        <m:r>
          <w:rPr>
            <w:rFonts w:ascii="Cambria Math" w:hAnsi="Cambria Math"/>
            <w:sz w:val="20"/>
          </w:rPr>
          <m:t>m</m:t>
        </m:r>
      </m:oMath>
      <w:r w:rsidRPr="00B9776F">
        <w:rPr>
          <w:rFonts w:ascii="Book Antiqua" w:hAnsi="Book Antiqua"/>
          <w:sz w:val="20"/>
        </w:rPr>
        <w:t>. Therefore, we can write that</w:t>
      </w:r>
    </w:p>
    <w:p w:rsidR="00820B57" w:rsidRPr="00B9776F" w:rsidRDefault="00820B57" w:rsidP="00820B57">
      <w:pPr>
        <w:pStyle w:val="NoSpacing"/>
        <w:ind w:firstLine="720"/>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1/</m:t>
        </m:r>
        <m:r>
          <w:rPr>
            <w:rFonts w:ascii="Cambria Math" w:hAnsi="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(25)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This allows us to work out the relationships between the speed of light, </w:t>
      </w:r>
      <m:oMath>
        <m:r>
          <w:rPr>
            <w:rFonts w:ascii="Cambria Math" w:hAnsi="Cambria Math"/>
            <w:sz w:val="20"/>
          </w:rPr>
          <m:t>c</m:t>
        </m:r>
      </m:oMath>
      <w:r w:rsidRPr="00B9776F">
        <w:rPr>
          <w:rFonts w:ascii="Book Antiqua" w:hAnsi="Book Antiqua"/>
          <w:sz w:val="20"/>
        </w:rPr>
        <w:t xml:space="preserve"> (and hence the ZPE strength, </w:t>
      </w:r>
      <m:oMath>
        <m:r>
          <w:rPr>
            <w:rFonts w:ascii="Cambria Math" w:hAnsi="Cambria Math"/>
            <w:sz w:val="20"/>
          </w:rPr>
          <m:t>U</m:t>
        </m:r>
      </m:oMath>
      <w:r w:rsidRPr="00B9776F">
        <w:rPr>
          <w:rFonts w:ascii="Book Antiqua" w:hAnsi="Book Antiqua"/>
          <w:sz w:val="20"/>
        </w:rPr>
        <w:t xml:space="preserve">), the oscillation frequency, </w:t>
      </w:r>
      <m:oMath>
        <m:r>
          <w:rPr>
            <w:rFonts w:ascii="Cambria Math" w:hAnsi="Cambria Math"/>
            <w:sz w:val="20"/>
          </w:rPr>
          <m:t>ω</m:t>
        </m:r>
      </m:oMath>
      <w:r w:rsidRPr="00B9776F">
        <w:rPr>
          <w:rFonts w:ascii="Book Antiqua" w:hAnsi="Book Antiqua"/>
          <w:sz w:val="20"/>
        </w:rPr>
        <w:t xml:space="preserve">, and the charge radius,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Pr="00B9776F">
        <w:rPr>
          <w:rFonts w:ascii="Book Antiqua" w:hAnsi="Book Antiqua"/>
          <w:sz w:val="20"/>
        </w:rPr>
        <w:t xml:space="preserve"> From (3) we note that the terms </w:t>
      </w:r>
      <m:oMath>
        <m:r>
          <w:rPr>
            <w:rFonts w:ascii="Cambria Math" w:hAnsi="Book Antiqua"/>
            <w:sz w:val="20"/>
          </w:rPr>
          <m:t>[</m:t>
        </m:r>
        <m:r>
          <w:rPr>
            <w:rFonts w:ascii="Cambria Math" w:hAnsi="Cambria Math"/>
            <w:sz w:val="20"/>
          </w:rPr>
          <m:t>Γ</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must be constant in a changing ZPE scenario. From (15) we have the key terms which make up the damping constant, </w:t>
      </w:r>
      <m:oMath>
        <m:r>
          <w:rPr>
            <w:rFonts w:ascii="Cambria Math" w:hAnsi="Cambria Math"/>
            <w:sz w:val="20"/>
          </w:rPr>
          <m:t>Γ</m:t>
        </m:r>
      </m:oMath>
      <w:r w:rsidRPr="00B9776F">
        <w:rPr>
          <w:rFonts w:ascii="Book Antiqua" w:hAnsi="Book Antiqua"/>
          <w:sz w:val="20"/>
        </w:rPr>
        <w:t>. Therefore we can write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Γ</m:t>
        </m:r>
        <m:r>
          <w:rPr>
            <w:rFonts w:ascii="Cambria Math" w:hAnsi="Book Antiqua"/>
            <w:sz w:val="20"/>
          </w:rPr>
          <m:t xml:space="preserve"> </m:t>
        </m:r>
        <m:r>
          <w:rPr>
            <w:rFonts w:ascii="Book Antiqua" w:hAnsi="Cambria Math"/>
            <w:sz w:val="20"/>
          </w:rPr>
          <m:t>h</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m:t>
        </m:r>
        <m:r>
          <w:rPr>
            <w:rFonts w:ascii="Cambria Math" w:hAnsi="Book Antiqua"/>
            <w:sz w:val="20"/>
          </w:rPr>
          <m:t>. = (2/3)(4</m:t>
        </m:r>
        <m:r>
          <w:rPr>
            <w:rFonts w:ascii="Cambria Math" w:hAnsi="Cambria Math"/>
            <w:sz w:val="20"/>
          </w:rPr>
          <m:t>π</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m:t>
        </m:r>
      </m:oMath>
      <w:r w:rsidRPr="00B9776F">
        <w:rPr>
          <w:rFonts w:ascii="Book Antiqua" w:hAnsi="Book Antiqua"/>
          <w:sz w:val="20"/>
        </w:rPr>
        <w:t xml:space="preserve"> .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(26)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However, for this to be the case, it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r>
          <w:rPr>
            <w:rFonts w:ascii="Cambria Math" w:hAnsi="Cambria Math"/>
            <w:sz w:val="20"/>
          </w:rPr>
          <m:t>c</m:t>
        </m:r>
        <m:r>
          <w:rPr>
            <w:rFonts w:ascii="Cambria Math" w:hAnsi="Book Antiqua"/>
            <w:sz w:val="20"/>
          </w:rPr>
          <m:t>)(</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(27)</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In Chapter 2 it was established that </w:t>
      </w:r>
      <m:oMath>
        <m:r>
          <w:rPr>
            <w:rFonts w:ascii="Book Antiqua" w:hAnsi="Cambria Math"/>
            <w:sz w:val="20"/>
          </w:rPr>
          <m:t>h</m:t>
        </m:r>
        <m:r>
          <w:rPr>
            <w:rFonts w:ascii="Cambria Math" w:hAnsi="Cambria Math"/>
            <w:sz w:val="20"/>
          </w:rPr>
          <m:t>c</m:t>
        </m:r>
      </m:oMath>
      <w:r w:rsidRPr="00B9776F">
        <w:rPr>
          <w:rFonts w:ascii="Book Antiqua" w:hAnsi="Book Antiqua"/>
          <w:sz w:val="20"/>
        </w:rPr>
        <w:t xml:space="preserve"> is invariant. Therefore </w:t>
      </w:r>
      <m:oMath>
        <m:r>
          <w:rPr>
            <w:rFonts w:ascii="Book Antiqua" w:hAnsi="Cambria Math"/>
            <w:sz w:val="20"/>
          </w:rPr>
          <m:t>h</m:t>
        </m:r>
      </m:oMath>
      <w:r w:rsidRPr="00B9776F">
        <w:rPr>
          <w:rFonts w:ascii="Book Antiqua" w:hAnsi="Book Antiqua"/>
          <w:sz w:val="20"/>
        </w:rPr>
        <w:t xml:space="preserve"> has to be proportional to </w:t>
      </w:r>
      <m:oMath>
        <m:r>
          <w:rPr>
            <w:rFonts w:ascii="Cambria Math" w:hAnsi="Book Antiqua"/>
            <w:sz w:val="20"/>
          </w:rPr>
          <m:t>1/</m:t>
        </m:r>
        <m:r>
          <w:rPr>
            <w:rFonts w:ascii="Cambria Math" w:hAnsi="Cambria Math"/>
            <w:sz w:val="20"/>
          </w:rPr>
          <m:t>c</m:t>
        </m:r>
      </m:oMath>
      <w:r w:rsidRPr="00B9776F">
        <w:rPr>
          <w:rFonts w:ascii="Book Antiqua" w:hAnsi="Book Antiqua"/>
          <w:sz w:val="20"/>
        </w:rPr>
        <w:t>.  This gives the following proportionality: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(28)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Then, from (9) and (25) we can also deduce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(1/4</m:t>
        </m:r>
        <m:r>
          <w:rPr>
            <w:rFonts w:ascii="Cambria Math" w:hAnsi="Cambria Math"/>
            <w:sz w:val="20"/>
          </w:rPr>
          <m:t>π</m:t>
        </m:r>
        <m:r>
          <w:rPr>
            <w:rFonts w:ascii="Cambria Math" w:hAnsi="Book Antiqua"/>
            <w:sz w:val="20"/>
          </w:rPr>
          <m:t>)</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00820B57" w:rsidRPr="00B9776F">
        <w:rPr>
          <w:rFonts w:ascii="Book Antiqua" w:hAnsi="Book Antiqua"/>
          <w:i/>
          <w:sz w:val="20"/>
        </w:rPr>
        <w:t xml:space="preserve"> .</w:t>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vertAlign w:val="superscript"/>
        </w:rPr>
        <w:tab/>
      </w:r>
      <w:r w:rsidR="00820B57" w:rsidRPr="00B9776F">
        <w:rPr>
          <w:rFonts w:ascii="Book Antiqua" w:hAnsi="Book Antiqua"/>
          <w:i/>
          <w:sz w:val="20"/>
        </w:rPr>
        <w:t xml:space="preserve">    (29)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fixed value, (29)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Inevitably, this means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Substituting this result back into (28) then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 (1/</m:t>
        </m:r>
        <m:sSup>
          <m:sSupPr>
            <m:ctrlPr>
              <w:rPr>
                <w:rFonts w:ascii="Cambria Math" w:hAnsi="Book Antiqua"/>
                <w:i/>
                <w:sz w:val="20"/>
              </w:rPr>
            </m:ctrlPr>
          </m:sSupPr>
          <m:e>
            <m:r>
              <w:rPr>
                <w:rFonts w:ascii="Cambria Math" w:hAnsi="Cambria Math"/>
                <w:sz w:val="20"/>
              </w:rPr>
              <m:t>c</m:t>
            </m:r>
          </m:e>
          <m:sup>
            <m:r>
              <w:rPr>
                <w:rFonts w:ascii="Cambria Math" w:hAnsi="Book Antiqua"/>
                <w:sz w:val="20"/>
              </w:rPr>
              <m:t>6</m:t>
            </m:r>
          </m:sup>
        </m:sSup>
        <m:r>
          <w:rPr>
            <w:rFonts w:ascii="Cambria Math" w:hAnsi="Book Antiqua"/>
            <w:sz w:val="20"/>
          </w:rPr>
          <m:t>)(</m:t>
        </m:r>
        <m:sSup>
          <m:sSupPr>
            <m:ctrlPr>
              <w:rPr>
                <w:rFonts w:ascii="Cambria Math" w:hAnsi="Book Antiqua"/>
                <w:i/>
                <w:sz w:val="20"/>
              </w:rPr>
            </m:ctrlPr>
          </m:sSupPr>
          <m:e>
            <m:r>
              <w:rPr>
                <w:rFonts w:ascii="Cambria Math" w:hAnsi="Cambria Math"/>
                <w:sz w:val="20"/>
              </w:rPr>
              <m:t>ω</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Which leads to the conclusion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behavior of the oscillation frequency with changing ZPE strength is therefore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Cambria Math"/>
            <w:sz w:val="20"/>
          </w:rPr>
          <m:t>ω</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vertAlign w:val="superscript"/>
          </w:rPr>
          <m:t xml:space="preserve">  </m:t>
        </m:r>
        <m:r>
          <w:rPr>
            <w:rFonts w:ascii="Cambria Math" w:hAnsi="Book Antiqua"/>
            <w:sz w:val="20"/>
          </w:rPr>
          <m:t>~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(34)</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 behavior of charge radius with changing ZPE strength is given by</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 xml:space="preserve"> </w:t>
      </w:r>
      <w:r w:rsidR="00820B57" w:rsidRPr="00B9776F">
        <w:rPr>
          <w:rFonts w:ascii="Book Antiqua" w:hAnsi="Book Antiqua"/>
          <w:i/>
          <w:sz w:val="20"/>
        </w:rPr>
        <w:tab/>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(35)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The reasons for these relationships may be explained in the following way. Consider first the oscillation frequency, </w:t>
      </w:r>
      <w:r w:rsidRPr="00B9776F">
        <w:rPr>
          <w:rFonts w:ascii="Book Antiqua" w:hAnsi="Book Antiqua"/>
          <w:i/>
          <w:sz w:val="20"/>
        </w:rPr>
        <w:t>ω</w:t>
      </w:r>
      <w:r w:rsidRPr="00B9776F">
        <w:rPr>
          <w:rFonts w:ascii="Book Antiqua" w:hAnsi="Book Antiqua"/>
          <w:i/>
          <w:sz w:val="20"/>
          <w:vertAlign w:val="subscript"/>
        </w:rPr>
        <w:t>o</w:t>
      </w:r>
      <w:r w:rsidRPr="00B9776F">
        <w:rPr>
          <w:rFonts w:ascii="Book Antiqua" w:hAnsi="Book Antiqua"/>
          <w:sz w:val="20"/>
        </w:rPr>
        <w:t xml:space="preserve">. This is the resonant frequency of the parton’s intrinsic mass. This resonance arises because ZPE waves significantly smaller than the size of the intrinsic parton produce little translational movement of the parton </w:t>
      </w:r>
      <w:hyperlink r:id="rId162" w:anchor="3b72" w:history="1">
        <w:r w:rsidRPr="00B9776F">
          <w:rPr>
            <w:rStyle w:val="Hyperlink"/>
            <w:rFonts w:ascii="Book Antiqua" w:hAnsi="Book Antiqua"/>
            <w:sz w:val="20"/>
          </w:rPr>
          <w:t>[12]</w:t>
        </w:r>
      </w:hyperlink>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52537F" w:rsidRDefault="00820B57" w:rsidP="00820B57">
      <w:pPr>
        <w:pStyle w:val="NoSpacing"/>
        <w:jc w:val="both"/>
        <w:rPr>
          <w:rFonts w:ascii="Book Antiqua" w:hAnsi="Book Antiqua"/>
          <w:sz w:val="20"/>
        </w:rPr>
      </w:pPr>
      <w:r w:rsidRPr="00B9776F">
        <w:rPr>
          <w:rFonts w:ascii="Book Antiqua" w:hAnsi="Book Antiqua"/>
          <w:sz w:val="20"/>
        </w:rPr>
        <w:tab/>
        <w:t xml:space="preserve">Analysis indicates that, in a situation where the ZPE strength changes with time, this resonant frequency can be shown to be proportional to the cube of the speed of light, or inversely proportional to the cube of ZPE strength. This is because frequencies of electromagnetic radiation are generally proportional to the speed of light when changes in ZPE strength occur. </w:t>
      </w:r>
    </w:p>
    <w:p w:rsidR="0052537F" w:rsidRDefault="0052537F" w:rsidP="00820B57">
      <w:pPr>
        <w:pStyle w:val="NoSpacing"/>
        <w:jc w:val="both"/>
        <w:rPr>
          <w:rFonts w:ascii="Book Antiqua" w:hAnsi="Book Antiqua"/>
          <w:sz w:val="20"/>
        </w:rPr>
      </w:pPr>
    </w:p>
    <w:p w:rsidR="00820B57" w:rsidRPr="00B9776F" w:rsidRDefault="00820B57" w:rsidP="0052537F">
      <w:pPr>
        <w:pStyle w:val="NoSpacing"/>
        <w:ind w:firstLine="720"/>
        <w:jc w:val="both"/>
        <w:rPr>
          <w:rFonts w:ascii="Book Antiqua" w:hAnsi="Book Antiqua"/>
          <w:sz w:val="20"/>
        </w:rPr>
      </w:pPr>
      <w:r w:rsidRPr="00B9776F">
        <w:rPr>
          <w:rFonts w:ascii="Book Antiqua" w:hAnsi="Book Antiqua"/>
          <w:sz w:val="20"/>
        </w:rPr>
        <w:t>However, when considering ZPE radiation itself, the number of impacting ZPE waves causing parton oscillation has been experimentally determined to be proportional to the frequency of these ZPE waves cubed (as mentioned in Chapter 1). This means, for instance, if there w</w:t>
      </w:r>
      <w:r w:rsidR="00FC304E">
        <w:rPr>
          <w:rFonts w:ascii="Book Antiqua" w:hAnsi="Book Antiqua"/>
          <w:sz w:val="20"/>
        </w:rPr>
        <w:t xml:space="preserve">as only one ZPE </w:t>
      </w:r>
      <w:r w:rsidRPr="00B9776F">
        <w:rPr>
          <w:rFonts w:ascii="Book Antiqua" w:hAnsi="Book Antiqua"/>
          <w:sz w:val="20"/>
        </w:rPr>
        <w:t xml:space="preserve">wave of a given frequency, then if that frequency was doubled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B9776F">
        <w:rPr>
          <w:rFonts w:ascii="Book Antiqua" w:hAnsi="Book Antiqua"/>
          <w:sz w:val="20"/>
        </w:rPr>
        <w:t xml:space="preserve"> or 8 waves of that higher frequency. </w:t>
      </w:r>
      <w:r w:rsidR="00FC304E">
        <w:rPr>
          <w:rFonts w:ascii="Book Antiqua" w:hAnsi="Book Antiqua"/>
          <w:sz w:val="20"/>
        </w:rPr>
        <w:t xml:space="preserve">If that higher frequency was doubled, there would be 512 waves. </w:t>
      </w:r>
      <w:r w:rsidRPr="00B9776F">
        <w:rPr>
          <w:rFonts w:ascii="Book Antiqua" w:hAnsi="Book Antiqua"/>
          <w:sz w:val="20"/>
        </w:rPr>
        <w:t>Analysis then indicates that the oscillation frequenc</w:t>
      </w:r>
      <w:r w:rsidR="00FC304E">
        <w:rPr>
          <w:rFonts w:ascii="Book Antiqua" w:hAnsi="Book Antiqua"/>
          <w:sz w:val="20"/>
        </w:rPr>
        <w:t>ies</w:t>
      </w:r>
      <w:r w:rsidRPr="00B9776F">
        <w:rPr>
          <w:rFonts w:ascii="Book Antiqua" w:hAnsi="Book Antiqua"/>
          <w:sz w:val="20"/>
        </w:rPr>
        <w:t xml:space="preserve"> of partons caused by these ZPE waves go as shown in (34).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Next, let us consider the behavior of the charge radius, r</w:t>
      </w:r>
      <w:r w:rsidRPr="00B9776F">
        <w:rPr>
          <w:rFonts w:ascii="Book Antiqua" w:hAnsi="Book Antiqua"/>
          <w:sz w:val="20"/>
          <w:vertAlign w:val="subscript"/>
        </w:rPr>
        <w:t xml:space="preserve">0, </w:t>
      </w:r>
      <w:r w:rsidRPr="00B9776F">
        <w:rPr>
          <w:rFonts w:ascii="Book Antiqua" w:hAnsi="Book Antiqua"/>
          <w:sz w:val="20"/>
        </w:rPr>
        <w:t xml:space="preserve">of a parton or electron. Any changes in their charge radii are entirely due to the changing strength of the ZPE. As the ZPE increases, so, too, does the electron or parton’s charge radius as shown in (35).  The ZPE produces an inward pressure while an outward pressure is exerted by the presence of the charge itself. Although we do not yet know what causes the charge on any particle, what is apparent is that as the ZPE increases, so does the electronic charge, </w:t>
      </w:r>
      <m:oMath>
        <m:r>
          <w:rPr>
            <w:rFonts w:ascii="Cambria Math" w:hAnsi="Cambria Math"/>
            <w:sz w:val="20"/>
          </w:rPr>
          <m:t>e</m:t>
        </m:r>
      </m:oMath>
      <w:r w:rsidRPr="00B9776F">
        <w:rPr>
          <w:rFonts w:ascii="Book Antiqua" w:hAnsi="Book Antiqua"/>
          <w:sz w:val="20"/>
        </w:rPr>
        <w:t xml:space="preserve">.  (This occurs because </w:t>
      </w:r>
      <m:oMath>
        <m:sSup>
          <m:sSupPr>
            <m:ctrlPr>
              <w:rPr>
                <w:rStyle w:val="Emphasis"/>
                <w:rFonts w:ascii="Cambria Math" w:hAnsi="Book Antiqua"/>
                <w:sz w:val="20"/>
              </w:rPr>
            </m:ctrlPr>
          </m:sSupPr>
          <m:e>
            <m:r>
              <w:rPr>
                <w:rStyle w:val="Emphasis"/>
                <w:rFonts w:ascii="Cambria Math" w:hAnsi="Cambria Math"/>
                <w:sz w:val="20"/>
              </w:rPr>
              <m:t>e</m:t>
            </m:r>
          </m:e>
          <m:sup>
            <m:r>
              <w:rPr>
                <w:rStyle w:val="Emphasis"/>
                <w:rFonts w:ascii="Cambria Math" w:hAnsi="Book Antiqua"/>
                <w:sz w:val="20"/>
              </w:rPr>
              <m:t>2</m:t>
            </m:r>
          </m:sup>
        </m:sSup>
        <m:r>
          <w:rPr>
            <w:rStyle w:val="Emphasis"/>
            <w:rFonts w:ascii="Cambria Math" w:hAnsi="Book Antiqua"/>
            <w:sz w:val="20"/>
          </w:rPr>
          <m:t>/</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constant, and</w:t>
      </w:r>
      <m:oMath>
        <m:r>
          <w:rPr>
            <w:rStyle w:val="Emphasis"/>
            <w:rFonts w:ascii="Cambria Math" w:hAnsi="Book Antiqua"/>
            <w:sz w:val="20"/>
          </w:rPr>
          <m:t xml:space="preserve"> </m:t>
        </m:r>
        <m:r>
          <w:rPr>
            <w:rStyle w:val="Emphasis"/>
            <w:rFonts w:ascii="Cambria Math" w:hAnsi="Cambria Math"/>
            <w:sz w:val="20"/>
          </w:rPr>
          <m:t>ε</m:t>
        </m:r>
      </m:oMath>
      <w:r w:rsidRPr="00B9776F">
        <w:rPr>
          <w:rStyle w:val="Emphasis"/>
          <w:rFonts w:ascii="Book Antiqua" w:hAnsi="Book Antiqua"/>
          <w:sz w:val="20"/>
        </w:rPr>
        <w:t xml:space="preserve"> </w:t>
      </w:r>
      <w:r w:rsidRPr="005D27C2">
        <w:rPr>
          <w:rStyle w:val="Emphasis"/>
          <w:rFonts w:ascii="Book Antiqua" w:hAnsi="Book Antiqua"/>
          <w:i w:val="0"/>
          <w:sz w:val="20"/>
        </w:rPr>
        <w:t>is proportional to ZPE strength as shown in Chapter 2</w:t>
      </w:r>
      <w:r w:rsidRPr="005D27C2">
        <w:rPr>
          <w:rFonts w:ascii="Book Antiqua" w:hAnsi="Book Antiqua"/>
          <w:i/>
          <w:sz w:val="20"/>
        </w:rPr>
        <w:t>.</w:t>
      </w:r>
      <w:r w:rsidRPr="00B9776F">
        <w:rPr>
          <w:rFonts w:ascii="Book Antiqua" w:hAnsi="Book Antiqua"/>
          <w:sz w:val="20"/>
        </w:rPr>
        <w:t>)  These opposing pressures result in the parton or electron sphere expanding until a balance is achieved and a stable radius for the sphere results.</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An investigation of this effect was undertaken by Timothy Boyer in 1968 and Hal Puthoff in May of 2007. In the latter paper, published by the </w:t>
      </w:r>
      <w:r w:rsidRPr="00B9776F">
        <w:rPr>
          <w:rFonts w:ascii="Book Antiqua" w:hAnsi="Book Antiqua"/>
          <w:i/>
          <w:sz w:val="20"/>
        </w:rPr>
        <w:t>International Journal of Theoretical Physics</w:t>
      </w:r>
      <w:r w:rsidRPr="00B9776F">
        <w:rPr>
          <w:rFonts w:ascii="Book Antiqua" w:hAnsi="Book Antiqua"/>
          <w:sz w:val="20"/>
        </w:rPr>
        <w:t xml:space="preserve">, </w:t>
      </w:r>
      <w:r w:rsidRPr="00B9776F">
        <w:rPr>
          <w:rFonts w:ascii="Book Antiqua" w:hAnsi="Book Antiqua"/>
          <w:b/>
          <w:sz w:val="20"/>
        </w:rPr>
        <w:t>46</w:t>
      </w:r>
      <w:r w:rsidRPr="00B9776F">
        <w:rPr>
          <w:rFonts w:ascii="Book Antiqua" w:hAnsi="Book Antiqua"/>
          <w:sz w:val="20"/>
        </w:rPr>
        <w:t xml:space="preserve"> (2007): 3005-3008, Puthoff discussed several possible models. The one which yielded results in accord with data was described in these terms. </w:t>
      </w:r>
      <w:r w:rsidRPr="00B9776F">
        <w:rPr>
          <w:rFonts w:ascii="Book Antiqua" w:hAnsi="Book Antiqua"/>
          <w:i/>
          <w:sz w:val="20"/>
        </w:rPr>
        <w:t>“…the charge density is taken to be sufficiently dense in a vanishing-radius shell so as to result in the total absence of interior vacuum fluctuation fields as a singularity is approached. “</w:t>
      </w:r>
      <w:r w:rsidRPr="00B9776F">
        <w:rPr>
          <w:rFonts w:ascii="Book Antiqua" w:hAnsi="Book Antiqua"/>
          <w:sz w:val="20"/>
        </w:rPr>
        <w:t xml:space="preserve"> [18] Puthoff also found that </w:t>
      </w:r>
      <w:r w:rsidRPr="00B9776F">
        <w:rPr>
          <w:rFonts w:ascii="Book Antiqua" w:hAnsi="Book Antiqua"/>
          <w:i/>
          <w:sz w:val="20"/>
        </w:rPr>
        <w:t xml:space="preserve">“the outwardly-directed coulomb pressure [was] balanced by the inwardly-directed vacuum radiation pressure.” </w:t>
      </w:r>
      <w:r w:rsidRPr="00B9776F">
        <w:rPr>
          <w:rFonts w:ascii="Book Antiqua" w:hAnsi="Book Antiqua"/>
          <w:sz w:val="20"/>
        </w:rPr>
        <w:t>[18] His equations show that the Coulomb energy component (</w:t>
      </w:r>
      <m:oMath>
        <m:r>
          <w:rPr>
            <w:rFonts w:ascii="Cambria Math" w:hAnsi="Cambria Math"/>
            <w:sz w:val="20"/>
          </w:rPr>
          <m:t>W</m:t>
        </m:r>
      </m:oMath>
      <w:r w:rsidRPr="00B9776F">
        <w:rPr>
          <w:rFonts w:ascii="Book Antiqua" w:hAnsi="Book Antiqua"/>
          <w:sz w:val="20"/>
        </w:rPr>
        <w:t>), is given by</w:t>
      </w:r>
    </w:p>
    <w:p w:rsidR="00820B57" w:rsidRPr="00B9776F" w:rsidRDefault="00820B57" w:rsidP="00820B57">
      <w:pPr>
        <w:pStyle w:val="NoSpacing"/>
        <w:ind w:firstLine="720"/>
        <w:jc w:val="both"/>
        <w:rPr>
          <w:rFonts w:ascii="Book Antiqua" w:hAnsi="Book Antiqua"/>
          <w:sz w:val="20"/>
        </w:rPr>
      </w:pPr>
    </w:p>
    <w:p w:rsidR="00820B57" w:rsidRPr="00B9776F" w:rsidRDefault="007B3EBC" w:rsidP="00820B57">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(1/8</m:t>
        </m:r>
        <m:r>
          <w:rPr>
            <w:rFonts w:ascii="Cambria Math" w:hAnsi="Cambria Math"/>
            <w:sz w:val="20"/>
          </w:rPr>
          <m:t>π</m:t>
        </m:r>
        <m:r>
          <w:rPr>
            <w:rFonts w:ascii="Cambria Math" w:hAnsi="Book Antiqua"/>
            <w:sz w:val="20"/>
          </w:rPr>
          <m:t>)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 xml:space="preserve"> </w:t>
      </w:r>
      <w:r w:rsidR="00820B57" w:rsidRPr="00B9776F">
        <w:rPr>
          <w:rFonts w:ascii="Book Antiqua" w:hAnsi="Book Antiqua"/>
          <w:i/>
          <w:sz w:val="20"/>
        </w:rPr>
        <w:t>(36)</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 changing ZPE model, the quantity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oMath>
      <w:r w:rsidRPr="00B9776F">
        <w:rPr>
          <w:rFonts w:ascii="Book Antiqua" w:hAnsi="Book Antiqua"/>
          <w:sz w:val="20"/>
        </w:rPr>
        <w:t xml:space="preserve"> is constant. This means that the outwardly directed Coulomb energy is inversely proportional to the radius of the charged sphere or, in the case of partons and electrons, the charge radius. Therefore</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vertAlign w:val="subscript"/>
          </w:rPr>
          <m:t xml:space="preserve">  </m:t>
        </m:r>
        <m:r>
          <w:rPr>
            <w:rFonts w:ascii="Cambria Math" w:hAnsi="Book Antiqua"/>
            <w:sz w:val="20"/>
          </w:rPr>
          <m:t>~  (1/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(37)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contrast, the inwardly directed energy of the vacuum is given by Puthoff’s equation</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Book Antiqua"/>
            <w:sz w:val="20"/>
          </w:rPr>
          <m:t>∫</m:t>
        </m:r>
        <m:r>
          <w:rPr>
            <w:rFonts w:ascii="Cambria Math" w:hAnsi="Book Antiqua"/>
            <w:sz w:val="20"/>
          </w:rPr>
          <m:t xml:space="preserve"> [(</m:t>
        </m:r>
        <m:r>
          <w:rPr>
            <w:rFonts w:ascii="Book Antiqua" w:hAnsi="Cambria Math"/>
            <w:sz w:val="20"/>
          </w:rPr>
          <m:t>h</m:t>
        </m:r>
        <m:sSup>
          <m:sSupPr>
            <m:ctrlPr>
              <w:rPr>
                <w:rFonts w:ascii="Cambria Math" w:hAnsi="Book Antiqua"/>
                <w:i/>
                <w:sz w:val="20"/>
              </w:rPr>
            </m:ctrlPr>
          </m:sSupPr>
          <m:e>
            <m:r>
              <w:rPr>
                <w:rFonts w:ascii="Cambria Math" w:hAnsi="Cambria Math"/>
                <w:sz w:val="20"/>
              </w:rPr>
              <m:t>ω</m:t>
            </m:r>
          </m:e>
          <m:sup>
            <m:r>
              <w:rPr>
                <w:rFonts w:ascii="Cambria Math" w:hAnsi="Book Antiqua"/>
                <w:sz w:val="20"/>
              </w:rPr>
              <m:t>3</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3</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3</m:t>
            </m:r>
          </m:sup>
        </m:sSup>
        <m:r>
          <w:rPr>
            <w:rFonts w:ascii="Cambria Math" w:hAnsi="Book Antiqua"/>
            <w:sz w:val="20"/>
          </w:rPr>
          <m:t xml:space="preserve">)] </m:t>
        </m:r>
        <m:r>
          <w:rPr>
            <w:rFonts w:ascii="Cambria Math" w:hAnsi="Cambria Math"/>
            <w:sz w:val="20"/>
          </w:rPr>
          <m:t>dω</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Puthoff then goes on to calculate the result and shows that the outwardly directed Coulomb energy is balanced by the inwardly directed vacuum energy.  This leads to a stable radius for the electron of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oMath>
      <w:r w:rsidRPr="00B9776F">
        <w:rPr>
          <w:rFonts w:ascii="Book Antiqua" w:hAnsi="Book Antiqua"/>
          <w:sz w:val="20"/>
        </w:rPr>
        <w:t>. However, in our case, we have a changing ZPE strength to consider. So (38) needs further investigation, as there are a number of terms dependent on the strength of the Zero Point Energy. We note that, in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Book Antiqua" w:hAnsi="Cambria Math"/>
            <w:sz w:val="20"/>
          </w:rPr>
          <m:t>h</m:t>
        </m:r>
        <m:r>
          <w:rPr>
            <w:rFonts w:ascii="Cambria Math" w:hAnsi="Book Antiqua"/>
            <w:sz w:val="20"/>
          </w:rPr>
          <m:t xml:space="preserve"> ~ </m:t>
        </m:r>
        <m:r>
          <w:rPr>
            <w:rFonts w:ascii="Cambria Math" w:hAnsi="Cambria Math"/>
            <w:sz w:val="20"/>
          </w:rPr>
          <m:t>U</m:t>
        </m:r>
        <m:r>
          <w:rPr>
            <w:rFonts w:ascii="Cambria Math" w:hAnsi="Book Antiqua"/>
            <w:sz w:val="20"/>
          </w:rPr>
          <m:t xml:space="preserve">; </m:t>
        </m:r>
        <m:r>
          <w:rPr>
            <w:rFonts w:ascii="Cambria Math" w:hAnsi="Cambria Math"/>
            <w:sz w:val="20"/>
          </w:rPr>
          <m:t>c</m:t>
        </m:r>
        <m:r>
          <w:rPr>
            <w:rFonts w:ascii="Cambria Math" w:hAnsi="Book Antiqua"/>
            <w:sz w:val="20"/>
          </w:rPr>
          <m:t xml:space="preserve"> ~ 1/</m:t>
        </m:r>
        <m:r>
          <w:rPr>
            <w:rFonts w:ascii="Cambria Math" w:hAnsi="Cambria Math"/>
            <w:sz w:val="20"/>
          </w:rPr>
          <m:t>U</m:t>
        </m:r>
        <m:r>
          <w:rPr>
            <w:rFonts w:ascii="Cambria Math" w:hAnsi="Book Antiqua"/>
            <w:sz w:val="20"/>
          </w:rPr>
          <m:t xml:space="preserve">; </m:t>
        </m:r>
        <m:r>
          <w:rPr>
            <w:rFonts w:ascii="Cambria Math" w:hAnsi="Cambria Math"/>
            <w:sz w:val="20"/>
          </w:rPr>
          <m:t>ω</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oMath>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(39)</w:t>
      </w:r>
    </w:p>
    <w:p w:rsidR="00820B57" w:rsidRPr="00B9776F" w:rsidRDefault="00820B57" w:rsidP="00820B57">
      <w:pPr>
        <w:pStyle w:val="NoSpacing"/>
        <w:ind w:firstLine="720"/>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 last proportionality follows from equation (34) above. When these U-dependent proportionalities are substituted into (38), the following situation emerges.</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jc w:val="both"/>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m:t>
        </m:r>
        <m:r>
          <w:rPr>
            <w:rFonts w:ascii="Cambria Math" w:hAnsi="Cambria Math"/>
            <w:sz w:val="20"/>
          </w:rPr>
          <m:t>U</m:t>
        </m:r>
        <m:r>
          <w:rPr>
            <w:rFonts w:ascii="Cambria Math" w:hAnsi="Book Antiqua"/>
            <w:sz w:val="20"/>
          </w:rPr>
          <m:t>/</m:t>
        </m:r>
        <m:sSup>
          <m:sSupPr>
            <m:ctrlPr>
              <w:rPr>
                <w:rFonts w:ascii="Cambria Math" w:hAnsi="Book Antiqua"/>
                <w:i/>
                <w:sz w:val="20"/>
              </w:rPr>
            </m:ctrlPr>
          </m:sSupPr>
          <m:e>
            <m:r>
              <w:rPr>
                <w:rFonts w:ascii="Cambria Math" w:hAnsi="Cambria Math"/>
                <w:sz w:val="20"/>
              </w:rPr>
              <m:t>U</m:t>
            </m:r>
          </m:e>
          <m:sup>
            <m:r>
              <w:rPr>
                <w:rFonts w:ascii="Cambria Math" w:hAnsi="Book Antiqua"/>
                <w:sz w:val="20"/>
              </w:rPr>
              <m:t>9</m:t>
            </m:r>
          </m:sup>
        </m:sSup>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3</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Book Antiqua" w:hAnsi="Book Antiqua"/>
            <w:sz w:val="20"/>
          </w:rPr>
          <m:t>∫</m:t>
        </m:r>
        <m:r>
          <w:rPr>
            <w:rFonts w:ascii="Cambria Math" w:hAnsi="Book Antiqua"/>
            <w:sz w:val="20"/>
          </w:rPr>
          <m:t>(1/</m:t>
        </m:r>
        <m:sSup>
          <m:sSupPr>
            <m:ctrlPr>
              <w:rPr>
                <w:rFonts w:ascii="Cambria Math" w:hAnsi="Book Antiqua"/>
                <w:i/>
                <w:sz w:val="20"/>
              </w:rPr>
            </m:ctrlPr>
          </m:sSupPr>
          <m:e>
            <m:r>
              <w:rPr>
                <w:rFonts w:ascii="Cambria Math" w:hAnsi="Cambria Math"/>
                <w:sz w:val="20"/>
              </w:rPr>
              <m:t>U</m:t>
            </m:r>
          </m:e>
          <m:sup>
            <m:r>
              <w:rPr>
                <w:rFonts w:ascii="Cambria Math" w:hAnsi="Book Antiqua"/>
                <w:sz w:val="20"/>
              </w:rPr>
              <m:t>5</m:t>
            </m:r>
          </m:sup>
        </m:sSup>
        <m:r>
          <w:rPr>
            <w:rFonts w:ascii="Cambria Math" w:hAnsi="Book Antiqua"/>
            <w:sz w:val="20"/>
          </w:rPr>
          <m:t xml:space="preserve">) </m:t>
        </m:r>
        <m:r>
          <w:rPr>
            <w:rFonts w:ascii="Cambria Math" w:hAnsi="Cambria Math"/>
            <w:sz w:val="20"/>
          </w:rPr>
          <m:t>dU</m:t>
        </m:r>
        <m:r>
          <w:rPr>
            <w:rFonts w:ascii="Cambria Math" w:hAnsi="Book Antiqua"/>
            <w:sz w:val="20"/>
          </w:rPr>
          <m:t xml:space="preserve"> ~ </m:t>
        </m:r>
        <m:r>
          <w:rPr>
            <w:rFonts w:ascii="Book Antiqua" w:hAnsi="Book Antiqua"/>
            <w:sz w:val="20"/>
          </w:rPr>
          <m:t>-∫</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5</m:t>
            </m:r>
          </m:sup>
        </m:sSup>
        <m:r>
          <w:rPr>
            <w:rFonts w:ascii="Cambria Math" w:hAnsi="Book Antiqua"/>
            <w:sz w:val="20"/>
          </w:rPr>
          <m:t xml:space="preserve"> </m:t>
        </m:r>
        <m:r>
          <w:rPr>
            <w:rFonts w:ascii="Cambria Math" w:hAnsi="Cambria Math"/>
            <w:sz w:val="20"/>
          </w:rPr>
          <m:t>dU</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(40) is integrated we get the result that</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Book Antiqua" w:hAnsi="Book Antiqua"/>
                <w:sz w:val="20"/>
              </w:rPr>
              <m:t>-</m:t>
            </m:r>
            <m:r>
              <w:rPr>
                <w:rFonts w:ascii="Cambria Math" w:hAnsi="Book Antiqua"/>
                <w:sz w:val="20"/>
              </w:rPr>
              <m:t>4</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r>
          <w:rPr>
            <w:rFonts w:ascii="Cambria Math" w:hAnsi="Book Antiqua"/>
            <w:sz w:val="20"/>
          </w:rPr>
          <m:t xml:space="preserve"> </m:t>
        </m:r>
      </m:oMath>
      <w:r w:rsidR="00820B57" w:rsidRPr="00B9776F">
        <w:rPr>
          <w:rFonts w:ascii="Book Antiqua" w:hAnsi="Book Antiqua"/>
          <w:sz w:val="20"/>
        </w:rPr>
        <w:t>.</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(41)</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Because, as stated, the energies are balanced,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coul</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vac</m:t>
            </m:r>
          </m:sub>
        </m:sSub>
      </m:oMath>
      <w:r w:rsidRPr="00B9776F">
        <w:rPr>
          <w:rFonts w:ascii="Book Antiqua" w:hAnsi="Book Antiqua"/>
          <w:sz w:val="20"/>
        </w:rPr>
        <w:t xml:space="preserve">. Therefore equating (41) and (37) we obtain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right"/>
        <w:rPr>
          <w:rFonts w:ascii="Book Antiqua"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Pr="00B9776F">
        <w:rPr>
          <w:rFonts w:ascii="Book Antiqua" w:hAnsi="Book Antiqua"/>
          <w:i/>
          <w:sz w:val="20"/>
        </w:rPr>
        <w:t>.</w:t>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(42)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 therefore</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r</m:t>
            </m:r>
          </m:e>
          <m:sub>
            <m:r>
              <w:rPr>
                <w:rFonts w:ascii="Cambria Math" w:hAnsi="Book Antiqua"/>
                <w:sz w:val="20"/>
              </w:rPr>
              <m:t>0</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U</m:t>
            </m:r>
          </m:e>
          <m:sup>
            <m:r>
              <w:rPr>
                <w:rFonts w:ascii="Cambria Math" w:hAnsi="Book Antiqua"/>
                <w:sz w:val="20"/>
              </w:rPr>
              <m:t>4</m:t>
            </m:r>
          </m:sup>
        </m:sSup>
      </m:oMath>
      <w:r w:rsidR="00820B57" w:rsidRPr="00B9776F">
        <w:rPr>
          <w:rFonts w:ascii="Book Antiqua" w:hAnsi="Book Antiqua"/>
          <w:i/>
          <w:sz w:val="20"/>
        </w:rPr>
        <w:t>.</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t>(43)</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This is exactly what we obtained from other considerations in equation (35).</w:t>
      </w:r>
    </w:p>
    <w:p w:rsidR="00820B57" w:rsidRPr="00B9776F" w:rsidRDefault="00820B57" w:rsidP="00820B57">
      <w:pPr>
        <w:pStyle w:val="NoSpacing"/>
        <w:jc w:val="both"/>
        <w:rPr>
          <w:rFonts w:ascii="Book Antiqua" w:hAnsi="Book Antiqua"/>
          <w:sz w:val="2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The picture that emerges </w:t>
      </w:r>
      <w:r w:rsidR="003A5CA8">
        <w:rPr>
          <w:rFonts w:ascii="Book Antiqua" w:hAnsi="Book Antiqua"/>
          <w:color w:val="000000"/>
        </w:rPr>
        <w:t xml:space="preserve">is </w:t>
      </w:r>
      <w:r w:rsidRPr="00B9776F">
        <w:rPr>
          <w:rFonts w:ascii="Book Antiqua" w:hAnsi="Book Antiqua"/>
          <w:color w:val="000000"/>
        </w:rPr>
        <w:t xml:space="preserve">of a parton or electron </w:t>
      </w:r>
      <w:r w:rsidR="003A5CA8">
        <w:rPr>
          <w:rFonts w:ascii="Book Antiqua" w:hAnsi="Book Antiqua"/>
          <w:color w:val="000000"/>
        </w:rPr>
        <w:t>as a</w:t>
      </w:r>
      <w:r w:rsidRPr="00B9776F">
        <w:rPr>
          <w:rFonts w:ascii="Book Antiqua" w:hAnsi="Book Antiqua"/>
          <w:color w:val="000000"/>
        </w:rPr>
        <w:t xml:space="preserve"> massless sphere on the surface of which the electric charge is distributed uniformly. It is the presence of this charge that gives the mass-less sphere its intrinsic mass, </w:t>
      </w:r>
      <w:r w:rsidRPr="00B9776F">
        <w:rPr>
          <w:rFonts w:ascii="Book Antiqua" w:hAnsi="Book Antiqua"/>
          <w:i/>
          <w:iCs/>
          <w:color w:val="000000"/>
        </w:rPr>
        <w:t>m*.</w:t>
      </w:r>
      <w:r w:rsidRPr="00B9776F">
        <w:rPr>
          <w:rFonts w:ascii="Book Antiqua" w:hAnsi="Book Antiqua"/>
          <w:color w:val="000000"/>
        </w:rPr>
        <w:t xml:space="preserve"> In other words, this intrinsic mass,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is entirely electrctro-magnetic in origin. As the ZPE increases this intrinsic mass decreases because it is dependent upon the radius of the sphere holding the charge. When the sphere is smaller, the charge is more intense and so its intrinsic mass is greater. When the sphere is larger, the charge is more dispersed, the charge intensity is less, and so the intrinsic mass is lower. </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When the ZPE strength increases, the electric permittivity of the vacuum,</w:t>
      </w:r>
      <m:oMath>
        <m:r>
          <w:rPr>
            <w:rFonts w:ascii="Cambria Math" w:hAnsi="Book Antiqua"/>
            <w:color w:val="000000"/>
          </w:rPr>
          <m:t xml:space="preserve"> </m:t>
        </m:r>
        <m:r>
          <w:rPr>
            <w:rFonts w:ascii="Cambria Math" w:hAnsi="Cambria Math"/>
            <w:color w:val="000000"/>
          </w:rPr>
          <m:t>ε</m:t>
        </m:r>
      </m:oMath>
      <w:r w:rsidRPr="00B9776F">
        <w:rPr>
          <w:rFonts w:ascii="Book Antiqua" w:hAnsi="Book Antiqua"/>
          <w:color w:val="000000"/>
        </w:rPr>
        <w:t xml:space="preserve"> , increases. But the quantity </w:t>
      </w:r>
      <m:oMath>
        <m:r>
          <w:rPr>
            <w:rFonts w:ascii="Cambria Math" w:hAnsi="Book Antiqua"/>
          </w:rPr>
          <m:t>(</m:t>
        </m:r>
        <m:sSup>
          <m:sSupPr>
            <m:ctrlPr>
              <w:rPr>
                <w:rFonts w:ascii="Cambria Math" w:hAnsi="Book Antiqua"/>
                <w:i/>
              </w:rPr>
            </m:ctrlPr>
          </m:sSupPr>
          <m:e>
            <m:r>
              <w:rPr>
                <w:rFonts w:ascii="Cambria Math" w:hAnsi="Cambria Math"/>
              </w:rPr>
              <m:t>e</m:t>
            </m:r>
          </m:e>
          <m:sup>
            <m:r>
              <w:rPr>
                <w:rFonts w:ascii="Cambria Math" w:hAnsi="Book Antiqua"/>
              </w:rPr>
              <m:t>2</m:t>
            </m:r>
          </m:sup>
        </m:sSup>
        <m:r>
          <w:rPr>
            <w:rFonts w:ascii="Cambria Math" w:hAnsi="Book Antiqua"/>
          </w:rPr>
          <m:t>/</m:t>
        </m:r>
        <m:r>
          <w:rPr>
            <w:rFonts w:ascii="Cambria Math" w:hAnsi="Cambria Math"/>
          </w:rPr>
          <m:t>ε</m:t>
        </m:r>
        <m:r>
          <w:rPr>
            <w:rFonts w:ascii="Cambria Math" w:hAnsi="Book Antiqua"/>
          </w:rPr>
          <m:t>)</m:t>
        </m:r>
      </m:oMath>
      <w:r w:rsidRPr="00B9776F">
        <w:rPr>
          <w:rFonts w:ascii="Book Antiqua" w:hAnsi="Book Antiqua"/>
          <w:color w:val="000000"/>
        </w:rPr>
        <w:t xml:space="preserve"> remains constant for all ZPE strengths. This means that electronic charge, </w:t>
      </w:r>
      <m:oMath>
        <m:r>
          <w:rPr>
            <w:rFonts w:ascii="Cambria Math" w:hAnsi="Cambria Math"/>
            <w:color w:val="000000"/>
          </w:rPr>
          <m:t>e</m:t>
        </m:r>
      </m:oMath>
      <w:r w:rsidRPr="00B9776F">
        <w:rPr>
          <w:rFonts w:ascii="Book Antiqua" w:hAnsi="Book Antiqua"/>
          <w:color w:val="000000"/>
        </w:rPr>
        <w:t>, must increase as the ZPE strength increases. The presence of an inherently stronger charge on the sphere making up the parton or electron, tends to expand the sphere. So as the ZPE increases, the sphere gets larger and so the intrinsic mass gets smaller.</w:t>
      </w:r>
    </w:p>
    <w:p w:rsidR="00820B57" w:rsidRPr="00B9776F" w:rsidRDefault="00820B57" w:rsidP="00820B57">
      <w:pPr>
        <w:shd w:val="clear" w:color="auto" w:fill="FFFFFF"/>
        <w:jc w:val="both"/>
        <w:rPr>
          <w:rFonts w:ascii="Book Antiqua" w:hAnsi="Book Antiqua"/>
          <w:color w:val="000000"/>
        </w:rPr>
      </w:pPr>
    </w:p>
    <w:p w:rsidR="00820B57" w:rsidRPr="00B9776F" w:rsidRDefault="00820B57" w:rsidP="00820B57">
      <w:pPr>
        <w:shd w:val="clear" w:color="auto" w:fill="FFFFFF"/>
        <w:ind w:firstLine="720"/>
        <w:jc w:val="both"/>
        <w:rPr>
          <w:rFonts w:ascii="Book Antiqua" w:hAnsi="Book Antiqua"/>
          <w:color w:val="000000"/>
        </w:rPr>
      </w:pPr>
      <w:r w:rsidRPr="00B9776F">
        <w:rPr>
          <w:rFonts w:ascii="Book Antiqua" w:hAnsi="Book Antiqua"/>
          <w:color w:val="000000"/>
        </w:rPr>
        <w:t xml:space="preserve"> It is the oscillation or jiggling of this charged, massless sphere by the ZPE waves which imparts a kinetic energy to it that appears as mass in the atomic frame of reference, </w:t>
      </w:r>
      <w:r w:rsidRPr="00B9776F">
        <w:rPr>
          <w:rFonts w:ascii="Book Antiqua" w:hAnsi="Book Antiqua"/>
          <w:i/>
          <w:iCs/>
          <w:color w:val="000000"/>
        </w:rPr>
        <w:t>m</w:t>
      </w:r>
      <w:r w:rsidRPr="00B9776F">
        <w:rPr>
          <w:rFonts w:ascii="Book Antiqua" w:hAnsi="Book Antiqua"/>
          <w:color w:val="000000"/>
        </w:rPr>
        <w:t xml:space="preserve">. </w:t>
      </w:r>
      <w:r w:rsidR="003A5CA8">
        <w:rPr>
          <w:rFonts w:ascii="Book Antiqua" w:hAnsi="Book Antiqua"/>
          <w:color w:val="000000"/>
        </w:rPr>
        <w:t xml:space="preserve"> </w:t>
      </w:r>
      <w:r w:rsidRPr="00B9776F">
        <w:rPr>
          <w:rFonts w:ascii="Book Antiqua" w:hAnsi="Book Antiqua"/>
          <w:color w:val="000000"/>
        </w:rPr>
        <w:t xml:space="preserve">In atomic equations, </w:t>
      </w:r>
      <w:r w:rsidRPr="00B9776F">
        <w:rPr>
          <w:rFonts w:ascii="Book Antiqua" w:hAnsi="Book Antiqua"/>
          <w:i/>
          <w:iCs/>
          <w:color w:val="000000"/>
        </w:rPr>
        <w:t>m</w:t>
      </w:r>
      <w:r w:rsidRPr="00B9776F">
        <w:rPr>
          <w:rFonts w:ascii="Book Antiqua" w:hAnsi="Book Antiqua"/>
          <w:color w:val="000000"/>
        </w:rPr>
        <w:t xml:space="preserve"> is the primary quantity, not </w:t>
      </w:r>
      <w:r w:rsidRPr="00B9776F">
        <w:rPr>
          <w:rFonts w:ascii="Book Antiqua" w:hAnsi="Book Antiqua"/>
          <w:i/>
          <w:iCs/>
          <w:color w:val="000000"/>
        </w:rPr>
        <w:t>m*.</w:t>
      </w:r>
      <w:r w:rsidRPr="00B9776F">
        <w:rPr>
          <w:rFonts w:ascii="Book Antiqua" w:hAnsi="Book Antiqua"/>
          <w:color w:val="000000"/>
        </w:rPr>
        <w:t xml:space="preserve"> This is because </w:t>
      </w:r>
      <w:r w:rsidRPr="00B9776F">
        <w:rPr>
          <w:rFonts w:ascii="Book Antiqua" w:hAnsi="Book Antiqua"/>
          <w:i/>
          <w:iCs/>
          <w:color w:val="000000"/>
        </w:rPr>
        <w:t>m*</w:t>
      </w:r>
      <w:r w:rsidRPr="00B9776F">
        <w:rPr>
          <w:rFonts w:ascii="Book Antiqua" w:hAnsi="Book Antiqua"/>
          <w:color w:val="000000"/>
        </w:rPr>
        <w:t xml:space="preserve"> is lumped together with other terms to give the Lorentz damping constant, </w:t>
      </w:r>
      <m:oMath>
        <m:r>
          <w:rPr>
            <w:rFonts w:ascii="Cambria Math" w:hAnsi="Cambria Math"/>
            <w:color w:val="000000"/>
          </w:rPr>
          <m:t>Γ</m:t>
        </m:r>
      </m:oMath>
      <w:r w:rsidRPr="00B9776F">
        <w:rPr>
          <w:rFonts w:ascii="Book Antiqua" w:hAnsi="Book Antiqua"/>
          <w:color w:val="000000"/>
        </w:rPr>
        <w:t xml:space="preserve">. This damping constant simply defines the parameters of the system under oscillation </w:t>
      </w:r>
      <w:r w:rsidR="005D27C2">
        <w:rPr>
          <w:rFonts w:ascii="Book Antiqua" w:hAnsi="Book Antiqua"/>
          <w:color w:val="000000"/>
        </w:rPr>
        <w:t xml:space="preserve">just </w:t>
      </w:r>
      <w:r w:rsidRPr="00B9776F">
        <w:rPr>
          <w:rFonts w:ascii="Book Antiqua" w:hAnsi="Book Antiqua"/>
          <w:color w:val="000000"/>
        </w:rPr>
        <w:t xml:space="preserve">like the characteristics of an oscillating weight on a stiff spring. It has been demonstrated that it is this </w:t>
      </w:r>
      <m:oMath>
        <m:r>
          <w:rPr>
            <w:rFonts w:ascii="Cambria Math" w:hAnsi="Cambria Math"/>
            <w:color w:val="000000"/>
          </w:rPr>
          <m:t>m</m:t>
        </m:r>
      </m:oMath>
      <w:r w:rsidRPr="00B9776F">
        <w:rPr>
          <w:rFonts w:ascii="Book Antiqua" w:hAnsi="Book Antiqua"/>
          <w:color w:val="000000"/>
        </w:rPr>
        <w:t xml:space="preserve"> which is proportional to </w:t>
      </w:r>
      <m:oMath>
        <m:r>
          <w:rPr>
            <w:rFonts w:ascii="Cambria Math" w:hAnsi="Book Antiqua"/>
            <w:color w:val="000000"/>
          </w:rPr>
          <m:t>1/</m:t>
        </m:r>
        <m:sSup>
          <m:sSupPr>
            <m:ctrlPr>
              <w:rPr>
                <w:rFonts w:ascii="Cambria Math" w:hAnsi="Book Antiqua"/>
                <w:i/>
                <w:color w:val="000000"/>
              </w:rPr>
            </m:ctrlPr>
          </m:sSupPr>
          <m:e>
            <m:r>
              <w:rPr>
                <w:rFonts w:ascii="Cambria Math" w:hAnsi="Cambria Math"/>
                <w:color w:val="000000"/>
              </w:rPr>
              <m:t>c</m:t>
            </m:r>
          </m:e>
          <m:sup>
            <m:r>
              <w:rPr>
                <w:rFonts w:ascii="Cambria Math" w:hAnsi="Book Antiqua"/>
                <w:color w:val="000000"/>
              </w:rPr>
              <m:t>2</m:t>
            </m:r>
          </m:sup>
        </m:sSup>
      </m:oMath>
      <w:r w:rsidRPr="00B9776F">
        <w:rPr>
          <w:rFonts w:ascii="Book Antiqua" w:hAnsi="Book Antiqua"/>
          <w:color w:val="000000"/>
        </w:rPr>
        <w:t xml:space="preserve">. Eqs (11) and (12) show </w:t>
      </w:r>
      <m:oMath>
        <m:sSup>
          <m:sSupPr>
            <m:ctrlPr>
              <w:rPr>
                <w:rFonts w:ascii="Cambria Math" w:hAnsi="Book Antiqua"/>
                <w:i/>
                <w:color w:val="000000"/>
              </w:rPr>
            </m:ctrlPr>
          </m:sSupPr>
          <m:e>
            <m:r>
              <w:rPr>
                <w:rFonts w:ascii="Cambria Math" w:hAnsi="Cambria Math"/>
                <w:color w:val="000000"/>
              </w:rPr>
              <m:t>m</m:t>
            </m:r>
          </m:e>
          <m:sup>
            <m:r>
              <w:rPr>
                <w:rFonts w:ascii="Book Antiqua" w:hAnsi="Cambria Math"/>
                <w:color w:val="000000"/>
              </w:rPr>
              <m:t>*</m:t>
            </m:r>
          </m:sup>
        </m:sSup>
      </m:oMath>
      <w:r w:rsidRPr="00B9776F">
        <w:rPr>
          <w:rFonts w:ascii="Book Antiqua" w:hAnsi="Book Antiqua"/>
          <w:color w:val="000000"/>
        </w:rPr>
        <w:t xml:space="preserve"> and </w:t>
      </w:r>
      <m:oMath>
        <m:r>
          <w:rPr>
            <w:rFonts w:ascii="Cambria Math" w:hAnsi="Cambria Math"/>
            <w:color w:val="000000"/>
          </w:rPr>
          <m:t>m</m:t>
        </m:r>
      </m:oMath>
      <w:r w:rsidRPr="00B9776F">
        <w:rPr>
          <w:rFonts w:ascii="Book Antiqua" w:hAnsi="Book Antiqua"/>
          <w:color w:val="000000"/>
        </w:rPr>
        <w:t xml:space="preserve"> have about the same value.</w:t>
      </w:r>
    </w:p>
    <w:p w:rsidR="004161ED" w:rsidRDefault="004161ED" w:rsidP="001D1F40">
      <w:pPr>
        <w:shd w:val="clear" w:color="auto" w:fill="FFFFFF"/>
        <w:jc w:val="both"/>
        <w:rPr>
          <w:rFonts w:ascii="Book Antiqua" w:hAnsi="Book Antiqua"/>
          <w:color w:val="000000"/>
        </w:rPr>
      </w:pPr>
    </w:p>
    <w:p w:rsidR="001D1F40" w:rsidRPr="001D1F40" w:rsidRDefault="001D1F40" w:rsidP="001D1F40">
      <w:pPr>
        <w:pStyle w:val="ListParagraph"/>
        <w:numPr>
          <w:ilvl w:val="0"/>
          <w:numId w:val="20"/>
        </w:numPr>
        <w:shd w:val="clear" w:color="auto" w:fill="FFFFFF"/>
        <w:jc w:val="both"/>
        <w:rPr>
          <w:rFonts w:ascii="Book Antiqua" w:hAnsi="Book Antiqua"/>
          <w:b/>
          <w:color w:val="000000"/>
        </w:rPr>
      </w:pPr>
      <w:r w:rsidRPr="001D1F40">
        <w:rPr>
          <w:rFonts w:ascii="Book Antiqua" w:hAnsi="Book Antiqua"/>
          <w:b/>
          <w:color w:val="000000"/>
        </w:rPr>
        <w:t>The Newtonian Gravitational Constant, G.</w:t>
      </w:r>
    </w:p>
    <w:p w:rsidR="001D1F40" w:rsidRPr="001D1F40" w:rsidRDefault="001D1F40" w:rsidP="001D1F40">
      <w:pPr>
        <w:pStyle w:val="ListParagraph"/>
        <w:shd w:val="clear" w:color="auto" w:fill="FFFFFF"/>
        <w:ind w:left="360"/>
        <w:jc w:val="both"/>
        <w:rPr>
          <w:rFonts w:ascii="Book Antiqua" w:hAnsi="Book Antiqua"/>
          <w:b/>
          <w:color w:val="00000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2.1</w:t>
      </w:r>
      <w:r w:rsidR="00820B57" w:rsidRPr="00B9776F">
        <w:rPr>
          <w:rFonts w:ascii="Book Antiqua" w:hAnsi="Book Antiqua" w:cs="Times New Roman"/>
          <w:b w:val="0"/>
          <w:sz w:val="20"/>
          <w:szCs w:val="20"/>
        </w:rPr>
        <w:t xml:space="preserve"> Introducing the Gravitational Constant, G.</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Experimental data show that atomic masses, </w:t>
      </w:r>
      <m:oMath>
        <m:r>
          <w:rPr>
            <w:rFonts w:ascii="Cambria Math" w:hAnsi="Cambria Math"/>
            <w:sz w:val="20"/>
          </w:rPr>
          <m:t>m</m:t>
        </m:r>
      </m:oMath>
      <w:r w:rsidRPr="00B9776F">
        <w:rPr>
          <w:rFonts w:ascii="Book Antiqua" w:hAnsi="Book Antiqua"/>
          <w:sz w:val="20"/>
        </w:rPr>
        <w:t xml:space="preserve">, increase with increasing ZPE strength as shown by Figure 1 </w:t>
      </w:r>
      <w:r w:rsidR="003A5CA8">
        <w:rPr>
          <w:rFonts w:ascii="Book Antiqua" w:hAnsi="Book Antiqua"/>
          <w:sz w:val="20"/>
        </w:rPr>
        <w:t>near the beginning of this chapter</w:t>
      </w:r>
      <w:r w:rsidRPr="00B9776F">
        <w:rPr>
          <w:rFonts w:ascii="Book Antiqua" w:hAnsi="Book Antiqua"/>
          <w:sz w:val="20"/>
        </w:rPr>
        <w:t xml:space="preserve">. However, macroscopic masses measured in a gravitational field have been constant throughout the time when atomic masses were measured as varying. Thus the platinum-iridium standard kilogram bars, kept by the various Bureaux of Standards, have not changed their mass. This is, in part, because atomic (and subatomic) masses are measured differently from the way we measure larger masses.  Let us designate the constant gravitational mass as </w:t>
      </w:r>
      <m:oMath>
        <m:r>
          <w:rPr>
            <w:rFonts w:ascii="Cambria Math" w:hAnsi="Cambria Math"/>
            <w:sz w:val="20"/>
          </w:rPr>
          <m:t>M</m:t>
        </m:r>
      </m:oMath>
      <w:r w:rsidRPr="00B9776F">
        <w:rPr>
          <w:rFonts w:ascii="Book Antiqua" w:hAnsi="Book Antiqua"/>
          <w:sz w:val="20"/>
        </w:rPr>
        <w:t xml:space="preserve">. Thus while the data show that atomic masses, </w:t>
      </w:r>
      <m:oMath>
        <m:r>
          <w:rPr>
            <w:rFonts w:ascii="Cambria Math" w:hAnsi="Cambria Math"/>
            <w:sz w:val="20"/>
          </w:rPr>
          <m:t>m</m:t>
        </m:r>
      </m:oMath>
      <w:r w:rsidRPr="00B9776F">
        <w:rPr>
          <w:rFonts w:ascii="Book Antiqua" w:hAnsi="Book Antiqua"/>
          <w:sz w:val="20"/>
        </w:rPr>
        <w:t xml:space="preserve">, vary with ZPE strength, gravitational masses, </w:t>
      </w:r>
      <m:oMath>
        <m:r>
          <w:rPr>
            <w:rFonts w:ascii="Cambria Math" w:hAnsi="Cambria Math"/>
            <w:sz w:val="20"/>
          </w:rPr>
          <m:t>M</m:t>
        </m:r>
      </m:oMath>
      <w:r w:rsidRPr="00B9776F">
        <w:rPr>
          <w:rFonts w:ascii="Book Antiqua" w:hAnsi="Book Antiqua"/>
          <w:sz w:val="20"/>
        </w:rPr>
        <w:t>, do not.  That is the data. We need to examine why there is this difference.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In their February 1994 paper, Haisch, Rueda and Puthoff state that an atomic particle’s inertial mass</w:t>
      </w:r>
      <w:r w:rsidRPr="00B9776F">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i</m:t>
            </m:r>
          </m:sub>
        </m:sSub>
      </m:oMath>
      <w:r w:rsidRPr="00B9776F">
        <w:rPr>
          <w:rFonts w:ascii="Book Antiqua" w:hAnsi="Book Antiqua"/>
          <w:sz w:val="20"/>
        </w:rPr>
        <w:t xml:space="preserve"> (which is essentially the same as our atomic mass, </w:t>
      </w:r>
      <m:oMath>
        <m:r>
          <w:rPr>
            <w:rFonts w:ascii="Cambria Math" w:hAnsi="Cambria Math"/>
            <w:sz w:val="20"/>
          </w:rPr>
          <m:t>m</m:t>
        </m:r>
      </m:oMath>
      <w:r w:rsidRPr="00B9776F">
        <w:rPr>
          <w:rFonts w:ascii="Book Antiqua" w:hAnsi="Book Antiqua"/>
          <w:sz w:val="20"/>
        </w:rPr>
        <w:t xml:space="preserve">) is related to the bare mass </w:t>
      </w:r>
      <m:oMath>
        <m:sSub>
          <m:sSubPr>
            <m:ctrlPr>
              <w:rPr>
                <w:rFonts w:ascii="Cambria Math" w:hAnsi="Book Antiqua"/>
                <w:i/>
                <w:sz w:val="20"/>
              </w:rPr>
            </m:ctrlPr>
          </m:sSubPr>
          <m:e>
            <m:r>
              <w:rPr>
                <w:rFonts w:ascii="Cambria Math" w:hAnsi="Cambria Math"/>
                <w:sz w:val="20"/>
              </w:rPr>
              <m:t>m</m:t>
            </m:r>
          </m:e>
          <m:sub>
            <m:r>
              <w:rPr>
                <w:rFonts w:ascii="Cambria Math" w:hAnsi="Book Antiqua"/>
                <w:sz w:val="20"/>
              </w:rPr>
              <m:t>0</m:t>
            </m:r>
          </m:sub>
        </m:sSub>
      </m:oMath>
      <w:r w:rsidRPr="00B9776F">
        <w:rPr>
          <w:rFonts w:ascii="Book Antiqua" w:hAnsi="Book Antiqua"/>
          <w:sz w:val="20"/>
        </w:rPr>
        <w:t xml:space="preserve"> (which is the same as our intrinsic mass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B9776F">
        <w:rPr>
          <w:rFonts w:ascii="Book Antiqua" w:hAnsi="Book Antiqua"/>
          <w:sz w:val="20"/>
        </w:rPr>
        <w:t xml:space="preserve">) [9].  Their equation (111) is found on page 690 of their paper and is our equation (44) below: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(44)</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In their Appendix A, they note the discrepancy of a factor of 2 between gravitational and inertial mass in the above equation. To overcome the discrepancy (44) must be multiplied by 2, which results in</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r>
          <w:rPr>
            <w:rFonts w:ascii="Cambria Math" w:hAnsi="Cambria Math"/>
            <w:sz w:val="20"/>
          </w:rPr>
          <m:t>α</m:t>
        </m:r>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w:r w:rsidRPr="00B9776F">
        <w:rPr>
          <w:rFonts w:ascii="Book Antiqua" w:hAnsi="Book Antiqua"/>
          <w:i/>
          <w:sz w:val="20"/>
        </w:rPr>
        <w:t>α</w:t>
      </w:r>
      <w:r w:rsidRPr="00B9776F">
        <w:rPr>
          <w:rFonts w:ascii="Book Antiqua" w:hAnsi="Book Antiqua"/>
          <w:sz w:val="20"/>
        </w:rPr>
        <w:t xml:space="preserve"> is the fine structure constant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α</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 xml:space="preserve">) </m:t>
        </m:r>
      </m:oMath>
      <w:r w:rsidRPr="00B9776F">
        <w:rPr>
          <w:rFonts w:ascii="Book Antiqua" w:hAnsi="Book Antiqua"/>
          <w:i/>
          <w:sz w:val="20"/>
        </w:rPr>
        <w:t>.</w:t>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(46)</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 xml:space="preserve">The quantity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r>
              <w:rPr>
                <w:rFonts w:ascii="Cambria Math" w:hAnsi="Book Antiqua"/>
                <w:sz w:val="20"/>
              </w:rPr>
              <m:t xml:space="preserve"> </m:t>
            </m:r>
          </m:sub>
        </m:sSub>
      </m:oMath>
      <w:r w:rsidRPr="00B9776F">
        <w:rPr>
          <w:rFonts w:ascii="Book Antiqua" w:hAnsi="Book Antiqua"/>
          <w:sz w:val="20"/>
        </w:rPr>
        <w:t>in (45)</w:t>
      </w:r>
      <w:r w:rsidRPr="00B9776F">
        <w:rPr>
          <w:rFonts w:ascii="Book Antiqua" w:hAnsi="Book Antiqua"/>
          <w:i/>
          <w:sz w:val="20"/>
          <w:vertAlign w:val="subscript"/>
        </w:rPr>
        <w:t xml:space="preserve"> </w:t>
      </w:r>
      <w:r w:rsidRPr="00B9776F">
        <w:rPr>
          <w:rFonts w:ascii="Book Antiqua" w:hAnsi="Book Antiqua"/>
          <w:sz w:val="20"/>
        </w:rPr>
        <w:t>is the Planck mass given by</w:t>
      </w:r>
    </w:p>
    <w:p w:rsidR="00C66C64" w:rsidRPr="00B9776F" w:rsidRDefault="00C66C64" w:rsidP="00820B57">
      <w:pPr>
        <w:pStyle w:val="NoSpacing"/>
        <w:jc w:val="both"/>
        <w:rPr>
          <w:rFonts w:ascii="Book Antiqua" w:hAnsi="Book Antiqua"/>
          <w:sz w:val="20"/>
        </w:rPr>
      </w:pPr>
    </w:p>
    <w:p w:rsidR="00820B57" w:rsidRPr="00B9776F" w:rsidRDefault="007B3EBC" w:rsidP="00820B57">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m</m:t>
            </m:r>
          </m:e>
          <m:sub>
            <m:r>
              <w:rPr>
                <w:rFonts w:ascii="Cambria Math" w:hAnsi="Cambria Math"/>
                <w:sz w:val="20"/>
              </w:rPr>
              <m:t>p</m:t>
            </m:r>
          </m:sub>
        </m:sSub>
        <m:r>
          <w:rPr>
            <w:rFonts w:ascii="Cambria Math" w:hAnsi="Book Antiqua"/>
            <w:sz w:val="20"/>
          </w:rPr>
          <m:t xml:space="preserve">  =  </m:t>
        </m:r>
        <m:r>
          <w:rPr>
            <w:rFonts w:ascii="Book Antiqua"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00820B57" w:rsidRPr="00B9776F">
        <w:rPr>
          <w:rFonts w:ascii="Book Antiqua" w:hAnsi="Book Antiqua"/>
          <w:i/>
          <w:sz w:val="20"/>
        </w:rPr>
        <w:t xml:space="preserve"> ,</w:t>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i/>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(47)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is the Planck frequency. As shown earlier, we must either use the Compton frequency as an approximation or, preferably, the electron oscillation frequency as derived above where it was determined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5.564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ascii="Book Antiqua" w:hAnsi="Book Antiqua"/>
                <w:sz w:val="20"/>
              </w:rPr>
              <m:t>-</m:t>
            </m:r>
            <m:r>
              <w:rPr>
                <w:rFonts w:ascii="Cambria Math" w:hAnsi="Book Antiqua"/>
                <w:sz w:val="20"/>
              </w:rPr>
              <m:t>1</m:t>
            </m:r>
          </m:sup>
        </m:sSup>
      </m:oMath>
      <w:r w:rsidRPr="00B9776F">
        <w:rPr>
          <w:rFonts w:ascii="Book Antiqua" w:hAnsi="Book Antiqua"/>
          <w:sz w:val="20"/>
        </w:rPr>
        <w:t xml:space="preserve">. However, using the Planck frequency here has its advantages as it produces some mutually cancelling terms. Therefore we note that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vertAlign w:val="subscript"/>
          </w:rPr>
          <m:t xml:space="preserve"> </m:t>
        </m:r>
        <m:r>
          <w:rPr>
            <w:rFonts w:ascii="Cambria Math" w:hAnsi="Book Antiqua"/>
            <w:sz w:val="20"/>
          </w:rPr>
          <m:t xml:space="preserve">/ </m:t>
        </m:r>
        <m:r>
          <w:rPr>
            <w:rFonts w:ascii="Cambria Math" w:hAnsi="Cambria Math"/>
            <w:sz w:val="20"/>
          </w:rPr>
          <m:t>k</m:t>
        </m:r>
      </m:oMath>
      <w:r w:rsidRPr="00B9776F">
        <w:rPr>
          <w:rFonts w:ascii="Book Antiqua" w:hAnsi="Book Antiqua"/>
          <w:sz w:val="20"/>
        </w:rPr>
        <w:t xml:space="preserve">. Substitution of the numerical values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e</m:t>
            </m:r>
          </m:sub>
        </m:sSub>
      </m:oMath>
      <w:r w:rsidRPr="00B9776F">
        <w:rPr>
          <w:rFonts w:ascii="Book Antiqua" w:hAnsi="Book Antiqua"/>
          <w:sz w:val="20"/>
        </w:rPr>
        <w:t xml:space="preserve"> and</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gives a value for the dimensionless conversion factor, k, as being</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k</m:t>
        </m:r>
        <m:r>
          <w:rPr>
            <w:rFonts w:ascii="Cambria Math" w:hAnsi="Book Antiqua"/>
            <w:sz w:val="20"/>
          </w:rPr>
          <m:t xml:space="preserve">  =  3.334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21</m:t>
            </m:r>
          </m:sup>
        </m:sSup>
      </m:oMath>
      <w:r w:rsidRPr="00B9776F">
        <w:rPr>
          <w:rFonts w:ascii="Book Antiqua" w:hAnsi="Book Antiqua"/>
          <w:i/>
          <w:sz w:val="20"/>
        </w:rPr>
        <w:t xml:space="preserve"> .</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 xml:space="preserve">As a result, we must substitute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m:t>
        </m:r>
        <m:r>
          <w:rPr>
            <w:rFonts w:ascii="Cambria Math" w:hAnsi="Cambria Math"/>
            <w:sz w:val="20"/>
          </w:rPr>
          <m:t>k</m:t>
        </m:r>
      </m:oMath>
      <w:r w:rsidRPr="00B9776F">
        <w:rPr>
          <w:rFonts w:ascii="Book Antiqua" w:hAnsi="Book Antiqua"/>
          <w:sz w:val="20"/>
        </w:rPr>
        <w:t xml:space="preserve"> instead of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sz w:val="20"/>
        </w:rPr>
        <w:t xml:space="preserve"> in order to get the correct results. Substitution of (46) and (47) back in (45) then gives us: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)(1/2</m:t>
        </m:r>
        <m:r>
          <w:rPr>
            <w:rFonts w:ascii="Book Antiqua" w:hAnsi="Cambria Math"/>
            <w:sz w:val="20"/>
          </w:rPr>
          <m:t>h</m:t>
        </m:r>
        <m:r>
          <w:rPr>
            <w:rFonts w:ascii="Cambria Math" w:hAnsi="Cambria Math"/>
            <w:sz w:val="20"/>
          </w:rPr>
          <m:t>c</m:t>
        </m:r>
        <m:r>
          <w:rPr>
            <w:rFonts w:ascii="Cambria Math" w:hAnsi="Book Antiqua"/>
            <w:sz w:val="20"/>
          </w:rPr>
          <m:t>)]</m:t>
        </m:r>
        <m:sSup>
          <m:sSupPr>
            <m:ctrlPr>
              <w:rPr>
                <w:rFonts w:ascii="Cambria Math" w:hAnsi="Book Antiqua"/>
                <w:i/>
                <w:sz w:val="20"/>
              </w:rPr>
            </m:ctrlPr>
          </m:sSupPr>
          <m:e>
            <m:r>
              <w:rPr>
                <w:rFonts w:ascii="Cambria Math" w:hAnsi="Book Antiqua"/>
                <w:sz w:val="20"/>
              </w:rPr>
              <m:t>[</m:t>
            </m:r>
            <m:r>
              <w:rPr>
                <w:rFonts w:ascii="Cambria Math" w:hAnsi="Cambria Math"/>
                <w:sz w:val="20"/>
              </w:rPr>
              <m:t>h</m:t>
            </m:r>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/(2</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Cambria Math"/>
                <w:sz w:val="20"/>
              </w:rPr>
              <m:t>k</m:t>
            </m:r>
            <m:r>
              <w:rPr>
                <w:rFonts w:ascii="Cambria Math" w:hAnsi="Book Antiqua"/>
                <w:sz w:val="20"/>
              </w:rPr>
              <m:t>)]</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(49)</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Book Antiqua"/>
            <w:sz w:val="20"/>
          </w:rPr>
          <m:t>=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(1/2</m:t>
        </m:r>
        <m:r>
          <w:rPr>
            <w:rFonts w:ascii="Book Antiqua" w:hAnsi="Cambria Math"/>
            <w:sz w:val="20"/>
          </w:rPr>
          <m:t>h</m:t>
        </m:r>
        <m:r>
          <w:rPr>
            <w:rFonts w:ascii="Cambria Math" w:hAnsi="Cambria Math"/>
            <w:sz w:val="20"/>
          </w:rPr>
          <m:t>c</m:t>
        </m:r>
        <m:r>
          <w:rPr>
            <w:rFonts w:ascii="Cambria Math" w:hAnsi="Book Antiqua"/>
            <w:sz w:val="20"/>
          </w:rPr>
          <m:t>) [(</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c</m:t>
            </m:r>
          </m:e>
          <m:sup>
            <m:r>
              <w:rPr>
                <w:rFonts w:ascii="Cambria Math" w:hAnsi="Book Antiqua"/>
                <w:sz w:val="20"/>
              </w:rPr>
              <m:t>4</m:t>
            </m:r>
          </m:sup>
        </m:sSup>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vertAlign w:val="superscript"/>
          </w:rPr>
          <m:t>)</m:t>
        </m:r>
        <m:r>
          <w:rPr>
            <w:rFonts w:ascii="Cambria Math" w:hAnsi="Book Antiqua"/>
            <w:sz w:val="20"/>
          </w:rPr>
          <m:t xml:space="preserve">] / </m:t>
        </m:r>
        <m:r>
          <w:rPr>
            <w:rFonts w:ascii="Cambria Math" w:hAnsi="Cambria Math"/>
            <w:sz w:val="20"/>
          </w:rPr>
          <m:t>m</m:t>
        </m:r>
        <m:r>
          <w:rPr>
            <w:rFonts w:ascii="Book Antiqua" w:hAnsi="Cambria Math"/>
            <w:sz w:val="20"/>
          </w:rPr>
          <m:t>*</m:t>
        </m:r>
      </m:oMath>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p>
    <w:p w:rsidR="00820B57" w:rsidRPr="00B9776F" w:rsidRDefault="00820B57" w:rsidP="00820B57">
      <w:pPr>
        <w:pStyle w:val="NoSpacing"/>
        <w:jc w:val="right"/>
        <w:rPr>
          <w:rFonts w:ascii="Book Antiqua" w:hAnsi="Book Antiqua"/>
          <w:i/>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 xml:space="preserve"> = (4/3)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 xml:space="preserve">)( </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 (1/</m:t>
        </m:r>
        <m:r>
          <w:rPr>
            <w:rFonts w:ascii="Cambria Math" w:hAnsi="Cambria Math"/>
            <w:sz w:val="20"/>
          </w:rPr>
          <m:t>m</m:t>
        </m:r>
        <m:r>
          <w:rPr>
            <w:rFonts w:ascii="Book Antiqua" w:hAnsi="Cambria Math"/>
            <w:sz w:val="20"/>
          </w:rPr>
          <m:t>*</m:t>
        </m:r>
        <m:r>
          <w:rPr>
            <w:rFonts w:ascii="Cambria Math" w:hAnsi="Book Antiqua"/>
            <w:sz w:val="20"/>
          </w:rPr>
          <m:t>)</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(50)</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now substitute for the Planck frequency, </w:t>
      </w: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oMath>
      <w:r w:rsidRPr="00B9776F">
        <w:rPr>
          <w:rFonts w:ascii="Book Antiqua" w:hAnsi="Book Antiqua"/>
          <w:i/>
          <w:sz w:val="20"/>
          <w:vertAlign w:val="subscript"/>
        </w:rPr>
        <w:t xml:space="preserve"> </w:t>
      </w:r>
      <w:r w:rsidRPr="00B9776F">
        <w:rPr>
          <w:rFonts w:ascii="Book Antiqua" w:hAnsi="Book Antiqua"/>
          <w:sz w:val="20"/>
          <w:vertAlign w:val="subscript"/>
        </w:rPr>
        <w:t>,</w:t>
      </w:r>
      <w:r w:rsidRPr="00B9776F">
        <w:rPr>
          <w:rFonts w:ascii="Book Antiqua" w:hAnsi="Book Antiqua"/>
          <w:sz w:val="20"/>
        </w:rPr>
        <w:t xml:space="preserve"> noted above as:</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ω</m:t>
            </m:r>
          </m:e>
          <m:sub>
            <m:r>
              <w:rPr>
                <w:rFonts w:ascii="Cambria Math" w:hAnsi="Cambria Math"/>
                <w:sz w:val="20"/>
              </w:rPr>
              <m:t>p</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m:t>
            </m:r>
            <m:r>
              <w:rPr>
                <w:rFonts w:ascii="Book Antiqua" w:hAnsi="Cambria Math"/>
                <w:sz w:val="20"/>
              </w:rPr>
              <m:t>h</m:t>
            </m:r>
            <m:r>
              <w:rPr>
                <w:rFonts w:ascii="Cambria Math" w:hAnsi="Cambria Math"/>
                <w:sz w:val="20"/>
              </w:rPr>
              <m:t>G</m:t>
            </m:r>
            <m:r>
              <w:rPr>
                <w:rFonts w:ascii="Cambria Math" w:hAnsi="Book Antiqua"/>
                <w:sz w:val="20"/>
              </w:rPr>
              <m:t>)]</m:t>
            </m:r>
          </m:e>
          <m:sup>
            <m:r>
              <w:rPr>
                <w:rFonts w:ascii="Cambria Math" w:hAnsi="Book Antiqua"/>
                <w:sz w:val="20"/>
              </w:rPr>
              <m:t>1/2</m:t>
            </m:r>
          </m:sup>
        </m:sSup>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(51)</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which means we can write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sz w:val="20"/>
          </w:rPr>
          <m:t>m</m:t>
        </m:r>
        <m:r>
          <w:rPr>
            <w:rFonts w:ascii="Cambria Math" w:hAnsi="Book Antiqua"/>
            <w:sz w:val="20"/>
          </w:rPr>
          <m:t>=(4/3)(</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r>
          <w:rPr>
            <w:rFonts w:ascii="Book Antiqua" w:hAnsi="Cambria Math"/>
            <w:sz w:val="20"/>
          </w:rPr>
          <m:t>h</m:t>
        </m:r>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)[(1/8</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)(4</m:t>
        </m:r>
        <m:r>
          <w:rPr>
            <w:rFonts w:ascii="Cambria Math" w:hAnsi="Cambria Math"/>
            <w:sz w:val="20"/>
          </w:rPr>
          <m:t>π</m:t>
        </m:r>
        <m:sSup>
          <m:sSupPr>
            <m:ctrlPr>
              <w:rPr>
                <w:rFonts w:ascii="Cambria Math" w:hAnsi="Book Antiqua"/>
                <w:i/>
                <w:sz w:val="20"/>
              </w:rPr>
            </m:ctrlPr>
          </m:sSupPr>
          <m:e>
            <m:r>
              <w:rPr>
                <w:rFonts w:ascii="Cambria Math" w:hAnsi="Cambria Math"/>
                <w:sz w:val="20"/>
              </w:rPr>
              <m:t>c</m:t>
            </m:r>
          </m:e>
          <m:sup>
            <m:r>
              <w:rPr>
                <w:rFonts w:ascii="Cambria Math" w:hAnsi="Book Antiqua"/>
                <w:sz w:val="20"/>
              </w:rPr>
              <m:t>5</m:t>
            </m:r>
          </m:sup>
        </m:sSup>
        <m:r>
          <w:rPr>
            <w:rFonts w:ascii="Cambria Math" w:hAnsi="Book Antiqua"/>
            <w:sz w:val="20"/>
          </w:rPr>
          <m:t>)(1/</m:t>
        </m:r>
        <m:r>
          <w:rPr>
            <w:rFonts w:ascii="Book Antiqua" w:hAnsi="Cambria Math"/>
            <w:sz w:val="20"/>
          </w:rPr>
          <m:t>h</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(52)</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When terms are cancelled, the result is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(2/3)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r>
          <w:rPr>
            <w:rFonts w:ascii="Cambria Math" w:hAnsi="Cambria Math"/>
            <w:sz w:val="20"/>
          </w:rPr>
          <m:t>π</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G</m:t>
        </m:r>
        <m:r>
          <w:rPr>
            <w:rFonts w:ascii="Cambria Math" w:hAnsi="Book Antiqua"/>
            <w:sz w:val="20"/>
          </w:rPr>
          <m:t>)(1/</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(53)</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We can use this equation to find the numerical value of the atomic mass, </w:t>
      </w:r>
      <m:oMath>
        <m:r>
          <w:rPr>
            <w:rFonts w:ascii="Cambria Math" w:hAnsi="Cambria Math"/>
            <w:sz w:val="20"/>
          </w:rPr>
          <m:t>m</m:t>
        </m:r>
      </m:oMath>
      <w:r w:rsidRPr="00B9776F">
        <w:rPr>
          <w:rFonts w:ascii="Book Antiqua" w:hAnsi="Book Antiqua"/>
          <w:sz w:val="20"/>
        </w:rPr>
        <w:t xml:space="preserve">, if we insert the numerical value for </w:t>
      </w:r>
      <m:oMath>
        <m:r>
          <w:rPr>
            <w:rFonts w:ascii="Cambria Math" w:hAnsi="Cambria Math"/>
            <w:sz w:val="20"/>
          </w:rPr>
          <m:t>G</m:t>
        </m:r>
      </m:oMath>
      <w:r w:rsidRPr="00B9776F">
        <w:rPr>
          <w:rFonts w:ascii="Book Antiqua" w:hAnsi="Book Antiqua"/>
          <w:sz w:val="20"/>
        </w:rPr>
        <w:t>. When this is done, we find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r>
          <w:rPr>
            <w:rFonts w:ascii="Cambria Math" w:hAnsi="Book Antiqua"/>
            <w:sz w:val="20"/>
          </w:rPr>
          <m:t xml:space="preserve">  =  9.107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31</m:t>
            </m:r>
          </m:sup>
        </m:sSup>
        <m:r>
          <w:rPr>
            <w:rFonts w:ascii="Cambria Math" w:hAnsi="Book Antiqua"/>
            <w:sz w:val="20"/>
          </w:rPr>
          <m:t xml:space="preserve"> </m:t>
        </m:r>
        <m:r>
          <w:rPr>
            <w:rFonts w:ascii="Cambria Math" w:hAnsi="Cambria Math"/>
            <w:sz w:val="20"/>
          </w:rPr>
          <m:t>kilograms</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(54)</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Alternatively, if we re-arrange the equation, we obtain the result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G</m:t>
        </m:r>
        <m:r>
          <w:rPr>
            <w:rFonts w:ascii="Cambria Math" w:hAnsi="Book Antiqua"/>
            <w:sz w:val="20"/>
          </w:rPr>
          <m:t xml:space="preserve"> = (2/3</m:t>
        </m:r>
        <m:r>
          <w:rPr>
            <w:rFonts w:ascii="Cambria Math" w:hAnsi="Cambria Math"/>
            <w:sz w:val="20"/>
          </w:rPr>
          <m:t>π</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m:t>
        </m:r>
        <m:sSup>
          <m:sSupPr>
            <m:ctrlPr>
              <w:rPr>
                <w:rFonts w:ascii="Cambria Math" w:hAnsi="Book Antiqua"/>
                <w:i/>
                <w:sz w:val="20"/>
              </w:rPr>
            </m:ctrlPr>
          </m:sSupPr>
          <m:e>
            <m:r>
              <w:rPr>
                <w:rFonts w:ascii="Cambria Math" w:hAnsi="Cambria Math"/>
                <w:sz w:val="20"/>
              </w:rPr>
              <m:t>k</m:t>
            </m:r>
          </m:e>
          <m:sup>
            <m:r>
              <w:rPr>
                <w:rFonts w:ascii="Cambria Math" w:hAnsi="Book Antiqua"/>
                <w:sz w:val="20"/>
              </w:rPr>
              <m:t>2</m:t>
            </m:r>
          </m:sup>
        </m:sSup>
        <m:r>
          <w:rPr>
            <w:rFonts w:ascii="Cambria Math" w:hAnsi="Book Antiqua"/>
            <w:sz w:val="20"/>
          </w:rPr>
          <m:t>)[1/(</m:t>
        </m:r>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m:t>
        </m:r>
      </m:oMath>
      <w:r w:rsidRPr="00B9776F">
        <w:rPr>
          <w:rFonts w:ascii="Book Antiqua" w:hAnsi="Book Antiqua"/>
          <w:i/>
          <w:sz w:val="20"/>
        </w:rPr>
        <w:tab/>
      </w:r>
      <w:r w:rsidRPr="00B9776F">
        <w:rPr>
          <w:rFonts w:ascii="Book Antiqua" w:hAnsi="Book Antiqua"/>
          <w:i/>
          <w:sz w:val="20"/>
        </w:rPr>
        <w:tab/>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rPr>
        <w:tab/>
        <w:t>(55)</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Since we have already established that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B9776F">
        <w:rPr>
          <w:rFonts w:ascii="Book Antiqua" w:hAnsi="Book Antiqua"/>
          <w:sz w:val="20"/>
        </w:rPr>
        <w:t xml:space="preserve"> is a constant, as is the relationship between the Planck frequency and the Compton frequency, this means </w:t>
      </w:r>
      <m:oMath>
        <m:r>
          <w:rPr>
            <w:rFonts w:ascii="Cambria Math" w:hAnsi="Cambria Math"/>
            <w:sz w:val="20"/>
          </w:rPr>
          <m:t>k</m:t>
        </m:r>
      </m:oMath>
      <w:r w:rsidRPr="00B9776F">
        <w:rPr>
          <w:rFonts w:ascii="Book Antiqua" w:hAnsi="Book Antiqua"/>
          <w:sz w:val="20"/>
        </w:rPr>
        <w:t xml:space="preserve"> is a constant. Therefore, for </w:t>
      </w:r>
      <m:oMath>
        <m:r>
          <w:rPr>
            <w:rFonts w:ascii="Cambria Math" w:hAnsi="Cambria Math"/>
            <w:sz w:val="20"/>
          </w:rPr>
          <m:t>G</m:t>
        </m:r>
        <m:r>
          <w:rPr>
            <w:rFonts w:ascii="Cambria Math" w:hAnsi="Book Antiqua"/>
            <w:sz w:val="20"/>
          </w:rPr>
          <m:t xml:space="preserve"> </m:t>
        </m:r>
      </m:oMath>
      <w:r w:rsidRPr="00B9776F">
        <w:rPr>
          <w:rFonts w:ascii="Book Antiqua" w:hAnsi="Book Antiqua"/>
          <w:sz w:val="20"/>
        </w:rPr>
        <w:t>to be a constant, as the data demands, requires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 </m:t>
        </m:r>
        <m:r>
          <w:rPr>
            <w:rFonts w:ascii="Cambria Math" w:hAnsi="Cambria Math"/>
            <w:sz w:val="20"/>
          </w:rPr>
          <m:t>constant</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M</m:t>
            </m:r>
          </m:e>
          <m:sup>
            <m:r>
              <w:rPr>
                <w:rFonts w:ascii="Cambria Math" w:hAnsi="Book Antiqua"/>
                <w:sz w:val="20"/>
              </w:rPr>
              <m:t>2</m:t>
            </m:r>
          </m:sup>
        </m:sSup>
      </m:oMath>
      <w:r w:rsidRPr="00B9776F">
        <w:rPr>
          <w:rFonts w:ascii="Book Antiqua" w:hAnsi="Book Antiqua"/>
          <w:i/>
          <w:sz w:val="20"/>
        </w:rPr>
        <w:t>.</w:t>
      </w:r>
      <w:r w:rsidRPr="00B9776F">
        <w:rPr>
          <w:rFonts w:ascii="Book Antiqua" w:hAnsi="Book Antiqua"/>
          <w:i/>
          <w:sz w:val="20"/>
        </w:rPr>
        <w:tab/>
      </w:r>
      <w:r w:rsidRPr="00B9776F">
        <w:rPr>
          <w:rFonts w:ascii="Book Antiqua" w:hAnsi="Book Antiqua"/>
          <w:i/>
          <w:sz w:val="20"/>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vertAlign w:val="superscript"/>
        </w:rPr>
        <w:tab/>
      </w:r>
      <w:r w:rsidRPr="00B9776F">
        <w:rPr>
          <w:rFonts w:ascii="Book Antiqua" w:hAnsi="Book Antiqua"/>
          <w:i/>
          <w:sz w:val="20"/>
        </w:rPr>
        <w:t xml:space="preserve"> (56)</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sz w:val="20"/>
          </w:rPr>
          <m:t>M</m:t>
        </m:r>
      </m:oMath>
      <w:r w:rsidRPr="00B9776F">
        <w:rPr>
          <w:rFonts w:ascii="Book Antiqua" w:hAnsi="Book Antiqua"/>
          <w:sz w:val="20"/>
        </w:rPr>
        <w:t xml:space="preserve"> is the mass measured gravitationally, </w:t>
      </w:r>
      <m:oMath>
        <m:r>
          <w:rPr>
            <w:rFonts w:ascii="Cambria Math" w:hAnsi="Cambria Math"/>
            <w:sz w:val="20"/>
          </w:rPr>
          <m:t>m</m:t>
        </m:r>
      </m:oMath>
      <w:r w:rsidRPr="00B9776F">
        <w:rPr>
          <w:rFonts w:ascii="Book Antiqua" w:hAnsi="Book Antiqua"/>
          <w:sz w:val="20"/>
        </w:rPr>
        <w:t xml:space="preserve"> is the atomic mass and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B9776F">
        <w:rPr>
          <w:rFonts w:ascii="Book Antiqua" w:hAnsi="Book Antiqua"/>
          <w:sz w:val="20"/>
        </w:rPr>
        <w:t xml:space="preserve">is the mass intrinsic to each particle. This situation can also be discerned from equation (25). Therefore, as </w:t>
      </w:r>
      <m:oMath>
        <m:r>
          <w:rPr>
            <w:rFonts w:ascii="Cambria Math" w:hAnsi="Cambria Math"/>
            <w:sz w:val="20"/>
          </w:rPr>
          <m:t>m</m:t>
        </m:r>
      </m:oMath>
      <w:r w:rsidRPr="00B9776F">
        <w:rPr>
          <w:rFonts w:ascii="Book Antiqua" w:hAnsi="Book Antiqua"/>
          <w:sz w:val="20"/>
        </w:rPr>
        <w:t xml:space="preserve"> increases with ZPE increase,</w:t>
      </w:r>
      <w:r w:rsidRPr="00B9776F">
        <w:rPr>
          <w:rFonts w:ascii="Book Antiqua" w:hAnsi="Book Antiqua"/>
          <w:i/>
          <w:sz w:val="20"/>
        </w:rPr>
        <w:t xml:space="preserve"> </w:t>
      </w:r>
      <m:oMath>
        <m:sSup>
          <m:sSupPr>
            <m:ctrlPr>
              <w:rPr>
                <w:rFonts w:ascii="Cambria Math" w:hAnsi="Book Antiqua"/>
                <w:i/>
                <w:sz w:val="20"/>
              </w:rPr>
            </m:ctrlPr>
          </m:sSupPr>
          <m:e>
            <m:r>
              <w:rPr>
                <w:rFonts w:ascii="Cambria Math" w:hAnsi="Cambria Math"/>
                <w:sz w:val="20"/>
              </w:rPr>
              <m:t>m</m:t>
            </m:r>
          </m:e>
          <m:sup>
            <m:r>
              <w:rPr>
                <w:rFonts w:ascii="Book Antiqua" w:hAnsi="Cambria Math"/>
                <w:sz w:val="20"/>
              </w:rPr>
              <m:t>*</m:t>
            </m:r>
          </m:sup>
        </m:sSup>
        <m:r>
          <w:rPr>
            <w:rFonts w:ascii="Cambria Math" w:hAnsi="Book Antiqua"/>
            <w:sz w:val="20"/>
          </w:rPr>
          <m:t xml:space="preserve"> </m:t>
        </m:r>
      </m:oMath>
      <w:r w:rsidRPr="00B9776F">
        <w:rPr>
          <w:rFonts w:ascii="Book Antiqua" w:hAnsi="Book Antiqua"/>
          <w:sz w:val="20"/>
        </w:rPr>
        <w:t>decreases in inverse proportion such that their product remains constant. We can now confirm that</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r>
          <w:rPr>
            <w:rFonts w:ascii="Cambria Math" w:hAnsi="Book Antiqua"/>
            <w:sz w:val="20"/>
          </w:rPr>
          <m:t xml:space="preserve"> ~  1/</m:t>
        </m:r>
        <m:sSup>
          <m:sSupPr>
            <m:ctrlPr>
              <w:rPr>
                <w:rFonts w:ascii="Cambria Math" w:hAnsi="Book Antiqua"/>
                <w:i/>
                <w:sz w:val="20"/>
              </w:rPr>
            </m:ctrlPr>
          </m:sSupPr>
          <m:e>
            <m:r>
              <w:rPr>
                <w:rFonts w:ascii="Cambria Math" w:hAnsi="Cambria Math" w:cs="Cambria Math"/>
                <w:sz w:val="20"/>
              </w:rPr>
              <m:t>c</m:t>
            </m:r>
          </m:e>
          <m:sup>
            <m:r>
              <w:rPr>
                <w:rFonts w:ascii="Cambria Math" w:hAnsi="Book Antiqua"/>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(57)</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addition, since the product </w:t>
      </w:r>
      <m:oMath>
        <m:r>
          <w:rPr>
            <w:rFonts w:ascii="Cambria Math" w:hAnsi="Cambria Math" w:cs="Cambria Math"/>
            <w:sz w:val="20"/>
          </w:rPr>
          <m:t>m</m:t>
        </m:r>
        <m:sSup>
          <m:sSupPr>
            <m:ctrlPr>
              <w:rPr>
                <w:rFonts w:ascii="Cambria Math" w:hAnsi="Book Antiqua"/>
                <w:i/>
                <w:sz w:val="20"/>
              </w:rPr>
            </m:ctrlPr>
          </m:sSupPr>
          <m:e>
            <m:r>
              <w:rPr>
                <w:rFonts w:ascii="Cambria Math" w:hAnsi="Cambria Math" w:cs="Cambria Math"/>
                <w:sz w:val="20"/>
              </w:rPr>
              <m:t>m</m:t>
            </m:r>
          </m:e>
          <m:sup>
            <m:r>
              <w:rPr>
                <w:rFonts w:ascii="Book Antiqua" w:hAnsi="Cambria Math" w:cs="Cambria Math"/>
                <w:sz w:val="20"/>
              </w:rPr>
              <m:t>*</m:t>
            </m:r>
          </m:sup>
        </m:sSup>
      </m:oMath>
      <w:r w:rsidRPr="00B9776F">
        <w:rPr>
          <w:rFonts w:ascii="Book Antiqua" w:hAnsi="Book Antiqua"/>
          <w:sz w:val="20"/>
        </w:rPr>
        <w:t xml:space="preserve">is equal to </w:t>
      </w:r>
      <m:oMath>
        <m:sSup>
          <m:sSupPr>
            <m:ctrlPr>
              <w:rPr>
                <w:rFonts w:ascii="Cambria Math" w:hAnsi="Book Antiqua"/>
                <w:i/>
                <w:sz w:val="20"/>
              </w:rPr>
            </m:ctrlPr>
          </m:sSupPr>
          <m:e>
            <m:r>
              <w:rPr>
                <w:rFonts w:ascii="Cambria Math" w:hAnsi="Cambria Math" w:cs="Cambria Math"/>
                <w:sz w:val="20"/>
              </w:rPr>
              <m:t>M</m:t>
            </m:r>
          </m:e>
          <m:sup>
            <m:r>
              <w:rPr>
                <w:rFonts w:ascii="Cambria Math" w:hAnsi="Book Antiqua"/>
                <w:sz w:val="20"/>
              </w:rPr>
              <m:t>2</m:t>
            </m:r>
          </m:sup>
        </m:sSup>
      </m:oMath>
      <w:r w:rsidRPr="00B9776F">
        <w:rPr>
          <w:rFonts w:ascii="Book Antiqua" w:hAnsi="Book Antiqua"/>
          <w:sz w:val="20"/>
        </w:rPr>
        <w:t xml:space="preserve"> where </w:t>
      </w:r>
      <m:oMath>
        <m:r>
          <w:rPr>
            <w:rFonts w:ascii="Cambria Math" w:hAnsi="Cambria Math" w:cs="Cambria Math"/>
            <w:sz w:val="20"/>
          </w:rPr>
          <m:t>M</m:t>
        </m:r>
      </m:oMath>
      <w:r w:rsidRPr="00B9776F">
        <w:rPr>
          <w:rFonts w:ascii="Book Antiqua" w:hAnsi="Book Antiqua"/>
          <w:sz w:val="20"/>
        </w:rPr>
        <w:t xml:space="preserve"> is the gravitational mass, as in (55) and (56), we can also say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(58)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Furthermore, since </w:t>
      </w:r>
      <m:oMath>
        <m:r>
          <w:rPr>
            <w:rFonts w:ascii="Cambria Math" w:hAnsi="Cambria Math" w:cs="Cambria Math"/>
            <w:sz w:val="20"/>
          </w:rPr>
          <m:t>G</m:t>
        </m:r>
      </m:oMath>
      <w:r w:rsidRPr="00B9776F">
        <w:rPr>
          <w:rFonts w:ascii="Book Antiqua" w:hAnsi="Book Antiqua"/>
          <w:sz w:val="20"/>
        </w:rPr>
        <w:t xml:space="preserve"> is also constant, in the gravitational case the result is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Book Antiqua"/>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(59)</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If we substitute the values of the terms in (55) we obtain</w:t>
      </w:r>
    </w:p>
    <w:p w:rsidR="00D114A4" w:rsidRPr="00D114A4" w:rsidRDefault="00D114A4" w:rsidP="00820B57">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Pr>
          <w:rFonts w:ascii="Book Antiqua" w:hAnsi="Book Antiqua"/>
          <w:sz w:val="20"/>
        </w:rPr>
        <w:tab/>
      </w:r>
      <m:oMath>
        <m:r>
          <w:rPr>
            <w:rFonts w:ascii="Cambria Math" w:hAnsi="Cambria Math"/>
            <w:sz w:val="20"/>
          </w:rPr>
          <m:t>G</m:t>
        </m:r>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 xml:space="preserve">[1/(3.334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21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[1/</m:t>
        </m:r>
        <m:sSup>
          <m:sSupPr>
            <m:ctrlPr>
              <w:rPr>
                <w:rFonts w:ascii="Cambria Math" w:hAnsi="Book Antiqua"/>
                <w:sz w:val="20"/>
              </w:rPr>
            </m:ctrlPr>
          </m:sSupPr>
          <m:e>
            <m:r>
              <m:rPr>
                <m:sty m:val="p"/>
              </m:rPr>
              <w:rPr>
                <w:rFonts w:ascii="Cambria Math" w:hAnsi="Book Antiqua"/>
                <w:sz w:val="20"/>
              </w:rPr>
              <m:t xml:space="preserve">(9.109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oMath/>
          <w:rFonts w:ascii="Cambria Math" w:hAnsi="Book Antiqua"/>
          <w:sz w:val="20"/>
        </w:rPr>
      </w:pPr>
      <w:r>
        <w:rPr>
          <w:rFonts w:ascii="Book Antiqua" w:hAnsi="Book Antiqua"/>
          <w:sz w:val="20"/>
        </w:rPr>
        <w:tab/>
      </w:r>
      <w:r>
        <w:rPr>
          <w:rFonts w:ascii="Book Antiqua" w:hAnsi="Book Antiqua"/>
          <w:sz w:val="20"/>
        </w:rPr>
        <w:tab/>
      </w:r>
      <w:r w:rsidRPr="00D114A4">
        <w:rPr>
          <w:rFonts w:ascii="Book Antiqua" w:hAnsi="Book Antiqua"/>
          <w:sz w:val="20"/>
        </w:rPr>
        <w:tab/>
      </w:r>
      <m:oMath>
        <m:r>
          <m:rPr>
            <m:sty m:val="p"/>
          </m:rPr>
          <w:rPr>
            <w:rFonts w:ascii="Cambria Math" w:hAnsi="Book Antiqua"/>
            <w:sz w:val="20"/>
          </w:rPr>
          <m:t>= (2/3</m:t>
        </m:r>
        <m:r>
          <w:rPr>
            <w:rFonts w:ascii="Cambria Math" w:hAnsi="Cambria Math"/>
            <w:sz w:val="20"/>
          </w:rPr>
          <m:t>π</m:t>
        </m:r>
        <m:r>
          <m:rPr>
            <m:sty m:val="p"/>
          </m:rPr>
          <w:rPr>
            <w:rFonts w:ascii="Cambria Math" w:hAnsi="Book Antiqua"/>
            <w:sz w:val="20"/>
          </w:rPr>
          <m:t xml:space="preserve">)(2.898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27</m:t>
            </m:r>
          </m:sup>
        </m:sSup>
        <m:r>
          <m:rPr>
            <m:sty m:val="p"/>
          </m:rPr>
          <w:rPr>
            <w:rFonts w:ascii="Cambria Math" w:hAnsi="Book Antiqua"/>
            <w:sz w:val="20"/>
          </w:rPr>
          <m:t xml:space="preserve">)(9.001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44</m:t>
            </m:r>
          </m:sup>
        </m:sSup>
        <m:r>
          <m:rPr>
            <m:sty m:val="p"/>
          </m:rPr>
          <w:rPr>
            <w:rFonts w:ascii="Cambria Math" w:hAnsi="Book Antiqua"/>
            <w:sz w:val="20"/>
          </w:rPr>
          <m:t xml:space="preserve">)(1.205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60</m:t>
            </m:r>
          </m:sup>
        </m:sSup>
        <m:r>
          <m:rPr>
            <m:sty m:val="p"/>
          </m:rPr>
          <w:rPr>
            <w:rFonts w:ascii="Cambria Math" w:hAnsi="Book Antiqua"/>
            <w:sz w:val="20"/>
          </w:rPr>
          <m:t>)</m:t>
        </m:r>
      </m:oMath>
      <w:r w:rsidRPr="00D114A4">
        <w:rPr>
          <w:rFonts w:ascii="Book Antiqua" w:hAnsi="Book Antiqua"/>
          <w:sz w:val="20"/>
        </w:rPr>
        <w:tab/>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means that</w:t>
      </w:r>
    </w:p>
    <w:p w:rsidR="00D114A4" w:rsidRPr="00D114A4" w:rsidRDefault="00D114A4" w:rsidP="00D114A4">
      <w:pPr>
        <w:pStyle w:val="NoSpacing"/>
        <w:ind w:firstLine="720"/>
        <w:jc w:val="both"/>
        <w:rPr>
          <w:rFonts w:ascii="Book Antiqua" w:hAnsi="Book Antiqua"/>
          <w:sz w:val="20"/>
        </w:rPr>
      </w:pPr>
    </w:p>
    <w:p w:rsidR="00D114A4" w:rsidRPr="00D114A4" w:rsidRDefault="007B3EBC" w:rsidP="00D114A4">
      <w:pPr>
        <w:pStyle w:val="NoSpacing"/>
        <w:jc w:val="right"/>
        <w:rPr>
          <w:rFonts w:ascii="Book Antiqua" w:hAnsi="Book Antiqua"/>
          <w:sz w:val="20"/>
        </w:rPr>
      </w:pPr>
      <m:oMath>
        <m:sSup>
          <m:sSupPr>
            <m:ctrlPr>
              <w:rPr>
                <w:rFonts w:ascii="Cambria Math" w:hAnsi="Book Antiqua"/>
                <w:sz w:val="20"/>
              </w:rPr>
            </m:ctrlPr>
          </m:sSupPr>
          <m:e>
            <m:r>
              <w:rPr>
                <w:rFonts w:ascii="Cambria Math" w:hAnsi="Cambria Math"/>
                <w:sz w:val="20"/>
              </w:rPr>
              <m:t>G</m:t>
            </m:r>
            <m:r>
              <m:rPr>
                <m:sty m:val="p"/>
              </m:rPr>
              <w:rPr>
                <w:rFonts w:ascii="Cambria Math" w:hAnsi="Book Antiqua"/>
                <w:sz w:val="20"/>
              </w:rPr>
              <m:t xml:space="preserve"> = 6.670 </m:t>
            </m:r>
            <m:r>
              <w:rPr>
                <w:rFonts w:ascii="Cambria Math" w:hAnsi="Cambria Math"/>
                <w:sz w:val="20"/>
              </w:rPr>
              <m:t>x</m:t>
            </m:r>
            <m:r>
              <m:rPr>
                <m:sty m:val="p"/>
              </m:rPr>
              <w:rPr>
                <w:rFonts w:ascii="Cambria Math" w:hAnsi="Book Antiqua"/>
                <w:sz w:val="20"/>
              </w:rPr>
              <m:t xml:space="preserve"> 10</m:t>
            </m:r>
          </m:e>
          <m:sup>
            <m:r>
              <m:rPr>
                <m:sty m:val="p"/>
              </m:rPr>
              <w:rPr>
                <w:rFonts w:ascii="Cambria Math" w:hAnsi="Book Antiqua"/>
                <w:sz w:val="20"/>
              </w:rPr>
              <m:t>-</m:t>
            </m:r>
            <m:r>
              <m:rPr>
                <m:sty m:val="p"/>
              </m:rPr>
              <w:rPr>
                <w:rFonts w:ascii="Cambria Math" w:hAnsi="Book Antiqua"/>
                <w:sz w:val="20"/>
              </w:rPr>
              <m:t>11</m:t>
            </m:r>
          </m:sup>
        </m:sSup>
      </m:oMath>
      <w:r w:rsidR="00D114A4" w:rsidRPr="00D114A4">
        <w:rPr>
          <w:rFonts w:ascii="Book Antiqua" w:hAnsi="Book Antiqua"/>
          <w:sz w:val="20"/>
        </w:rPr>
        <w:t xml:space="preserve"> .</w:t>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r>
      <w:r w:rsidR="00D114A4" w:rsidRPr="00D114A4">
        <w:rPr>
          <w:rFonts w:ascii="Book Antiqua" w:hAnsi="Book Antiqua"/>
          <w:sz w:val="20"/>
        </w:rPr>
        <w:tab/>
        <w:t xml:space="preserve">(60) </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This value is in accord with the current experimental evidence.</w:t>
      </w:r>
    </w:p>
    <w:p w:rsidR="00D114A4" w:rsidRPr="00B9776F" w:rsidRDefault="00D114A4" w:rsidP="00820B57">
      <w:pPr>
        <w:pStyle w:val="NoSpacing"/>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Two matters now claim our attention. The first concerns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t>
      </w:r>
      <m:oMath>
        <m:r>
          <w:rPr>
            <w:rFonts w:ascii="Cambria Math" w:hAnsi="Cambria Math"/>
            <w:sz w:val="20"/>
          </w:rPr>
          <m:t>m</m:t>
        </m:r>
      </m:oMath>
      <w:r w:rsidRPr="00D114A4">
        <w:rPr>
          <w:rFonts w:ascii="Book Antiqua" w:hAnsi="Book Antiqua"/>
          <w:sz w:val="20"/>
        </w:rPr>
        <w:t xml:space="preserve"> and </w:t>
      </w:r>
      <m:oMath>
        <m:r>
          <w:rPr>
            <w:rFonts w:ascii="Cambria Math" w:hAnsi="Cambria Math"/>
            <w:sz w:val="20"/>
          </w:rPr>
          <m:t>M</m:t>
        </m:r>
      </m:oMath>
      <w:r w:rsidRPr="00D114A4">
        <w:rPr>
          <w:rFonts w:ascii="Book Antiqua" w:hAnsi="Book Antiqua"/>
          <w:sz w:val="20"/>
        </w:rPr>
        <w:t xml:space="preserve">, and the second, their values.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comes from the presence of the electric charge on the parton or electron. This mass is entirely due to charge and depends on the radius of the parton or electron as shown in (9) above. The atomic mass, </w:t>
      </w:r>
      <m:oMath>
        <m:r>
          <w:rPr>
            <w:rFonts w:ascii="Cambria Math" w:hAnsi="Cambria Math"/>
            <w:sz w:val="20"/>
          </w:rPr>
          <m:t>m</m:t>
        </m:r>
      </m:oMath>
      <w:r w:rsidRPr="00D114A4">
        <w:rPr>
          <w:rFonts w:ascii="Book Antiqua" w:hAnsi="Book Antiqua"/>
          <w:sz w:val="20"/>
        </w:rPr>
        <w:t xml:space="preserve">, depends on the strength of the ZPE and its jiggling of the parton. It is defined in (16) above. The gravitational mass </w:t>
      </w:r>
      <m:oMath>
        <m:r>
          <w:rPr>
            <w:rFonts w:ascii="Cambria Math" w:hAnsi="Cambria Math"/>
            <w:sz w:val="20"/>
          </w:rPr>
          <m:t>M</m:t>
        </m:r>
      </m:oMath>
      <w:r w:rsidRPr="00D114A4">
        <w:rPr>
          <w:rFonts w:ascii="Book Antiqua" w:hAnsi="Book Antiqua"/>
          <w:sz w:val="20"/>
        </w:rPr>
        <w:t xml:space="preserve"> is given by the square root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m). </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order to analyze the situation with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we note that (29) reveals that the dimensions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are kilograms. This follows since it can be shown that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oMath>
      <w:r w:rsidRPr="00D114A4">
        <w:rPr>
          <w:rFonts w:ascii="Book Antiqua" w:hAnsi="Book Antiqua"/>
          <w:sz w:val="20"/>
        </w:rPr>
        <w:t xml:space="preserve"> has dimensions of [</w:t>
      </w:r>
      <m:oMath>
        <m:sSup>
          <m:sSupPr>
            <m:ctrlPr>
              <w:rPr>
                <w:rFonts w:ascii="Cambria Math" w:hAnsi="Book Antiqua"/>
                <w:sz w:val="20"/>
              </w:rPr>
            </m:ctrlPr>
          </m:sSupPr>
          <m:e>
            <m:r>
              <w:rPr>
                <w:rFonts w:ascii="Cambria Math" w:hAnsi="Cambria Math"/>
                <w:sz w:val="20"/>
              </w:rPr>
              <m:t>coulombs</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farads</m:t>
        </m:r>
        <m:r>
          <m:rPr>
            <m:sty m:val="p"/>
          </m:rPr>
          <w:rPr>
            <w:rFonts w:ascii="Cambria Math" w:hAnsi="Book Antiqua"/>
            <w:sz w:val="20"/>
          </w:rPr>
          <m:t>/</m:t>
        </m:r>
        <m:r>
          <w:rPr>
            <w:rFonts w:ascii="Cambria Math" w:hAnsi="Cambria Math"/>
            <w:sz w:val="20"/>
          </w:rPr>
          <m:t>meter</m:t>
        </m:r>
        <m:r>
          <m:rPr>
            <m:sty m:val="p"/>
          </m:rPr>
          <w:rPr>
            <w:rFonts w:ascii="Cambria Math" w:hAnsi="Book Antiqua"/>
            <w:sz w:val="20"/>
          </w:rPr>
          <m:t>)</m:t>
        </m:r>
      </m:oMath>
      <w:r w:rsidRPr="00D114A4">
        <w:rPr>
          <w:rFonts w:ascii="Book Antiqua" w:hAnsi="Book Antiqua"/>
          <w:sz w:val="20"/>
        </w:rPr>
        <w:t xml:space="preserve">] which by definition becomes </w:t>
      </w:r>
      <m:oMath>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amps</m:t>
            </m:r>
          </m:e>
          <m:sup>
            <m:r>
              <m:rPr>
                <m:sty m:val="p"/>
              </m:rPr>
              <w:rPr>
                <w:rFonts w:ascii="Cambria Math" w:hAnsi="Book Antiqua"/>
                <w:sz w:val="20"/>
              </w:rPr>
              <m:t>2</m:t>
            </m:r>
          </m:sup>
        </m:sSup>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sec</m:t>
            </m:r>
          </m:e>
          <m:sup>
            <m:r>
              <m:rPr>
                <m:sty m:val="p"/>
              </m:rPr>
              <w:rPr>
                <w:rFonts w:ascii="Cambria Math" w:hAnsi="Book Antiqua"/>
                <w:sz w:val="20"/>
              </w:rPr>
              <m:t>4</m:t>
            </m:r>
          </m:sup>
        </m:sSup>
        <m:r>
          <m:rPr>
            <m:sty m:val="p"/>
          </m:rPr>
          <w:rPr>
            <w:rFonts w:ascii="Cambria Math" w:hAnsi="Book Antiqua"/>
            <w:sz w:val="20"/>
          </w:rPr>
          <m:t>)/(</m:t>
        </m:r>
        <m:r>
          <w:rPr>
            <w:rFonts w:ascii="Cambria Math" w:hAnsi="Cambria Math"/>
            <w:sz w:val="20"/>
          </w:rPr>
          <m:t>kg</m:t>
        </m:r>
        <m:r>
          <m:rPr>
            <m:sty m:val="p"/>
          </m:rPr>
          <w:rPr>
            <w:rFonts w:ascii="Cambria Math" w:hAnsi="Book Antiqua"/>
            <w:sz w:val="20"/>
          </w:rPr>
          <m:t xml:space="preserve"> </m:t>
        </m:r>
        <m:sSup>
          <m:sSupPr>
            <m:ctrlPr>
              <w:rPr>
                <w:rFonts w:ascii="Cambria Math" w:hAnsi="Book Antiqua"/>
                <w:sz w:val="20"/>
              </w:rPr>
            </m:ctrlPr>
          </m:sSupPr>
          <m:e>
            <m:r>
              <w:rPr>
                <w:rFonts w:ascii="Cambria Math" w:hAnsi="Cambria Math"/>
                <w:sz w:val="20"/>
              </w:rPr>
              <m:t>meters</m:t>
            </m:r>
          </m:e>
          <m:sup>
            <m:r>
              <m:rPr>
                <m:sty m:val="p"/>
              </m:rPr>
              <w:rPr>
                <w:rFonts w:ascii="Cambria Math" w:hAnsi="Book Antiqua"/>
                <w:sz w:val="20"/>
              </w:rPr>
              <m:t>3</m:t>
            </m:r>
          </m:sup>
        </m:sSup>
        <m:r>
          <m:rPr>
            <m:sty m:val="p"/>
          </m:rPr>
          <w:rPr>
            <w:rFonts w:ascii="Cambria Math" w:hAnsi="Book Antiqua"/>
            <w:sz w:val="20"/>
          </w:rPr>
          <m:t>)}]</m:t>
        </m:r>
      </m:oMath>
      <w:r w:rsidRPr="00D114A4">
        <w:rPr>
          <w:rFonts w:ascii="Book Antiqua" w:hAnsi="Book Antiqua"/>
          <w:sz w:val="20"/>
        </w:rPr>
        <w:t>. This then simplifies to</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oMath>
      <w:r w:rsidRPr="00D114A4">
        <w:rPr>
          <w:rFonts w:ascii="Book Antiqua" w:hAnsi="Book Antiqua"/>
          <w:sz w:val="20"/>
        </w:rPr>
        <w:t xml:space="preserve">. Therefore, substituting in (29), since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and</w:t>
      </w:r>
      <m:oMath>
        <m:r>
          <m:rPr>
            <m:sty m:val="p"/>
          </m:rPr>
          <w:rPr>
            <w:rFonts w:ascii="Cambria Math" w:hAnsi="Book Antiqua"/>
            <w:sz w:val="20"/>
          </w:rPr>
          <m:t xml:space="preserve"> </m:t>
        </m:r>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is in meters, the result is that </w:t>
      </w:r>
      <m:oMath>
        <m:r>
          <w:rPr>
            <w:rFonts w:ascii="Cambria Math" w:hAnsi="Cambria Math"/>
            <w:sz w:val="20"/>
          </w:rPr>
          <m:t>m</m:t>
        </m:r>
      </m:oMath>
      <w:r w:rsidRPr="00D114A4">
        <w:rPr>
          <w:rFonts w:ascii="Book Antiqua" w:hAnsi="Book Antiqua"/>
          <w:sz w:val="20"/>
        </w:rPr>
        <w:t xml:space="preserve"> is in kilograms.</w:t>
      </w:r>
    </w:p>
    <w:p w:rsidR="00D114A4" w:rsidRPr="00D114A4" w:rsidRDefault="00D114A4" w:rsidP="00D114A4">
      <w:pPr>
        <w:pStyle w:val="NoSpacing"/>
        <w:ind w:firstLine="720"/>
        <w:jc w:val="both"/>
        <w:rPr>
          <w:rFonts w:ascii="Book Antiqua" w:hAnsi="Book Antiqua"/>
          <w:sz w:val="20"/>
        </w:rPr>
      </w:pPr>
    </w:p>
    <w:p w:rsidR="00D114A4" w:rsidRPr="00D114A4" w:rsidRDefault="00D114A4" w:rsidP="00D114A4">
      <w:pPr>
        <w:pStyle w:val="NoSpacing"/>
        <w:ind w:firstLine="720"/>
        <w:jc w:val="both"/>
        <w:rPr>
          <w:rFonts w:ascii="Book Antiqua" w:hAnsi="Book Antiqua"/>
          <w:sz w:val="20"/>
        </w:rPr>
      </w:pPr>
      <w:r w:rsidRPr="00D114A4">
        <w:rPr>
          <w:rFonts w:ascii="Book Antiqua" w:hAnsi="Book Antiqua"/>
          <w:sz w:val="20"/>
        </w:rPr>
        <w:t xml:space="preserve">In a similar way, the dimensions of </w:t>
      </w:r>
      <m:oMath>
        <m:r>
          <w:rPr>
            <w:rFonts w:ascii="Cambria Math" w:hAnsi="Cambria Math"/>
            <w:sz w:val="20"/>
          </w:rPr>
          <m:t>m</m:t>
        </m:r>
      </m:oMath>
      <w:r w:rsidRPr="00D114A4">
        <w:rPr>
          <w:rFonts w:ascii="Book Antiqua" w:hAnsi="Book Antiqua"/>
          <w:sz w:val="20"/>
        </w:rPr>
        <w:t xml:space="preserve"> are obtainable from (53). Let us begin by taking the terms from (29) that make up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substitute them in (53). When this is done, the following expression is obtained:</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right"/>
        <w:rPr>
          <w:rFonts w:ascii="Book Antiqua" w:hAnsi="Book Antiqua"/>
          <w:sz w:val="20"/>
        </w:rPr>
      </w:pPr>
      <m:oMath>
        <m:r>
          <w:rPr>
            <w:rFonts w:ascii="Cambria Math" w:hAnsi="Cambria Math"/>
            <w:sz w:val="20"/>
          </w:rPr>
          <m:t>m</m:t>
        </m:r>
        <m:r>
          <m:rPr>
            <m:sty m:val="p"/>
          </m:rPr>
          <w:rPr>
            <w:rFonts w:ascii="Cambria Math" w:hAnsi="Book Antiqua"/>
            <w:sz w:val="20"/>
          </w:rPr>
          <m:t xml:space="preserve">  =  [(2/3</m:t>
        </m:r>
        <m:r>
          <w:rPr>
            <w:rFonts w:ascii="Cambria Math" w:hAnsi="Cambria Math"/>
            <w:sz w:val="20"/>
          </w:rPr>
          <m:t>π</m:t>
        </m:r>
        <m:r>
          <m:rPr>
            <m:sty m:val="p"/>
          </m:rPr>
          <w:rPr>
            <w:rFonts w:ascii="Cambria Math" w:hAnsi="Book Antiqua"/>
            <w:sz w:val="20"/>
          </w:rPr>
          <m:t>) (</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r>
          <w:rPr>
            <w:rFonts w:ascii="Cambria Math" w:hAnsi="Cambria Math"/>
            <w:sz w:val="20"/>
          </w:rPr>
          <m:t>ε</m:t>
        </m:r>
        <m:r>
          <m:rPr>
            <m:sty m:val="p"/>
          </m:rPr>
          <w:rPr>
            <w:rFonts w:ascii="Cambria Math" w:hAnsi="Book Antiqua"/>
            <w:sz w:val="20"/>
          </w:rPr>
          <m:t>)(1/</m:t>
        </m:r>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r>
          <m:rPr>
            <m:sty m:val="p"/>
          </m:rPr>
          <w:rPr>
            <w:rFonts w:ascii="Cambria Math" w:hAnsi="Book Antiqua"/>
            <w:sz w:val="20"/>
          </w:rPr>
          <m:t>)(1/</m:t>
        </m:r>
        <m:r>
          <w:rPr>
            <w:rFonts w:ascii="Cambria Math" w:hAnsi="Cambria Math"/>
            <w:sz w:val="20"/>
          </w:rPr>
          <m:t>G</m:t>
        </m:r>
        <m:r>
          <m:rPr>
            <m:sty m:val="p"/>
          </m:rPr>
          <w:rPr>
            <w:rFonts w:ascii="Cambria Math" w:hAnsi="Book Antiqua"/>
            <w:sz w:val="20"/>
          </w:rPr>
          <m:t>)][(4</m:t>
        </m:r>
        <m:r>
          <w:rPr>
            <w:rFonts w:ascii="Cambria Math" w:hAnsi="Cambria Math"/>
            <w:sz w:val="20"/>
          </w:rPr>
          <m:t>π</m:t>
        </m:r>
        <m:r>
          <m:rPr>
            <m:sty m:val="p"/>
          </m:rPr>
          <w:rPr>
            <w:rFonts w:ascii="Cambria Math" w:hAnsi="Book Antiqua"/>
            <w:sz w:val="20"/>
          </w:rPr>
          <m:t>)(</m:t>
        </m:r>
        <m:r>
          <w:rPr>
            <w:rFonts w:ascii="Cambria Math" w:hAnsi="Cambria Math"/>
            <w:sz w:val="20"/>
          </w:rPr>
          <m:t>ε</m:t>
        </m:r>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e</m:t>
            </m:r>
          </m:e>
          <m:sup>
            <m:r>
              <m:rPr>
                <m:sty m:val="p"/>
              </m:rPr>
              <w:rPr>
                <w:rFonts w:ascii="Cambria Math" w:hAnsi="Book Antiqua"/>
                <w:sz w:val="20"/>
              </w:rPr>
              <m:t>2</m:t>
            </m:r>
          </m:sup>
        </m:sSup>
        <m:r>
          <m:rPr>
            <m:sty m:val="p"/>
          </m:rPr>
          <w:rPr>
            <w:rFonts w:ascii="Cambria Math" w:hAnsi="Book Antiqua"/>
            <w:sz w:val="20"/>
          </w:rPr>
          <m:t>)(</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r>
          <m:rPr>
            <m:sty m:val="p"/>
          </m:rPr>
          <w:rPr>
            <w:rFonts w:ascii="Cambria Math" w:hAnsi="Book Antiqua"/>
            <w:sz w:val="20"/>
          </w:rPr>
          <m:t>)]</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p>
    <w:p w:rsidR="00D114A4" w:rsidRPr="00D114A4" w:rsidRDefault="00D114A4" w:rsidP="00D114A4">
      <w:pPr>
        <w:pStyle w:val="NoSpacing"/>
        <w:jc w:val="right"/>
        <w:rPr>
          <w:rFonts w:ascii="Book Antiqua" w:hAnsi="Book Antiqua"/>
          <w:sz w:val="20"/>
        </w:rPr>
      </w:pPr>
    </w:p>
    <w:p w:rsidR="00D114A4" w:rsidRPr="00D114A4" w:rsidRDefault="00D114A4" w:rsidP="00D114A4">
      <w:pPr>
        <w:pStyle w:val="NoSpacing"/>
        <w:jc w:val="right"/>
        <w:rPr>
          <w:rFonts w:ascii="Book Antiqua" w:hAnsi="Book Antiqua"/>
          <w:sz w:val="20"/>
        </w:rPr>
      </w:pPr>
      <m:oMath>
        <m:r>
          <m:rPr>
            <m:sty m:val="p"/>
          </m:rPr>
          <w:rPr>
            <w:rFonts w:ascii="Cambria Math" w:hAnsi="Book Antiqua"/>
            <w:sz w:val="20"/>
          </w:rPr>
          <m:t xml:space="preserve">= </m:t>
        </m:r>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8</m:t>
                </m:r>
              </m:num>
              <m:den>
                <m:r>
                  <m:rPr>
                    <m:sty m:val="p"/>
                  </m:rPr>
                  <w:rPr>
                    <w:rFonts w:ascii="Cambria Math" w:hAnsi="Book Antiqua"/>
                    <w:sz w:val="20"/>
                  </w:rPr>
                  <m:t>3</m:t>
                </m:r>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sSup>
                  <m:sSupPr>
                    <m:ctrlPr>
                      <w:rPr>
                        <w:rFonts w:ascii="Cambria Math" w:hAnsi="Book Antiqua"/>
                        <w:sz w:val="20"/>
                      </w:rPr>
                    </m:ctrlPr>
                  </m:sSupPr>
                  <m:e>
                    <m:r>
                      <w:rPr>
                        <w:rFonts w:ascii="Cambria Math" w:hAnsi="Cambria Math"/>
                        <w:sz w:val="20"/>
                      </w:rPr>
                      <m:t>k</m:t>
                    </m:r>
                  </m:e>
                  <m:sup>
                    <m:r>
                      <m:rPr>
                        <m:sty m:val="p"/>
                      </m:rPr>
                      <w:rPr>
                        <w:rFonts w:ascii="Cambria Math" w:hAnsi="Book Antiqua"/>
                        <w:sz w:val="20"/>
                      </w:rPr>
                      <m:t>2</m:t>
                    </m:r>
                  </m:sup>
                </m:sSup>
              </m:den>
            </m:f>
          </m:e>
        </m:d>
        <m:d>
          <m:dPr>
            <m:ctrlPr>
              <w:rPr>
                <w:rFonts w:ascii="Cambria Math" w:hAnsi="Book Antiqua"/>
                <w:sz w:val="20"/>
              </w:rPr>
            </m:ctrlPr>
          </m:dPr>
          <m:e>
            <m:f>
              <m:fPr>
                <m:ctrlPr>
                  <w:rPr>
                    <w:rFonts w:ascii="Cambria Math" w:hAnsi="Book Antiqua"/>
                    <w:sz w:val="20"/>
                  </w:rPr>
                </m:ctrlPr>
              </m:fPr>
              <m:num>
                <m:r>
                  <m:rPr>
                    <m:sty m:val="p"/>
                  </m:rPr>
                  <w:rPr>
                    <w:rFonts w:ascii="Cambria Math" w:hAnsi="Book Antiqua"/>
                    <w:sz w:val="20"/>
                  </w:rPr>
                  <m:t>1</m:t>
                </m:r>
              </m:num>
              <m:den>
                <m:r>
                  <w:rPr>
                    <w:rFonts w:ascii="Cambria Math" w:hAnsi="Cambria Math"/>
                    <w:sz w:val="20"/>
                  </w:rPr>
                  <m:t>G</m:t>
                </m:r>
              </m:den>
            </m:f>
          </m:e>
        </m:d>
        <m:d>
          <m:dPr>
            <m:ctrlPr>
              <w:rPr>
                <w:rFonts w:ascii="Cambria Math" w:hAnsi="Book Antiqua"/>
                <w:sz w:val="20"/>
              </w:rPr>
            </m:ctrlPr>
          </m:dPr>
          <m:e>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e>
        </m:d>
        <m:r>
          <m:rPr>
            <m:sty m:val="p"/>
          </m:rPr>
          <w:rPr>
            <w:rFonts w:ascii="Cambria Math" w:hAnsi="Book Antiqua"/>
            <w:sz w:val="20"/>
          </w:rPr>
          <m:t xml:space="preserve">= 9.066 </m:t>
        </m:r>
        <m:r>
          <w:rPr>
            <w:rFonts w:ascii="Cambria Math" w:hAnsi="Cambria Math"/>
            <w:sz w:val="20"/>
          </w:rPr>
          <m:t>x</m:t>
        </m:r>
        <m:r>
          <m:rPr>
            <m:sty m:val="p"/>
          </m:rPr>
          <w:rPr>
            <w:rFonts w:ascii="Cambria Math" w:hAnsi="Book Antiqua"/>
            <w:sz w:val="20"/>
          </w:rPr>
          <m:t xml:space="preserve"> </m:t>
        </m:r>
        <m:sSup>
          <m:sSupPr>
            <m:ctrlPr>
              <w:rPr>
                <w:rFonts w:ascii="Cambria Math" w:hAnsi="Book Antiqua"/>
                <w:sz w:val="20"/>
              </w:rPr>
            </m:ctrlPr>
          </m:sSupPr>
          <m:e>
            <m:r>
              <m:rPr>
                <m:sty m:val="p"/>
              </m:rPr>
              <w:rPr>
                <w:rFonts w:ascii="Cambria Math" w:hAnsi="Book Antiqua"/>
                <w:sz w:val="20"/>
              </w:rPr>
              <m:t>10</m:t>
            </m:r>
          </m:e>
          <m:sup>
            <m:r>
              <m:rPr>
                <m:sty m:val="p"/>
              </m:rPr>
              <w:rPr>
                <w:rFonts w:ascii="Cambria Math" w:hAnsi="Book Antiqua"/>
                <w:sz w:val="20"/>
              </w:rPr>
              <m:t>-</m:t>
            </m:r>
            <m:r>
              <m:rPr>
                <m:sty m:val="p"/>
              </m:rPr>
              <w:rPr>
                <w:rFonts w:ascii="Cambria Math" w:hAnsi="Book Antiqua"/>
                <w:sz w:val="20"/>
              </w:rPr>
              <m:t>31</m:t>
            </m:r>
          </m:sup>
        </m:sSup>
        <m:r>
          <m:rPr>
            <m:sty m:val="p"/>
          </m:rPr>
          <w:rPr>
            <w:rFonts w:ascii="Cambria Math" w:hAnsi="Book Antiqua"/>
            <w:sz w:val="20"/>
          </w:rPr>
          <m:t xml:space="preserve"> </m:t>
        </m:r>
        <m:r>
          <w:rPr>
            <w:rFonts w:ascii="Cambria Math" w:hAnsi="Cambria Math"/>
            <w:sz w:val="20"/>
          </w:rPr>
          <m:t>kilograms</m:t>
        </m:r>
        <m:r>
          <m:rPr>
            <m:sty m:val="p"/>
          </m:rPr>
          <w:rPr>
            <w:rFonts w:ascii="Cambria Math" w:hAnsi="Book Antiqua"/>
            <w:sz w:val="20"/>
          </w:rPr>
          <m:t xml:space="preserve">  </m:t>
        </m:r>
      </m:oMath>
      <w:r w:rsidRPr="00D114A4">
        <w:rPr>
          <w:rFonts w:ascii="Book Antiqua" w:hAnsi="Book Antiqua"/>
          <w:sz w:val="20"/>
        </w:rPr>
        <w:t xml:space="preserve"> .</w:t>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r>
      <w:r w:rsidRPr="00D114A4">
        <w:rPr>
          <w:rFonts w:ascii="Book Antiqua" w:hAnsi="Book Antiqua"/>
          <w:sz w:val="20"/>
        </w:rPr>
        <w:tab/>
        <w:t>(61)</w:t>
      </w:r>
    </w:p>
    <w:p w:rsidR="00D114A4" w:rsidRPr="00D114A4" w:rsidRDefault="00D114A4" w:rsidP="00D114A4">
      <w:pPr>
        <w:pStyle w:val="NoSpacing"/>
        <w:jc w:val="both"/>
        <w:rPr>
          <w:rFonts w:ascii="Book Antiqua" w:hAnsi="Book Antiqua"/>
          <w:sz w:val="20"/>
        </w:rPr>
      </w:pPr>
    </w:p>
    <w:p w:rsidR="00D114A4" w:rsidRPr="00D114A4" w:rsidRDefault="00D114A4" w:rsidP="00D114A4">
      <w:pPr>
        <w:pStyle w:val="NoSpacing"/>
        <w:jc w:val="both"/>
        <w:rPr>
          <w:rFonts w:ascii="Book Antiqua" w:hAnsi="Book Antiqua"/>
          <w:sz w:val="20"/>
        </w:rPr>
      </w:pPr>
      <w:r w:rsidRPr="00D114A4">
        <w:rPr>
          <w:rFonts w:ascii="Book Antiqua" w:hAnsi="Book Antiqua"/>
          <w:sz w:val="20"/>
        </w:rPr>
        <w:t xml:space="preserve">Analysis of (61) reveals that the dimensions of m are indeed kilograms. This follows since </w:t>
      </w:r>
      <m:oMath>
        <m:r>
          <w:rPr>
            <w:rFonts w:ascii="Cambria Math" w:hAnsi="Cambria Math"/>
            <w:sz w:val="20"/>
          </w:rPr>
          <m:t>G</m:t>
        </m:r>
      </m:oMath>
      <w:r w:rsidRPr="00D114A4">
        <w:rPr>
          <w:rFonts w:ascii="Book Antiqua" w:hAnsi="Book Antiqua"/>
          <w:sz w:val="20"/>
        </w:rPr>
        <w:t xml:space="preserve"> has the dimensions of    </w:t>
      </w:r>
      <m:oMath>
        <m:r>
          <m:rPr>
            <m:sty m:val="p"/>
          </m:rPr>
          <w:rPr>
            <w:rFonts w:ascii="Cambria Math" w:hAnsi="Book Antiqua"/>
            <w:sz w:val="20"/>
          </w:rPr>
          <m:t>[</m:t>
        </m:r>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r>
          <m:rPr>
            <m:sty m:val="p"/>
          </m:rPr>
          <w:rPr>
            <w:rFonts w:ascii="Cambria Math" w:hAnsi="Book Antiqua"/>
            <w:sz w:val="20"/>
          </w:rPr>
          <m:t xml:space="preserve"> (</m:t>
        </m:r>
        <m:r>
          <w:rPr>
            <w:rFonts w:ascii="Cambria Math" w:hAnsi="Cambria Math"/>
            <w:sz w:val="20"/>
          </w:rPr>
          <m:t>meters</m:t>
        </m:r>
        <m:r>
          <m:rPr>
            <m:sty m:val="p"/>
          </m:rPr>
          <w:rPr>
            <w:rFonts w:ascii="Cambria Math" w:hAnsi="Book Antiqua"/>
            <w:sz w:val="20"/>
          </w:rPr>
          <m:t>) (1/</m:t>
        </m:r>
        <m:r>
          <w:rPr>
            <w:rFonts w:ascii="Cambria Math" w:hAnsi="Cambria Math"/>
            <w:sz w:val="20"/>
          </w:rPr>
          <m:t>kilograms</m:t>
        </m:r>
        <m:r>
          <m:rPr>
            <m:sty m:val="p"/>
          </m:rPr>
          <w:rPr>
            <w:rFonts w:ascii="Cambria Math" w:hAnsi="Book Antiqua"/>
            <w:sz w:val="20"/>
          </w:rPr>
          <m:t>)</m:t>
        </m:r>
      </m:oMath>
      <w:r w:rsidRPr="00D114A4">
        <w:rPr>
          <w:rFonts w:ascii="Book Antiqua" w:hAnsi="Book Antiqua"/>
          <w:sz w:val="20"/>
        </w:rPr>
        <w:t xml:space="preserve">], while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is in </w:t>
      </w:r>
      <m:oMath>
        <m:sSup>
          <m:sSupPr>
            <m:ctrlPr>
              <w:rPr>
                <w:rFonts w:ascii="Cambria Math" w:hAnsi="Book Antiqua"/>
                <w:sz w:val="20"/>
              </w:rPr>
            </m:ctrlPr>
          </m:sSupPr>
          <m:e>
            <m:r>
              <m:rPr>
                <m:sty m:val="p"/>
              </m:rPr>
              <w:rPr>
                <w:rFonts w:ascii="Cambria Math" w:hAnsi="Book Antiqua"/>
                <w:sz w:val="20"/>
              </w:rPr>
              <m:t>(</m:t>
            </m:r>
            <m:r>
              <w:rPr>
                <w:rFonts w:ascii="Cambria Math" w:hAnsi="Cambria Math"/>
                <w:sz w:val="20"/>
              </w:rPr>
              <m:t>meters</m:t>
            </m:r>
            <m:r>
              <m:rPr>
                <m:sty m:val="p"/>
              </m:rPr>
              <w:rPr>
                <w:rFonts w:ascii="Cambria Math" w:hAnsi="Book Antiqua"/>
                <w:sz w:val="20"/>
              </w:rPr>
              <m:t>/</m:t>
            </m:r>
            <m:r>
              <w:rPr>
                <w:rFonts w:ascii="Cambria Math" w:hAnsi="Cambria Math"/>
                <w:sz w:val="20"/>
              </w:rPr>
              <m:t>second</m:t>
            </m:r>
            <m:r>
              <m:rPr>
                <m:sty m:val="p"/>
              </m:rPr>
              <w:rPr>
                <w:rFonts w:ascii="Cambria Math" w:hAnsi="Book Antiqua"/>
                <w:sz w:val="20"/>
              </w:rPr>
              <m:t>)</m:t>
            </m:r>
          </m:e>
          <m:sup>
            <m:r>
              <m:rPr>
                <m:sty m:val="p"/>
              </m:rPr>
              <w:rPr>
                <w:rFonts w:ascii="Cambria Math" w:hAnsi="Book Antiqua"/>
                <w:sz w:val="20"/>
              </w:rPr>
              <m:t>2</m:t>
            </m:r>
          </m:sup>
        </m:sSup>
      </m:oMath>
      <w:r w:rsidRPr="00D114A4">
        <w:rPr>
          <w:rFonts w:ascii="Book Antiqua" w:hAnsi="Book Antiqua"/>
          <w:sz w:val="20"/>
        </w:rPr>
        <w:t xml:space="preserve">, and </w:t>
      </w:r>
      <m:oMath>
        <m:sSub>
          <m:sSubPr>
            <m:ctrlPr>
              <w:rPr>
                <w:rFonts w:ascii="Cambria Math" w:hAnsi="Book Antiqua"/>
                <w:sz w:val="20"/>
              </w:rPr>
            </m:ctrlPr>
          </m:sSubPr>
          <m:e>
            <m:r>
              <w:rPr>
                <w:rFonts w:ascii="Cambria Math" w:hAnsi="Cambria Math"/>
                <w:sz w:val="20"/>
              </w:rPr>
              <m:t>r</m:t>
            </m:r>
          </m:e>
          <m:sub>
            <m:r>
              <m:rPr>
                <m:sty m:val="p"/>
              </m:rPr>
              <w:rPr>
                <w:rFonts w:ascii="Cambria Math" w:hAnsi="Book Antiqua"/>
                <w:sz w:val="20"/>
              </w:rPr>
              <m:t>0</m:t>
            </m:r>
          </m:sub>
        </m:sSub>
      </m:oMath>
      <w:r w:rsidRPr="00D114A4">
        <w:rPr>
          <w:rFonts w:ascii="Book Antiqua" w:hAnsi="Book Antiqua"/>
          <w:sz w:val="20"/>
        </w:rPr>
        <w:t xml:space="preserve"> in meters. This leaves </w:t>
      </w:r>
      <m:oMath>
        <m:r>
          <w:rPr>
            <w:rFonts w:ascii="Cambria Math" w:hAnsi="Cambria Math"/>
            <w:sz w:val="20"/>
          </w:rPr>
          <m:t>m</m:t>
        </m:r>
      </m:oMath>
      <w:r w:rsidRPr="00D114A4">
        <w:rPr>
          <w:rFonts w:ascii="Book Antiqua" w:hAnsi="Book Antiqua"/>
          <w:sz w:val="20"/>
        </w:rPr>
        <w:t xml:space="preserve"> in kilograms.</w:t>
      </w:r>
    </w:p>
    <w:p w:rsidR="00D114A4" w:rsidRPr="00D114A4" w:rsidRDefault="00D114A4" w:rsidP="00D114A4">
      <w:pPr>
        <w:pStyle w:val="NoSpacing"/>
        <w:ind w:firstLine="720"/>
        <w:jc w:val="both"/>
        <w:rPr>
          <w:rFonts w:ascii="Book Antiqua" w:hAnsi="Book Antiqua"/>
          <w:sz w:val="20"/>
        </w:rPr>
      </w:pPr>
    </w:p>
    <w:p w:rsidR="00820B57" w:rsidRPr="00B9776F" w:rsidRDefault="00D114A4" w:rsidP="00820B57">
      <w:pPr>
        <w:pStyle w:val="NoSpacing"/>
        <w:ind w:firstLine="720"/>
        <w:jc w:val="both"/>
        <w:rPr>
          <w:rFonts w:ascii="Book Antiqua" w:hAnsi="Book Antiqua"/>
          <w:sz w:val="20"/>
        </w:rPr>
      </w:pPr>
      <w:r w:rsidRPr="00D114A4">
        <w:rPr>
          <w:rFonts w:ascii="Book Antiqua" w:hAnsi="Book Antiqua"/>
          <w:sz w:val="20"/>
        </w:rPr>
        <w:t xml:space="preserve">With both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and atomic mass, </w:t>
      </w:r>
      <m:oMath>
        <m:r>
          <w:rPr>
            <w:rFonts w:ascii="Cambria Math" w:hAnsi="Cambria Math"/>
            <w:sz w:val="20"/>
          </w:rPr>
          <m:t>m</m:t>
        </m:r>
      </m:oMath>
      <w:r w:rsidRPr="00D114A4">
        <w:rPr>
          <w:rFonts w:ascii="Book Antiqua" w:hAnsi="Book Antiqua"/>
          <w:sz w:val="20"/>
        </w:rPr>
        <w:t xml:space="preserve">, having units of kilograms, their product in (56) assures us that the dimensions of gravitational mass, </w:t>
      </w:r>
      <m:oMath>
        <m:r>
          <w:rPr>
            <w:rFonts w:ascii="Cambria Math" w:hAnsi="Cambria Math"/>
            <w:sz w:val="20"/>
          </w:rPr>
          <m:t>M</m:t>
        </m:r>
      </m:oMath>
      <w:r w:rsidRPr="00D114A4">
        <w:rPr>
          <w:rFonts w:ascii="Book Antiqua" w:hAnsi="Book Antiqua"/>
          <w:sz w:val="20"/>
        </w:rPr>
        <w:t xml:space="preserve">, is also in kilograms and therefore has units of mass. The behavior of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and </w:t>
      </w:r>
      <m:oMath>
        <m:r>
          <w:rPr>
            <w:rFonts w:ascii="Cambria Math" w:hAnsi="Cambria Math"/>
            <w:sz w:val="20"/>
          </w:rPr>
          <m:t>m</m:t>
        </m:r>
      </m:oMath>
      <w:r w:rsidRPr="00D114A4">
        <w:rPr>
          <w:rFonts w:ascii="Book Antiqua" w:hAnsi="Book Antiqua"/>
          <w:sz w:val="20"/>
        </w:rPr>
        <w:t xml:space="preserve"> is such that the intrinsic mass is proportional to </w:t>
      </w:r>
      <m:oMath>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is the same as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U</m:t>
            </m:r>
            <m:r>
              <m:rPr>
                <m:sty m:val="p"/>
              </m:rPr>
              <w:rPr>
                <w:rFonts w:ascii="Cambria Math" w:hAnsi="Book Antiqua"/>
                <w:sz w:val="20"/>
              </w:rPr>
              <m:t xml:space="preserve"> </m:t>
            </m:r>
          </m:e>
          <m:sup>
            <m:r>
              <m:rPr>
                <m:sty m:val="p"/>
              </m:rPr>
              <w:rPr>
                <w:rFonts w:ascii="Cambria Math" w:hAnsi="Book Antiqua"/>
                <w:sz w:val="20"/>
              </w:rPr>
              <m:t>2</m:t>
            </m:r>
          </m:sup>
        </m:sSup>
      </m:oMath>
      <w:r w:rsidRPr="00D114A4">
        <w:rPr>
          <w:rFonts w:ascii="Book Antiqua" w:hAnsi="Book Antiqua"/>
          <w:sz w:val="20"/>
        </w:rPr>
        <w:t xml:space="preserve"> or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h</m:t>
            </m:r>
          </m:e>
          <m:sup>
            <m:r>
              <m:rPr>
                <m:sty m:val="p"/>
              </m:rPr>
              <w:rPr>
                <w:rFonts w:ascii="Cambria Math" w:hAnsi="Book Antiqua"/>
                <w:sz w:val="20"/>
              </w:rPr>
              <m:t>2</m:t>
            </m:r>
          </m:sup>
        </m:sSup>
      </m:oMath>
      <w:r w:rsidRPr="00D114A4">
        <w:rPr>
          <w:rFonts w:ascii="Book Antiqua" w:hAnsi="Book Antiqua"/>
          <w:sz w:val="20"/>
        </w:rPr>
        <w:t xml:space="preserve">. Therefore, as the ZPE strength increases, the intrinsic mass, </w:t>
      </w:r>
      <m:oMath>
        <m:sSup>
          <m:sSupPr>
            <m:ctrlPr>
              <w:rPr>
                <w:rFonts w:ascii="Cambria Math" w:hAnsi="Book Antiqua"/>
                <w:sz w:val="20"/>
              </w:rPr>
            </m:ctrlPr>
          </m:sSupPr>
          <m:e>
            <m:r>
              <w:rPr>
                <w:rFonts w:ascii="Cambria Math" w:hAnsi="Cambria Math"/>
                <w:sz w:val="20"/>
              </w:rPr>
              <m:t>m</m:t>
            </m:r>
          </m:e>
          <m:sup>
            <m:r>
              <m:rPr>
                <m:sty m:val="p"/>
              </m:rPr>
              <w:rPr>
                <w:rFonts w:ascii="Cambria Math" w:hAnsi="Cambria Math"/>
                <w:sz w:val="20"/>
              </w:rPr>
              <m:t>*</m:t>
            </m:r>
          </m:sup>
        </m:sSup>
      </m:oMath>
      <w:r w:rsidRPr="00D114A4">
        <w:rPr>
          <w:rFonts w:ascii="Book Antiqua" w:hAnsi="Book Antiqua"/>
          <w:sz w:val="20"/>
        </w:rPr>
        <w:t xml:space="preserve">, will decrease, as shown by (25). In contra-distinction to intrinsic mass, atomic mass, </w:t>
      </w:r>
      <m:oMath>
        <m:r>
          <w:rPr>
            <w:rFonts w:ascii="Cambria Math" w:hAnsi="Cambria Math"/>
            <w:sz w:val="20"/>
          </w:rPr>
          <m:t>m</m:t>
        </m:r>
      </m:oMath>
      <w:r w:rsidRPr="00D114A4">
        <w:rPr>
          <w:rFonts w:ascii="Book Antiqua" w:hAnsi="Book Antiqua"/>
          <w:sz w:val="20"/>
        </w:rPr>
        <w:t xml:space="preserve">, is proportional to </w:t>
      </w:r>
      <m:oMath>
        <m:sSup>
          <m:sSupPr>
            <m:ctrlPr>
              <w:rPr>
                <w:rFonts w:ascii="Cambria Math" w:hAnsi="Book Antiqua"/>
                <w:sz w:val="20"/>
              </w:rPr>
            </m:ctrlPr>
          </m:sSupPr>
          <m:e>
            <m:r>
              <m:rPr>
                <m:sty m:val="p"/>
              </m:rPr>
              <w:rPr>
                <w:rFonts w:ascii="Cambria Math" w:hAnsi="Book Antiqua"/>
                <w:sz w:val="20"/>
              </w:rPr>
              <m:t>1/</m:t>
            </m:r>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 xml:space="preserve">, which allows energy to be conserved in atomic interactions as required by </w:t>
      </w:r>
      <m:oMath>
        <m:r>
          <w:rPr>
            <w:rFonts w:ascii="Cambria Math" w:hAnsi="Cambria Math"/>
            <w:sz w:val="20"/>
          </w:rPr>
          <m:t>E</m:t>
        </m:r>
        <m:r>
          <m:rPr>
            <m:sty m:val="p"/>
          </m:rPr>
          <w:rPr>
            <w:rFonts w:ascii="Cambria Math" w:hAnsi="Book Antiqua"/>
            <w:sz w:val="20"/>
          </w:rPr>
          <m:t xml:space="preserve"> = </m:t>
        </m:r>
        <m:r>
          <w:rPr>
            <w:rFonts w:ascii="Cambria Math" w:hAnsi="Cambria Math"/>
            <w:sz w:val="20"/>
          </w:rPr>
          <m:t>m</m:t>
        </m:r>
        <m:sSup>
          <m:sSupPr>
            <m:ctrlPr>
              <w:rPr>
                <w:rFonts w:ascii="Cambria Math" w:hAnsi="Book Antiqua"/>
                <w:sz w:val="20"/>
              </w:rPr>
            </m:ctrlPr>
          </m:sSupPr>
          <m:e>
            <m:r>
              <w:rPr>
                <w:rFonts w:ascii="Cambria Math" w:hAnsi="Cambria Math"/>
                <w:sz w:val="20"/>
              </w:rPr>
              <m:t>c</m:t>
            </m:r>
          </m:e>
          <m:sup>
            <m:r>
              <m:rPr>
                <m:sty m:val="p"/>
              </m:rPr>
              <w:rPr>
                <w:rFonts w:ascii="Cambria Math" w:hAnsi="Book Antiqua"/>
                <w:sz w:val="20"/>
              </w:rPr>
              <m:t>2</m:t>
            </m:r>
          </m:sup>
        </m:sSup>
      </m:oMath>
      <w:r w:rsidRPr="00D114A4">
        <w:rPr>
          <w:rFonts w:ascii="Book Antiqua" w:hAnsi="Book Antiqua"/>
          <w:sz w:val="20"/>
        </w:rPr>
        <w:t>.</w:t>
      </w:r>
      <w:r>
        <w:rPr>
          <w:rFonts w:ascii="Book Antiqua" w:hAnsi="Book Antiqua"/>
          <w:sz w:val="20"/>
        </w:rPr>
        <w:t xml:space="preserve"> </w:t>
      </w:r>
      <w:r w:rsidR="00820B57" w:rsidRPr="00B9776F">
        <w:rPr>
          <w:rFonts w:ascii="Book Antiqua" w:hAnsi="Book Antiqua"/>
          <w:sz w:val="20"/>
        </w:rPr>
        <w:t xml:space="preserve">Experimentally, this has proven to be true in the atomic realm. These results finally require that the gravitational mass, </w:t>
      </w:r>
      <w:r w:rsidR="00820B57" w:rsidRPr="00B9776F">
        <w:rPr>
          <w:rFonts w:ascii="Book Antiqua" w:hAnsi="Book Antiqua"/>
          <w:i/>
          <w:sz w:val="20"/>
        </w:rPr>
        <w:t>M</w:t>
      </w:r>
      <w:r w:rsidR="00820B57" w:rsidRPr="00B9776F">
        <w:rPr>
          <w:rFonts w:ascii="Book Antiqua" w:hAnsi="Book Antiqua"/>
          <w:sz w:val="20"/>
        </w:rPr>
        <w:t xml:space="preserve">, be constant as the ZPE strength changes. </w:t>
      </w:r>
    </w:p>
    <w:p w:rsidR="00820B57" w:rsidRPr="00B9776F" w:rsidRDefault="00820B57"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 xml:space="preserve">Although the three masses are distinct from each other, their numerical values are approximately the same. This should be anticipated since, 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were once more standardized. Further developments required that the definitions be slightly revised again in 1979. These results are therefore in accord with experimental data and current standards.</w:t>
      </w:r>
      <w:r w:rsidR="00150686">
        <w:rPr>
          <w:rFonts w:ascii="Book Antiqua" w:hAnsi="Book Antiqua"/>
          <w:sz w:val="20"/>
        </w:rPr>
        <w:t xml:space="preserve"> </w:t>
      </w:r>
      <w:r w:rsidRPr="00B9776F">
        <w:rPr>
          <w:rFonts w:ascii="Book Antiqua" w:hAnsi="Book Antiqua"/>
          <w:sz w:val="20"/>
        </w:rPr>
        <w:t xml:space="preserve">When allowance is made for the uncertainty in the oscillation frequency for </w:t>
      </w:r>
      <m:oMath>
        <m:r>
          <w:rPr>
            <w:rFonts w:ascii="Cambria Math" w:hAnsi="Cambria Math" w:cs="Cambria Math"/>
            <w:sz w:val="20"/>
          </w:rPr>
          <m:t>m</m:t>
        </m:r>
      </m:oMath>
      <w:r w:rsidRPr="00B9776F">
        <w:rPr>
          <w:rFonts w:ascii="Book Antiqua" w:hAnsi="Book Antiqua"/>
          <w:sz w:val="20"/>
        </w:rPr>
        <w:t>, then the three masses are very close to the same value as a result of recent re-definitions. Thus the difference between the three masses is not great when the approach used here is adopted.</w:t>
      </w:r>
    </w:p>
    <w:p w:rsidR="00123FF5" w:rsidRDefault="00123FF5" w:rsidP="00820B57">
      <w:pPr>
        <w:pStyle w:val="NoSpacing"/>
        <w:ind w:firstLine="720"/>
        <w:jc w:val="both"/>
        <w:rPr>
          <w:rFonts w:ascii="Book Antiqua" w:hAnsi="Book Antiqua"/>
          <w:sz w:val="20"/>
        </w:rPr>
      </w:pPr>
    </w:p>
    <w:p w:rsidR="007F2BEC"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lastRenderedPageBreak/>
        <w:t>2.2</w:t>
      </w:r>
      <w:r w:rsidR="007F2BEC" w:rsidRPr="00B9776F">
        <w:rPr>
          <w:rFonts w:ascii="Book Antiqua" w:hAnsi="Book Antiqua" w:cs="Times New Roman"/>
          <w:b w:val="0"/>
          <w:sz w:val="20"/>
          <w:szCs w:val="20"/>
        </w:rPr>
        <w:t xml:space="preserve">  </w:t>
      </w:r>
      <w:r w:rsidR="007F2BEC">
        <w:rPr>
          <w:rFonts w:ascii="Book Antiqua" w:hAnsi="Book Antiqua" w:cs="Times New Roman"/>
          <w:b w:val="0"/>
          <w:sz w:val="20"/>
          <w:szCs w:val="20"/>
        </w:rPr>
        <w:t>A Parallel Example From Electronics</w:t>
      </w:r>
    </w:p>
    <w:p w:rsidR="007F2BEC" w:rsidRDefault="007F2BEC" w:rsidP="00820B57">
      <w:pPr>
        <w:pStyle w:val="NoSpacing"/>
        <w:ind w:firstLine="720"/>
        <w:jc w:val="both"/>
        <w:rPr>
          <w:rFonts w:ascii="Book Antiqua" w:hAnsi="Book Antiqua"/>
          <w:sz w:val="20"/>
        </w:rPr>
      </w:pPr>
    </w:p>
    <w:p w:rsidR="00123FF5" w:rsidRDefault="00123FF5" w:rsidP="00820B57">
      <w:pPr>
        <w:pStyle w:val="NoSpacing"/>
        <w:ind w:firstLine="720"/>
        <w:jc w:val="both"/>
        <w:rPr>
          <w:rFonts w:ascii="Book Antiqua" w:hAnsi="Book Antiqua"/>
          <w:sz w:val="20"/>
        </w:rPr>
      </w:pPr>
      <w:r>
        <w:rPr>
          <w:rFonts w:ascii="Book Antiqua" w:hAnsi="Book Antiqua"/>
          <w:sz w:val="20"/>
        </w:rPr>
        <w:t xml:space="preserve">This relationship between masses has its counterpart in electronics. There, the mutual inductance, </w:t>
      </w:r>
      <m:oMath>
        <m:r>
          <w:rPr>
            <w:rFonts w:ascii="Cambria Math" w:hAnsi="Cambria Math"/>
            <w:sz w:val="20"/>
          </w:rPr>
          <m:t>L</m:t>
        </m:r>
      </m:oMath>
      <w:r>
        <w:rPr>
          <w:rFonts w:ascii="Book Antiqua" w:hAnsi="Book Antiqua"/>
          <w:sz w:val="20"/>
        </w:rPr>
        <w:t>, between two coils</w:t>
      </w:r>
      <w:r w:rsidR="004572C3">
        <w:rPr>
          <w:rFonts w:ascii="Book Antiqua" w:hAnsi="Book Antiqua"/>
          <w:sz w:val="20"/>
        </w:rPr>
        <w:t>,</w:t>
      </w:r>
      <w:r>
        <w:rPr>
          <w:rFonts w:ascii="Book Antiqua" w:hAnsi="Book Antiqua"/>
          <w:sz w:val="20"/>
        </w:rPr>
        <w:t xml:space="preserve"> whose inductances are </w:t>
      </w:r>
      <m:oMath>
        <m:r>
          <w:rPr>
            <w:rFonts w:ascii="Cambria Math" w:hAnsi="Cambria Math"/>
            <w:sz w:val="20"/>
          </w:rPr>
          <m:t>l</m:t>
        </m:r>
      </m:oMath>
      <w:r>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Pr>
          <w:rFonts w:ascii="Book Antiqua" w:hAnsi="Book Antiqua"/>
          <w:sz w:val="20"/>
        </w:rPr>
        <w:t xml:space="preserve"> respectively</w:t>
      </w:r>
      <w:r w:rsidR="004572C3">
        <w:rPr>
          <w:rFonts w:ascii="Book Antiqua" w:hAnsi="Book Antiqua"/>
          <w:sz w:val="20"/>
        </w:rPr>
        <w:t>,</w:t>
      </w:r>
      <w:r>
        <w:rPr>
          <w:rFonts w:ascii="Book Antiqua" w:hAnsi="Book Antiqua"/>
          <w:sz w:val="20"/>
        </w:rPr>
        <w:t xml:space="preserve"> has exactly the same</w:t>
      </w:r>
      <w:r w:rsidR="005F51F7">
        <w:rPr>
          <w:rFonts w:ascii="Book Antiqua" w:hAnsi="Book Antiqua"/>
          <w:sz w:val="20"/>
        </w:rPr>
        <w:t xml:space="preserve"> mathematical and physical </w:t>
      </w:r>
      <w:r>
        <w:rPr>
          <w:rFonts w:ascii="Book Antiqua" w:hAnsi="Book Antiqua"/>
          <w:sz w:val="20"/>
        </w:rPr>
        <w:t>form, namely</w:t>
      </w:r>
      <w:r w:rsidR="00FF10FD">
        <w:rPr>
          <w:rFonts w:ascii="Book Antiqua" w:hAnsi="Book Antiqua"/>
          <w:sz w:val="20"/>
        </w:rPr>
        <w:t>:</w:t>
      </w:r>
    </w:p>
    <w:p w:rsidR="00FF10FD" w:rsidRDefault="00FF10FD" w:rsidP="00820B57">
      <w:pPr>
        <w:pStyle w:val="NoSpacing"/>
        <w:ind w:firstLine="720"/>
        <w:jc w:val="both"/>
        <w:rPr>
          <w:rFonts w:ascii="Book Antiqua" w:hAnsi="Book Antiqua"/>
          <w:sz w:val="20"/>
        </w:rPr>
      </w:pPr>
    </w:p>
    <w:p w:rsidR="00FF10FD" w:rsidRDefault="003629F1" w:rsidP="00DC39B2">
      <w:pPr>
        <w:pStyle w:val="NoSpacing"/>
        <w:ind w:firstLine="720"/>
        <w:jc w:val="right"/>
        <w:rPr>
          <w:rFonts w:ascii="Book Antiqua" w:hAnsi="Book Antiqua"/>
          <w:sz w:val="20"/>
        </w:rPr>
      </w:pPr>
      <m:oMath>
        <m:r>
          <w:rPr>
            <w:rFonts w:ascii="Cambria Math" w:hAnsi="Cambria Math"/>
            <w:sz w:val="20"/>
          </w:rPr>
          <m:t>L=k √(</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Pr>
          <w:rFonts w:ascii="Book Antiqua" w:hAnsi="Book Antiqua"/>
          <w:sz w:val="20"/>
        </w:rPr>
        <w:t xml:space="preserve">  </w:t>
      </w:r>
      <w:r w:rsidR="00FF10FD">
        <w:rPr>
          <w:rFonts w:ascii="Book Antiqua" w:hAnsi="Book Antiqua"/>
          <w:sz w:val="20"/>
        </w:rPr>
        <w:t xml:space="preserve">     </w:t>
      </w:r>
      <w:r w:rsidR="00FF10FD" w:rsidRPr="000C6232">
        <w:rPr>
          <w:rFonts w:ascii="Book Antiqua" w:hAnsi="Book Antiqua"/>
          <w:i/>
          <w:sz w:val="20"/>
        </w:rPr>
        <w:t>or alternately</w:t>
      </w:r>
      <w:r w:rsidR="00FF10FD">
        <w:rPr>
          <w:rFonts w:ascii="Book Antiqua" w:hAnsi="Book Antiqua"/>
          <w:sz w:val="20"/>
        </w:rPr>
        <w:t xml:space="preserve">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r>
          <w:rPr>
            <w:rFonts w:ascii="Cambria Math" w:hAnsi="Cambria Math"/>
            <w:sz w:val="20"/>
          </w:rPr>
          <m:t>(</m:t>
        </m:r>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r>
          <w:rPr>
            <w:rFonts w:ascii="Cambria Math" w:hAnsi="Cambria Math"/>
            <w:sz w:val="20"/>
          </w:rPr>
          <m:t>)</m:t>
        </m:r>
      </m:oMath>
      <w:r w:rsidR="00FF10FD">
        <w:rPr>
          <w:rFonts w:ascii="Book Antiqua" w:hAnsi="Book Antiqua"/>
          <w:sz w:val="20"/>
        </w:rPr>
        <w:t xml:space="preserve"> </w:t>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DC39B2">
        <w:rPr>
          <w:rFonts w:ascii="Book Antiqua" w:hAnsi="Book Antiqua"/>
          <w:sz w:val="20"/>
        </w:rPr>
        <w:tab/>
      </w:r>
      <w:r w:rsidR="00FF10FD" w:rsidRPr="00663DBB">
        <w:rPr>
          <w:rFonts w:ascii="Book Antiqua" w:hAnsi="Book Antiqua"/>
          <w:i/>
          <w:sz w:val="20"/>
        </w:rPr>
        <w:t>(6</w:t>
      </w:r>
      <w:r w:rsidR="00663DBB" w:rsidRPr="00663DBB">
        <w:rPr>
          <w:rFonts w:ascii="Book Antiqua" w:hAnsi="Book Antiqua"/>
          <w:i/>
          <w:sz w:val="20"/>
        </w:rPr>
        <w:t>2</w:t>
      </w:r>
      <w:r w:rsidR="00FF10FD" w:rsidRPr="00663DBB">
        <w:rPr>
          <w:rFonts w:ascii="Book Antiqua" w:hAnsi="Book Antiqua"/>
          <w:i/>
          <w:sz w:val="20"/>
        </w:rPr>
        <w:t>)</w:t>
      </w:r>
    </w:p>
    <w:p w:rsidR="000C6232" w:rsidRDefault="000C6232" w:rsidP="000C6232">
      <w:pPr>
        <w:pStyle w:val="NoSpacing"/>
        <w:rPr>
          <w:rFonts w:ascii="Book Antiqua" w:hAnsi="Book Antiqua"/>
          <w:sz w:val="20"/>
        </w:rPr>
      </w:pPr>
    </w:p>
    <w:p w:rsidR="000C6232" w:rsidRDefault="002F390B" w:rsidP="000C6232">
      <w:pPr>
        <w:pStyle w:val="NoSpacing"/>
        <w:rPr>
          <w:rFonts w:ascii="Book Antiqua" w:hAnsi="Book Antiqua"/>
          <w:sz w:val="20"/>
        </w:rPr>
      </w:pPr>
      <w:r>
        <w:rPr>
          <w:rFonts w:ascii="Book Antiqua" w:hAnsi="Book Antiqua"/>
          <w:sz w:val="20"/>
        </w:rPr>
        <w:t xml:space="preserve">[See for example: </w:t>
      </w:r>
      <w:hyperlink r:id="rId163" w:history="1">
        <w:r w:rsidRPr="00B63012">
          <w:rPr>
            <w:rStyle w:val="Hyperlink"/>
            <w:rFonts w:ascii="Book Antiqua" w:hAnsi="Book Antiqua"/>
            <w:i/>
            <w:sz w:val="20"/>
          </w:rPr>
          <w:t>http://en.wikipedia.org/wiki/Inductance</w:t>
        </w:r>
      </w:hyperlink>
      <w:r>
        <w:rPr>
          <w:rFonts w:ascii="Book Antiqua" w:hAnsi="Book Antiqua"/>
          <w:sz w:val="20"/>
        </w:rPr>
        <w:t xml:space="preserve">]. </w:t>
      </w:r>
      <w:r w:rsidR="000C6232">
        <w:rPr>
          <w:rFonts w:ascii="Book Antiqua" w:hAnsi="Book Antiqua"/>
          <w:sz w:val="20"/>
        </w:rPr>
        <w:t>In th</w:t>
      </w:r>
      <w:r>
        <w:rPr>
          <w:rFonts w:ascii="Book Antiqua" w:hAnsi="Book Antiqua"/>
          <w:sz w:val="20"/>
        </w:rPr>
        <w:t xml:space="preserve">e case of </w:t>
      </w:r>
      <w:r w:rsidR="000C6232">
        <w:rPr>
          <w:rFonts w:ascii="Book Antiqua" w:hAnsi="Book Antiqua"/>
          <w:sz w:val="20"/>
        </w:rPr>
        <w:t>electronics</w:t>
      </w:r>
      <w:r>
        <w:rPr>
          <w:rFonts w:ascii="Book Antiqua" w:hAnsi="Book Antiqua"/>
          <w:sz w:val="20"/>
        </w:rPr>
        <w:t xml:space="preserve"> and related fields, i</w:t>
      </w:r>
      <w:r w:rsidR="000C6232">
        <w:rPr>
          <w:rFonts w:ascii="Book Antiqua" w:hAnsi="Book Antiqua"/>
          <w:sz w:val="20"/>
        </w:rPr>
        <w:t xml:space="preserve">t is usual to employ a coefficient, </w:t>
      </w:r>
      <m:oMath>
        <m:r>
          <w:rPr>
            <w:rFonts w:ascii="Cambria Math" w:hAnsi="Cambria Math"/>
            <w:sz w:val="20"/>
          </w:rPr>
          <m:t>k</m:t>
        </m:r>
      </m:oMath>
      <w:r w:rsidR="000C6232">
        <w:rPr>
          <w:rFonts w:ascii="Book Antiqua" w:hAnsi="Book Antiqua"/>
          <w:sz w:val="20"/>
        </w:rPr>
        <w:t xml:space="preserve"> or </w:t>
      </w:r>
      <m:oMath>
        <m:sSup>
          <m:sSupPr>
            <m:ctrlPr>
              <w:rPr>
                <w:rFonts w:ascii="Cambria Math" w:hAnsi="Cambria Math"/>
                <w:i/>
                <w:sz w:val="20"/>
              </w:rPr>
            </m:ctrlPr>
          </m:sSupPr>
          <m:e>
            <m:r>
              <w:rPr>
                <w:rFonts w:ascii="Cambria Math" w:hAnsi="Cambria Math"/>
                <w:sz w:val="20"/>
              </w:rPr>
              <m:t>k</m:t>
            </m:r>
          </m:e>
          <m:sup>
            <m:r>
              <w:rPr>
                <w:rFonts w:ascii="Cambria Math" w:hAnsi="Cambria Math"/>
                <w:sz w:val="20"/>
              </w:rPr>
              <m:t>*</m:t>
            </m:r>
          </m:sup>
        </m:sSup>
      </m:oMath>
      <w:r w:rsidR="000C6232">
        <w:rPr>
          <w:rFonts w:ascii="Book Antiqua" w:hAnsi="Book Antiqua"/>
          <w:sz w:val="20"/>
        </w:rPr>
        <w:t xml:space="preserve"> , such that</w:t>
      </w:r>
    </w:p>
    <w:p w:rsidR="000C6232" w:rsidRDefault="000C6232" w:rsidP="000C6232">
      <w:pPr>
        <w:pStyle w:val="NoSpacing"/>
        <w:rPr>
          <w:rFonts w:ascii="Book Antiqua" w:hAnsi="Book Antiqua"/>
          <w:sz w:val="20"/>
        </w:rPr>
      </w:pPr>
    </w:p>
    <w:p w:rsidR="000C6232" w:rsidRPr="00B9776F" w:rsidRDefault="000C6232" w:rsidP="00BF2F63">
      <w:pPr>
        <w:pStyle w:val="NoSpacing"/>
        <w:jc w:val="right"/>
        <w:rPr>
          <w:rFonts w:ascii="Book Antiqua" w:hAnsi="Book Antiqua"/>
          <w:sz w:val="20"/>
        </w:rPr>
      </w:pPr>
      <m:oMath>
        <m:r>
          <w:rPr>
            <w:rFonts w:ascii="Cambria Math" w:hAnsi="Cambria Math"/>
            <w:sz w:val="20"/>
          </w:rPr>
          <m:t xml:space="preserve">0 </m:t>
        </m:r>
        <m:r>
          <w:rPr>
            <w:rFonts w:ascii="Cambria Math" w:hAnsi="Cambria Math"/>
            <w:sz w:val="20"/>
            <w:u w:val="single"/>
          </w:rPr>
          <m:t>≤</m:t>
        </m:r>
        <m:r>
          <w:rPr>
            <w:rFonts w:ascii="Cambria Math" w:hAnsi="Cambria Math"/>
            <w:sz w:val="20"/>
          </w:rPr>
          <m:t xml:space="preserve"> k </m:t>
        </m:r>
        <m:r>
          <w:rPr>
            <w:rFonts w:ascii="Cambria Math" w:hAnsi="Cambria Math"/>
            <w:sz w:val="20"/>
            <w:u w:val="single"/>
          </w:rPr>
          <m:t>≤</m:t>
        </m:r>
        <m:r>
          <w:rPr>
            <w:rFonts w:ascii="Cambria Math" w:hAnsi="Cambria Math"/>
            <w:sz w:val="20"/>
          </w:rPr>
          <m:t xml:space="preserve"> 1</m:t>
        </m:r>
      </m:oMath>
      <w:r>
        <w:rPr>
          <w:rFonts w:ascii="Book Antiqua" w:hAnsi="Book Antiqua"/>
          <w:sz w:val="20"/>
        </w:rPr>
        <w:t xml:space="preserve">     </w:t>
      </w:r>
      <w:r w:rsidRPr="000C6232">
        <w:rPr>
          <w:rFonts w:ascii="Book Antiqua" w:hAnsi="Book Antiqua"/>
          <w:i/>
          <w:sz w:val="20"/>
        </w:rPr>
        <w:t>or alternately</w:t>
      </w:r>
      <w:r>
        <w:rPr>
          <w:rFonts w:ascii="Book Antiqua" w:hAnsi="Book Antiqua"/>
          <w:sz w:val="20"/>
        </w:rPr>
        <w:t xml:space="preserve">    </w:t>
      </w:r>
      <m:oMath>
        <m:r>
          <w:rPr>
            <w:rFonts w:ascii="Cambria Math" w:hAnsi="Cambria Math"/>
            <w:sz w:val="20"/>
          </w:rPr>
          <m:t xml:space="preserve">0 </m:t>
        </m:r>
        <m:r>
          <w:rPr>
            <w:rFonts w:ascii="Cambria Math" w:hAnsi="Cambria Math"/>
            <w:sz w:val="20"/>
            <w:u w:val="single"/>
          </w:rPr>
          <m:t>≤</m:t>
        </m:r>
        <m:sSup>
          <m:sSupPr>
            <m:ctrlPr>
              <w:rPr>
                <w:rFonts w:ascii="Cambria Math" w:hAnsi="Cambria Math"/>
                <w:i/>
                <w:sz w:val="20"/>
              </w:rPr>
            </m:ctrlPr>
          </m:sSupPr>
          <m:e>
            <m:r>
              <w:rPr>
                <w:rFonts w:ascii="Cambria Math" w:hAnsi="Cambria Math"/>
                <w:sz w:val="20"/>
              </w:rPr>
              <m:t xml:space="preserve"> k</m:t>
            </m:r>
          </m:e>
          <m:sup>
            <m:r>
              <w:rPr>
                <w:rFonts w:ascii="Cambria Math" w:hAnsi="Cambria Math"/>
                <w:sz w:val="20"/>
              </w:rPr>
              <m:t>*</m:t>
            </m:r>
          </m:sup>
        </m:sSup>
        <m:r>
          <w:rPr>
            <w:rFonts w:ascii="Cambria Math" w:hAnsi="Cambria Math"/>
            <w:sz w:val="20"/>
          </w:rPr>
          <m:t xml:space="preserve">  </m:t>
        </m:r>
        <m:r>
          <w:rPr>
            <w:rFonts w:ascii="Cambria Math" w:hAnsi="Cambria Math"/>
            <w:sz w:val="20"/>
            <w:u w:val="single"/>
          </w:rPr>
          <m:t xml:space="preserve">≤ </m:t>
        </m:r>
        <m:r>
          <w:rPr>
            <w:rFonts w:ascii="Cambria Math" w:hAnsi="Cambria Math"/>
            <w:sz w:val="20"/>
          </w:rPr>
          <m:t>1</m:t>
        </m:r>
      </m:oMath>
      <w:r>
        <w:rPr>
          <w:rFonts w:ascii="Book Antiqua" w:hAnsi="Book Antiqua"/>
          <w:sz w:val="20"/>
        </w:rPr>
        <w:t xml:space="preserve">  </w:t>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sidR="00BF2F63">
        <w:rPr>
          <w:rFonts w:ascii="Book Antiqua" w:hAnsi="Book Antiqua"/>
          <w:sz w:val="20"/>
        </w:rPr>
        <w:tab/>
      </w:r>
      <w:r>
        <w:rPr>
          <w:rFonts w:ascii="Book Antiqua" w:hAnsi="Book Antiqua"/>
          <w:sz w:val="20"/>
        </w:rPr>
        <w:t xml:space="preserve"> </w:t>
      </w:r>
      <w:r w:rsidRPr="00663DBB">
        <w:rPr>
          <w:rFonts w:ascii="Book Antiqua" w:hAnsi="Book Antiqua"/>
          <w:i/>
          <w:sz w:val="20"/>
        </w:rPr>
        <w:t>(6</w:t>
      </w:r>
      <w:r w:rsidR="00663DBB" w:rsidRPr="00663DBB">
        <w:rPr>
          <w:rFonts w:ascii="Book Antiqua" w:hAnsi="Book Antiqua"/>
          <w:i/>
          <w:sz w:val="20"/>
        </w:rPr>
        <w:t>3</w:t>
      </w:r>
      <w:r w:rsidRPr="00663DBB">
        <w:rPr>
          <w:rFonts w:ascii="Book Antiqua" w:hAnsi="Book Antiqua"/>
          <w:i/>
          <w:sz w:val="20"/>
        </w:rPr>
        <w:t>)</w:t>
      </w:r>
    </w:p>
    <w:p w:rsidR="00820B57" w:rsidRDefault="00820B57" w:rsidP="00820B57">
      <w:pPr>
        <w:pStyle w:val="NoSpacing"/>
        <w:jc w:val="both"/>
        <w:rPr>
          <w:rFonts w:ascii="Book Antiqua" w:hAnsi="Book Antiqua"/>
          <w:sz w:val="20"/>
        </w:rPr>
      </w:pPr>
      <w:r w:rsidRPr="00B9776F">
        <w:rPr>
          <w:rFonts w:ascii="Book Antiqua" w:hAnsi="Book Antiqua"/>
          <w:sz w:val="20"/>
        </w:rPr>
        <w:t xml:space="preserve"> </w:t>
      </w:r>
    </w:p>
    <w:p w:rsidR="00C20E2C" w:rsidRDefault="00C20E2C" w:rsidP="00820B57">
      <w:pPr>
        <w:pStyle w:val="NoSpacing"/>
        <w:jc w:val="both"/>
        <w:rPr>
          <w:rFonts w:ascii="Book Antiqua" w:hAnsi="Book Antiqua"/>
          <w:sz w:val="20"/>
        </w:rPr>
      </w:pPr>
      <w:r>
        <w:rPr>
          <w:rFonts w:ascii="Book Antiqua" w:hAnsi="Book Antiqua"/>
          <w:sz w:val="20"/>
        </w:rPr>
        <w:t xml:space="preserve">These formulae indicate that there is electrical “communication” between the two coils. A change in current in one coil induces a change in voltage in the other, and vice versa. The mutual inductance, </w:t>
      </w:r>
      <m:oMath>
        <m:r>
          <w:rPr>
            <w:rFonts w:ascii="Cambria Math" w:hAnsi="Cambria Math"/>
            <w:sz w:val="20"/>
          </w:rPr>
          <m:t>L</m:t>
        </m:r>
      </m:oMath>
      <w:r>
        <w:rPr>
          <w:rFonts w:ascii="Book Antiqua" w:hAnsi="Book Antiqua"/>
          <w:sz w:val="20"/>
        </w:rPr>
        <w:t>, is a measure of this coupling between the</w:t>
      </w:r>
      <w:r w:rsidR="007F2BEC">
        <w:rPr>
          <w:rFonts w:ascii="Book Antiqua" w:hAnsi="Book Antiqua"/>
          <w:sz w:val="20"/>
        </w:rPr>
        <w:t>se</w:t>
      </w:r>
      <w:r>
        <w:rPr>
          <w:rFonts w:ascii="Book Antiqua" w:hAnsi="Book Antiqua"/>
          <w:sz w:val="20"/>
        </w:rPr>
        <w:t xml:space="preserve"> two circuits. </w:t>
      </w:r>
    </w:p>
    <w:p w:rsidR="00C20E2C" w:rsidRDefault="00C20E2C" w:rsidP="00820B57">
      <w:pPr>
        <w:pStyle w:val="NoSpacing"/>
        <w:jc w:val="both"/>
        <w:rPr>
          <w:rFonts w:ascii="Book Antiqua" w:hAnsi="Book Antiqua"/>
          <w:sz w:val="20"/>
        </w:rPr>
      </w:pPr>
    </w:p>
    <w:p w:rsidR="00C20E2C" w:rsidRDefault="00C20E2C" w:rsidP="00492A3D">
      <w:pPr>
        <w:pStyle w:val="NoSpacing"/>
        <w:ind w:firstLine="720"/>
        <w:jc w:val="both"/>
        <w:rPr>
          <w:rFonts w:ascii="Book Antiqua" w:hAnsi="Book Antiqua"/>
          <w:sz w:val="20"/>
        </w:rPr>
      </w:pPr>
      <w:r>
        <w:rPr>
          <w:rFonts w:ascii="Book Antiqua" w:hAnsi="Book Antiqua"/>
          <w:sz w:val="20"/>
        </w:rPr>
        <w:t>In the case of</w:t>
      </w:r>
      <w:r w:rsidR="00842AE8">
        <w:rPr>
          <w:rFonts w:ascii="Book Antiqua" w:hAnsi="Book Antiqua"/>
          <w:sz w:val="20"/>
        </w:rPr>
        <w:t xml:space="preserve"> gravity and the ZPE</w:t>
      </w:r>
      <w:r>
        <w:rPr>
          <w:rFonts w:ascii="Book Antiqua" w:hAnsi="Book Antiqua"/>
          <w:sz w:val="20"/>
        </w:rPr>
        <w:t>,</w:t>
      </w:r>
      <w:r w:rsidR="00492A3D">
        <w:rPr>
          <w:rFonts w:ascii="Book Antiqua" w:hAnsi="Book Antiqua"/>
          <w:sz w:val="20"/>
        </w:rPr>
        <w:t xml:space="preserve"> the </w:t>
      </w:r>
      <w:r w:rsidR="004572C3">
        <w:rPr>
          <w:rFonts w:ascii="Book Antiqua" w:hAnsi="Book Antiqua"/>
          <w:sz w:val="20"/>
        </w:rPr>
        <w:t xml:space="preserve">gravitational mass, </w:t>
      </w:r>
      <m:oMath>
        <m:r>
          <w:rPr>
            <w:rFonts w:ascii="Cambria Math" w:hAnsi="Cambria Math"/>
            <w:sz w:val="20"/>
          </w:rPr>
          <m:t>M</m:t>
        </m:r>
      </m:oMath>
      <w:r w:rsidR="004572C3">
        <w:rPr>
          <w:rFonts w:ascii="Book Antiqua" w:hAnsi="Book Antiqua"/>
          <w:sz w:val="20"/>
        </w:rPr>
        <w:t xml:space="preserve">, </w:t>
      </w:r>
      <w:r w:rsidR="00492A3D">
        <w:rPr>
          <w:rFonts w:ascii="Book Antiqua" w:hAnsi="Book Antiqua"/>
          <w:sz w:val="20"/>
        </w:rPr>
        <w:t>is</w:t>
      </w:r>
      <w:r w:rsidR="002A5F96">
        <w:rPr>
          <w:rFonts w:ascii="Book Antiqua" w:hAnsi="Book Antiqua"/>
          <w:sz w:val="20"/>
        </w:rPr>
        <w:t xml:space="preserve"> </w:t>
      </w:r>
      <w:r w:rsidR="00492A3D">
        <w:rPr>
          <w:rFonts w:ascii="Book Antiqua" w:hAnsi="Book Antiqua"/>
          <w:sz w:val="20"/>
        </w:rPr>
        <w:t xml:space="preserve">the mutual coupling between the two types of mass, </w:t>
      </w:r>
      <m:oMath>
        <m:r>
          <w:rPr>
            <w:rFonts w:ascii="Cambria Math" w:hAnsi="Cambria Math"/>
            <w:sz w:val="20"/>
          </w:rPr>
          <m:t>m</m:t>
        </m:r>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m</m:t>
            </m:r>
          </m:e>
          <m:sup>
            <m:r>
              <w:rPr>
                <w:rFonts w:ascii="Cambria Math" w:hAnsi="Cambria Math"/>
                <w:sz w:val="20"/>
              </w:rPr>
              <m:t>*</m:t>
            </m:r>
          </m:sup>
        </m:sSup>
      </m:oMath>
      <w:r w:rsidR="00492A3D">
        <w:rPr>
          <w:rFonts w:ascii="Book Antiqua" w:hAnsi="Book Antiqua"/>
          <w:sz w:val="20"/>
        </w:rPr>
        <w:t xml:space="preserve"> , that make up the system. In </w:t>
      </w:r>
      <w:r w:rsidR="002A5F96">
        <w:rPr>
          <w:rFonts w:ascii="Book Antiqua" w:hAnsi="Book Antiqua"/>
          <w:sz w:val="20"/>
        </w:rPr>
        <w:t xml:space="preserve">this way it parallels </w:t>
      </w:r>
      <w:r w:rsidR="00492A3D">
        <w:rPr>
          <w:rFonts w:ascii="Book Antiqua" w:hAnsi="Book Antiqua"/>
          <w:sz w:val="20"/>
        </w:rPr>
        <w:t xml:space="preserve">the quantity </w:t>
      </w:r>
      <m:oMath>
        <m:r>
          <w:rPr>
            <w:rFonts w:ascii="Cambria Math" w:hAnsi="Cambria Math"/>
            <w:sz w:val="20"/>
          </w:rPr>
          <m:t>L</m:t>
        </m:r>
      </m:oMath>
      <w:r w:rsidR="00492A3D">
        <w:rPr>
          <w:rFonts w:ascii="Book Antiqua" w:hAnsi="Book Antiqua"/>
          <w:sz w:val="20"/>
        </w:rPr>
        <w:t xml:space="preserve"> in (6</w:t>
      </w:r>
      <w:r w:rsidR="00663DBB">
        <w:rPr>
          <w:rFonts w:ascii="Book Antiqua" w:hAnsi="Book Antiqua"/>
          <w:sz w:val="20"/>
        </w:rPr>
        <w:t>2</w:t>
      </w:r>
      <w:r w:rsidR="00492A3D">
        <w:rPr>
          <w:rFonts w:ascii="Book Antiqua" w:hAnsi="Book Antiqua"/>
          <w:sz w:val="20"/>
        </w:rPr>
        <w:t xml:space="preserve">) </w:t>
      </w:r>
      <w:r w:rsidR="002A5F96">
        <w:rPr>
          <w:rFonts w:ascii="Book Antiqua" w:hAnsi="Book Antiqua"/>
          <w:sz w:val="20"/>
        </w:rPr>
        <w:t xml:space="preserve">which </w:t>
      </w:r>
      <w:r w:rsidR="00492A3D">
        <w:rPr>
          <w:rFonts w:ascii="Book Antiqua" w:hAnsi="Book Antiqua"/>
          <w:sz w:val="20"/>
        </w:rPr>
        <w:t xml:space="preserve">is the mutual coupling between </w:t>
      </w:r>
      <m:oMath>
        <m:sSub>
          <m:sSubPr>
            <m:ctrlPr>
              <w:rPr>
                <w:rFonts w:ascii="Cambria Math" w:hAnsi="Cambria Math"/>
                <w:i/>
                <w:sz w:val="20"/>
              </w:rPr>
            </m:ctrlPr>
          </m:sSubPr>
          <m:e>
            <m:r>
              <w:rPr>
                <w:rFonts w:ascii="Cambria Math" w:hAnsi="Cambria Math"/>
                <w:sz w:val="20"/>
              </w:rPr>
              <m:t>l</m:t>
            </m:r>
          </m:e>
          <m:sub>
            <m:r>
              <w:rPr>
                <w:rFonts w:ascii="Cambria Math" w:hAnsi="Cambria Math"/>
                <w:sz w:val="20"/>
              </w:rPr>
              <m:t>1</m:t>
            </m:r>
          </m:sub>
        </m:sSub>
      </m:oMath>
      <w:r w:rsidR="00492A3D">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l</m:t>
            </m:r>
          </m:e>
          <m:sup>
            <m:r>
              <w:rPr>
                <w:rFonts w:ascii="Cambria Math" w:hAnsi="Cambria Math"/>
                <w:sz w:val="20"/>
              </w:rPr>
              <m:t>*</m:t>
            </m:r>
          </m:sup>
        </m:sSup>
      </m:oMath>
      <w:r w:rsidR="00492A3D">
        <w:rPr>
          <w:rFonts w:ascii="Book Antiqua" w:hAnsi="Book Antiqua"/>
          <w:sz w:val="20"/>
        </w:rPr>
        <w:t xml:space="preserve"> .</w:t>
      </w:r>
      <w:r w:rsidR="002A5F96">
        <w:rPr>
          <w:rFonts w:ascii="Book Antiqua" w:hAnsi="Book Antiqua"/>
          <w:sz w:val="20"/>
        </w:rPr>
        <w:t xml:space="preserve"> </w:t>
      </w:r>
    </w:p>
    <w:p w:rsidR="00C20E2C" w:rsidRPr="00B9776F" w:rsidRDefault="00C20E2C" w:rsidP="00820B57">
      <w:pPr>
        <w:pStyle w:val="NoSpacing"/>
        <w:jc w:val="both"/>
        <w:rPr>
          <w:rFonts w:ascii="Book Antiqua" w:hAnsi="Book Antiqua"/>
          <w:sz w:val="20"/>
        </w:rPr>
      </w:pPr>
    </w:p>
    <w:p w:rsidR="00820B57" w:rsidRPr="00B9776F" w:rsidRDefault="00AE7E8A" w:rsidP="00AE7E8A">
      <w:pPr>
        <w:pStyle w:val="Heading2"/>
        <w:spacing w:before="80" w:after="80" w:line="240" w:lineRule="atLeast"/>
        <w:rPr>
          <w:rFonts w:ascii="Book Antiqua" w:hAnsi="Book Antiqua" w:cs="Times New Roman"/>
          <w:b w:val="0"/>
          <w:sz w:val="20"/>
          <w:szCs w:val="20"/>
        </w:rPr>
      </w:pPr>
      <w:r w:rsidRPr="00B9776F">
        <w:rPr>
          <w:rFonts w:ascii="Book Antiqua" w:hAnsi="Book Antiqua" w:cs="Times New Roman"/>
          <w:b w:val="0"/>
          <w:sz w:val="20"/>
          <w:szCs w:val="20"/>
        </w:rPr>
        <w:t xml:space="preserve"> </w:t>
      </w:r>
      <w:r w:rsidR="001D1F40">
        <w:rPr>
          <w:rFonts w:ascii="Book Antiqua" w:hAnsi="Book Antiqua" w:cs="Times New Roman"/>
          <w:b w:val="0"/>
          <w:sz w:val="20"/>
          <w:szCs w:val="20"/>
        </w:rPr>
        <w:t>2.3</w:t>
      </w:r>
      <w:r w:rsidRPr="00B9776F">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Comparing Masses Experimentally</w:t>
      </w:r>
    </w:p>
    <w:p w:rsidR="00D772FD" w:rsidRPr="00B9776F" w:rsidRDefault="00D772FD" w:rsidP="00947595">
      <w:pPr>
        <w:pStyle w:val="ListParagraph"/>
        <w:ind w:left="360"/>
        <w:rPr>
          <w:rFonts w:ascii="Book Antiqua" w:hAnsi="Book Antiqua"/>
        </w:rPr>
      </w:pPr>
    </w:p>
    <w:p w:rsidR="00820B57" w:rsidRPr="00B9776F" w:rsidRDefault="006E2D7F" w:rsidP="00820B57">
      <w:pPr>
        <w:pStyle w:val="NoSpacing"/>
        <w:ind w:firstLine="720"/>
        <w:jc w:val="both"/>
        <w:rPr>
          <w:rFonts w:ascii="Book Antiqua" w:hAnsi="Book Antiqua"/>
          <w:sz w:val="20"/>
        </w:rPr>
      </w:pPr>
      <w:r>
        <w:rPr>
          <w:rFonts w:ascii="Book Antiqua" w:hAnsi="Book Antiqua"/>
          <w:sz w:val="20"/>
        </w:rPr>
        <w:t xml:space="preserve">As noted above, the differences between the three masses is not great. </w:t>
      </w:r>
      <w:r w:rsidR="00820B57" w:rsidRPr="00B9776F">
        <w:rPr>
          <w:rFonts w:ascii="Book Antiqua" w:hAnsi="Book Antiqua"/>
          <w:sz w:val="20"/>
        </w:rPr>
        <w:t xml:space="preserve">Nevertheless, ever since comparative measurements were first made possible in the early 1900's, data have shown that a small discrepancy indeed exists between the measurements of atomic masses, </w:t>
      </w:r>
      <m:oMath>
        <m:r>
          <w:rPr>
            <w:rFonts w:ascii="Cambria Math" w:hAnsi="Cambria Math" w:cs="Cambria Math"/>
            <w:sz w:val="20"/>
          </w:rPr>
          <m:t>m</m:t>
        </m:r>
      </m:oMath>
      <w:r w:rsidR="00820B57" w:rsidRPr="00B9776F">
        <w:rPr>
          <w:rFonts w:ascii="Book Antiqua" w:hAnsi="Book Antiqua"/>
          <w:sz w:val="20"/>
        </w:rPr>
        <w:t xml:space="preserve">, and gravitational masses, </w:t>
      </w:r>
      <m:oMath>
        <m:r>
          <w:rPr>
            <w:rFonts w:ascii="Cambria Math" w:hAnsi="Cambria Math"/>
            <w:sz w:val="20"/>
          </w:rPr>
          <m:t>M</m:t>
        </m:r>
      </m:oMath>
      <w:r w:rsidR="00820B57" w:rsidRPr="00B9776F">
        <w:rPr>
          <w:rFonts w:ascii="Book Antiqua" w:hAnsi="Book Antiqua"/>
          <w:i/>
          <w:sz w:val="20"/>
        </w:rPr>
        <w:t>,</w:t>
      </w:r>
      <w:r w:rsidR="00820B57" w:rsidRPr="00B9776F">
        <w:rPr>
          <w:rFonts w:ascii="Book Antiqua" w:hAnsi="Book Antiqua"/>
          <w:sz w:val="20"/>
        </w:rPr>
        <w:t xml:space="preserve">. Initially, </w:t>
      </w:r>
      <m:oMath>
        <m:r>
          <w:rPr>
            <w:rFonts w:ascii="Cambria Math" w:hAnsi="Cambria Math" w:cs="Cambria Math"/>
            <w:sz w:val="20"/>
          </w:rPr>
          <m:t>m</m:t>
        </m:r>
      </m:oMath>
      <w:r w:rsidR="00820B57" w:rsidRPr="00B9776F">
        <w:rPr>
          <w:rFonts w:ascii="Book Antiqua" w:hAnsi="Book Antiqua"/>
          <w:sz w:val="20"/>
        </w:rPr>
        <w:t xml:space="preserve"> and </w:t>
      </w:r>
      <m:oMath>
        <m:r>
          <w:rPr>
            <w:rFonts w:ascii="Cambria Math" w:hAnsi="Cambria Math" w:cs="Cambria Math"/>
            <w:sz w:val="20"/>
          </w:rPr>
          <m:t>M</m:t>
        </m:r>
      </m:oMath>
      <w:r w:rsidR="00820B57" w:rsidRPr="00B9776F">
        <w:rPr>
          <w:rFonts w:ascii="Book Antiqua" w:hAnsi="Book Antiqua"/>
          <w:sz w:val="20"/>
        </w:rPr>
        <w:t xml:space="preserve"> were set equal to each other, but then, as the ZPE increased, they progressively drifted apart. Indeed, at the time that atomic masses, (that is </w:t>
      </w:r>
      <m:oMath>
        <m:r>
          <w:rPr>
            <w:rFonts w:ascii="Cambria Math" w:hAnsi="Cambria Math" w:cs="Cambria Math"/>
            <w:sz w:val="20"/>
          </w:rPr>
          <m:t>m</m:t>
        </m:r>
      </m:oMath>
      <w:r w:rsidR="00820B57" w:rsidRPr="00B9776F">
        <w:rPr>
          <w:rFonts w:ascii="Book Antiqua" w:hAnsi="Book Antiqua"/>
          <w:sz w:val="20"/>
        </w:rPr>
        <w:t xml:space="preserve">), were measured as increasing significantly in experiments around the world [32], there was not any corresponding change in the macroscopically measured gravitational masses, </w:t>
      </w:r>
      <m:oMath>
        <m:r>
          <w:rPr>
            <w:rFonts w:ascii="Cambria Math" w:hAnsi="Cambria Math" w:cs="Cambria Math"/>
            <w:sz w:val="20"/>
          </w:rPr>
          <m:t>M</m:t>
        </m:r>
      </m:oMath>
      <w:r w:rsidR="00820B57" w:rsidRPr="00B9776F">
        <w:rPr>
          <w:rFonts w:ascii="Book Antiqua" w:hAnsi="Book Antiqua"/>
          <w:sz w:val="20"/>
        </w:rPr>
        <w:t xml:space="preserve">, used as international standards.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1960, Robert Dicke pointed out that the masses of single atoms measured by mass spectrometers were different from atoms of the same isotope as measured by what was called the Q value method [33]. This Q value mass was obtained by measuring nuclear interactions that gave masses by using the formula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(derived from </w:t>
      </w:r>
      <m:oMath>
        <m:r>
          <w:rPr>
            <w:rFonts w:ascii="Cambria Math" w:hAnsi="Cambria Math" w:cs="Cambria Math"/>
            <w:sz w:val="20"/>
          </w:rPr>
          <m:t>E</m:t>
        </m:r>
        <m:r>
          <w:rPr>
            <w:rFonts w:ascii="Cambria Math" w:hAnsi="Cambria Math"/>
            <w:sz w:val="20"/>
          </w:rPr>
          <m:t xml:space="preserve"> =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Energy, </w:t>
      </w:r>
      <m:oMath>
        <m:r>
          <w:rPr>
            <w:rFonts w:ascii="Cambria Math" w:hAnsi="Cambria Math" w:cs="Cambria Math"/>
            <w:sz w:val="20"/>
          </w:rPr>
          <m:t>E</m:t>
        </m:r>
      </m:oMath>
      <w:r w:rsidRPr="00B9776F">
        <w:rPr>
          <w:rFonts w:ascii="Book Antiqua" w:hAnsi="Book Antiqua"/>
          <w:sz w:val="20"/>
        </w:rPr>
        <w:t xml:space="preserve">, is conserved atomically with changes in the ZPE strength, and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is plugged into the equation as an assumed constant. Therefore, the Q-value masses from </w:t>
      </w:r>
      <m:oMath>
        <m:r>
          <w:rPr>
            <w:rFonts w:ascii="Cambria Math" w:hAnsi="Cambria Math" w:cs="Cambria Math"/>
            <w:sz w:val="20"/>
          </w:rPr>
          <m:t>m</m:t>
        </m:r>
        <m:r>
          <w:rPr>
            <w:rFonts w:ascii="Cambria Math" w:hAnsi="Cambria Math"/>
            <w:sz w:val="20"/>
          </w:rPr>
          <m:t xml:space="preserve"> = </m:t>
        </m:r>
        <m:r>
          <w:rPr>
            <w:rFonts w:ascii="Cambria Math" w:hAnsi="Cambria Math" w:cs="Cambria Math"/>
            <w:sz w:val="20"/>
          </w:rPr>
          <m:t>E</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will always give a constant result in accord with the standard.  In contrast, the mass-spectrometer means of determining </w:t>
      </w:r>
      <m:oMath>
        <m:r>
          <w:rPr>
            <w:rFonts w:ascii="Cambria Math" w:hAnsi="Cambria Math" w:cs="Cambria Math"/>
            <w:sz w:val="20"/>
          </w:rPr>
          <m:t>m</m:t>
        </m:r>
      </m:oMath>
      <w:r w:rsidRPr="00B9776F">
        <w:rPr>
          <w:rFonts w:ascii="Book Antiqua" w:hAnsi="Book Antiqua"/>
          <w:sz w:val="20"/>
        </w:rPr>
        <w:t xml:space="preserve"> will register any variation in ZPE strength.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It is this ZPE variation that resulted in the discrepancy that Dicke noticed in 1960. He noted that this discrepancy between the two types of mass became </w:t>
      </w:r>
      <w:r w:rsidR="003A5CA8">
        <w:rPr>
          <w:rFonts w:ascii="Book Antiqua" w:hAnsi="Book Antiqua"/>
          <w:sz w:val="20"/>
        </w:rPr>
        <w:t>greater</w:t>
      </w:r>
      <w:r w:rsidRPr="00B9776F">
        <w:rPr>
          <w:rFonts w:ascii="Book Antiqua" w:hAnsi="Book Antiqua"/>
          <w:sz w:val="20"/>
        </w:rPr>
        <w:t xml:space="preserve"> with more complex atoms. This led Dicke and Brans to develop a metric theory of gravity in an attempt to explain the data [34]. Between 1960 and 1976 their scalar-tensor theory of gravity became a serious alternative to general relativity. But in 1976 this Brans-Dicke theory was proved</w:t>
      </w:r>
      <w:r w:rsidR="006E2D7F">
        <w:rPr>
          <w:rFonts w:ascii="Book Antiqua" w:hAnsi="Book Antiqua"/>
          <w:sz w:val="20"/>
        </w:rPr>
        <w:t xml:space="preserve"> to be</w:t>
      </w:r>
      <w:r w:rsidRPr="00B9776F">
        <w:rPr>
          <w:rFonts w:ascii="Book Antiqua" w:hAnsi="Book Antiqua"/>
          <w:sz w:val="20"/>
        </w:rPr>
        <w:t xml:space="preserve"> faulty on the basis of an unfulfilled prediction. However, the original data still stand, and a different explanation for the discrepancy is not only legitimate but is a necessity.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In 1961, atomic masses, </w:t>
      </w:r>
      <m:oMath>
        <m:r>
          <w:rPr>
            <w:rFonts w:ascii="Cambria Math" w:hAnsi="Cambria Math" w:cs="Cambria Math"/>
            <w:sz w:val="20"/>
          </w:rPr>
          <m:t>m</m:t>
        </m:r>
      </m:oMath>
      <w:r w:rsidRPr="00B9776F">
        <w:rPr>
          <w:rFonts w:ascii="Book Antiqua" w:hAnsi="Book Antiqua"/>
          <w:sz w:val="20"/>
        </w:rPr>
        <w:t xml:space="preserve">, and gravitational masses, </w:t>
      </w:r>
      <m:oMath>
        <m:r>
          <w:rPr>
            <w:rFonts w:ascii="Cambria Math" w:hAnsi="Cambria Math" w:cs="Cambria Math"/>
            <w:sz w:val="20"/>
          </w:rPr>
          <m:t>M</m:t>
        </m:r>
      </m:oMath>
      <w:r w:rsidRPr="00B9776F">
        <w:rPr>
          <w:rFonts w:ascii="Book Antiqua" w:hAnsi="Book Antiqua"/>
          <w:sz w:val="20"/>
        </w:rPr>
        <w:t xml:space="preserve">, were once more standardized. In 1979, further developments required that the definitions again be slightly revised.  That means any difference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will be the result of changes in ZPE strength since the last revision. In fact, in 1995, the discrepancy between mass spectrometer masses and those obtained from nuclear decay or Q-value reactions was still an issue for Audi and Wapstra. After searching for systematic and other errors and </w:t>
      </w:r>
      <w:r w:rsidR="003A5CA8">
        <w:rPr>
          <w:rFonts w:ascii="Book Antiqua" w:hAnsi="Book Antiqua"/>
          <w:sz w:val="20"/>
        </w:rPr>
        <w:t>finding very few,</w:t>
      </w:r>
      <w:r w:rsidRPr="00B9776F">
        <w:rPr>
          <w:rFonts w:ascii="Book Antiqua" w:hAnsi="Book Antiqua"/>
          <w:sz w:val="20"/>
        </w:rPr>
        <w:t xml:space="preserve"> they </w:t>
      </w:r>
      <w:r w:rsidRPr="00B9776F">
        <w:rPr>
          <w:rFonts w:ascii="Book Antiqua" w:hAnsi="Book Antiqua"/>
          <w:i/>
          <w:sz w:val="20"/>
        </w:rPr>
        <w:t>"decided to increase errors reported for results obtained with classical mass spectrometers ... and live with the bad consistency reported in the previous section."</w:t>
      </w:r>
      <w:r w:rsidRPr="00B9776F">
        <w:rPr>
          <w:rFonts w:ascii="Book Antiqua" w:hAnsi="Book Antiqua"/>
          <w:sz w:val="20"/>
        </w:rPr>
        <w:t xml:space="preserve"> [35]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lastRenderedPageBreak/>
        <w:tab/>
        <w:t xml:space="preserve">This discrepancy between Q-value masses and mass-spectrometer masses is very real.  This effect is caused by changes in the strength of the ZPE. There is evidence for a decrease in the strength of the ZPE since about 1970, and a reversal in the trend of all ZPE-associated constants has in fact been picked up since then, as in Figure 1 above. (This is what might be expected from the Narlikar-Arp oscillation of the cosmos.) Nevertheless, while these differences are small, they were still plaguing experimenters at the beginning of the new millennium. Thus the discrepancy in atomic masses, </w:t>
      </w:r>
      <m:oMath>
        <m:r>
          <w:rPr>
            <w:rFonts w:ascii="Cambria Math" w:hAnsi="Cambria Math" w:cs="Cambria Math"/>
            <w:sz w:val="20"/>
          </w:rPr>
          <m:t>m</m:t>
        </m:r>
      </m:oMath>
      <w:r w:rsidRPr="00B9776F">
        <w:rPr>
          <w:rFonts w:ascii="Book Antiqua" w:hAnsi="Book Antiqua"/>
          <w:sz w:val="20"/>
        </w:rPr>
        <w:t xml:space="preserve">, as compared with </w:t>
      </w:r>
      <m:oMath>
        <m:r>
          <w:rPr>
            <w:rFonts w:ascii="Cambria Math" w:hAnsi="Cambria Math" w:cs="Cambria Math"/>
            <w:sz w:val="20"/>
          </w:rPr>
          <m:t>M</m:t>
        </m:r>
      </m:oMath>
      <w:r w:rsidRPr="00B9776F">
        <w:rPr>
          <w:rFonts w:ascii="Book Antiqua" w:hAnsi="Book Antiqua"/>
          <w:i/>
          <w:sz w:val="20"/>
        </w:rPr>
        <w:t>,</w:t>
      </w:r>
      <w:r w:rsidRPr="00B9776F">
        <w:rPr>
          <w:rFonts w:ascii="Book Antiqua" w:hAnsi="Book Antiqua"/>
          <w:sz w:val="20"/>
        </w:rPr>
        <w:t xml:space="preserve"> when obtained from macroscopic techniques, is a very real effect. These data indicate that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are two different, but related entities, as shown in equations (56) to (59). In this way, the approach using SED physics holds the potential to resolve an otherwise anomalous situation.</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2.4</w:t>
      </w:r>
      <w:r w:rsidR="00820B57" w:rsidRPr="00B9776F">
        <w:rPr>
          <w:rFonts w:ascii="Book Antiqua" w:hAnsi="Book Antiqua" w:cs="Times New Roman"/>
          <w:b w:val="0"/>
          <w:sz w:val="20"/>
          <w:szCs w:val="20"/>
        </w:rPr>
        <w:t xml:space="preserve">   A Parton’s Atomic and Gravitational Mass</w:t>
      </w:r>
    </w:p>
    <w:p w:rsidR="00820B57" w:rsidRPr="00B9776F" w:rsidRDefault="00820B57" w:rsidP="00820B57">
      <w:pPr>
        <w:pStyle w:val="Heading2"/>
        <w:spacing w:before="80" w:after="80" w:line="240" w:lineRule="atLeast"/>
        <w:ind w:left="360"/>
        <w:rPr>
          <w:rFonts w:ascii="Book Antiqua" w:hAnsi="Book Antiqua" w:cs="Times New Roman"/>
          <w:sz w:val="20"/>
          <w:szCs w:val="20"/>
        </w:rPr>
      </w:pPr>
      <w:r w:rsidRPr="00B9776F">
        <w:rPr>
          <w:rFonts w:ascii="Book Antiqua" w:hAnsi="Book Antiqua" w:cs="Times New Roman"/>
          <w:sz w:val="20"/>
          <w:szCs w:val="20"/>
        </w:rPr>
        <w:t xml:space="preserve"> </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There is thus a difference between the way a parton's mass manifests in an atomic environment as </w:t>
      </w:r>
      <m:oMath>
        <m:r>
          <w:rPr>
            <w:rFonts w:ascii="Cambria Math" w:hAnsi="Cambria Math" w:cs="Cambria Math"/>
            <w:sz w:val="20"/>
          </w:rPr>
          <m:t>m</m:t>
        </m:r>
      </m:oMath>
      <w:r w:rsidRPr="00B9776F">
        <w:rPr>
          <w:rFonts w:ascii="Book Antiqua" w:hAnsi="Book Antiqua"/>
          <w:sz w:val="20"/>
        </w:rPr>
        <w:t xml:space="preserve">, and how it manifests gravitationally as </w:t>
      </w:r>
      <m:oMath>
        <m:r>
          <w:rPr>
            <w:rFonts w:ascii="Cambria Math" w:hAnsi="Cambria Math" w:cs="Cambria Math"/>
            <w:sz w:val="20"/>
          </w:rPr>
          <m:t>M</m:t>
        </m:r>
      </m:oMath>
      <w:r w:rsidRPr="00B9776F">
        <w:rPr>
          <w:rFonts w:ascii="Book Antiqua" w:hAnsi="Book Antiqua"/>
          <w:sz w:val="20"/>
        </w:rPr>
        <w:t xml:space="preserve">. Mass-spectrometers can be used to measure </w:t>
      </w:r>
      <m:oMath>
        <m:r>
          <w:rPr>
            <w:rFonts w:ascii="Cambria Math" w:hAnsi="Cambria Math" w:cs="Cambria Math"/>
            <w:sz w:val="20"/>
          </w:rPr>
          <m:t>m</m:t>
        </m:r>
      </m:oMath>
      <w:r w:rsidRPr="00B9776F">
        <w:rPr>
          <w:rFonts w:ascii="Book Antiqua" w:hAnsi="Book Antiqua"/>
          <w:sz w:val="20"/>
        </w:rPr>
        <w:t xml:space="preserve">.  Atomic masses are determined by sorting.  This is achieved because of their different accelerations in electric and magnetic fields. The different rates of acceleration are the result of the different masses of the different particles. This differential acceleration bends the path of the atomic particle differently so that it ends up in a different part of the receptor.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Mathematically, this means that, by measuring the rate of acceleration from the physical parameters of the system, the mass can be calculated.  The acceleration, </w:t>
      </w:r>
      <m:oMath>
        <m:r>
          <w:rPr>
            <w:rFonts w:ascii="Cambria Math" w:hAnsi="Cambria Math" w:cs="Cambria Math"/>
            <w:sz w:val="20"/>
          </w:rPr>
          <m:t>a</m:t>
        </m:r>
      </m:oMath>
      <w:r w:rsidRPr="00B9776F">
        <w:rPr>
          <w:rFonts w:ascii="Book Antiqua" w:hAnsi="Book Antiqua"/>
          <w:sz w:val="20"/>
        </w:rPr>
        <w:t xml:space="preserve">, results in ZPE masses, </w:t>
      </w:r>
      <m:oMath>
        <m:r>
          <w:rPr>
            <w:rFonts w:ascii="Cambria Math" w:hAnsi="Cambria Math" w:cs="Cambria Math"/>
            <w:sz w:val="20"/>
          </w:rPr>
          <m:t>m</m:t>
        </m:r>
      </m:oMath>
      <w:r w:rsidRPr="00B9776F">
        <w:rPr>
          <w:rFonts w:ascii="Book Antiqua" w:hAnsi="Book Antiqua"/>
          <w:sz w:val="20"/>
        </w:rPr>
        <w:t xml:space="preserve">, in the atomic frame of reference, that are described by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i/>
          <w:sz w:val="20"/>
        </w:rPr>
        <w:t xml:space="preserve">. </w:t>
      </w:r>
      <w:r w:rsidRPr="00B9776F">
        <w:rPr>
          <w:rFonts w:ascii="Book Antiqua" w:hAnsi="Book Antiqua"/>
          <w:sz w:val="20"/>
        </w:rPr>
        <w:t xml:space="preserve">The force,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in electromagnetic equations has been shown to be constant with changing ZPE strengths [36, 37]. Similarly, it can be shown that gravitational forces,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 are unchanged with a varying ZPE. Thus differences in velocity or acceleration have to be due to differences in mass between </w:t>
      </w:r>
      <m:oMath>
        <m:r>
          <w:rPr>
            <w:rFonts w:ascii="Cambria Math" w:hAnsi="Cambria Math" w:cs="Cambria Math"/>
            <w:sz w:val="20"/>
          </w:rPr>
          <m:t>M</m:t>
        </m:r>
      </m:oMath>
      <w:r w:rsidRPr="00B9776F">
        <w:rPr>
          <w:rFonts w:ascii="Book Antiqua" w:hAnsi="Book Antiqua"/>
          <w:sz w:val="20"/>
        </w:rPr>
        <w:t xml:space="preserve"> and </w:t>
      </w:r>
      <m:oMath>
        <m:r>
          <w:rPr>
            <w:rFonts w:ascii="Cambria Math" w:hAnsi="Cambria Math" w:cs="Cambria Math"/>
            <w:sz w:val="20"/>
          </w:rPr>
          <m:t>m</m:t>
        </m:r>
      </m:oMath>
      <w:r w:rsidRPr="00B9776F">
        <w:rPr>
          <w:rFonts w:ascii="Book Antiqua" w:hAnsi="Book Antiqua"/>
          <w:sz w:val="20"/>
        </w:rPr>
        <w:t xml:space="preserve">.  For this reason, we can say that atomic mass, </w:t>
      </w:r>
      <m:oMath>
        <m:r>
          <w:rPr>
            <w:rFonts w:ascii="Cambria Math" w:hAnsi="Cambria Math" w:cs="Cambria Math"/>
            <w:sz w:val="20"/>
          </w:rPr>
          <m:t>m</m:t>
        </m:r>
      </m:oMath>
      <w:r w:rsidRPr="00B9776F">
        <w:rPr>
          <w:rFonts w:ascii="Book Antiqua" w:hAnsi="Book Antiqua"/>
          <w:sz w:val="20"/>
        </w:rPr>
        <w:t>,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1</m:t>
            </m:r>
          </m:sub>
        </m:sSub>
      </m:oMath>
      <w:r w:rsidRPr="00B9776F">
        <w:rPr>
          <w:rFonts w:ascii="Book Antiqua" w:hAnsi="Book Antiqua"/>
          <w:sz w:val="20"/>
        </w:rPr>
        <w:t xml:space="preserve"> is the electrical and/or magnetic force, while gravitational mass</w:t>
      </w:r>
      <m:oMath>
        <m:r>
          <w:rPr>
            <w:rFonts w:ascii="Cambria Math" w:hAnsi="Cambria Math"/>
            <w:sz w:val="20"/>
          </w:rPr>
          <m:t xml:space="preserve"> </m:t>
        </m:r>
        <m:r>
          <w:rPr>
            <w:rFonts w:ascii="Cambria Math" w:hAnsi="Cambria Math" w:cs="Cambria Math"/>
            <w:sz w:val="20"/>
          </w:rPr>
          <m:t>M</m:t>
        </m:r>
      </m:oMath>
      <w:r w:rsidRPr="00B9776F">
        <w:rPr>
          <w:rFonts w:ascii="Book Antiqua" w:hAnsi="Book Antiqua"/>
          <w:sz w:val="20"/>
        </w:rPr>
        <w:t xml:space="preserve"> is given by</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M</m:t>
        </m:r>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r>
          <w:rPr>
            <w:rFonts w:ascii="Cambria Math" w:hAnsi="Cambria Math"/>
            <w:sz w:val="20"/>
          </w:rPr>
          <m:t>/</m:t>
        </m:r>
        <m:r>
          <w:rPr>
            <w:rFonts w:ascii="Cambria Math" w:hAnsi="Cambria Math" w:cs="Cambria Math"/>
            <w:sz w:val="20"/>
          </w:rPr>
          <m:t>a</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sSub>
          <m:sSubPr>
            <m:ctrlPr>
              <w:rPr>
                <w:rFonts w:ascii="Cambria Math" w:hAnsi="Cambria Math"/>
                <w:i/>
                <w:sz w:val="20"/>
              </w:rPr>
            </m:ctrlPr>
          </m:sSubPr>
          <m:e>
            <m:r>
              <w:rPr>
                <w:rFonts w:ascii="Cambria Math" w:hAnsi="Cambria Math" w:cs="Cambria Math"/>
                <w:sz w:val="20"/>
              </w:rPr>
              <m:t>F</m:t>
            </m:r>
          </m:e>
          <m:sub>
            <m:r>
              <w:rPr>
                <w:rFonts w:ascii="Cambria Math" w:hAnsi="Cambria Math"/>
                <w:sz w:val="20"/>
              </w:rPr>
              <m:t>2</m:t>
            </m:r>
          </m:sub>
        </m:sSub>
      </m:oMath>
      <w:r w:rsidRPr="00B9776F">
        <w:rPr>
          <w:rFonts w:ascii="Book Antiqua" w:hAnsi="Book Antiqua"/>
          <w:sz w:val="20"/>
        </w:rPr>
        <w:t xml:space="preserve"> is gravitational force. It is not correct to say that an atomic mass comes solely from an atom, and that gravitational mass comes from many atoms together. This would deny the physics behind equations (25) and (56) to (58).  Those equations show that the gravitational mass of any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E4B48">
        <w:rPr>
          <w:rFonts w:ascii="Book Antiqua" w:hAnsi="Book Antiqua"/>
          <w:sz w:val="20"/>
        </w:rPr>
        <w:t>is given by</w:t>
      </w:r>
      <w:r w:rsidRPr="00B9776F">
        <w:rPr>
          <w:rFonts w:ascii="Book Antiqua" w:hAnsi="Book Antiqua"/>
          <w:sz w:val="20"/>
        </w:rPr>
        <w:t xml:space="preserve"> the</w:t>
      </w:r>
      <w:r w:rsidR="00F85E74">
        <w:rPr>
          <w:rFonts w:ascii="Book Antiqua" w:hAnsi="Book Antiqua"/>
          <w:sz w:val="20"/>
        </w:rPr>
        <w:t xml:space="preserve"> square root of the product</w:t>
      </w:r>
      <w:r w:rsidRPr="00B9776F">
        <w:rPr>
          <w:rFonts w:ascii="Book Antiqua" w:hAnsi="Book Antiqua"/>
          <w:sz w:val="20"/>
        </w:rPr>
        <w:t xml:space="preserve"> </w:t>
      </w:r>
      <w:r w:rsidR="00F85E74">
        <w:rPr>
          <w:rFonts w:ascii="Book Antiqua" w:hAnsi="Book Antiqua"/>
          <w:sz w:val="20"/>
        </w:rPr>
        <w:t xml:space="preserve">of the </w:t>
      </w:r>
      <w:r w:rsidRPr="00B9776F">
        <w:rPr>
          <w:rFonts w:ascii="Book Antiqua" w:hAnsi="Book Antiqua"/>
          <w:sz w:val="20"/>
        </w:rPr>
        <w:t>ZPE jiggle mass of that same atomic particle</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t>
      </w:r>
      <w:r w:rsidR="00F85E74">
        <w:rPr>
          <w:rFonts w:ascii="Book Antiqua" w:hAnsi="Book Antiqua"/>
          <w:sz w:val="20"/>
        </w:rPr>
        <w:t>and</w:t>
      </w:r>
      <w:r w:rsidRPr="00B9776F">
        <w:rPr>
          <w:rFonts w:ascii="Book Antiqua" w:hAnsi="Book Antiqua"/>
          <w:sz w:val="20"/>
        </w:rPr>
        <w:t xml:space="preserve"> the particle's intrinsic mass</w:t>
      </w:r>
      <w:r w:rsidR="003A795D">
        <w:rPr>
          <w:rFonts w:ascii="Book Antiqua" w:hAnsi="Book Antiqua"/>
          <w:sz w:val="20"/>
        </w:rPr>
        <w:t xml:space="preserve">, </w:t>
      </w:r>
      <w:r w:rsidR="003A795D" w:rsidRPr="003A795D">
        <w:rPr>
          <w:rFonts w:ascii="Book Antiqua" w:hAnsi="Book Antiqua"/>
          <w:i/>
          <w:sz w:val="20"/>
        </w:rPr>
        <w:t>m*</w:t>
      </w:r>
      <w:r w:rsidR="003A795D">
        <w:rPr>
          <w:rFonts w:ascii="Book Antiqua" w:hAnsi="Book Antiqua"/>
          <w:sz w:val="20"/>
        </w:rPr>
        <w:t>,</w:t>
      </w:r>
      <w:r w:rsidRPr="00B9776F">
        <w:rPr>
          <w:rFonts w:ascii="Book Antiqua" w:hAnsi="Book Antiqua"/>
          <w:sz w:val="20"/>
        </w:rPr>
        <w:t xml:space="preserve"> (which is due to the radius of the sphere on which the charge rests).</w:t>
      </w:r>
    </w:p>
    <w:p w:rsidR="00820B57" w:rsidRPr="00B9776F" w:rsidRDefault="00820B57"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Although gravitational mass, </w:t>
      </w:r>
      <m:oMath>
        <m:r>
          <w:rPr>
            <w:rFonts w:ascii="Cambria Math" w:hAnsi="Cambria Math" w:cs="Cambria Math"/>
            <w:sz w:val="20"/>
          </w:rPr>
          <m:t>M</m:t>
        </m:r>
      </m:oMath>
      <w:r w:rsidRPr="00B9776F">
        <w:rPr>
          <w:rFonts w:ascii="Book Antiqua" w:hAnsi="Book Antiqua"/>
          <w:sz w:val="20"/>
        </w:rPr>
        <w:t xml:space="preserve">, is related to electric and magnetic interactions with </w:t>
      </w:r>
      <m:oMath>
        <m:r>
          <w:rPr>
            <w:rFonts w:ascii="Cambria Math" w:hAnsi="Cambria Math" w:cs="Cambria Math"/>
            <w:sz w:val="20"/>
          </w:rPr>
          <m:t>m</m:t>
        </m:r>
      </m:oMath>
      <w:r w:rsidRPr="00B9776F">
        <w:rPr>
          <w:rFonts w:ascii="Book Antiqua" w:hAnsi="Book Antiqua"/>
          <w:sz w:val="20"/>
        </w:rPr>
        <w:t xml:space="preserve"> and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as shown above, the changes balance in such a way that </w:t>
      </w:r>
      <m:oMath>
        <m:r>
          <w:rPr>
            <w:rFonts w:ascii="Cambria Math" w:hAnsi="Cambria Math" w:cs="Cambria Math"/>
            <w:sz w:val="20"/>
          </w:rPr>
          <m:t>M</m:t>
        </m:r>
      </m:oMath>
      <w:r w:rsidRPr="00B9776F">
        <w:rPr>
          <w:rFonts w:ascii="Book Antiqua" w:hAnsi="Book Antiqua"/>
          <w:sz w:val="20"/>
        </w:rPr>
        <w:t xml:space="preserve"> remains constant.  Every subatomic particle is made up of partons or electrons which have an electric charge. Since every parton is surrounded by other partons which also carry a charge, they are in an environment in which electric and magnetic effects predominate. These partons are being jiggled by the electro-magnetic fields and waves of the ZPE, and the kinetic energy of these jiggled charges imparts mass to the partons. This atomic environment is therefore dealing solely with what is happening to the parton and electrons themselves. However, these jiggling charges also have the separate effect of polarizing the surrounding vacuum, and it is this </w:t>
      </w:r>
      <w:r w:rsidR="003A5CA8">
        <w:rPr>
          <w:rFonts w:ascii="Book Antiqua" w:hAnsi="Book Antiqua"/>
          <w:sz w:val="20"/>
        </w:rPr>
        <w:t>which</w:t>
      </w:r>
      <w:r w:rsidR="007C7D70">
        <w:rPr>
          <w:rFonts w:ascii="Book Antiqua" w:hAnsi="Book Antiqua"/>
          <w:sz w:val="20"/>
        </w:rPr>
        <w:t xml:space="preserve"> brings about the pull of gravity</w:t>
      </w:r>
      <w:r w:rsidRPr="00B9776F">
        <w:rPr>
          <w:rFonts w:ascii="Book Antiqua" w:hAnsi="Book Antiqua"/>
          <w:sz w:val="20"/>
        </w:rPr>
        <w:t xml:space="preserve">. </w:t>
      </w:r>
    </w:p>
    <w:p w:rsidR="007C7D70" w:rsidRDefault="007C7D70" w:rsidP="00820B57">
      <w:pPr>
        <w:pStyle w:val="NoSpacing"/>
        <w:jc w:val="both"/>
        <w:rPr>
          <w:rFonts w:ascii="Book Antiqua" w:hAnsi="Book Antiqua"/>
          <w:sz w:val="20"/>
        </w:rPr>
      </w:pPr>
    </w:p>
    <w:p w:rsidR="007C7D70" w:rsidRDefault="007C7D70" w:rsidP="00820B57">
      <w:pPr>
        <w:pStyle w:val="NoSpacing"/>
        <w:jc w:val="both"/>
        <w:rPr>
          <w:rFonts w:ascii="Book Antiqua" w:hAnsi="Book Antiqua"/>
          <w:sz w:val="20"/>
        </w:rPr>
      </w:pPr>
    </w:p>
    <w:p w:rsidR="007C7D70" w:rsidRDefault="007C7D70" w:rsidP="00820B57">
      <w:pPr>
        <w:pStyle w:val="NoSpacing"/>
        <w:jc w:val="both"/>
        <w:rPr>
          <w:rFonts w:ascii="Book Antiqua" w:hAnsi="Book Antiqua"/>
          <w:sz w:val="20"/>
        </w:rPr>
      </w:pPr>
    </w:p>
    <w:p w:rsidR="007C7D70" w:rsidRPr="00B9776F" w:rsidRDefault="007C7D70" w:rsidP="00820B57">
      <w:pPr>
        <w:pStyle w:val="NoSpacing"/>
        <w:jc w:val="both"/>
        <w:rPr>
          <w:rFonts w:ascii="Book Antiqua" w:hAnsi="Book Antiqua"/>
          <w:sz w:val="20"/>
        </w:rPr>
      </w:pPr>
    </w:p>
    <w:p w:rsidR="00820B57" w:rsidRDefault="00820B57" w:rsidP="00820B57">
      <w:pPr>
        <w:pStyle w:val="NoSpacing"/>
        <w:jc w:val="both"/>
        <w:rPr>
          <w:rFonts w:ascii="Book Antiqua" w:hAnsi="Book Antiqua"/>
          <w:sz w:val="20"/>
        </w:rPr>
      </w:pPr>
    </w:p>
    <w:p w:rsidR="001D1F40" w:rsidRDefault="001D1F40" w:rsidP="00FE38C1">
      <w:pPr>
        <w:pStyle w:val="NoSpacing"/>
        <w:numPr>
          <w:ilvl w:val="0"/>
          <w:numId w:val="20"/>
        </w:numPr>
        <w:jc w:val="both"/>
        <w:rPr>
          <w:rFonts w:ascii="Book Antiqua" w:hAnsi="Book Antiqua"/>
          <w:b/>
          <w:sz w:val="20"/>
        </w:rPr>
      </w:pPr>
      <w:r w:rsidRPr="001D1F40">
        <w:rPr>
          <w:rFonts w:ascii="Book Antiqua" w:hAnsi="Book Antiqua"/>
          <w:b/>
          <w:sz w:val="20"/>
        </w:rPr>
        <w:t>The Origin of Gravitation</w:t>
      </w:r>
      <w:r w:rsidR="00FE38C1">
        <w:rPr>
          <w:rFonts w:ascii="Book Antiqua" w:hAnsi="Book Antiqua"/>
          <w:b/>
          <w:sz w:val="20"/>
        </w:rPr>
        <w:t xml:space="preserve"> From SED Physics</w:t>
      </w:r>
    </w:p>
    <w:p w:rsidR="007C7D70" w:rsidRDefault="007C7D70" w:rsidP="007F2BEC">
      <w:pPr>
        <w:pStyle w:val="Heading2"/>
        <w:spacing w:before="80" w:after="80" w:line="240" w:lineRule="atLeast"/>
        <w:rPr>
          <w:rFonts w:ascii="Book Antiqua" w:hAnsi="Book Antiqua" w:cs="Times New Roman"/>
          <w:b w:val="0"/>
          <w:sz w:val="20"/>
          <w:szCs w:val="20"/>
        </w:rPr>
      </w:pPr>
    </w:p>
    <w:p w:rsidR="00820B57" w:rsidRPr="00B9776F" w:rsidRDefault="001D1F40" w:rsidP="007F2BEC">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3.1</w:t>
      </w:r>
      <w:r w:rsidR="007F2BEC">
        <w:rPr>
          <w:rFonts w:ascii="Book Antiqua" w:hAnsi="Book Antiqua" w:cs="Times New Roman"/>
          <w:b w:val="0"/>
          <w:sz w:val="20"/>
          <w:szCs w:val="20"/>
        </w:rPr>
        <w:t xml:space="preserve">  </w:t>
      </w:r>
      <w:r w:rsidR="00820B57" w:rsidRPr="00B9776F">
        <w:rPr>
          <w:rFonts w:ascii="Book Antiqua" w:hAnsi="Book Antiqua" w:cs="Times New Roman"/>
          <w:b w:val="0"/>
          <w:sz w:val="20"/>
          <w:szCs w:val="20"/>
        </w:rPr>
        <w:t>An SED Approach to Gravitation</w:t>
      </w:r>
    </w:p>
    <w:p w:rsidR="00820B57" w:rsidRPr="00B9776F" w:rsidRDefault="00820B57" w:rsidP="00820B57">
      <w:pPr>
        <w:pStyle w:val="ListParagraph"/>
        <w:ind w:left="360"/>
        <w:rPr>
          <w:rFonts w:ascii="Book Antiqua" w:hAnsi="Book Antiqua"/>
        </w:rPr>
      </w:pPr>
    </w:p>
    <w:p w:rsidR="00820B57" w:rsidRDefault="00820B57" w:rsidP="00820B57">
      <w:pPr>
        <w:pStyle w:val="NoSpacing"/>
        <w:jc w:val="both"/>
        <w:rPr>
          <w:rFonts w:ascii="Book Antiqua" w:hAnsi="Book Antiqua"/>
          <w:sz w:val="20"/>
        </w:rPr>
      </w:pPr>
      <w:r w:rsidRPr="00B9776F">
        <w:rPr>
          <w:rFonts w:ascii="Book Antiqua" w:hAnsi="Book Antiqua"/>
          <w:sz w:val="20"/>
        </w:rPr>
        <w:tab/>
        <w:t xml:space="preserve">An explanation for the origin of gravitation given by SED physicists elucidates the earlier points that have been made here. They begin by noting that in 1968, Russian physicist Andrei Sakharov linked gravitation and inertia with the Zero Point Fields (ZPF). In 1989, Puthoff formulated this into a quantifiable theory of gravitation. Later, Haisch and Rueda developed this further. They noted that all charges in the universe undergo the </w:t>
      </w:r>
      <w:r w:rsidRPr="00B9776F">
        <w:rPr>
          <w:rFonts w:ascii="Book Antiqua" w:hAnsi="Book Antiqua"/>
          <w:i/>
          <w:sz w:val="20"/>
        </w:rPr>
        <w:t>Zitterbewegung</w:t>
      </w:r>
      <w:r w:rsidRPr="00B9776F">
        <w:rPr>
          <w:rFonts w:ascii="Book Antiqua" w:hAnsi="Book Antiqua"/>
          <w:sz w:val="20"/>
        </w:rPr>
        <w:t xml:space="preserve"> jostling through interaction with the Zero Point Field (ZPF). These fluctuations are relativistic, meaning that the charges move at velocities close to that of light. </w:t>
      </w:r>
    </w:p>
    <w:p w:rsidR="003A745F" w:rsidRPr="00B9776F" w:rsidRDefault="003A745F"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Rueda and Puthoff explain gravity’s origin as follows [38]: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r>
      <w:r w:rsidRPr="00B9776F">
        <w:rPr>
          <w:rFonts w:ascii="Book Antiqua" w:hAnsi="Book Antiqua"/>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r w:rsidRPr="00B9776F">
        <w:rPr>
          <w:rFonts w:ascii="Book Antiqua" w:hAnsi="Book Antiqua"/>
          <w:sz w:val="20"/>
        </w:rPr>
        <w:t xml:space="preserve"> [38]</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To put it another way: first, there is the bare charge which is intrinsic to the electron or parton. This is what gives the particle its intrinsic mass,</w:t>
      </w:r>
      <w:r w:rsidRPr="00B9776F">
        <w:rPr>
          <w:rFonts w:ascii="Book Antiqua" w:hAnsi="Book Antiqua"/>
          <w:i/>
          <w:sz w:val="20"/>
        </w:rPr>
        <w:t xml:space="preserve"> </w:t>
      </w:r>
      <m:oMath>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 The mere existence of this charge polarizes the vacuum. For a negative electron, the layer of virtual particles next to the electron will tend to be positive charges, then a layer of negative charges, and so on, until this polarization acts to attract other partons and/or electrons which may be nearby. The sign of the charge does not matter; it only affects the phase of the interactions.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That is the first step. This same charge is also undergoing the </w:t>
      </w:r>
      <w:r w:rsidRPr="00B9776F">
        <w:rPr>
          <w:rFonts w:ascii="Book Antiqua" w:hAnsi="Book Antiqua"/>
          <w:i/>
          <w:sz w:val="20"/>
        </w:rPr>
        <w:t>Zitterbewegung</w:t>
      </w:r>
      <w:r w:rsidRPr="00B9776F">
        <w:rPr>
          <w:rFonts w:ascii="Book Antiqua" w:hAnsi="Book Antiqua"/>
          <w:sz w:val="20"/>
        </w:rPr>
        <w:t xml:space="preserve"> which gives it atomic mass due to the kinetic energy of the ‘jitter.’ The polarization caused by this jitter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proportional to ZPE strength,</w:t>
      </w:r>
      <w:r w:rsidRPr="00B9776F">
        <w:rPr>
          <w:rFonts w:ascii="Book Antiqua" w:hAnsi="Book Antiqua"/>
          <w:i/>
          <w:sz w:val="20"/>
        </w:rPr>
        <w:t xml:space="preserve"> </w:t>
      </w:r>
      <m:oMath>
        <m:r>
          <w:rPr>
            <w:rFonts w:ascii="Cambria Math" w:hAnsi="Cambria Math" w:cs="Cambria Math"/>
            <w:sz w:val="20"/>
          </w:rPr>
          <m:t>U</m:t>
        </m:r>
      </m:oMath>
      <w:r w:rsidRPr="00B9776F">
        <w:rPr>
          <w:rFonts w:ascii="Book Antiqua" w:hAnsi="Book Antiqua"/>
          <w:sz w:val="20"/>
        </w:rPr>
        <w:t>. This then results in a stronger polarization in that locality than if the parton was at rest. If the parton or electron were indeed at rest, there would be no secondary radiation, and therefore no additional polarization. This net attractive force between the particles due to vacuum polarization has been shown by SED physicists to be identical to gravity.</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Where there are many particles, there are many intrinsic charges undergoing the jitter of the </w:t>
      </w:r>
      <w:r w:rsidRPr="00B9776F">
        <w:rPr>
          <w:rFonts w:ascii="Book Antiqua" w:hAnsi="Book Antiqua"/>
          <w:i/>
          <w:sz w:val="20"/>
        </w:rPr>
        <w:t>Zitterbewegung</w:t>
      </w:r>
      <w:r w:rsidRPr="00B9776F">
        <w:rPr>
          <w:rFonts w:ascii="Book Antiqua" w:hAnsi="Book Antiqua"/>
          <w:sz w:val="20"/>
        </w:rPr>
        <w:t xml:space="preserve">. Since both the intrinsic charge and the jitter polarize the vacuum, and this polarization manifests as gravity, then the larger the collection of particles, the stronger the gravity. However, for any given number of particles, the gravitational attraction will be constant through time. This situation occurs because the overall polarization from the two sources (the parton charge and the jiggle) can be shown to remain unchanged with changing ZPE. </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3.2</w:t>
      </w:r>
      <w:r w:rsidR="00820B57" w:rsidRPr="00B9776F">
        <w:rPr>
          <w:rFonts w:ascii="Book Antiqua" w:hAnsi="Book Antiqua" w:cs="Times New Roman"/>
          <w:b w:val="0"/>
          <w:sz w:val="20"/>
          <w:szCs w:val="20"/>
        </w:rPr>
        <w:t xml:space="preserve"> A Layman’s Explanation Why Gravity is Constant</w:t>
      </w:r>
    </w:p>
    <w:p w:rsidR="00820B57" w:rsidRPr="00B9776F" w:rsidRDefault="00820B57" w:rsidP="00820B57">
      <w:pPr>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picture of gravity being the result of vacuum polarization, in a context with a changing ZPE, may be explained simply in the following way. There are two agents governing the polarization of the vacuum and its resulting attraction.  In the first case, there is the polarization of virtual particles by the mere presence of the charge, </w:t>
      </w:r>
      <m:oMath>
        <m:r>
          <w:rPr>
            <w:rFonts w:ascii="Cambria Math" w:hAnsi="Cambria Math" w:cs="Cambria Math"/>
            <w:sz w:val="20"/>
          </w:rPr>
          <m:t>e</m:t>
        </m:r>
      </m:oMath>
      <w:r w:rsidRPr="00B9776F">
        <w:rPr>
          <w:rFonts w:ascii="Book Antiqua" w:hAnsi="Book Antiqua"/>
          <w:sz w:val="20"/>
        </w:rPr>
        <w:t xml:space="preserve">, on the </w:t>
      </w:r>
      <w:r w:rsidRPr="00B9776F">
        <w:rPr>
          <w:rFonts w:ascii="Book Antiqua" w:hAnsi="Book Antiqua"/>
          <w:sz w:val="20"/>
        </w:rPr>
        <w:lastRenderedPageBreak/>
        <w:t>parton or electron.  Since the quantity</w:t>
      </w:r>
      <w:r w:rsidRPr="00B9776F">
        <w:rPr>
          <w:rFonts w:ascii="Book Antiqua" w:hAnsi="Book Antiqua"/>
          <w:position w:val="-10"/>
          <w:sz w:val="20"/>
        </w:rPr>
        <w:object w:dxaOrig="420" w:dyaOrig="340">
          <v:shape id="_x0000_i1029" type="#_x0000_t75" style="width:21.2pt;height:17.55pt" o:ole="">
            <v:imagedata r:id="rId164" o:title=""/>
          </v:shape>
          <o:OLEObject Type="Embed" ProgID="Equation.DSMT4" ShapeID="_x0000_i1029" DrawAspect="Content" ObjectID="_1433920181" r:id="rId165"/>
        </w:object>
      </w:r>
      <w:r w:rsidRPr="00B9776F">
        <w:rPr>
          <w:rFonts w:ascii="Book Antiqua" w:hAnsi="Book Antiqua"/>
          <w:sz w:val="20"/>
        </w:rPr>
        <w:t>is constant, then it follows that the polarization of the vacuum due to the charge on the parton (or electron) alone will also be constant.  This means that the gravitational attraction from this source of polarization will be unchanged.</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rmPara"/>
        <w:ind w:firstLine="270"/>
        <w:rPr>
          <w:sz w:val="20"/>
        </w:rPr>
      </w:pPr>
      <w:r w:rsidRPr="00B9776F">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820B57" w:rsidRPr="00B9776F" w:rsidRDefault="00820B57" w:rsidP="00820B57">
      <w:pPr>
        <w:pStyle w:val="NormPara"/>
        <w:ind w:firstLine="270"/>
        <w:rPr>
          <w:sz w:val="20"/>
        </w:rPr>
      </w:pPr>
    </w:p>
    <w:p w:rsidR="00820B57" w:rsidRPr="00B9776F" w:rsidRDefault="00820B57" w:rsidP="00820B57">
      <w:pPr>
        <w:pStyle w:val="NormPara"/>
        <w:ind w:firstLine="270"/>
        <w:rPr>
          <w:sz w:val="20"/>
        </w:rPr>
      </w:pPr>
      <w:r w:rsidRPr="00B9776F">
        <w:rPr>
          <w:sz w:val="20"/>
        </w:rPr>
        <w:t>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w:t>
      </w:r>
      <w:r w:rsidR="00F33440">
        <w:rPr>
          <w:sz w:val="20"/>
        </w:rPr>
        <w:t>,</w:t>
      </w:r>
      <w:r w:rsidRPr="00B9776F">
        <w:rPr>
          <w:sz w:val="20"/>
        </w:rPr>
        <w:t xml:space="preserve"> </w:t>
      </w:r>
      <w:r w:rsidR="003A5CA8">
        <w:rPr>
          <w:sz w:val="20"/>
        </w:rPr>
        <w:t>when</w:t>
      </w:r>
      <w:r w:rsidRPr="00B9776F">
        <w:rPr>
          <w:sz w:val="20"/>
        </w:rPr>
        <w:t xml:space="preserve"> the ZPE increase</w:t>
      </w:r>
      <w:r w:rsidR="003A5CA8">
        <w:rPr>
          <w:sz w:val="20"/>
        </w:rPr>
        <w:t>s</w:t>
      </w:r>
      <w:r w:rsidRPr="00B9776F">
        <w:rPr>
          <w:sz w:val="20"/>
        </w:rPr>
        <w:t>, the number of virtual particles in any given volume also increase</w:t>
      </w:r>
      <w:r w:rsidR="003A5CA8">
        <w:rPr>
          <w:sz w:val="20"/>
        </w:rPr>
        <w:t>.</w:t>
      </w:r>
      <w:r w:rsidRPr="00B9776F">
        <w:rPr>
          <w:sz w:val="20"/>
        </w:rPr>
        <w:t xml:space="preserve"> </w:t>
      </w:r>
      <w:r w:rsidR="003A5CA8">
        <w:rPr>
          <w:sz w:val="20"/>
        </w:rPr>
        <w:t>T</w:t>
      </w:r>
      <w:r w:rsidRPr="00B9776F">
        <w:rPr>
          <w:sz w:val="20"/>
        </w:rPr>
        <w:t xml:space="preserve">hese particles </w:t>
      </w:r>
      <w:r w:rsidR="003A5CA8">
        <w:rPr>
          <w:sz w:val="20"/>
        </w:rPr>
        <w:t>slow</w:t>
      </w:r>
      <w:r w:rsidRPr="00B9776F">
        <w:rPr>
          <w:sz w:val="20"/>
        </w:rPr>
        <w:t xml:space="preserve"> the ZPE in the same way they </w:t>
      </w:r>
      <w:r w:rsidR="003A5CA8">
        <w:rPr>
          <w:sz w:val="20"/>
        </w:rPr>
        <w:t>slow</w:t>
      </w:r>
      <w:r w:rsidRPr="00B9776F">
        <w:rPr>
          <w:sz w:val="20"/>
        </w:rPr>
        <w:t xml:space="preserve"> light.  So the ZPE waves </w:t>
      </w:r>
      <w:r w:rsidR="003A5CA8">
        <w:rPr>
          <w:sz w:val="20"/>
        </w:rPr>
        <w:t>will travel</w:t>
      </w:r>
      <w:r w:rsidRPr="00B9776F">
        <w:rPr>
          <w:sz w:val="20"/>
        </w:rPr>
        <w:t xml:space="preserve"> more slowly and so </w:t>
      </w:r>
      <w:r w:rsidR="003A5CA8">
        <w:rPr>
          <w:sz w:val="20"/>
        </w:rPr>
        <w:t>cannot</w:t>
      </w:r>
      <w:r w:rsidRPr="00B9776F">
        <w:rPr>
          <w:sz w:val="20"/>
        </w:rPr>
        <w:t xml:space="preserve"> accelerate the partons or electrons as rapidly when the waves hit.  The result is that the polarization from the acceleration will actually be less, proportional to </w:t>
      </w:r>
      <w:r w:rsidRPr="00B9776F">
        <w:rPr>
          <w:i/>
          <w:sz w:val="20"/>
        </w:rPr>
        <w:t>c</w:t>
      </w:r>
      <w:r w:rsidRPr="00B9776F">
        <w:rPr>
          <w:sz w:val="20"/>
        </w:rPr>
        <w:t>.  This proportionality therefore cancels out the increase in polarization that is due to an increasing ZPE strength.  The outcome is that this source of polarization remains constant and therefore gravity itself remains constant.</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Haisch summarized this explanation of gravity in reference [1] when he said, </w:t>
      </w:r>
      <w:r w:rsidRPr="00B9776F">
        <w:rPr>
          <w:rFonts w:ascii="Book Antiqua" w:hAnsi="Book Antiqua"/>
          <w:i/>
          <w:sz w:val="20"/>
        </w:rPr>
        <w:t>“This might explain why gravity is so weak. One mass does not pull directly on another mass but only through the intermediary of the [charged virtual particles that make up the] vacuum.”</w:t>
      </w:r>
      <w:r w:rsidRPr="00B9776F">
        <w:rPr>
          <w:rFonts w:ascii="Book Antiqua" w:hAnsi="Book Antiqua"/>
          <w:sz w:val="20"/>
        </w:rPr>
        <w:t xml:space="preserve"> On this basis, then, gravitation and mass may be considered to merely be manifestations of electromagnetic effects linked with the ZPE. More will be said about this in Chapter 7.</w:t>
      </w:r>
    </w:p>
    <w:p w:rsidR="00820B57" w:rsidRPr="00B9776F" w:rsidRDefault="00820B57" w:rsidP="00820B57">
      <w:pPr>
        <w:pStyle w:val="NoSpacing"/>
        <w:jc w:val="both"/>
        <w:rPr>
          <w:rFonts w:ascii="Book Antiqua" w:hAnsi="Book Antiqua"/>
          <w:b/>
          <w:sz w:val="20"/>
        </w:rPr>
      </w:pPr>
    </w:p>
    <w:p w:rsidR="00820B57" w:rsidRPr="00B9776F" w:rsidRDefault="001D1F40" w:rsidP="00820B57">
      <w:pPr>
        <w:pStyle w:val="NoSpacing"/>
        <w:jc w:val="both"/>
        <w:rPr>
          <w:rFonts w:ascii="Book Antiqua" w:hAnsi="Book Antiqua"/>
          <w:b/>
          <w:bCs/>
          <w:iCs/>
          <w:color w:val="000000"/>
          <w:sz w:val="20"/>
        </w:rPr>
      </w:pPr>
      <w:r>
        <w:rPr>
          <w:rFonts w:ascii="Book Antiqua" w:hAnsi="Book Antiqua"/>
          <w:b/>
          <w:sz w:val="20"/>
        </w:rPr>
        <w:t>4</w:t>
      </w:r>
      <w:r w:rsidR="00820B57" w:rsidRPr="00B9776F">
        <w:rPr>
          <w:rFonts w:ascii="Book Antiqua" w:hAnsi="Book Antiqua"/>
          <w:b/>
          <w:sz w:val="20"/>
        </w:rPr>
        <w:t>. Atomic and Orbital Clocks</w:t>
      </w:r>
    </w:p>
    <w:p w:rsidR="00820B57" w:rsidRPr="00B9776F" w:rsidRDefault="00820B57" w:rsidP="00820B57">
      <w:pPr>
        <w:pStyle w:val="Heading2"/>
        <w:spacing w:before="80" w:after="80" w:line="240" w:lineRule="atLeast"/>
        <w:rPr>
          <w:rFonts w:ascii="Book Antiqua" w:hAnsi="Book Antiqua" w:cs="Times New Roman"/>
          <w:sz w:val="20"/>
          <w:szCs w:val="20"/>
        </w:rPr>
      </w:pPr>
    </w:p>
    <w:p w:rsidR="00820B57" w:rsidRPr="00B9776F" w:rsidRDefault="001D1F40" w:rsidP="00820B57">
      <w:pPr>
        <w:pStyle w:val="Heading2"/>
        <w:spacing w:before="80" w:after="80" w:line="240" w:lineRule="atLeast"/>
        <w:rPr>
          <w:rFonts w:ascii="Book Antiqua" w:hAnsi="Book Antiqua" w:cs="Times New Roman"/>
          <w:sz w:val="20"/>
          <w:szCs w:val="20"/>
        </w:rPr>
      </w:pPr>
      <w:r>
        <w:rPr>
          <w:rFonts w:ascii="Book Antiqua" w:hAnsi="Book Antiqua" w:cs="Times New Roman"/>
          <w:sz w:val="20"/>
          <w:szCs w:val="20"/>
        </w:rPr>
        <w:t>4</w:t>
      </w:r>
      <w:r w:rsidR="00820B57" w:rsidRPr="00B9776F">
        <w:rPr>
          <w:rFonts w:ascii="Book Antiqua" w:hAnsi="Book Antiqua" w:cs="Times New Roman"/>
          <w:sz w:val="20"/>
          <w:szCs w:val="20"/>
        </w:rPr>
        <w:t xml:space="preserve">.1 </w:t>
      </w:r>
      <w:r w:rsidR="00820B57" w:rsidRPr="00B9776F">
        <w:rPr>
          <w:rFonts w:ascii="Book Antiqua" w:hAnsi="Book Antiqua" w:cs="Times New Roman"/>
          <w:b w:val="0"/>
          <w:sz w:val="20"/>
          <w:szCs w:val="20"/>
        </w:rPr>
        <w:t xml:space="preserve">The Newtonian Gravitational Constant, </w:t>
      </w:r>
      <m:oMath>
        <m:r>
          <m:rPr>
            <m:sty m:val="bi"/>
          </m:rPr>
          <w:rPr>
            <w:rFonts w:ascii="Cambria Math" w:hAnsi="Cambria Math" w:cs="Cambria Math"/>
            <w:sz w:val="20"/>
            <w:szCs w:val="20"/>
          </w:rPr>
          <m:t>G</m:t>
        </m:r>
      </m:oMath>
      <w:r w:rsidR="00820B57" w:rsidRPr="00B9776F">
        <w:rPr>
          <w:rFonts w:ascii="Book Antiqua" w:hAnsi="Book Antiqua" w:cs="Times New Roman"/>
          <w:sz w:val="20"/>
          <w:szCs w:val="20"/>
        </w:rPr>
        <w:t>.</w:t>
      </w:r>
    </w:p>
    <w:p w:rsidR="00820B57" w:rsidRPr="00B9776F" w:rsidRDefault="00820B57" w:rsidP="00820B57">
      <w:pPr>
        <w:rPr>
          <w:rFonts w:ascii="Book Antiqua" w:hAnsi="Book Antiqua"/>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We have established above that the Newtonian gravitation constant, </w:t>
      </w:r>
      <m:oMath>
        <m:r>
          <w:rPr>
            <w:rFonts w:ascii="Cambria Math" w:hAnsi="Cambria Math" w:cs="Cambria Math"/>
            <w:sz w:val="20"/>
          </w:rPr>
          <m:t>G</m:t>
        </m:r>
      </m:oMath>
      <w:r w:rsidRPr="00B9776F">
        <w:rPr>
          <w:rFonts w:ascii="Book Antiqua" w:hAnsi="Book Antiqua"/>
          <w:sz w:val="20"/>
        </w:rPr>
        <w:t>, can be defined as:</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t>
        </m:r>
        <m:r>
          <w:rPr>
            <w:rFonts w:ascii="Cambria Math" w:hAnsi="Cambria Math"/>
            <w:sz w:val="20"/>
          </w:rPr>
          <m:t xml:space="preserve"> = (2/3</m:t>
        </m:r>
        <m:r>
          <w:rPr>
            <w:rFonts w:ascii="Cambria Math" w:hAnsi="Cambria Math" w:cs="Cambria Math"/>
            <w:sz w:val="20"/>
          </w:rPr>
          <m:t>π</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r>
          <w:rPr>
            <w:rFonts w:ascii="Cambria Math" w:hAnsi="Cambria Math"/>
            <w:sz w:val="20"/>
          </w:rPr>
          <m:t>)(1/</m:t>
        </m:r>
        <m:sSup>
          <m:sSupPr>
            <m:ctrlPr>
              <w:rPr>
                <w:rFonts w:ascii="Cambria Math" w:hAnsi="Cambria Math"/>
                <w:i/>
                <w:sz w:val="20"/>
              </w:rPr>
            </m:ctrlPr>
          </m:sSupPr>
          <m:e>
            <m:r>
              <w:rPr>
                <w:rFonts w:ascii="Cambria Math" w:hAnsi="Cambria Math" w:cs="Cambria Math"/>
                <w:sz w:val="20"/>
              </w:rPr>
              <m:t>k</m:t>
            </m:r>
          </m:e>
          <m:sup>
            <m:r>
              <w:rPr>
                <w:rFonts w:ascii="Cambria Math" w:hAnsi="Cambria Math"/>
                <w:sz w:val="20"/>
              </w:rPr>
              <m:t>2</m:t>
            </m:r>
          </m:sup>
        </m:sSup>
        <m:r>
          <w:rPr>
            <w:rFonts w:ascii="Cambria Math" w:hAnsi="Cambria Math"/>
            <w:sz w:val="20"/>
          </w:rPr>
          <m:t>)[1/(</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(6</w:t>
      </w:r>
      <w:r w:rsidR="00663DBB">
        <w:rPr>
          <w:rFonts w:ascii="Book Antiqua" w:hAnsi="Book Antiqua"/>
          <w:i/>
          <w:sz w:val="20"/>
        </w:rPr>
        <w:t>6</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previously shown, the quantity </w:t>
      </w:r>
      <m:oMath>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m:t>
        </m:r>
        <m:r>
          <w:rPr>
            <w:rFonts w:ascii="Cambria Math" w:hAnsi="Cambria Math" w:cs="Cambria Math"/>
            <w:sz w:val="20"/>
          </w:rPr>
          <m:t>ε</m:t>
        </m:r>
      </m:oMath>
      <w:r w:rsidRPr="00B9776F">
        <w:rPr>
          <w:rFonts w:ascii="Book Antiqua" w:hAnsi="Book Antiqua"/>
          <w:sz w:val="20"/>
        </w:rPr>
        <w:t xml:space="preserve"> is a constant and </w:t>
      </w:r>
      <m:oMath>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m</m:t>
            </m:r>
          </m:e>
          <m:sup>
            <m:r>
              <w:rPr>
                <w:rFonts w:ascii="Cambria Math" w:hAnsi="Cambria Math" w:cs="Cambria Math"/>
                <w:sz w:val="20"/>
              </w:rPr>
              <m:t>*</m:t>
            </m:r>
          </m:sup>
        </m:sSup>
      </m:oMath>
      <w:r w:rsidRPr="00B9776F">
        <w:rPr>
          <w:rFonts w:ascii="Book Antiqua" w:hAnsi="Book Antiqua"/>
          <w:sz w:val="20"/>
        </w:rPr>
        <w:t xml:space="preserve">is also a constant equal to the square of the gravitational mass, </w:t>
      </w:r>
      <m:oMath>
        <m:r>
          <w:rPr>
            <w:rFonts w:ascii="Cambria Math" w:hAnsi="Cambria Math" w:cs="Cambria Math"/>
            <w:sz w:val="20"/>
          </w:rPr>
          <m:t>M</m:t>
        </m:r>
        <m:r>
          <w:rPr>
            <w:rFonts w:ascii="Cambria Math" w:hAnsi="Cambria Math"/>
            <w:sz w:val="20"/>
          </w:rPr>
          <m:t>,</m:t>
        </m:r>
      </m:oMath>
      <w:r w:rsidRPr="00B9776F">
        <w:rPr>
          <w:rFonts w:ascii="Book Antiqua" w:hAnsi="Book Antiqua"/>
          <w:sz w:val="20"/>
        </w:rPr>
        <w:t xml:space="preserve"> as in (56). This means that for changing ZPE strengths the quantity</w:t>
      </w:r>
      <w:r w:rsidRPr="00B9776F">
        <w:rPr>
          <w:rFonts w:ascii="Book Antiqua" w:hAnsi="Book Antiqua"/>
          <w:i/>
          <w:sz w:val="20"/>
        </w:rPr>
        <w:t xml:space="preserve"> </w:t>
      </w:r>
      <m:oMath>
        <m:r>
          <w:rPr>
            <w:rFonts w:ascii="Cambria Math" w:hAnsi="Cambria Math" w:cs="Cambria Math"/>
            <w:sz w:val="20"/>
          </w:rPr>
          <m:t>GM</m:t>
        </m:r>
      </m:oMath>
      <w:r w:rsidRPr="00B9776F">
        <w:rPr>
          <w:rFonts w:ascii="Book Antiqua" w:hAnsi="Book Antiqua"/>
          <w:i/>
          <w:sz w:val="20"/>
        </w:rPr>
        <w:t xml:space="preserve"> </w:t>
      </w:r>
      <w:r w:rsidRPr="00B9776F">
        <w:rPr>
          <w:rFonts w:ascii="Book Antiqua" w:hAnsi="Book Antiqua"/>
          <w:sz w:val="20"/>
        </w:rPr>
        <w:t>will be fixed for all gravitational interactions. So we can write:</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r>
          <w:rPr>
            <w:rFonts w:ascii="Cambria Math" w:hAnsi="Cambria Math"/>
            <w:sz w:val="20"/>
          </w:rPr>
          <m:t xml:space="preserve"> </m:t>
        </m:r>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7</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Thus, for any given object or system, gravitational acceleration, </w:t>
      </w:r>
      <m:oMath>
        <m:r>
          <w:rPr>
            <w:rFonts w:ascii="Cambria Math" w:hAnsi="Cambria Math" w:cs="Cambria Math"/>
            <w:sz w:val="20"/>
          </w:rPr>
          <m:t>g</m:t>
        </m:r>
      </m:oMath>
      <w:r w:rsidRPr="00B9776F">
        <w:rPr>
          <w:rFonts w:ascii="Book Antiqua" w:hAnsi="Book Antiqua"/>
          <w:sz w:val="20"/>
        </w:rPr>
        <w:t xml:space="preserve">, remains fixed. For example, if the radius of a planet is </w:t>
      </w:r>
      <m:oMath>
        <m:r>
          <w:rPr>
            <w:rFonts w:ascii="Cambria Math" w:hAnsi="Cambria Math" w:cs="Cambria Math"/>
            <w:sz w:val="20"/>
          </w:rPr>
          <m:t>r</m:t>
        </m:r>
      </m:oMath>
      <w:r w:rsidRPr="00B9776F">
        <w:rPr>
          <w:rFonts w:ascii="Book Antiqua" w:hAnsi="Book Antiqua"/>
          <w:sz w:val="20"/>
        </w:rPr>
        <w:t xml:space="preserve">, and its mass is </w:t>
      </w:r>
      <m:oMath>
        <m:r>
          <w:rPr>
            <w:rFonts w:ascii="Cambria Math" w:hAnsi="Cambria Math" w:cs="Cambria Math"/>
            <w:sz w:val="20"/>
          </w:rPr>
          <m:t>M</m:t>
        </m:r>
      </m:oMath>
      <w:r w:rsidRPr="00B9776F">
        <w:rPr>
          <w:rFonts w:ascii="Book Antiqua" w:hAnsi="Book Antiqua"/>
          <w:sz w:val="20"/>
        </w:rPr>
        <w:t xml:space="preserve"> then the gravitational acceleration is given by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w:lastRenderedPageBreak/>
          <m:t>g</m:t>
        </m:r>
        <m:r>
          <w:rPr>
            <w:rFonts w:ascii="Cambria Math" w:hAnsi="Cambria Math"/>
            <w:sz w:val="20"/>
          </w:rPr>
          <m:t xml:space="preserve">  =  </m:t>
        </m:r>
        <m:r>
          <w:rPr>
            <w:rFonts w:ascii="Cambria Math" w:hAnsi="Cambria Math" w:cs="Cambria Math"/>
            <w:sz w:val="20"/>
          </w:rPr>
          <m:t>GM</m:t>
        </m:r>
        <m:r>
          <w:rPr>
            <w:rFonts w:ascii="Cambria Math" w:hAnsi="Cambria Math"/>
            <w:sz w:val="20"/>
          </w:rPr>
          <m:t>/</m:t>
        </m:r>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2</m:t>
            </m:r>
          </m:sup>
        </m:sSup>
        <m:r>
          <w:rPr>
            <w:rFonts w:ascii="Cambria Math" w:hAnsi="Cambria Math"/>
            <w:sz w:val="20"/>
            <w:vertAlign w:val="superscript"/>
          </w:rPr>
          <m:t xml:space="preserve"> </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(6</w:t>
      </w:r>
      <w:r w:rsidR="00663DBB">
        <w:rPr>
          <w:rFonts w:ascii="Book Antiqua" w:hAnsi="Book Antiqua"/>
          <w:i/>
          <w:sz w:val="20"/>
        </w:rPr>
        <w:t>8</w:t>
      </w:r>
      <w:r w:rsidRPr="00B9776F">
        <w:rPr>
          <w:rFonts w:ascii="Book Antiqua" w:hAnsi="Book Antiqua"/>
          <w:i/>
          <w:sz w:val="20"/>
        </w:rPr>
        <w: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as stated in S.L. Martin &amp; A.K. Connor’s, </w:t>
      </w:r>
      <w:r w:rsidRPr="00B9776F">
        <w:rPr>
          <w:rFonts w:ascii="Book Antiqua" w:hAnsi="Book Antiqua"/>
          <w:i/>
          <w:sz w:val="20"/>
        </w:rPr>
        <w:t xml:space="preserve">Basic Physics </w:t>
      </w:r>
      <w:r w:rsidRPr="00B9776F">
        <w:rPr>
          <w:rFonts w:ascii="Book Antiqua" w:hAnsi="Book Antiqua"/>
          <w:sz w:val="20"/>
        </w:rPr>
        <w:t xml:space="preserve">[39]. This also means that orbit times, </w:t>
      </w:r>
      <m:oMath>
        <m:r>
          <w:rPr>
            <w:rFonts w:ascii="Cambria Math" w:hAnsi="Cambria Math" w:cs="Cambria Math"/>
            <w:sz w:val="20"/>
          </w:rPr>
          <m:t>T</m:t>
        </m:r>
      </m:oMath>
      <w:r w:rsidRPr="00B9776F">
        <w:rPr>
          <w:rFonts w:ascii="Book Antiqua" w:hAnsi="Book Antiqua"/>
          <w:sz w:val="20"/>
        </w:rPr>
        <w:t>, for planets and stars under gravity will also be unaltered with changing ZPE strengths. This emerges from the standard formulation of Kepler's 3rd Law which states:</w:t>
      </w:r>
    </w:p>
    <w:p w:rsidR="00820B57" w:rsidRPr="00B9776F" w:rsidRDefault="00820B57" w:rsidP="00820B57">
      <w:pPr>
        <w:pStyle w:val="NoSpacing"/>
        <w:jc w:val="both"/>
        <w:rPr>
          <w:rFonts w:ascii="Book Antiqua" w:hAnsi="Book Antiqua"/>
          <w:sz w:val="20"/>
        </w:rPr>
      </w:pPr>
    </w:p>
    <w:p w:rsidR="00820B57" w:rsidRPr="00B9776F" w:rsidRDefault="007B3EBC" w:rsidP="00820B57">
      <w:pPr>
        <w:pStyle w:val="NoSpacing"/>
        <w:jc w:val="right"/>
        <w:rPr>
          <w:rFonts w:ascii="Book Antiqua" w:hAnsi="Book Antiqua"/>
          <w:sz w:val="20"/>
        </w:rPr>
      </w:pP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r>
          <w:rPr>
            <w:rFonts w:ascii="Cambria Math" w:hAnsi="Cambria Math"/>
            <w:sz w:val="20"/>
          </w:rPr>
          <m:t xml:space="preserve">  =  4</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2</m:t>
            </m:r>
          </m:sup>
        </m:sSup>
        <m:sSup>
          <m:sSupPr>
            <m:ctrlPr>
              <w:rPr>
                <w:rFonts w:ascii="Cambria Math" w:hAnsi="Cambria Math"/>
                <w:i/>
                <w:sz w:val="20"/>
              </w:rPr>
            </m:ctrlPr>
          </m:sSupPr>
          <m:e>
            <m:r>
              <w:rPr>
                <w:rFonts w:ascii="Cambria Math" w:hAnsi="Cambria Math" w:cs="Cambria Math"/>
                <w:sz w:val="20"/>
              </w:rPr>
              <m:t>R</m:t>
            </m:r>
          </m:e>
          <m:sup>
            <m:r>
              <w:rPr>
                <w:rFonts w:ascii="Cambria Math" w:hAnsi="Cambria Math"/>
                <w:sz w:val="20"/>
              </w:rPr>
              <m:t>3</m:t>
            </m:r>
          </m:sup>
        </m:sSup>
        <m:r>
          <w:rPr>
            <w:rFonts w:ascii="Cambria Math" w:hAnsi="Cambria Math"/>
            <w:sz w:val="20"/>
          </w:rPr>
          <m:t>/(</m:t>
        </m:r>
        <m:r>
          <w:rPr>
            <w:rFonts w:ascii="Cambria Math" w:hAnsi="Cambria Math" w:cs="Cambria Math"/>
            <w:sz w:val="20"/>
          </w:rPr>
          <m:t>GM</m:t>
        </m:r>
        <m:r>
          <w:rPr>
            <w:rFonts w:ascii="Cambria Math" w:hAnsi="Cambria Math"/>
            <w:sz w:val="20"/>
          </w:rPr>
          <m:t xml:space="preserve">) = </m:t>
        </m:r>
        <m:r>
          <w:rPr>
            <w:rFonts w:ascii="Cambria Math" w:hAnsi="Cambria Math" w:cs="Cambria Math"/>
            <w:sz w:val="20"/>
          </w:rPr>
          <m:t>constant</m:t>
        </m:r>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(6</w:t>
      </w:r>
      <w:r w:rsidR="00663DBB">
        <w:rPr>
          <w:rFonts w:ascii="Book Antiqua" w:hAnsi="Book Antiqua"/>
          <w:i/>
          <w:sz w:val="20"/>
        </w:rPr>
        <w:t>9</w:t>
      </w:r>
      <w:r w:rsidR="00820B57"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where </w:t>
      </w:r>
      <m:oMath>
        <m:r>
          <w:rPr>
            <w:rFonts w:ascii="Cambria Math" w:hAnsi="Cambria Math" w:cs="Cambria Math"/>
            <w:sz w:val="20"/>
          </w:rPr>
          <m:t>R</m:t>
        </m:r>
        <m:r>
          <w:rPr>
            <w:rFonts w:ascii="Cambria Math" w:hAnsi="Cambria Math"/>
            <w:sz w:val="20"/>
          </w:rPr>
          <m:t xml:space="preserve"> </m:t>
        </m:r>
      </m:oMath>
      <w:r w:rsidRPr="00B9776F">
        <w:rPr>
          <w:rFonts w:ascii="Book Antiqua" w:hAnsi="Book Antiqua"/>
          <w:sz w:val="20"/>
        </w:rPr>
        <w:t xml:space="preserve">is the orbit radius and </w:t>
      </w:r>
      <m:oMath>
        <m:r>
          <w:rPr>
            <w:rFonts w:ascii="Cambria Math" w:hAnsi="Cambria Math" w:cs="Cambria Math"/>
            <w:sz w:val="20"/>
          </w:rPr>
          <m:t>M</m:t>
        </m:r>
      </m:oMath>
      <w:r w:rsidRPr="00B9776F">
        <w:rPr>
          <w:rFonts w:ascii="Book Antiqua" w:hAnsi="Book Antiqua"/>
          <w:sz w:val="20"/>
        </w:rPr>
        <w:t xml:space="preserve"> is the mass of the central body. Since </w:t>
      </w:r>
      <m:oMath>
        <m:r>
          <w:rPr>
            <w:rFonts w:ascii="Cambria Math" w:hAnsi="Cambria Math" w:cs="Cambria Math"/>
            <w:sz w:val="20"/>
          </w:rPr>
          <m:t>GM</m:t>
        </m:r>
      </m:oMath>
      <w:r w:rsidRPr="00B9776F">
        <w:rPr>
          <w:rFonts w:ascii="Book Antiqua" w:hAnsi="Book Antiqua"/>
          <w:sz w:val="20"/>
        </w:rPr>
        <w:t xml:space="preserve"> is invariant and orbit radius, </w:t>
      </w:r>
      <m:oMath>
        <m:r>
          <w:rPr>
            <w:rFonts w:ascii="Cambria Math" w:hAnsi="Cambria Math" w:cs="Cambria Math"/>
            <w:sz w:val="20"/>
          </w:rPr>
          <m:t>R</m:t>
        </m:r>
      </m:oMath>
      <w:r w:rsidRPr="00B9776F">
        <w:rPr>
          <w:rFonts w:ascii="Book Antiqua" w:hAnsi="Book Antiqua"/>
          <w:sz w:val="20"/>
        </w:rPr>
        <w:t xml:space="preserve">, is fixed, then, as the ZPE varies cosmologically, the orbital or gravitational clock marks time, </w:t>
      </w:r>
      <m:oMath>
        <m:r>
          <w:rPr>
            <w:rFonts w:ascii="Cambria Math" w:hAnsi="Cambria Math" w:cs="Cambria Math"/>
            <w:sz w:val="20"/>
          </w:rPr>
          <m:t>T</m:t>
        </m:r>
      </m:oMath>
      <w:r w:rsidRPr="00B9776F">
        <w:rPr>
          <w:rFonts w:ascii="Book Antiqua" w:hAnsi="Book Antiqua"/>
          <w:sz w:val="20"/>
        </w:rPr>
        <w:t>, at a constant rate as in (6</w:t>
      </w:r>
      <w:r w:rsidR="00663DBB">
        <w:rPr>
          <w:rFonts w:ascii="Book Antiqua" w:hAnsi="Book Antiqua"/>
          <w:sz w:val="20"/>
        </w:rPr>
        <w:t>9</w:t>
      </w:r>
      <w:r w:rsidRPr="00B9776F">
        <w:rPr>
          <w:rFonts w:ascii="Book Antiqua" w:hAnsi="Book Antiqua"/>
          <w:sz w:val="20"/>
        </w:rPr>
        <w:t xml:space="preserve">). </w:t>
      </w:r>
    </w:p>
    <w:p w:rsidR="00820B57" w:rsidRPr="00B9776F" w:rsidRDefault="00820B57" w:rsidP="00820B57">
      <w:pPr>
        <w:pStyle w:val="NoSpacing"/>
        <w:rPr>
          <w:rFonts w:ascii="Book Antiqua" w:hAnsi="Book Antiqua"/>
          <w:i/>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sidRPr="000E3A84">
        <w:rPr>
          <w:rFonts w:ascii="Book Antiqua" w:hAnsi="Book Antiqua" w:cs="Times New Roman"/>
          <w:b w:val="0"/>
          <w:sz w:val="20"/>
          <w:szCs w:val="20"/>
        </w:rPr>
        <w:t>4</w:t>
      </w:r>
      <w:r w:rsidR="00820B57" w:rsidRPr="000E3A84">
        <w:rPr>
          <w:rFonts w:ascii="Book Antiqua" w:hAnsi="Book Antiqua" w:cs="Times New Roman"/>
          <w:b w:val="0"/>
          <w:sz w:val="20"/>
          <w:szCs w:val="20"/>
        </w:rPr>
        <w:t>.2 Atomic frequencies and Atomic Clocks</w:t>
      </w:r>
    </w:p>
    <w:p w:rsidR="00820B57" w:rsidRPr="00B9776F" w:rsidRDefault="00820B57" w:rsidP="00820B57">
      <w:pPr>
        <w:pStyle w:val="Heading2"/>
        <w:spacing w:before="80" w:after="80" w:line="240" w:lineRule="atLeast"/>
        <w:rPr>
          <w:rFonts w:ascii="Book Antiqua" w:hAnsi="Book Antiqua" w:cs="Times New Roman"/>
          <w:sz w:val="20"/>
          <w:szCs w:val="20"/>
        </w:rPr>
      </w:pPr>
      <w:r w:rsidRPr="00B9776F">
        <w:rPr>
          <w:rFonts w:ascii="Book Antiqua" w:hAnsi="Book Antiqua" w:cs="Times New Roman"/>
          <w:sz w:val="20"/>
          <w:szCs w:val="20"/>
        </w:rPr>
        <w:t xml:space="preserve"> </w:t>
      </w:r>
    </w:p>
    <w:p w:rsidR="00264E81" w:rsidRDefault="00264E81" w:rsidP="00820B57">
      <w:pPr>
        <w:pStyle w:val="NoSpacing"/>
        <w:jc w:val="both"/>
        <w:rPr>
          <w:rFonts w:ascii="Book Antiqua" w:hAnsi="Book Antiqua"/>
          <w:sz w:val="20"/>
        </w:rPr>
      </w:pPr>
      <w:r>
        <w:rPr>
          <w:rFonts w:ascii="Book Antiqua" w:hAnsi="Book Antiqua"/>
          <w:sz w:val="20"/>
        </w:rPr>
        <w:tab/>
        <w:t xml:space="preserve">Two types of clocks are used in the world of science.  The clock we are familiar with is the one that depends on gravity, measuring days, months, </w:t>
      </w:r>
      <w:r w:rsidR="00EB3D91">
        <w:rPr>
          <w:rFonts w:ascii="Book Antiqua" w:hAnsi="Book Antiqua"/>
          <w:sz w:val="20"/>
        </w:rPr>
        <w:t xml:space="preserve">and </w:t>
      </w:r>
      <w:r>
        <w:rPr>
          <w:rFonts w:ascii="Book Antiqua" w:hAnsi="Book Antiqua"/>
          <w:sz w:val="20"/>
        </w:rPr>
        <w:t>years</w:t>
      </w:r>
      <w:r w:rsidR="00EB3D91">
        <w:rPr>
          <w:rFonts w:ascii="Book Antiqua" w:hAnsi="Book Antiqua"/>
          <w:sz w:val="20"/>
        </w:rPr>
        <w:t xml:space="preserve"> by the movement of objects through space.  These units are then divided into weeks, hours, and minutes.  The other kind of clock is the atomic clock.  This is based on the processes of atoms and subatomic particles.  This kind of time can be divided up into extremely small measurements and so is often preferred by physicists.  </w:t>
      </w:r>
    </w:p>
    <w:p w:rsidR="00264E81" w:rsidRDefault="00264E81" w:rsidP="00820B57">
      <w:pPr>
        <w:pStyle w:val="NoSpacing"/>
        <w:jc w:val="both"/>
        <w:rPr>
          <w:rFonts w:ascii="Book Antiqua" w:hAnsi="Book Antiqua"/>
          <w:sz w:val="20"/>
        </w:rPr>
      </w:pPr>
    </w:p>
    <w:p w:rsidR="00820B57" w:rsidRPr="00B9776F" w:rsidRDefault="00264E81" w:rsidP="00820B57">
      <w:pPr>
        <w:pStyle w:val="NoSpacing"/>
        <w:jc w:val="both"/>
        <w:rPr>
          <w:rFonts w:ascii="Book Antiqua" w:hAnsi="Book Antiqua"/>
          <w:sz w:val="20"/>
        </w:rPr>
      </w:pPr>
      <w:r>
        <w:rPr>
          <w:rFonts w:ascii="Book Antiqua" w:hAnsi="Book Antiqua"/>
          <w:sz w:val="20"/>
        </w:rPr>
        <w:t>E</w:t>
      </w:r>
      <w:r w:rsidR="00820B57" w:rsidRPr="000E3A84">
        <w:rPr>
          <w:rFonts w:ascii="Book Antiqua" w:hAnsi="Book Antiqua"/>
          <w:sz w:val="20"/>
        </w:rPr>
        <w:t>quation</w:t>
      </w:r>
      <w:r w:rsidR="000E3A84">
        <w:rPr>
          <w:rFonts w:ascii="Book Antiqua" w:hAnsi="Book Antiqua"/>
          <w:sz w:val="20"/>
        </w:rPr>
        <w:t>s</w:t>
      </w:r>
      <w:r w:rsidR="00820B57" w:rsidRPr="00B9776F">
        <w:rPr>
          <w:rFonts w:ascii="Book Antiqua" w:hAnsi="Book Antiqua"/>
          <w:sz w:val="20"/>
        </w:rPr>
        <w:t xml:space="preserve"> (3) and (57) established that atomic masses are inversely proportional to the square of the speed of light.  This can be applied to electrons in orbits and nucleons in orbitals. The kinetic energy of these particles is given by </w:t>
      </w:r>
      <m:oMath>
        <m:r>
          <w:rPr>
            <w:rFonts w:ascii="Cambria Math" w:hAnsi="Cambria Math"/>
            <w:sz w:val="20"/>
          </w:rPr>
          <m:t xml:space="preserve">½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v</m:t>
            </m:r>
          </m:e>
          <m:sup>
            <m:r>
              <w:rPr>
                <w:rFonts w:ascii="Cambria Math" w:hAnsi="Cambria Math"/>
                <w:sz w:val="20"/>
              </w:rPr>
              <m:t>2</m:t>
            </m:r>
          </m:sup>
        </m:sSup>
      </m:oMath>
      <w:r w:rsidR="00820B57" w:rsidRPr="00B9776F">
        <w:rPr>
          <w:rFonts w:ascii="Book Antiqua" w:hAnsi="Book Antiqua"/>
          <w:sz w:val="20"/>
        </w:rPr>
        <w:t xml:space="preserve"> where </w:t>
      </w:r>
      <m:oMath>
        <m:r>
          <w:rPr>
            <w:rFonts w:ascii="Cambria Math" w:hAnsi="Cambria Math" w:cs="Cambria Math"/>
            <w:sz w:val="20"/>
          </w:rPr>
          <m:t>v</m:t>
        </m:r>
        <m:r>
          <w:rPr>
            <w:rFonts w:ascii="Cambria Math" w:hAnsi="Cambria Math"/>
            <w:sz w:val="20"/>
          </w:rPr>
          <m:t xml:space="preserve"> </m:t>
        </m:r>
      </m:oMath>
      <w:r w:rsidR="00820B57" w:rsidRPr="00B9776F">
        <w:rPr>
          <w:rFonts w:ascii="Book Antiqua" w:hAnsi="Book Antiqua"/>
          <w:sz w:val="20"/>
        </w:rPr>
        <w:t xml:space="preserve">is the tangential velocity. If </w:t>
      </w:r>
      <m:oMath>
        <m:r>
          <w:rPr>
            <w:rFonts w:ascii="Cambria Math" w:hAnsi="Cambria Math" w:cs="Cambria Math"/>
            <w:sz w:val="20"/>
          </w:rPr>
          <m:t>m</m:t>
        </m:r>
      </m:oMath>
      <w:r w:rsidR="00820B57" w:rsidRPr="00B9776F">
        <w:rPr>
          <w:rFonts w:ascii="Book Antiqua" w:hAnsi="Book Antiqua"/>
          <w:sz w:val="20"/>
        </w:rPr>
        <w:t xml:space="preserve"> varies as </w:t>
      </w:r>
      <m:oMath>
        <m:r>
          <w:rPr>
            <w:rFonts w:ascii="Cambria Math" w:hAnsi="Cambria Math"/>
            <w:sz w:val="20"/>
          </w:rPr>
          <m:t>1/</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00820B57" w:rsidRPr="00B9776F">
        <w:rPr>
          <w:rFonts w:ascii="Book Antiqua" w:hAnsi="Book Antiqua"/>
          <w:sz w:val="20"/>
        </w:rPr>
        <w:t xml:space="preserve"> it follows that </w:t>
      </w:r>
      <m:oMath>
        <m:r>
          <w:rPr>
            <w:rFonts w:ascii="Cambria Math" w:hAnsi="Cambria Math" w:cs="Cambria Math"/>
            <w:sz w:val="20"/>
          </w:rPr>
          <m:t>v</m:t>
        </m:r>
      </m:oMath>
      <w:r w:rsidR="00820B57" w:rsidRPr="00B9776F">
        <w:rPr>
          <w:rFonts w:ascii="Book Antiqua" w:hAnsi="Book Antiqua"/>
          <w:sz w:val="20"/>
        </w:rPr>
        <w:t xml:space="preserve"> must vary as </w:t>
      </w:r>
      <m:oMath>
        <m:r>
          <w:rPr>
            <w:rFonts w:ascii="Cambria Math" w:hAnsi="Cambria Math" w:cs="Cambria Math"/>
            <w:sz w:val="20"/>
          </w:rPr>
          <m:t>c</m:t>
        </m:r>
      </m:oMath>
      <w:r w:rsidR="00820B57" w:rsidRPr="00B9776F">
        <w:rPr>
          <w:rFonts w:ascii="Book Antiqua" w:hAnsi="Book Antiqua"/>
          <w:i/>
          <w:sz w:val="20"/>
        </w:rPr>
        <w:t>,</w:t>
      </w:r>
      <w:r w:rsidR="00820B57" w:rsidRPr="00B9776F">
        <w:rPr>
          <w:rFonts w:ascii="Book Antiqua" w:hAnsi="Book Antiqua"/>
          <w:sz w:val="20"/>
        </w:rPr>
        <w:t xml:space="preserve"> since kinetic energy is conserved in an atomic environment.  Birge’s statement regarding the necessity of atomic frequencies changing along with the speed of light, if the speed of light changed, follows automatically from this, since orbit velocities are proportional to the speed of light. It can thus be written that:</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v</m:t>
        </m:r>
        <m:r>
          <w:rPr>
            <w:rFonts w:ascii="Cambria Math" w:hAnsi="Cambria Math"/>
            <w:sz w:val="20"/>
          </w:rPr>
          <m:t xml:space="preserve"> ~ </m:t>
        </m:r>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70</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0E3A84" w:rsidRPr="005627CB" w:rsidRDefault="00820B57" w:rsidP="000E3A84">
      <w:pPr>
        <w:pStyle w:val="NoSpacing"/>
        <w:rPr>
          <w:rFonts w:ascii="Book Antiqua" w:hAnsi="Book Antiqua"/>
          <w:sz w:val="16"/>
          <w:szCs w:val="16"/>
        </w:rPr>
      </w:pPr>
      <w:r w:rsidRPr="00264E81">
        <w:rPr>
          <w:rFonts w:ascii="Book Antiqua" w:hAnsi="Book Antiqua"/>
          <w:sz w:val="20"/>
        </w:rPr>
        <w:t xml:space="preserve">The formulation for electron velocity in the first Bohr orbit verifies this since </w:t>
      </w:r>
      <w:r w:rsidRPr="00264E81">
        <w:rPr>
          <w:rFonts w:ascii="Book Antiqua" w:hAnsi="Book Antiqua"/>
          <w:i/>
          <w:sz w:val="20"/>
        </w:rPr>
        <w:t>Allen’s Astrophysical Quantities</w:t>
      </w:r>
      <w:r w:rsidR="00264E81">
        <w:rPr>
          <w:rFonts w:ascii="Book Antiqua" w:hAnsi="Book Antiqua"/>
          <w:i/>
          <w:sz w:val="20"/>
        </w:rPr>
        <w:t xml:space="preserve"> </w:t>
      </w:r>
      <w:r w:rsidR="00264E81" w:rsidRPr="00264E81">
        <w:rPr>
          <w:rFonts w:ascii="Book Antiqua" w:hAnsi="Book Antiqua"/>
          <w:sz w:val="20"/>
        </w:rPr>
        <w:t>[40]</w:t>
      </w:r>
      <w:r w:rsidRPr="00264E81">
        <w:rPr>
          <w:rFonts w:ascii="Book Antiqua" w:hAnsi="Book Antiqua"/>
          <w:sz w:val="20"/>
        </w:rPr>
        <w:t>, quotes this as being given by:</w:t>
      </w:r>
      <w:r w:rsidRPr="00B9776F">
        <w:rPr>
          <w:rFonts w:ascii="Book Antiqua" w:hAnsi="Book Antiqua"/>
          <w:sz w:val="20"/>
        </w:rPr>
        <w:t xml:space="preserve"> </w:t>
      </w:r>
      <w:r w:rsidR="000E3A84">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i/>
          <w:sz w:val="20"/>
        </w:rPr>
      </w:pPr>
      <m:oMath>
        <m:r>
          <w:rPr>
            <w:rFonts w:ascii="Cambria Math" w:hAnsi="Cambria Math" w:cs="Cambria Math"/>
            <w:sz w:val="20"/>
          </w:rPr>
          <m:t>v</m:t>
        </m:r>
        <m:r>
          <w:rPr>
            <w:rFonts w:ascii="Cambria Math" w:hAnsi="Cambria Math"/>
            <w:sz w:val="20"/>
          </w:rPr>
          <m:t xml:space="preserve"> = 2</m:t>
        </m:r>
        <m:r>
          <w:rPr>
            <w:rFonts w:ascii="Cambria Math" w:hAnsi="Cambria Math" w:cs="Cambria Math"/>
            <w:sz w:val="20"/>
          </w:rPr>
          <m:t>π</m:t>
        </m:r>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ε</m:t>
        </m:r>
        <m:r>
          <w:rPr>
            <w:rFonts w:ascii="Cambria Math" w:hAnsi="Cambria Math"/>
            <w:sz w:val="20"/>
          </w:rPr>
          <m:t xml:space="preserve"> </m:t>
        </m:r>
        <m:r>
          <w:rPr>
            <w:rFonts w:ascii="Cambria Math" w:hAnsi="Cambria Math" w:cs="Cambria Math"/>
            <w:sz w:val="20"/>
          </w:rPr>
          <m:t>h</m:t>
        </m:r>
        <m:r>
          <w:rPr>
            <w:rFonts w:ascii="Cambria Math" w:hAnsi="Cambria Math"/>
            <w:sz w:val="20"/>
          </w:rPr>
          <m:t>) ~ 1/</m:t>
        </m:r>
        <m:r>
          <w:rPr>
            <w:rFonts w:ascii="Cambria Math" w:hAnsi="Cambria Math" w:cs="Cambria Math"/>
            <w:sz w:val="20"/>
          </w:rPr>
          <m:t>U</m:t>
        </m:r>
        <m:r>
          <w:rPr>
            <w:rFonts w:ascii="Cambria Math" w:hAnsi="Cambria Math"/>
            <w:sz w:val="20"/>
          </w:rPr>
          <m:t xml:space="preserve"> ~ </m:t>
        </m:r>
        <m:r>
          <w:rPr>
            <w:rFonts w:ascii="Cambria Math" w:hAnsi="Cambria Math" w:cs="Cambria Math"/>
            <w:sz w:val="20"/>
          </w:rPr>
          <m:t>c</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w:t>
      </w:r>
      <w:r w:rsidR="00663DBB">
        <w:rPr>
          <w:rFonts w:ascii="Book Antiqua" w:hAnsi="Book Antiqua"/>
          <w:i/>
          <w:sz w:val="20"/>
        </w:rPr>
        <w:t>71</w:t>
      </w:r>
      <w:r w:rsidRPr="00B9776F">
        <w:rPr>
          <w:rFonts w:ascii="Book Antiqua" w:hAnsi="Book Antiqua"/>
          <w:i/>
          <w:sz w:val="20"/>
        </w:rPr>
        <w:t xml:space="preserve">) </w:t>
      </w:r>
    </w:p>
    <w:p w:rsidR="00820B57" w:rsidRPr="00B9776F" w:rsidRDefault="00820B57" w:rsidP="00820B57">
      <w:pPr>
        <w:pStyle w:val="NoSpacing"/>
        <w:jc w:val="both"/>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In (69), the proportionalities affirm French’s comment that the frequency of light emitted by an electron transition to the ground state orbit </w:t>
      </w:r>
      <w:r w:rsidRPr="00B9776F">
        <w:rPr>
          <w:rFonts w:ascii="Book Antiqua" w:hAnsi="Book Antiqua"/>
          <w:i/>
          <w:sz w:val="20"/>
        </w:rPr>
        <w:t>“is identical with the frequency of revolution in the [ground state] orbit.”</w:t>
      </w:r>
      <w:r w:rsidRPr="00B9776F">
        <w:rPr>
          <w:rFonts w:ascii="Book Antiqua" w:hAnsi="Book Antiqua"/>
          <w:sz w:val="20"/>
        </w:rPr>
        <w:t xml:space="preserve"> [41] This agrees with equations in Chapter 2, which shows that atomic frequencies are proportional to the speed of light – just as (</w:t>
      </w:r>
      <w:r w:rsidR="00663DBB">
        <w:rPr>
          <w:rFonts w:ascii="Book Antiqua" w:hAnsi="Book Antiqua"/>
          <w:sz w:val="20"/>
        </w:rPr>
        <w:t>70</w:t>
      </w:r>
      <w:r w:rsidRPr="00B9776F">
        <w:rPr>
          <w:rFonts w:ascii="Book Antiqua" w:hAnsi="Book Antiqua"/>
          <w:sz w:val="20"/>
        </w:rPr>
        <w:t xml:space="preserve">) above does. Thus, when </w:t>
      </w:r>
      <m:oMath>
        <m:r>
          <w:rPr>
            <w:rFonts w:ascii="Cambria Math" w:hAnsi="Cambria Math" w:cs="Cambria Math"/>
            <w:sz w:val="20"/>
          </w:rPr>
          <m:t>c</m:t>
        </m:r>
        <m:r>
          <w:rPr>
            <w:rFonts w:ascii="Cambria Math" w:hAnsi="Cambria Math"/>
            <w:sz w:val="20"/>
          </w:rPr>
          <m:t xml:space="preserve"> </m:t>
        </m:r>
      </m:oMath>
      <w:r w:rsidRPr="00B9776F">
        <w:rPr>
          <w:rFonts w:ascii="Book Antiqua" w:hAnsi="Book Antiqua"/>
          <w:sz w:val="20"/>
        </w:rPr>
        <w:t xml:space="preserve">is </w:t>
      </w:r>
      <w:r w:rsidRPr="00264E81">
        <w:rPr>
          <w:rFonts w:ascii="Book Antiqua" w:hAnsi="Book Antiqua"/>
          <w:sz w:val="20"/>
        </w:rPr>
        <w:t>higher,</w:t>
      </w:r>
      <w:r w:rsidR="00264E81">
        <w:rPr>
          <w:rFonts w:ascii="Book Antiqua" w:hAnsi="Book Antiqua"/>
          <w:sz w:val="20"/>
        </w:rPr>
        <w:t xml:space="preserve"> this means that </w:t>
      </w:r>
      <w:r w:rsidRPr="00264E81">
        <w:rPr>
          <w:rFonts w:ascii="Book Antiqua" w:hAnsi="Book Antiqua"/>
          <w:sz w:val="20"/>
        </w:rPr>
        <w:t>atomic</w:t>
      </w:r>
      <w:r w:rsidRPr="00B9776F">
        <w:rPr>
          <w:rFonts w:ascii="Book Antiqua" w:hAnsi="Book Antiqua"/>
          <w:sz w:val="20"/>
        </w:rPr>
        <w:t xml:space="preserve"> frequencies are </w:t>
      </w:r>
      <w:r w:rsidR="00264E81">
        <w:rPr>
          <w:rFonts w:ascii="Book Antiqua" w:hAnsi="Book Antiqua"/>
          <w:sz w:val="20"/>
        </w:rPr>
        <w:t xml:space="preserve">also </w:t>
      </w:r>
      <w:r w:rsidRPr="00B9776F">
        <w:rPr>
          <w:rFonts w:ascii="Book Antiqua" w:hAnsi="Book Antiqua"/>
          <w:sz w:val="20"/>
        </w:rPr>
        <w:t xml:space="preserve">higher </w:t>
      </w:r>
      <w:r w:rsidR="00264E81">
        <w:rPr>
          <w:rFonts w:ascii="Book Antiqua" w:hAnsi="Book Antiqua"/>
          <w:sz w:val="20"/>
        </w:rPr>
        <w:t>since</w:t>
      </w:r>
      <w:r w:rsidRPr="00B9776F">
        <w:rPr>
          <w:rFonts w:ascii="Book Antiqua" w:hAnsi="Book Antiqua"/>
          <w:sz w:val="20"/>
        </w:rPr>
        <w:t xml:space="preserve"> electron velocities in their orbits are proportionally higher. </w:t>
      </w:r>
    </w:p>
    <w:p w:rsidR="00820B57" w:rsidRPr="00B9776F" w:rsidRDefault="00820B57" w:rsidP="00820B57">
      <w:pPr>
        <w:pStyle w:val="NoSpacing"/>
        <w:jc w:val="both"/>
        <w:rPr>
          <w:rFonts w:ascii="Book Antiqua" w:hAnsi="Book Antiqua"/>
          <w:sz w:val="20"/>
        </w:rPr>
      </w:pPr>
    </w:p>
    <w:p w:rsidR="00820B57" w:rsidRPr="00B9776F" w:rsidRDefault="00264E81" w:rsidP="00820B57">
      <w:pPr>
        <w:pStyle w:val="NoSpacing"/>
        <w:ind w:firstLine="720"/>
        <w:jc w:val="both"/>
        <w:rPr>
          <w:rFonts w:ascii="Book Antiqua" w:hAnsi="Book Antiqua"/>
          <w:sz w:val="20"/>
        </w:rPr>
      </w:pPr>
      <w:r>
        <w:rPr>
          <w:rFonts w:ascii="Book Antiqua" w:hAnsi="Book Antiqua"/>
          <w:sz w:val="20"/>
        </w:rPr>
        <w:t xml:space="preserve">The </w:t>
      </w:r>
      <w:r w:rsidR="00820B57" w:rsidRPr="00B9776F">
        <w:rPr>
          <w:rFonts w:ascii="Book Antiqua" w:hAnsi="Book Antiqua"/>
          <w:sz w:val="20"/>
        </w:rPr>
        <w:t xml:space="preserve">initial introduction of the fine structure constant by Arnold Sommerfeld in 1916 supports this. One definition of the fine structure constant is that </w:t>
      </w:r>
      <w:r w:rsidR="00820B57" w:rsidRPr="00B9776F">
        <w:rPr>
          <w:rFonts w:ascii="Book Antiqua" w:hAnsi="Book Antiqua"/>
          <w:i/>
          <w:sz w:val="20"/>
        </w:rPr>
        <w:t>“it is the ratio of the velocity of the electron in the first Bohr orbit to the velocity of light in a vacuum</w:t>
      </w:r>
      <w:r w:rsidR="00820B57" w:rsidRPr="00B9776F">
        <w:rPr>
          <w:rFonts w:ascii="Book Antiqua" w:hAnsi="Book Antiqua"/>
          <w:sz w:val="20"/>
        </w:rPr>
        <w:t xml:space="preserve">” [This definition is used in the following URL: </w:t>
      </w:r>
      <w:r w:rsidR="00820B57" w:rsidRPr="00F33440">
        <w:rPr>
          <w:rFonts w:ascii="Book Antiqua" w:hAnsi="Book Antiqua"/>
          <w:i/>
          <w:sz w:val="20"/>
        </w:rPr>
        <w:t>http://physics.nist.gov/cuu/Constants/alpha.html].</w:t>
      </w:r>
      <w:r w:rsidR="00820B57" w:rsidRPr="00B9776F">
        <w:rPr>
          <w:rFonts w:ascii="Book Antiqua" w:hAnsi="Book Antiqua"/>
          <w:sz w:val="20"/>
        </w:rPr>
        <w:t xml:space="preserve"> It has been proven that the fine structure constant is fixed to parts per million across the universe. </w:t>
      </w:r>
      <w:r w:rsidR="00820B57" w:rsidRPr="00264E81">
        <w:rPr>
          <w:rFonts w:ascii="Book Antiqua" w:hAnsi="Book Antiqua"/>
          <w:sz w:val="20"/>
        </w:rPr>
        <w:t>Therefore,</w:t>
      </w:r>
      <w:r w:rsidR="00820B57" w:rsidRPr="00B9776F">
        <w:rPr>
          <w:rFonts w:ascii="Book Antiqua" w:hAnsi="Book Antiqua"/>
          <w:sz w:val="20"/>
        </w:rPr>
        <w:t xml:space="preserve"> any alteration in the properties of the vacuum affecting the speed of light must equivalently affect the speed of electrons in their orbits. </w:t>
      </w:r>
      <w:r>
        <w:rPr>
          <w:rFonts w:ascii="Book Antiqua" w:hAnsi="Book Antiqua"/>
          <w:sz w:val="20"/>
        </w:rPr>
        <w:t>This means that</w:t>
      </w:r>
      <w:r w:rsidR="00820B57" w:rsidRPr="00B9776F">
        <w:rPr>
          <w:rFonts w:ascii="Book Antiqua" w:hAnsi="Book Antiqua"/>
          <w:sz w:val="20"/>
        </w:rPr>
        <w:t xml:space="preserve"> Birge's comment that </w:t>
      </w:r>
      <w:r w:rsidR="00820B57" w:rsidRPr="00B9776F">
        <w:rPr>
          <w:rFonts w:ascii="Book Antiqua" w:hAnsi="Book Antiqua"/>
          <w:i/>
          <w:sz w:val="20"/>
        </w:rPr>
        <w:t>"every atomic frequency must be changing"</w:t>
      </w:r>
      <w:r w:rsidR="00820B57" w:rsidRPr="00B9776F">
        <w:rPr>
          <w:rFonts w:ascii="Book Antiqua" w:hAnsi="Book Antiqua"/>
          <w:sz w:val="20"/>
        </w:rPr>
        <w:t xml:space="preserve"> synchronously with the speed of light is correct, even though he casually dismissed the idea without further examination [42].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So while time measured by gravitational processes has remained constant, the data indicate that atomic time has not.  Atomic time intervals, </w:t>
      </w:r>
      <m:oMath>
        <m:r>
          <w:rPr>
            <w:rFonts w:ascii="Cambria Math" w:hAnsi="Cambria Math" w:cs="Cambria Math"/>
            <w:sz w:val="20"/>
          </w:rPr>
          <m:t>t</m:t>
        </m:r>
      </m:oMath>
      <w:r w:rsidRPr="00B9776F">
        <w:rPr>
          <w:rFonts w:ascii="Book Antiqua" w:hAnsi="Book Antiqua"/>
          <w:sz w:val="20"/>
        </w:rPr>
        <w:t xml:space="preserve">, were shorter </w:t>
      </w:r>
      <w:r w:rsidR="00264E81">
        <w:rPr>
          <w:rFonts w:ascii="Book Antiqua" w:hAnsi="Book Antiqua"/>
          <w:sz w:val="20"/>
        </w:rPr>
        <w:t>when atomic processes, including</w:t>
      </w:r>
      <w:r w:rsidRPr="00264E81">
        <w:rPr>
          <w:rFonts w:ascii="Book Antiqua" w:hAnsi="Book Antiqua"/>
          <w:sz w:val="20"/>
        </w:rPr>
        <w:t xml:space="preserve"> the speed of</w:t>
      </w:r>
      <w:r w:rsidRPr="00B9776F">
        <w:rPr>
          <w:rFonts w:ascii="Book Antiqua" w:hAnsi="Book Antiqua"/>
          <w:sz w:val="20"/>
        </w:rPr>
        <w:t xml:space="preserve"> light, </w:t>
      </w:r>
      <m:oMath>
        <m:r>
          <w:rPr>
            <w:rFonts w:ascii="Cambria Math" w:hAnsi="Cambria Math" w:cs="Cambria Math"/>
            <w:sz w:val="20"/>
          </w:rPr>
          <m:t>c</m:t>
        </m:r>
      </m:oMath>
      <w:r w:rsidRPr="00B9776F">
        <w:rPr>
          <w:rFonts w:ascii="Book Antiqua" w:hAnsi="Book Antiqua"/>
          <w:sz w:val="20"/>
        </w:rPr>
        <w:t xml:space="preserve">, </w:t>
      </w:r>
      <w:r w:rsidR="00264E81">
        <w:rPr>
          <w:rFonts w:ascii="Book Antiqua" w:hAnsi="Book Antiqua"/>
          <w:sz w:val="20"/>
        </w:rPr>
        <w:t>were faster</w:t>
      </w:r>
      <w:r w:rsidRPr="00B9776F">
        <w:rPr>
          <w:rFonts w:ascii="Book Antiqua" w:hAnsi="Book Antiqua"/>
          <w:sz w:val="20"/>
        </w:rPr>
        <w:t xml:space="preserve">.  As </w:t>
      </w:r>
      <w:r w:rsidRPr="00B9776F">
        <w:rPr>
          <w:rFonts w:ascii="Book Antiqua" w:hAnsi="Book Antiqua"/>
          <w:sz w:val="20"/>
        </w:rPr>
        <w:lastRenderedPageBreak/>
        <w:t xml:space="preserve">indicated in the preceding equations, </w:t>
      </w:r>
      <m:oMath>
        <m:r>
          <w:rPr>
            <w:rFonts w:ascii="Cambria Math" w:hAnsi="Cambria Math" w:cs="Cambria Math"/>
            <w:sz w:val="20"/>
          </w:rPr>
          <m:t>t</m:t>
        </m:r>
      </m:oMath>
      <w:r w:rsidRPr="00B9776F">
        <w:rPr>
          <w:rFonts w:ascii="Book Antiqua" w:hAnsi="Book Antiqua"/>
          <w:sz w:val="20"/>
        </w:rPr>
        <w:t xml:space="preserve"> is proportional to </w:t>
      </w:r>
      <m:oMath>
        <m:r>
          <w:rPr>
            <w:rFonts w:ascii="Cambria Math" w:hAnsi="Cambria Math"/>
            <w:sz w:val="20"/>
          </w:rPr>
          <m:t>1/</m:t>
        </m:r>
        <m:r>
          <w:rPr>
            <w:rFonts w:ascii="Cambria Math" w:hAnsi="Cambria Math" w:cs="Cambria Math"/>
            <w:sz w:val="20"/>
          </w:rPr>
          <m:t>c</m:t>
        </m:r>
      </m:oMath>
      <w:r w:rsidRPr="00B9776F">
        <w:rPr>
          <w:rFonts w:ascii="Book Antiqua" w:hAnsi="Book Antiqua"/>
          <w:sz w:val="20"/>
        </w:rPr>
        <w:t xml:space="preserve">. This is supported by the fact that some forms of atomic time are defined in terms of electron revolution time in the first Bohr orbit. Thus </w:t>
      </w:r>
      <w:r w:rsidRPr="00264E81">
        <w:rPr>
          <w:rFonts w:ascii="Book Antiqua" w:hAnsi="Book Antiqua"/>
          <w:i/>
          <w:sz w:val="20"/>
        </w:rPr>
        <w:t>Allen’s Astrophysical Quantities,</w:t>
      </w:r>
      <w:r w:rsidRPr="00B9776F">
        <w:rPr>
          <w:rFonts w:ascii="Book Antiqua" w:hAnsi="Book Antiqua"/>
          <w:sz w:val="20"/>
        </w:rPr>
        <w:t xml:space="preserve"> as referred to above, gives the time, </w:t>
      </w:r>
      <w:r w:rsidRPr="00B9776F">
        <w:rPr>
          <w:rFonts w:ascii="Book Antiqua" w:hAnsi="Book Antiqua"/>
          <w:i/>
          <w:sz w:val="20"/>
        </w:rPr>
        <w:t>t</w:t>
      </w:r>
      <w:r w:rsidRPr="00B9776F">
        <w:rPr>
          <w:rFonts w:ascii="Book Antiqua" w:hAnsi="Book Antiqua"/>
          <w:sz w:val="20"/>
        </w:rPr>
        <w:t xml:space="preserve">, an electron takes for </w:t>
      </w:r>
      <m:oMath>
        <m:r>
          <w:rPr>
            <w:rFonts w:ascii="Cambria Math" w:hAnsi="Cambria Math"/>
            <w:sz w:val="20"/>
          </w:rPr>
          <m:t>1/(2</m:t>
        </m:r>
        <m:r>
          <w:rPr>
            <w:rFonts w:ascii="Cambria Math" w:hAnsi="Cambria Math" w:cs="Cambria Math"/>
            <w:sz w:val="20"/>
          </w:rPr>
          <m:t>π</m:t>
        </m:r>
        <m:r>
          <w:rPr>
            <w:rFonts w:ascii="Cambria Math" w:hAnsi="Cambria Math"/>
            <w:sz w:val="20"/>
          </w:rPr>
          <m:t>)</m:t>
        </m:r>
      </m:oMath>
      <w:r w:rsidRPr="00B9776F">
        <w:rPr>
          <w:rFonts w:ascii="Book Antiqua" w:hAnsi="Book Antiqua"/>
          <w:sz w:val="20"/>
        </w:rPr>
        <w:t xml:space="preserve"> revolutions in the first Bohr orbit as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t</m:t>
        </m:r>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h</m:t>
            </m:r>
          </m:e>
          <m:sup>
            <m:r>
              <w:rPr>
                <w:rFonts w:ascii="Cambria Math" w:hAnsi="Cambria Math"/>
                <w:sz w:val="20"/>
              </w:rPr>
              <m:t>3</m:t>
            </m:r>
          </m:sup>
        </m:sSup>
        <m:r>
          <w:rPr>
            <w:rFonts w:ascii="Cambria Math" w:hAnsi="Cambria Math"/>
            <w:sz w:val="20"/>
          </w:rPr>
          <m:t xml:space="preserve"> </m:t>
        </m:r>
        <m:sSup>
          <m:sSupPr>
            <m:ctrlPr>
              <w:rPr>
                <w:rFonts w:ascii="Cambria Math" w:hAnsi="Cambria Math"/>
                <w:i/>
                <w:sz w:val="20"/>
              </w:rPr>
            </m:ctrlPr>
          </m:sSupPr>
          <m:e>
            <m:r>
              <w:rPr>
                <w:rFonts w:ascii="Cambria Math" w:hAnsi="Cambria Math" w:cs="Cambria Math"/>
                <w:sz w:val="20"/>
              </w:rPr>
              <m:t>ε</m:t>
            </m:r>
          </m:e>
          <m:sup>
            <m:r>
              <w:rPr>
                <w:rFonts w:ascii="Cambria Math" w:hAnsi="Cambria Math"/>
                <w:sz w:val="20"/>
              </w:rPr>
              <m:t>2</m:t>
            </m:r>
          </m:sup>
        </m:sSup>
        <m:r>
          <w:rPr>
            <w:rFonts w:ascii="Cambria Math" w:hAnsi="Cambria Math"/>
            <w:sz w:val="20"/>
          </w:rPr>
          <m:t>/ (8</m:t>
        </m:r>
        <m:sSup>
          <m:sSupPr>
            <m:ctrlPr>
              <w:rPr>
                <w:rFonts w:ascii="Cambria Math" w:hAnsi="Cambria Math"/>
                <w:i/>
                <w:sz w:val="20"/>
              </w:rPr>
            </m:ctrlPr>
          </m:sSupPr>
          <m:e>
            <m:r>
              <w:rPr>
                <w:rFonts w:ascii="Cambria Math" w:hAnsi="Cambria Math" w:cs="Cambria Math"/>
                <w:sz w:val="20"/>
              </w:rPr>
              <m:t>π</m:t>
            </m:r>
          </m:e>
          <m:sup>
            <m:r>
              <w:rPr>
                <w:rFonts w:ascii="Cambria Math" w:hAnsi="Cambria Math"/>
                <w:sz w:val="20"/>
              </w:rPr>
              <m:t>3</m:t>
            </m:r>
          </m:sup>
        </m:sSup>
        <m:r>
          <w:rPr>
            <w:rFonts w:ascii="Cambria Math" w:hAnsi="Cambria Math"/>
            <w:sz w:val="20"/>
          </w:rPr>
          <m:t xml:space="preserve"> </m:t>
        </m:r>
        <m:r>
          <w:rPr>
            <w:rFonts w:ascii="Cambria Math" w:hAnsi="Cambria Math" w:cs="Cambria Math"/>
            <w:sz w:val="20"/>
          </w:rPr>
          <m:t>m</m:t>
        </m:r>
        <m:sSup>
          <m:sSupPr>
            <m:ctrlPr>
              <w:rPr>
                <w:rFonts w:ascii="Cambria Math" w:hAnsi="Cambria Math"/>
                <w:i/>
                <w:sz w:val="20"/>
              </w:rPr>
            </m:ctrlPr>
          </m:sSupPr>
          <m:e>
            <m:r>
              <w:rPr>
                <w:rFonts w:ascii="Cambria Math" w:hAnsi="Cambria Math" w:cs="Cambria Math"/>
                <w:sz w:val="20"/>
              </w:rPr>
              <m:t>e</m:t>
            </m:r>
          </m:e>
          <m:sup>
            <m:r>
              <w:rPr>
                <w:rFonts w:ascii="Cambria Math" w:hAnsi="Cambria Math"/>
                <w:sz w:val="20"/>
              </w:rPr>
              <m:t>4</m:t>
            </m:r>
          </m:sup>
        </m:sSup>
        <m:r>
          <w:rPr>
            <w:rFonts w:ascii="Cambria Math" w:hAnsi="Cambria Math"/>
            <w:sz w:val="20"/>
          </w:rPr>
          <m:t xml:space="preserve">) ~ </m:t>
        </m:r>
        <m:r>
          <w:rPr>
            <w:rFonts w:ascii="Cambria Math" w:hAnsi="Cambria Math" w:cs="Cambria Math"/>
            <w:sz w:val="20"/>
          </w:rPr>
          <m:t>U</m:t>
        </m:r>
        <m:r>
          <w:rPr>
            <w:rFonts w:ascii="Cambria Math" w:hAnsi="Cambria Math"/>
            <w:sz w:val="20"/>
          </w:rPr>
          <m:t xml:space="preserve"> ~ 1/</m:t>
        </m:r>
        <m:r>
          <w:rPr>
            <w:rFonts w:ascii="Cambria Math" w:hAnsi="Cambria Math" w:cs="Cambria Math"/>
            <w:sz w:val="20"/>
          </w:rPr>
          <m:t>c</m:t>
        </m:r>
      </m:oMath>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t xml:space="preserve"> </w:t>
      </w:r>
      <w:r w:rsidRPr="00B9776F">
        <w:rPr>
          <w:rFonts w:ascii="Book Antiqua" w:hAnsi="Book Antiqua"/>
          <w:i/>
          <w:sz w:val="20"/>
        </w:rPr>
        <w:t>(7</w:t>
      </w:r>
      <w:r w:rsidR="00663DBB">
        <w:rPr>
          <w:rFonts w:ascii="Book Antiqua" w:hAnsi="Book Antiqua"/>
          <w:i/>
          <w:sz w:val="20"/>
        </w:rPr>
        <w:t>2</w:t>
      </w:r>
      <w:r w:rsidRPr="00B9776F">
        <w:rPr>
          <w:rFonts w:ascii="Book Antiqua" w:hAnsi="Book Antiqua"/>
          <w:i/>
          <w:sz w:val="20"/>
        </w:rPr>
        <w:t>)</w:t>
      </w:r>
      <w:r w:rsidRPr="00B9776F">
        <w:rPr>
          <w:rFonts w:ascii="Book Antiqua" w:hAnsi="Book Antiqua"/>
          <w:sz w:val="20"/>
        </w:rPr>
        <w:t xml:space="preserve">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These proportionalities follow from equations (2), (5), (8), (10), and (12) in chapter 2, and equations (3) and (57) in this chapter. If (7</w:t>
      </w:r>
      <w:r w:rsidR="00663DBB">
        <w:rPr>
          <w:rFonts w:ascii="Book Antiqua" w:hAnsi="Book Antiqua"/>
          <w:sz w:val="20"/>
        </w:rPr>
        <w:t>2</w:t>
      </w:r>
      <w:r w:rsidRPr="00B9776F">
        <w:rPr>
          <w:rFonts w:ascii="Book Antiqua" w:hAnsi="Book Antiqua"/>
          <w:sz w:val="20"/>
        </w:rPr>
        <w:t xml:space="preserve">) is to be expressed without the proportionality, it can be stated that </w:t>
      </w:r>
    </w:p>
    <w:p w:rsidR="00820B57" w:rsidRPr="00B9776F" w:rsidRDefault="00820B57" w:rsidP="00820B57">
      <w:pPr>
        <w:pStyle w:val="NoSpacing"/>
        <w:rPr>
          <w:rFonts w:ascii="Book Antiqua" w:hAnsi="Book Antiqua"/>
          <w:sz w:val="20"/>
        </w:rPr>
      </w:pPr>
    </w:p>
    <w:p w:rsidR="00820B57" w:rsidRPr="00B9776F" w:rsidRDefault="007B3EBC" w:rsidP="00820B57">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2</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t</m:t>
            </m:r>
          </m:e>
          <m:sub>
            <m:r>
              <w:rPr>
                <w:rFonts w:ascii="Cambria Math" w:hAnsi="Cambria Math"/>
                <w:sz w:val="20"/>
              </w:rPr>
              <m:t>1</m:t>
            </m:r>
          </m:sub>
        </m:sSub>
        <m:r>
          <w:rPr>
            <w:rFonts w:ascii="Cambria Math" w:hAnsi="Cambria Math"/>
            <w:sz w:val="20"/>
          </w:rPr>
          <m:t xml:space="preserve">=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c</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h</m:t>
            </m:r>
          </m:e>
          <m:sub>
            <m:r>
              <w:rPr>
                <w:rFonts w:ascii="Cambria Math" w:hAnsi="Cambria Math"/>
                <w:sz w:val="20"/>
              </w:rPr>
              <m:t>1</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2</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cs="Cambria Math"/>
                <w:sz w:val="20"/>
              </w:rPr>
              <m:t>U</m:t>
            </m:r>
          </m:e>
          <m:sub>
            <m:r>
              <w:rPr>
                <w:rFonts w:ascii="Cambria Math" w:hAnsi="Cambria Math"/>
                <w:sz w:val="20"/>
              </w:rPr>
              <m:t>1</m:t>
            </m:r>
          </m:sub>
        </m:sSub>
      </m:oMath>
      <w:r w:rsidR="00820B57" w:rsidRPr="00B9776F">
        <w:rPr>
          <w:rFonts w:ascii="Book Antiqua" w:hAnsi="Book Antiqua"/>
          <w:sz w:val="20"/>
        </w:rPr>
        <w:t xml:space="preserve"> .</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 xml:space="preserve"> (7</w:t>
      </w:r>
      <w:r w:rsidR="00663DBB">
        <w:rPr>
          <w:rFonts w:ascii="Book Antiqua" w:hAnsi="Book Antiqua"/>
          <w:i/>
          <w:sz w:val="20"/>
        </w:rPr>
        <w:t>3</w:t>
      </w:r>
      <w:r w:rsidR="00820B57" w:rsidRPr="00B9776F">
        <w:rPr>
          <w:rFonts w:ascii="Book Antiqua" w:hAnsi="Book Antiqua"/>
          <w:i/>
          <w:sz w:val="20"/>
        </w:rPr>
        <w:t>)</w:t>
      </w:r>
    </w:p>
    <w:p w:rsidR="00820B57" w:rsidRPr="00B9776F" w:rsidRDefault="00820B57" w:rsidP="00820B57">
      <w:pPr>
        <w:pStyle w:val="NoSpacing"/>
        <w:rPr>
          <w:rFonts w:ascii="Book Antiqua" w:hAnsi="Book Antiqua"/>
          <w:i/>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From this it necessarily follows that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ct</m:t>
        </m:r>
        <m:r>
          <w:rPr>
            <w:rFonts w:ascii="Cambria Math" w:hAnsi="Cambria Math"/>
            <w:sz w:val="20"/>
          </w:rPr>
          <m:t xml:space="preserve"> = </m:t>
        </m:r>
        <m:r>
          <w:rPr>
            <w:rFonts w:ascii="Cambria Math" w:hAnsi="Cambria Math" w:cs="Cambria Math"/>
            <w:sz w:val="20"/>
          </w:rPr>
          <m:t>constant</m:t>
        </m:r>
      </m:oMath>
      <w:r w:rsidRPr="00B9776F">
        <w:rPr>
          <w:rFonts w:ascii="Book Antiqua" w:hAnsi="Book Antiqua"/>
          <w:sz w:val="20"/>
        </w:rPr>
        <w:t xml:space="preserve"> .</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(7</w:t>
      </w:r>
      <w:r w:rsidR="00663DBB">
        <w:rPr>
          <w:rFonts w:ascii="Book Antiqua" w:hAnsi="Book Antiqua"/>
          <w:i/>
          <w:sz w:val="20"/>
        </w:rPr>
        <w:t>4</w:t>
      </w:r>
      <w:r w:rsidRPr="00B9776F">
        <w:rPr>
          <w:rFonts w:ascii="Book Antiqua" w:hAnsi="Book Antiqua"/>
          <w:i/>
          <w:sz w:val="20"/>
        </w:rPr>
        <w:t>)</w:t>
      </w:r>
    </w:p>
    <w:p w:rsidR="00820B57" w:rsidRPr="00B9776F" w:rsidRDefault="00820B57" w:rsidP="00820B57">
      <w:pPr>
        <w:pStyle w:val="NoSpacing"/>
        <w:jc w:val="right"/>
        <w:rPr>
          <w:rFonts w:ascii="Book Antiqua" w:hAnsi="Book Antiqua"/>
          <w:sz w:val="20"/>
        </w:rPr>
      </w:pPr>
      <w:r w:rsidRPr="00B9776F">
        <w:rPr>
          <w:rFonts w:ascii="Book Antiqua" w:hAnsi="Book Antiqua"/>
          <w:sz w:val="20"/>
        </w:rPr>
        <w:t xml:space="preserve"> </w:t>
      </w:r>
    </w:p>
    <w:p w:rsidR="00820B57" w:rsidRDefault="00820B57" w:rsidP="00820B57">
      <w:pPr>
        <w:pStyle w:val="NoSpacing"/>
        <w:ind w:firstLine="720"/>
        <w:jc w:val="both"/>
        <w:rPr>
          <w:rFonts w:ascii="Book Antiqua" w:hAnsi="Book Antiqua"/>
          <w:sz w:val="20"/>
        </w:rPr>
      </w:pPr>
      <w:r w:rsidRPr="00B9776F">
        <w:rPr>
          <w:rFonts w:ascii="Book Antiqua" w:hAnsi="Book Antiqua"/>
          <w:sz w:val="20"/>
        </w:rPr>
        <w:t>This means that when atomic processes are used to measure the speed of light, it will appear to be a constant.  A picture of what is happening would be if you were trying to measure a piece of elastic against another piece of elastic while stretching the two simultaneously.  The marks on one would keep pace with the marks on the other, thus indicating “no change.”  This</w:t>
      </w:r>
      <w:r w:rsidR="00F33440">
        <w:rPr>
          <w:rFonts w:ascii="Book Antiqua" w:hAnsi="Book Antiqua"/>
          <w:sz w:val="20"/>
        </w:rPr>
        <w:t xml:space="preserve"> may be</w:t>
      </w:r>
      <w:r w:rsidRPr="00B9776F">
        <w:rPr>
          <w:rFonts w:ascii="Book Antiqua" w:hAnsi="Book Antiqua"/>
          <w:sz w:val="20"/>
        </w:rPr>
        <w:t xml:space="preserve"> what has been happening with </w:t>
      </w:r>
      <w:r w:rsidR="00F33440">
        <w:rPr>
          <w:rFonts w:ascii="Book Antiqua" w:hAnsi="Book Antiqua"/>
          <w:sz w:val="20"/>
        </w:rPr>
        <w:t xml:space="preserve">some of </w:t>
      </w:r>
      <w:r w:rsidRPr="00B9776F">
        <w:rPr>
          <w:rFonts w:ascii="Book Antiqua" w:hAnsi="Book Antiqua"/>
          <w:sz w:val="20"/>
        </w:rPr>
        <w:t>the current methods of measuring the speed of light.</w:t>
      </w:r>
    </w:p>
    <w:p w:rsidR="00820B57" w:rsidRPr="00B9776F" w:rsidRDefault="00820B57" w:rsidP="00820B57">
      <w:pPr>
        <w:pStyle w:val="NoSpacing"/>
        <w:jc w:val="both"/>
        <w:rPr>
          <w:rFonts w:ascii="Book Antiqua" w:hAnsi="Book Antiqua"/>
          <w:sz w:val="20"/>
        </w:rPr>
      </w:pPr>
    </w:p>
    <w:p w:rsidR="00820B57" w:rsidRPr="00B9776F" w:rsidRDefault="001D1F40" w:rsidP="00820B57">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820B57" w:rsidRPr="00B9776F">
        <w:rPr>
          <w:rFonts w:ascii="Book Antiqua" w:hAnsi="Book Antiqua" w:cs="Times New Roman"/>
          <w:b w:val="0"/>
          <w:sz w:val="20"/>
          <w:szCs w:val="20"/>
        </w:rPr>
        <w:t xml:space="preserve">3  Relativity Applies in the Atomic Reference Frame  </w:t>
      </w:r>
    </w:p>
    <w:p w:rsidR="00820B57" w:rsidRPr="00B9776F" w:rsidRDefault="00820B57" w:rsidP="00820B57">
      <w:pPr>
        <w:pStyle w:val="NoSpacing"/>
        <w:ind w:firstLine="720"/>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This brings to mind Harwit's comment in </w:t>
      </w:r>
      <w:r w:rsidRPr="00B9776F">
        <w:rPr>
          <w:rFonts w:ascii="Book Antiqua" w:hAnsi="Book Antiqua"/>
          <w:i/>
          <w:sz w:val="20"/>
        </w:rPr>
        <w:t>Astrophysical Concepts</w:t>
      </w:r>
      <w:r w:rsidRPr="00B9776F">
        <w:rPr>
          <w:rFonts w:ascii="Book Antiqua" w:hAnsi="Book Antiqua"/>
          <w:sz w:val="20"/>
        </w:rPr>
        <w:t xml:space="preserve"> [43] that the CMBR shows relativity cannot apply macroscopically, but that it still holds in the atomic frame of reference. One reason for this is that all the length terms in the metric are constant with changing ZPE. The standard metric reads:</w:t>
      </w: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 </w:t>
      </w:r>
    </w:p>
    <w:p w:rsidR="00820B57" w:rsidRPr="00B9776F" w:rsidRDefault="00820B57" w:rsidP="00820B57">
      <w:pPr>
        <w:pStyle w:val="NoSpacing"/>
        <w:jc w:val="right"/>
        <w:rPr>
          <w:rFonts w:ascii="Book Antiqua" w:hAnsi="Book Antiqua"/>
          <w:sz w:val="20"/>
        </w:rPr>
      </w:pPr>
      <m:oMath>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s</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x</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y</m:t>
            </m:r>
          </m:e>
          <m:sup>
            <m:r>
              <w:rPr>
                <w:rFonts w:ascii="Cambria Math" w:hAnsi="Cambria Math"/>
                <w:sz w:val="20"/>
              </w:rPr>
              <m:t>2</m:t>
            </m:r>
          </m:sup>
        </m:sSup>
        <m:r>
          <w:rPr>
            <w:rFonts w:ascii="Cambria Math" w:hAnsi="Cambria Math"/>
            <w:sz w:val="20"/>
          </w:rPr>
          <m:t xml:space="preserve"> + </m:t>
        </m:r>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z</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r>
          <w:rPr>
            <w:rFonts w:ascii="Cambria Math" w:hAnsi="Cambria Math" w:cs="Cambria Math"/>
            <w:sz w:val="20"/>
          </w:rPr>
          <m:t>d</m:t>
        </m:r>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ab/>
        <w:t>.</w:t>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sz w:val="20"/>
        </w:rPr>
        <w:tab/>
      </w:r>
      <w:r w:rsidRPr="00B9776F">
        <w:rPr>
          <w:rFonts w:ascii="Book Antiqua" w:hAnsi="Book Antiqua"/>
          <w:i/>
          <w:sz w:val="20"/>
        </w:rPr>
        <w:t xml:space="preserve"> (7</w:t>
      </w:r>
      <w:r w:rsidR="00663DBB">
        <w:rPr>
          <w:rFonts w:ascii="Book Antiqua" w:hAnsi="Book Antiqua"/>
          <w:i/>
          <w:sz w:val="20"/>
        </w:rPr>
        <w:t>5</w:t>
      </w:r>
      <w:r w:rsidRPr="00B9776F">
        <w:rPr>
          <w:rFonts w:ascii="Book Antiqua" w:hAnsi="Book Antiqua"/>
          <w:i/>
          <w:sz w:val="20"/>
        </w:rPr>
        <w:t>)</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 xml:space="preserve">Here, </w:t>
      </w:r>
      <m:oMath>
        <m:r>
          <w:rPr>
            <w:rFonts w:ascii="Cambria Math" w:hAnsi="Cambria Math" w:cs="Cambria Math"/>
            <w:sz w:val="20"/>
          </w:rPr>
          <m:t>s</m:t>
        </m:r>
      </m:oMath>
      <w:r w:rsidRPr="00B9776F">
        <w:rPr>
          <w:rFonts w:ascii="Book Antiqua" w:hAnsi="Book Antiqua"/>
          <w:sz w:val="20"/>
        </w:rPr>
        <w:t xml:space="preserve"> is the total distance covered by a signal along the three axes of </w:t>
      </w:r>
      <m:oMath>
        <m:r>
          <w:rPr>
            <w:rFonts w:ascii="Cambria Math" w:hAnsi="Cambria Math" w:cs="Cambria Math"/>
            <w:sz w:val="20"/>
          </w:rPr>
          <m:t>x</m:t>
        </m:r>
      </m:oMath>
      <w:r w:rsidRPr="00B9776F">
        <w:rPr>
          <w:rFonts w:ascii="Book Antiqua" w:hAnsi="Book Antiqua"/>
          <w:sz w:val="20"/>
        </w:rPr>
        <w:t xml:space="preserve">, </w:t>
      </w:r>
      <m:oMath>
        <m:r>
          <w:rPr>
            <w:rFonts w:ascii="Cambria Math" w:hAnsi="Cambria Math" w:cs="Cambria Math"/>
            <w:sz w:val="20"/>
          </w:rPr>
          <m:t>y</m:t>
        </m:r>
      </m:oMath>
      <w:r w:rsidRPr="00B9776F">
        <w:rPr>
          <w:rFonts w:ascii="Book Antiqua" w:hAnsi="Book Antiqua"/>
          <w:sz w:val="20"/>
        </w:rPr>
        <w:t xml:space="preserve">, and </w:t>
      </w:r>
      <m:oMath>
        <m:r>
          <w:rPr>
            <w:rFonts w:ascii="Cambria Math" w:hAnsi="Cambria Math" w:cs="Cambria Math"/>
            <w:sz w:val="20"/>
          </w:rPr>
          <m:t>z</m:t>
        </m:r>
      </m:oMath>
      <w:r w:rsidRPr="00B9776F">
        <w:rPr>
          <w:rFonts w:ascii="Book Antiqua" w:hAnsi="Book Antiqua"/>
          <w:sz w:val="20"/>
        </w:rPr>
        <w:t xml:space="preserve">. These three distances undergo no changes with ZPE changes. The final term, however, is the distance covered in the time dimension, </w:t>
      </w:r>
      <m:oMath>
        <m:r>
          <w:rPr>
            <w:rFonts w:ascii="Cambria Math" w:hAnsi="Cambria Math" w:cs="Cambria Math"/>
            <w:sz w:val="20"/>
          </w:rPr>
          <m:t>t</m:t>
        </m:r>
      </m:oMath>
      <w:r w:rsidRPr="00B9776F">
        <w:rPr>
          <w:rFonts w:ascii="Book Antiqua" w:hAnsi="Book Antiqua"/>
          <w:sz w:val="20"/>
        </w:rPr>
        <w:t xml:space="preserve">. This distance is given by multiplying the time elapsed, </w:t>
      </w:r>
      <m:oMath>
        <m:r>
          <w:rPr>
            <w:rFonts w:ascii="Cambria Math" w:hAnsi="Cambria Math" w:cs="Cambria Math"/>
            <w:sz w:val="20"/>
          </w:rPr>
          <m:t>t</m:t>
        </m:r>
      </m:oMath>
      <w:r w:rsidRPr="00B9776F">
        <w:rPr>
          <w:rFonts w:ascii="Book Antiqua" w:hAnsi="Book Antiqua"/>
          <w:sz w:val="20"/>
        </w:rPr>
        <w:t xml:space="preserve">,  by the speed of light, </w:t>
      </w:r>
      <m:oMath>
        <m:r>
          <w:rPr>
            <w:rFonts w:ascii="Cambria Math" w:hAnsi="Cambria Math" w:cs="Cambria Math"/>
            <w:sz w:val="20"/>
          </w:rPr>
          <m:t>c</m:t>
        </m:r>
      </m:oMath>
      <w:r w:rsidRPr="00B9776F">
        <w:rPr>
          <w:rFonts w:ascii="Book Antiqua" w:hAnsi="Book Antiqua"/>
          <w:sz w:val="20"/>
        </w:rPr>
        <w:t>. While there are problems for relativity when using macroscopic processes, atomic processes are exempt from these problems. This occurs because applying (7</w:t>
      </w:r>
      <w:r w:rsidR="00663DBB">
        <w:rPr>
          <w:rFonts w:ascii="Book Antiqua" w:hAnsi="Book Antiqua"/>
          <w:sz w:val="20"/>
        </w:rPr>
        <w:t>4</w:t>
      </w:r>
      <w:r w:rsidRPr="00B9776F">
        <w:rPr>
          <w:rFonts w:ascii="Book Antiqua" w:hAnsi="Book Antiqua"/>
          <w:sz w:val="20"/>
        </w:rPr>
        <w:t>) to (7</w:t>
      </w:r>
      <w:r w:rsidR="00663DBB">
        <w:rPr>
          <w:rFonts w:ascii="Book Antiqua" w:hAnsi="Book Antiqua"/>
          <w:sz w:val="20"/>
        </w:rPr>
        <w:t>5</w:t>
      </w:r>
      <w:r w:rsidRPr="00B9776F">
        <w:rPr>
          <w:rFonts w:ascii="Book Antiqua" w:hAnsi="Book Antiqua"/>
          <w:sz w:val="20"/>
        </w:rPr>
        <w:t xml:space="preserve">) means that, atomically, the result of multiplying </w:t>
      </w:r>
      <m:oMath>
        <m:sSup>
          <m:sSupPr>
            <m:ctrlPr>
              <w:rPr>
                <w:rFonts w:ascii="Cambria Math" w:hAnsi="Cambria Math"/>
                <w:i/>
                <w:sz w:val="20"/>
              </w:rPr>
            </m:ctrlPr>
          </m:sSupPr>
          <m:e>
            <m:r>
              <w:rPr>
                <w:rFonts w:ascii="Cambria Math" w:hAnsi="Cambria Math" w:cs="Cambria Math"/>
                <w:sz w:val="20"/>
              </w:rPr>
              <m:t>c</m:t>
            </m:r>
          </m:e>
          <m:sup>
            <m:r>
              <w:rPr>
                <w:rFonts w:ascii="Cambria Math" w:hAnsi="Cambria Math"/>
                <w:sz w:val="20"/>
              </w:rPr>
              <m:t>2</m:t>
            </m:r>
          </m:sup>
        </m:sSup>
      </m:oMath>
      <w:r w:rsidRPr="00B9776F">
        <w:rPr>
          <w:rFonts w:ascii="Book Antiqua" w:hAnsi="Book Antiqua"/>
          <w:sz w:val="20"/>
        </w:rPr>
        <w:t xml:space="preserve"> by </w:t>
      </w:r>
      <m:oMath>
        <m:sSup>
          <m:sSupPr>
            <m:ctrlPr>
              <w:rPr>
                <w:rFonts w:ascii="Cambria Math" w:hAnsi="Cambria Math"/>
                <w:i/>
                <w:sz w:val="20"/>
              </w:rPr>
            </m:ctrlPr>
          </m:sSupPr>
          <m:e>
            <m:r>
              <w:rPr>
                <w:rFonts w:ascii="Cambria Math" w:hAnsi="Cambria Math" w:cs="Cambria Math"/>
                <w:sz w:val="20"/>
              </w:rPr>
              <m:t>t</m:t>
            </m:r>
          </m:e>
          <m:sup>
            <m:r>
              <w:rPr>
                <w:rFonts w:ascii="Cambria Math" w:hAnsi="Cambria Math"/>
                <w:sz w:val="20"/>
              </w:rPr>
              <m:t>2</m:t>
            </m:r>
          </m:sup>
        </m:sSup>
      </m:oMath>
      <w:r w:rsidRPr="00B9776F">
        <w:rPr>
          <w:rFonts w:ascii="Book Antiqua" w:hAnsi="Book Antiqua"/>
          <w:sz w:val="20"/>
        </w:rPr>
        <w:t xml:space="preserve"> will be unchanged when the time intervals, </w:t>
      </w:r>
      <m:oMath>
        <m:r>
          <w:rPr>
            <w:rFonts w:ascii="Cambria Math" w:hAnsi="Cambria Math" w:cs="Cambria Math"/>
            <w:sz w:val="20"/>
          </w:rPr>
          <m:t>t</m:t>
        </m:r>
      </m:oMath>
      <w:r w:rsidRPr="00B9776F">
        <w:rPr>
          <w:rFonts w:ascii="Book Antiqua" w:hAnsi="Book Antiqua"/>
          <w:sz w:val="20"/>
        </w:rPr>
        <w:t>, are measured on the atomic clock.</w:t>
      </w:r>
    </w:p>
    <w:p w:rsidR="00820B57" w:rsidRPr="00B9776F" w:rsidRDefault="00820B57" w:rsidP="00820B57">
      <w:pPr>
        <w:pStyle w:val="NoSpacing"/>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 Since the product </w:t>
      </w:r>
      <w:r w:rsidRPr="00B9776F">
        <w:rPr>
          <w:rFonts w:ascii="Book Antiqua" w:hAnsi="Book Antiqua"/>
          <w:i/>
          <w:sz w:val="20"/>
        </w:rPr>
        <w:t>ct</w:t>
      </w:r>
      <w:r w:rsidRPr="00B9776F">
        <w:rPr>
          <w:rFonts w:ascii="Book Antiqua" w:hAnsi="Book Antiqua"/>
          <w:sz w:val="20"/>
        </w:rPr>
        <w:t xml:space="preserve"> is a constant, trying to measure one by the other will always result in this constant.  A shorter </w:t>
      </w:r>
      <w:r w:rsidR="00EF5DAA">
        <w:rPr>
          <w:rFonts w:ascii="Book Antiqua" w:hAnsi="Book Antiqua"/>
          <w:sz w:val="20"/>
        </w:rPr>
        <w:t>elapsed</w:t>
      </w:r>
      <w:r w:rsidRPr="00B9776F">
        <w:rPr>
          <w:rFonts w:ascii="Book Antiqua" w:hAnsi="Book Antiqua"/>
          <w:sz w:val="20"/>
        </w:rPr>
        <w:t xml:space="preserve"> time and a </w:t>
      </w:r>
      <w:r w:rsidR="00EF5DAA">
        <w:rPr>
          <w:rFonts w:ascii="Book Antiqua" w:hAnsi="Book Antiqua"/>
          <w:sz w:val="20"/>
        </w:rPr>
        <w:t>larger</w:t>
      </w:r>
      <w:r w:rsidRPr="00B9776F">
        <w:rPr>
          <w:rFonts w:ascii="Book Antiqua" w:hAnsi="Book Antiqua"/>
          <w:sz w:val="20"/>
        </w:rPr>
        <w:t xml:space="preserve"> speed of light will always give the same answer as a longer </w:t>
      </w:r>
      <w:r w:rsidR="00EF5DAA">
        <w:rPr>
          <w:rFonts w:ascii="Book Antiqua" w:hAnsi="Book Antiqua"/>
          <w:sz w:val="20"/>
        </w:rPr>
        <w:t>elapsed</w:t>
      </w:r>
      <w:r w:rsidRPr="00B9776F">
        <w:rPr>
          <w:rFonts w:ascii="Book Antiqua" w:hAnsi="Book Antiqua"/>
          <w:sz w:val="20"/>
        </w:rPr>
        <w:t xml:space="preserve"> time and a lower speed of light.  As a result, it requires something outside the atomic frame of reference to measure any differences in light speed.</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Kepler’s 3</w:t>
      </w:r>
      <w:r w:rsidRPr="00B9776F">
        <w:rPr>
          <w:rFonts w:ascii="Book Antiqua" w:hAnsi="Book Antiqua"/>
          <w:sz w:val="20"/>
          <w:vertAlign w:val="superscript"/>
        </w:rPr>
        <w:t>rd</w:t>
      </w:r>
      <w:r w:rsidRPr="00B9776F">
        <w:rPr>
          <w:rFonts w:ascii="Book Antiqua" w:hAnsi="Book Antiqua"/>
          <w:sz w:val="20"/>
        </w:rPr>
        <w:t xml:space="preserve"> law (equation 6</w:t>
      </w:r>
      <w:r w:rsidR="00663DBB">
        <w:rPr>
          <w:rFonts w:ascii="Book Antiqua" w:hAnsi="Book Antiqua"/>
          <w:sz w:val="20"/>
        </w:rPr>
        <w:t>9</w:t>
      </w:r>
      <w:r w:rsidRPr="00B9776F">
        <w:rPr>
          <w:rFonts w:ascii="Book Antiqua" w:hAnsi="Book Antiqua"/>
          <w:sz w:val="20"/>
        </w:rPr>
        <w:t>) demonstrates gravitational time is constant, and Cox’s equation (7</w:t>
      </w:r>
      <w:r w:rsidR="00663DBB">
        <w:rPr>
          <w:rFonts w:ascii="Book Antiqua" w:hAnsi="Book Antiqua"/>
          <w:sz w:val="20"/>
        </w:rPr>
        <w:t>2</w:t>
      </w:r>
      <w:r w:rsidRPr="00B9776F">
        <w:rPr>
          <w:rFonts w:ascii="Book Antiqua" w:hAnsi="Book Antiqua"/>
          <w:sz w:val="20"/>
        </w:rPr>
        <w:t xml:space="preserve">) shows atomic time is variable. This suggests that both orbital and atomic clock rates need a closer scrutiny as both clocks are used as timekeepers. The orbital clock, which is what we use for our calendars, is gravitationally governed.  It is determined by the movement of the earth, moon, planets and stars, and is what is used for our spacecraft.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264E81">
        <w:rPr>
          <w:rFonts w:ascii="Book Antiqua" w:hAnsi="Book Antiqua"/>
          <w:sz w:val="20"/>
        </w:rPr>
        <w:t>The atomic clock is defined in terms of atomic processes, and is used in scientific applications. Science prefers the atomic clock because its precision is at least 5 parts in 10</w:t>
      </w:r>
      <w:r w:rsidRPr="00264E81">
        <w:rPr>
          <w:rFonts w:ascii="Book Antiqua" w:hAnsi="Book Antiqua"/>
          <w:sz w:val="20"/>
          <w:vertAlign w:val="superscript"/>
        </w:rPr>
        <w:t>15</w:t>
      </w:r>
      <w:r w:rsidRPr="00264E81">
        <w:rPr>
          <w:rFonts w:ascii="Book Antiqua" w:hAnsi="Book Antiqua"/>
          <w:sz w:val="20"/>
        </w:rPr>
        <w:t xml:space="preserve"> (using caesium). If the ZPE strength has never varied, then atomic and gravitational time have always been the same.  However, if the ZPE strength is varying, then the gravitational and atomic clock rates have differed. Indeed, after investigation in 1965, Kovalevsky noted that if gravitational and atomic </w:t>
      </w:r>
      <w:r w:rsidRPr="00264E81">
        <w:rPr>
          <w:rFonts w:ascii="Book Antiqua" w:hAnsi="Book Antiqua"/>
          <w:sz w:val="20"/>
        </w:rPr>
        <w:lastRenderedPageBreak/>
        <w:t xml:space="preserve">clock rates were different, </w:t>
      </w:r>
      <w:r w:rsidRPr="00264E81">
        <w:rPr>
          <w:rFonts w:ascii="Book Antiqua" w:hAnsi="Book Antiqua"/>
          <w:i/>
          <w:sz w:val="20"/>
        </w:rPr>
        <w:t>“then Planck’s constant as well as atomic frequencies would drift.”</w:t>
      </w:r>
      <w:r w:rsidRPr="00264E81">
        <w:rPr>
          <w:rFonts w:ascii="Book Antiqua" w:hAnsi="Book Antiqua"/>
          <w:sz w:val="20"/>
        </w:rPr>
        <w:t xml:space="preserve"> [44] These two effects have already been noted here, and the data confirm the </w:t>
      </w:r>
      <w:r w:rsidR="00EF5DAA" w:rsidRPr="00264E81">
        <w:rPr>
          <w:rFonts w:ascii="Book Antiqua" w:hAnsi="Book Antiqua"/>
          <w:sz w:val="20"/>
        </w:rPr>
        <w:t xml:space="preserve">truth of that </w:t>
      </w:r>
      <w:r w:rsidRPr="00264E81">
        <w:rPr>
          <w:rFonts w:ascii="Book Antiqua" w:hAnsi="Book Antiqua"/>
          <w:sz w:val="20"/>
        </w:rPr>
        <w:t>proposition.</w:t>
      </w:r>
      <w:r w:rsidRPr="00B9776F">
        <w:rPr>
          <w:rFonts w:ascii="Book Antiqua" w:hAnsi="Book Antiqua"/>
          <w:sz w:val="20"/>
        </w:rPr>
        <w:t xml:space="preserve"> </w:t>
      </w:r>
    </w:p>
    <w:p w:rsidR="00820B57" w:rsidRDefault="00820B57" w:rsidP="00820B57">
      <w:pPr>
        <w:pStyle w:val="NoSpacing"/>
        <w:jc w:val="both"/>
        <w:rPr>
          <w:rFonts w:ascii="Book Antiqua" w:hAnsi="Book Antiqua"/>
          <w:sz w:val="20"/>
        </w:rPr>
      </w:pPr>
    </w:p>
    <w:p w:rsidR="001D1F40" w:rsidRPr="001D1F40" w:rsidRDefault="001D1F40" w:rsidP="001D1F40">
      <w:pPr>
        <w:pStyle w:val="NoSpacing"/>
        <w:jc w:val="both"/>
        <w:rPr>
          <w:rFonts w:ascii="Book Antiqua" w:hAnsi="Book Antiqua"/>
          <w:b/>
          <w:sz w:val="20"/>
        </w:rPr>
      </w:pPr>
      <w:r>
        <w:rPr>
          <w:rFonts w:ascii="Book Antiqua" w:hAnsi="Book Antiqua"/>
          <w:b/>
          <w:sz w:val="20"/>
        </w:rPr>
        <w:t xml:space="preserve">5. </w:t>
      </w:r>
      <w:r w:rsidRPr="001D1F40">
        <w:rPr>
          <w:rFonts w:ascii="Book Antiqua" w:hAnsi="Book Antiqua"/>
          <w:b/>
          <w:sz w:val="20"/>
        </w:rPr>
        <w:t xml:space="preserve">Comparing </w:t>
      </w:r>
      <w:r w:rsidR="00FE38C1">
        <w:rPr>
          <w:rFonts w:ascii="Book Antiqua" w:hAnsi="Book Antiqua"/>
          <w:b/>
          <w:sz w:val="20"/>
        </w:rPr>
        <w:t>Trends in Clock Data</w:t>
      </w:r>
    </w:p>
    <w:p w:rsidR="001D1F40" w:rsidRPr="00B9776F" w:rsidRDefault="001D1F40" w:rsidP="001D1F40">
      <w:pPr>
        <w:pStyle w:val="NoSpacing"/>
        <w:ind w:left="720"/>
        <w:jc w:val="both"/>
        <w:rPr>
          <w:rFonts w:ascii="Book Antiqua" w:hAnsi="Book Antiqua"/>
          <w:sz w:val="20"/>
        </w:rPr>
      </w:pPr>
    </w:p>
    <w:p w:rsidR="00820B57" w:rsidRPr="00B9776F" w:rsidRDefault="00820B57" w:rsidP="00820B57">
      <w:pPr>
        <w:pStyle w:val="NoSpacing"/>
        <w:jc w:val="both"/>
        <w:rPr>
          <w:rFonts w:ascii="Book Antiqua" w:hAnsi="Book Antiqua"/>
          <w:sz w:val="20"/>
        </w:rPr>
      </w:pPr>
      <w:r w:rsidRPr="00B9776F">
        <w:rPr>
          <w:rFonts w:ascii="Book Antiqua" w:hAnsi="Book Antiqua"/>
          <w:sz w:val="20"/>
        </w:rPr>
        <w:tab/>
        <w:t xml:space="preserve">These data trends can be seen in comparisons between orbital and atomic clocks. Lunar laser ranging using atomic clocks </w:t>
      </w:r>
      <w:r w:rsidR="00EB3D91">
        <w:rPr>
          <w:rFonts w:ascii="Book Antiqua" w:hAnsi="Book Antiqua"/>
          <w:sz w:val="20"/>
        </w:rPr>
        <w:t>was</w:t>
      </w:r>
      <w:r w:rsidRPr="00B9776F">
        <w:rPr>
          <w:rFonts w:ascii="Book Antiqua" w:hAnsi="Book Antiqua"/>
          <w:sz w:val="20"/>
        </w:rPr>
        <w:t xml:space="preserve"> compared with orbital data for the interval 1955 to 1981 by Van Flandern at the US Naval Observatory, Washington. He concluded that: </w:t>
      </w:r>
      <w:r w:rsidRPr="00B9776F">
        <w:rPr>
          <w:rFonts w:ascii="Book Antiqua" w:hAnsi="Book Antiqua"/>
          <w:i/>
          <w:sz w:val="20"/>
        </w:rPr>
        <w:t>“the number of atomic seconds in a[n orbital] interval is becoming fewer. Presumably, if the result has any generality to it, this means that atomic phenomena are slowing down with respect to [orbital] phenomena.”</w:t>
      </w:r>
      <w:r w:rsidRPr="00B9776F">
        <w:rPr>
          <w:rFonts w:ascii="Book Antiqua" w:hAnsi="Book Antiqua"/>
          <w:sz w:val="20"/>
        </w:rPr>
        <w:t xml:space="preserve"> [45] </w:t>
      </w:r>
    </w:p>
    <w:p w:rsidR="00820B57" w:rsidRPr="00B9776F" w:rsidRDefault="00820B57" w:rsidP="00820B57">
      <w:pPr>
        <w:pStyle w:val="NoSpacing"/>
        <w:jc w:val="both"/>
        <w:rPr>
          <w:rFonts w:ascii="Book Antiqua" w:hAnsi="Book Antiqua"/>
          <w:sz w:val="20"/>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 xml:space="preserve">Other observatories have continued to monitor this trend. One analysis stated [46]: </w:t>
      </w:r>
      <w:r w:rsidRPr="00B9776F">
        <w:rPr>
          <w:rFonts w:ascii="Book Antiqua" w:hAnsi="Book Antiqua"/>
          <w:i/>
          <w:sz w:val="20"/>
        </w:rPr>
        <w:t>“Recently, several independent investigators have reported discrepancies between the optical observations and the planetary ephemerides. The discussions by Yao and Smith (1988, 1991, 1993)</w:t>
      </w:r>
      <w:r w:rsidRPr="00B9776F">
        <w:rPr>
          <w:rFonts w:ascii="Book Antiqua" w:hAnsi="Book Antiqua"/>
          <w:sz w:val="20"/>
        </w:rPr>
        <w:t>[47 - 49]</w:t>
      </w:r>
      <w:r w:rsidRPr="00B9776F">
        <w:rPr>
          <w:rFonts w:ascii="Book Antiqua" w:hAnsi="Book Antiqua"/>
          <w:i/>
          <w:sz w:val="20"/>
        </w:rPr>
        <w:t xml:space="preserve">, Krasinsky et al. (1993) </w:t>
      </w:r>
      <w:r w:rsidRPr="00B9776F">
        <w:rPr>
          <w:rFonts w:ascii="Book Antiqua" w:hAnsi="Book Antiqua"/>
          <w:sz w:val="20"/>
        </w:rPr>
        <w:t>[50]</w:t>
      </w:r>
      <w:r w:rsidRPr="00B9776F">
        <w:rPr>
          <w:rFonts w:ascii="Book Antiqua" w:hAnsi="Book Antiqua"/>
          <w:i/>
          <w:sz w:val="20"/>
        </w:rPr>
        <w:t xml:space="preserve">, Standish &amp; Williams (1990) </w:t>
      </w:r>
      <w:r w:rsidRPr="00B9776F">
        <w:rPr>
          <w:rFonts w:ascii="Book Antiqua" w:hAnsi="Book Antiqua"/>
          <w:sz w:val="20"/>
        </w:rPr>
        <w:t>[51]</w:t>
      </w:r>
      <w:r w:rsidRPr="00B9776F">
        <w:rPr>
          <w:rFonts w:ascii="Book Antiqua" w:hAnsi="Book Antiqua"/>
          <w:i/>
          <w:sz w:val="20"/>
        </w:rPr>
        <w:t xml:space="preserve">, Seidelman et al. (1985, 1986) </w:t>
      </w:r>
      <w:r w:rsidRPr="00B9776F">
        <w:rPr>
          <w:rFonts w:ascii="Book Antiqua" w:hAnsi="Book Antiqua"/>
          <w:sz w:val="20"/>
        </w:rPr>
        <w:t>[52, 53]</w:t>
      </w:r>
      <w:r w:rsidRPr="00B9776F">
        <w:rPr>
          <w:rFonts w:ascii="Book Antiqua" w:hAnsi="Book Antiqua"/>
          <w:i/>
          <w:sz w:val="20"/>
        </w:rPr>
        <w:t xml:space="preserve">, Seidelman (1992) </w:t>
      </w:r>
      <w:r w:rsidRPr="00B9776F">
        <w:rPr>
          <w:rFonts w:ascii="Book Antiqua" w:hAnsi="Book Antiqua"/>
          <w:sz w:val="20"/>
        </w:rPr>
        <w:t>[54]</w:t>
      </w:r>
      <w:r w:rsidRPr="00B9776F">
        <w:rPr>
          <w:rFonts w:ascii="Book Antiqua" w:hAnsi="Book Antiqua"/>
          <w:i/>
          <w:sz w:val="20"/>
        </w:rPr>
        <w:t xml:space="preserve">, Kolesnik (1995, 1996) </w:t>
      </w:r>
      <w:r w:rsidRPr="00B9776F">
        <w:rPr>
          <w:rFonts w:ascii="Book Antiqua" w:hAnsi="Book Antiqua"/>
          <w:sz w:val="20"/>
        </w:rPr>
        <w:t>[55,56]</w:t>
      </w:r>
      <w:r w:rsidRPr="00B9776F">
        <w:rPr>
          <w:rFonts w:ascii="Book Antiqua" w:hAnsi="Book Antiqua"/>
          <w:i/>
          <w:sz w:val="20"/>
        </w:rPr>
        <w:t xml:space="preserve">, and Poppe et al. (1999) </w:t>
      </w:r>
      <w:r w:rsidRPr="00B9776F">
        <w:rPr>
          <w:rFonts w:ascii="Book Antiqua" w:hAnsi="Book Antiqua"/>
          <w:sz w:val="20"/>
        </w:rPr>
        <w:t>[57]</w:t>
      </w:r>
      <w:r w:rsidRPr="00B9776F">
        <w:rPr>
          <w:rFonts w:ascii="Book Antiqua" w:hAnsi="Book Antiqua"/>
          <w:i/>
          <w:sz w:val="20"/>
        </w:rPr>
        <w:t xml:space="preserve"> indicate that [atomic clocks had] a negative linear drift [slowing] before 1960, and an equivalent positive drift [speeding up] after that date. 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 [T]he planetary drifts Kolesnik and several other investigators have detected are based on accurate modern optical observations and they use atomic time. Therefore, these drifts are unquestionably real.” </w:t>
      </w:r>
      <w:r w:rsidRPr="00B9776F">
        <w:rPr>
          <w:rFonts w:ascii="Book Antiqua" w:hAnsi="Book Antiqua"/>
          <w:sz w:val="20"/>
        </w:rPr>
        <w:t xml:space="preserve">[46] </w:t>
      </w:r>
    </w:p>
    <w:p w:rsidR="00820B57" w:rsidRPr="00B9776F" w:rsidRDefault="00820B57" w:rsidP="00820B57">
      <w:pPr>
        <w:pStyle w:val="NoSpacing"/>
        <w:jc w:val="both"/>
        <w:rPr>
          <w:rFonts w:ascii="Book Antiqua" w:hAnsi="Book Antiqua"/>
          <w:sz w:val="20"/>
        </w:rPr>
      </w:pPr>
    </w:p>
    <w:tbl>
      <w:tblPr>
        <w:tblStyle w:val="TableGrid"/>
        <w:tblW w:w="0" w:type="auto"/>
        <w:jc w:val="center"/>
        <w:tblLook w:val="04A0"/>
      </w:tblPr>
      <w:tblGrid>
        <w:gridCol w:w="5436"/>
        <w:gridCol w:w="5451"/>
      </w:tblGrid>
      <w:tr w:rsidR="00820B57" w:rsidRPr="00B9776F" w:rsidTr="00E74BCC">
        <w:trPr>
          <w:jc w:val="center"/>
        </w:trPr>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292769" cy="3035193"/>
                  <wp:effectExtent l="19050" t="0" r="2881" b="0"/>
                  <wp:docPr id="1526" name="Picture 7" descr="E:\AtomicClock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tomicClockRates.jpg"/>
                          <pic:cNvPicPr>
                            <a:picLocks noChangeAspect="1" noChangeArrowheads="1"/>
                          </pic:cNvPicPr>
                        </pic:nvPicPr>
                        <pic:blipFill>
                          <a:blip r:embed="rId166" cstate="print">
                            <a:lum contrast="20000"/>
                          </a:blip>
                          <a:srcRect/>
                          <a:stretch>
                            <a:fillRect/>
                          </a:stretch>
                        </pic:blipFill>
                        <pic:spPr bwMode="auto">
                          <a:xfrm>
                            <a:off x="0" y="0"/>
                            <a:ext cx="3299795" cy="3041669"/>
                          </a:xfrm>
                          <a:prstGeom prst="rect">
                            <a:avLst/>
                          </a:prstGeom>
                          <a:noFill/>
                          <a:ln w="9525">
                            <a:noFill/>
                            <a:miter lim="800000"/>
                            <a:headEnd/>
                            <a:tailEnd/>
                          </a:ln>
                        </pic:spPr>
                      </pic:pic>
                    </a:graphicData>
                  </a:graphic>
                </wp:inline>
              </w:drawing>
            </w:r>
          </w:p>
        </w:tc>
        <w:tc>
          <w:tcPr>
            <w:tcW w:w="4360" w:type="dxa"/>
          </w:tcPr>
          <w:p w:rsidR="00820B57" w:rsidRPr="00B9776F" w:rsidRDefault="00820B57" w:rsidP="00FA5681">
            <w:pPr>
              <w:pStyle w:val="NoSpacing"/>
              <w:jc w:val="both"/>
              <w:rPr>
                <w:rFonts w:ascii="Book Antiqua" w:hAnsi="Book Antiqua"/>
                <w:sz w:val="20"/>
              </w:rPr>
            </w:pPr>
            <w:r w:rsidRPr="00B9776F">
              <w:rPr>
                <w:rFonts w:ascii="Book Antiqua" w:hAnsi="Book Antiqua"/>
                <w:noProof/>
                <w:sz w:val="20"/>
              </w:rPr>
              <w:drawing>
                <wp:inline distT="0" distB="0" distL="0" distR="0">
                  <wp:extent cx="3324225" cy="2905125"/>
                  <wp:effectExtent l="0" t="0" r="0" b="0"/>
                  <wp:docPr id="1527"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820B57" w:rsidRPr="00B9776F" w:rsidRDefault="00820B57" w:rsidP="00FA5681">
            <w:pPr>
              <w:pStyle w:val="NoSpacing"/>
              <w:jc w:val="both"/>
              <w:rPr>
                <w:rFonts w:ascii="Book Antiqua" w:hAnsi="Book Antiqua"/>
                <w:sz w:val="20"/>
              </w:rPr>
            </w:pPr>
          </w:p>
        </w:tc>
      </w:tr>
    </w:tbl>
    <w:p w:rsidR="00820B57" w:rsidRPr="00B9776F" w:rsidRDefault="00820B57" w:rsidP="00820B57">
      <w:pPr>
        <w:pStyle w:val="NoSpacing"/>
        <w:jc w:val="both"/>
        <w:rPr>
          <w:rFonts w:ascii="Book Antiqua" w:hAnsi="Book Antiqua"/>
          <w:sz w:val="20"/>
        </w:rPr>
      </w:pPr>
    </w:p>
    <w:p w:rsidR="00820B57" w:rsidRPr="001808B5" w:rsidRDefault="00820B57" w:rsidP="001808B5">
      <w:pPr>
        <w:pStyle w:val="NoSpacing"/>
        <w:rPr>
          <w:rFonts w:ascii="Book Antiqua" w:hAnsi="Book Antiqua"/>
          <w:i/>
          <w:sz w:val="18"/>
          <w:szCs w:val="18"/>
        </w:rPr>
      </w:pPr>
      <w:r w:rsidRPr="001808B5">
        <w:rPr>
          <w:rFonts w:ascii="Book Antiqua" w:hAnsi="Book Antiqua"/>
          <w:b/>
          <w:i/>
          <w:sz w:val="18"/>
          <w:szCs w:val="18"/>
        </w:rPr>
        <w:t>Figure 2:</w:t>
      </w:r>
      <w:r w:rsidRPr="001808B5">
        <w:rPr>
          <w:rFonts w:ascii="Book Antiqua" w:hAnsi="Book Antiqua"/>
          <w:i/>
          <w:sz w:val="18"/>
          <w:szCs w:val="18"/>
        </w:rPr>
        <w:t xml:space="preserve"> Atomic clock rates (y-axis) compared to orbital rates for (left) the planet Mercury from 1910 to 1995 and (right) solar data from 1910 to 1999. Re-plotted from data in [46]. A second order polynomial is fitted on the right.</w:t>
      </w:r>
    </w:p>
    <w:p w:rsidR="00820B57" w:rsidRPr="00B9776F" w:rsidRDefault="00820B57" w:rsidP="00820B57">
      <w:pPr>
        <w:pStyle w:val="NoSpacing"/>
        <w:jc w:val="both"/>
        <w:rPr>
          <w:rFonts w:ascii="Book Antiqua" w:hAnsi="Book Antiqua"/>
          <w:sz w:val="20"/>
        </w:rPr>
      </w:pPr>
    </w:p>
    <w:p w:rsidR="00D772FD" w:rsidRPr="00B9776F" w:rsidRDefault="00D772FD" w:rsidP="00D772FD">
      <w:pPr>
        <w:pStyle w:val="NoSpacing"/>
        <w:ind w:firstLine="720"/>
        <w:jc w:val="both"/>
        <w:rPr>
          <w:rFonts w:ascii="Book Antiqua" w:hAnsi="Book Antiqua"/>
          <w:sz w:val="20"/>
        </w:rPr>
      </w:pPr>
      <w:r w:rsidRPr="00B9776F">
        <w:rPr>
          <w:rFonts w:ascii="Book Antiqua" w:hAnsi="Book Antiqua"/>
          <w:sz w:val="20"/>
        </w:rPr>
        <w:t>The data turnaround which occurred near 1970 is shown in the two graphs in Figure 2 [46]. The turn-around which they show matches the turn-around shown in Figure 1 in this chapter, as well as Figures 1, 2, 5 and 8 in Chapter 2. Narlikar and Arp, in presenting their argument for a static, but oscillating universe, would predict this kind of a change periodically. Van Flandern’s research dealt with data from 1951 to 1983, which included the period of the turnaround. He indicated that atomic clocks truly appeared to be slowing during the 1950’s and early 1960’s.  Later, when the reversal occurred, he felt he must have been mistaken.  He wasn’t.</w:t>
      </w:r>
    </w:p>
    <w:p w:rsidR="00D772FD" w:rsidRPr="00B9776F" w:rsidRDefault="00D772FD" w:rsidP="00820B57">
      <w:pPr>
        <w:pStyle w:val="NoSpacing"/>
        <w:ind w:firstLine="720"/>
        <w:jc w:val="both"/>
        <w:rPr>
          <w:rFonts w:ascii="Book Antiqua" w:hAnsi="Book Antiqua"/>
          <w:sz w:val="20"/>
        </w:rPr>
      </w:pPr>
    </w:p>
    <w:p w:rsidR="00820B57" w:rsidRDefault="00820B57" w:rsidP="00820B57">
      <w:pPr>
        <w:pStyle w:val="NoSpacing"/>
        <w:ind w:firstLine="720"/>
        <w:jc w:val="both"/>
        <w:rPr>
          <w:rFonts w:ascii="Book Antiqua" w:hAnsi="Book Antiqua"/>
          <w:sz w:val="20"/>
        </w:rPr>
      </w:pPr>
      <w:r w:rsidRPr="00B9776F">
        <w:rPr>
          <w:rFonts w:ascii="Book Antiqua" w:hAnsi="Book Antiqua"/>
          <w:sz w:val="20"/>
        </w:rPr>
        <w:lastRenderedPageBreak/>
        <w:t xml:space="preserve">The data plots by Kolesnik for Mercury, Venus and the Sun </w:t>
      </w:r>
      <w:r w:rsidR="000736F7">
        <w:rPr>
          <w:rFonts w:ascii="Book Antiqua" w:hAnsi="Book Antiqua"/>
          <w:sz w:val="20"/>
        </w:rPr>
        <w:t xml:space="preserve">also </w:t>
      </w:r>
      <w:r w:rsidRPr="00B9776F">
        <w:rPr>
          <w:rFonts w:ascii="Book Antiqua" w:hAnsi="Book Antiqua"/>
          <w:sz w:val="20"/>
        </w:rPr>
        <w:t>indicate that the slowing of atomic clocks reversed between 1960 and 1970 [46]. Masreliez states atomic clocks now may be gaining about 7 seconds every 50 years over the orbital clock.  A data plot for Mercury, similar to Kolesnik, is in Figure 2 and one for the sun in Figure 3. Other planetary data give results supporting these atomic clock trends (compare equations 7</w:t>
      </w:r>
      <w:r w:rsidR="00C24253">
        <w:rPr>
          <w:rFonts w:ascii="Book Antiqua" w:hAnsi="Book Antiqua"/>
          <w:sz w:val="20"/>
        </w:rPr>
        <w:t>2</w:t>
      </w:r>
      <w:r w:rsidRPr="00B9776F">
        <w:rPr>
          <w:rFonts w:ascii="Book Antiqua" w:hAnsi="Book Antiqua"/>
          <w:sz w:val="20"/>
        </w:rPr>
        <w:t xml:space="preserve"> and 7</w:t>
      </w:r>
      <w:r w:rsidR="00C24253">
        <w:rPr>
          <w:rFonts w:ascii="Book Antiqua" w:hAnsi="Book Antiqua"/>
          <w:sz w:val="20"/>
        </w:rPr>
        <w:t>3</w:t>
      </w:r>
      <w:r w:rsidRPr="00B9776F">
        <w:rPr>
          <w:rFonts w:ascii="Book Antiqua" w:hAnsi="Book Antiqua"/>
          <w:sz w:val="20"/>
        </w:rPr>
        <w:t xml:space="preserve"> with equation 6</w:t>
      </w:r>
      <w:r w:rsidR="00C24253">
        <w:rPr>
          <w:rFonts w:ascii="Book Antiqua" w:hAnsi="Book Antiqua"/>
          <w:sz w:val="20"/>
        </w:rPr>
        <w:t>9</w:t>
      </w:r>
      <w:r w:rsidRPr="00B9776F">
        <w:rPr>
          <w:rFonts w:ascii="Book Antiqua" w:hAnsi="Book Antiqua"/>
          <w:sz w:val="20"/>
        </w:rPr>
        <w:t xml:space="preserve">). In all fairness, it should be mentioned that Kolesnik and Masreliez propose that these data are explained by their theory of “expanding time.” However, the explanation given here is completely consistent with a wide range of other data and no unusual properties of orbital time are required to account for them. </w:t>
      </w:r>
    </w:p>
    <w:p w:rsidR="00EB3D91" w:rsidRDefault="00EB3D91" w:rsidP="00820B57">
      <w:pPr>
        <w:pStyle w:val="NoSpacing"/>
        <w:ind w:firstLine="720"/>
        <w:jc w:val="both"/>
        <w:rPr>
          <w:rFonts w:ascii="Book Antiqua" w:hAnsi="Book Antiqua"/>
          <w:sz w:val="20"/>
        </w:rPr>
      </w:pPr>
    </w:p>
    <w:p w:rsidR="00820B57" w:rsidRPr="00EB3D91" w:rsidRDefault="00FE38C1" w:rsidP="00EB3D91">
      <w:pPr>
        <w:pStyle w:val="ListParagraph"/>
        <w:numPr>
          <w:ilvl w:val="0"/>
          <w:numId w:val="27"/>
        </w:numPr>
        <w:rPr>
          <w:rFonts w:ascii="Book Antiqua" w:hAnsi="Book Antiqua"/>
          <w:b/>
          <w:sz w:val="20"/>
        </w:rPr>
      </w:pPr>
      <w:r w:rsidRPr="00EB3D91">
        <w:rPr>
          <w:rFonts w:ascii="Book Antiqua" w:hAnsi="Book Antiqua"/>
          <w:b/>
          <w:sz w:val="20"/>
        </w:rPr>
        <w:t>The Gyromagnetic Ratio of the Proton</w:t>
      </w:r>
    </w:p>
    <w:p w:rsidR="00FE38C1" w:rsidRPr="00FE38C1" w:rsidRDefault="00FE38C1" w:rsidP="00FE38C1">
      <w:pPr>
        <w:pStyle w:val="ListParagraph"/>
        <w:ind w:left="360"/>
        <w:rPr>
          <w:rFonts w:ascii="Book Antiqua" w:hAnsi="Book Antiqua"/>
        </w:rPr>
      </w:pPr>
    </w:p>
    <w:p w:rsidR="00820B57" w:rsidRPr="00B9776F" w:rsidRDefault="00820B57" w:rsidP="00820B57">
      <w:pPr>
        <w:pStyle w:val="NoSpacing"/>
        <w:ind w:firstLine="720"/>
        <w:jc w:val="both"/>
        <w:rPr>
          <w:rFonts w:ascii="Book Antiqua" w:hAnsi="Book Antiqua"/>
          <w:sz w:val="20"/>
        </w:rPr>
      </w:pPr>
      <w:r w:rsidRPr="00B9776F">
        <w:rPr>
          <w:rFonts w:ascii="Book Antiqua" w:hAnsi="Book Antiqua"/>
          <w:sz w:val="20"/>
        </w:rPr>
        <w:t>There is another physical quantity which gives further details of the behavior of the curve at the turn-around point shown by these clocks</w:t>
      </w:r>
      <w:r w:rsidR="000736F7">
        <w:rPr>
          <w:rFonts w:ascii="Book Antiqua" w:hAnsi="Book Antiqua"/>
          <w:sz w:val="20"/>
        </w:rPr>
        <w:t>:</w:t>
      </w:r>
      <w:r w:rsidRPr="00B9776F">
        <w:rPr>
          <w:rFonts w:ascii="Book Antiqua" w:hAnsi="Book Antiqua"/>
          <w:sz w:val="20"/>
        </w:rPr>
        <w:t xml:space="preserve"> the proton gyromagnetic ratio. Usually abbreviated to </w:t>
      </w: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oMath>
      <w:r w:rsidRPr="00B9776F">
        <w:rPr>
          <w:rFonts w:ascii="Book Antiqua" w:hAnsi="Book Antiqua"/>
          <w:sz w:val="20"/>
        </w:rPr>
        <w:t xml:space="preserve">, this quantity links </w:t>
      </w:r>
      <m:oMath>
        <m:r>
          <w:rPr>
            <w:rFonts w:ascii="Cambria Math" w:hAnsi="Cambria Math" w:cs="Cambria Math"/>
            <w:sz w:val="20"/>
          </w:rPr>
          <m:t>m</m:t>
        </m:r>
      </m:oMath>
      <w:r w:rsidRPr="00B9776F">
        <w:rPr>
          <w:rFonts w:ascii="Book Antiqua" w:hAnsi="Book Antiqua"/>
          <w:sz w:val="20"/>
        </w:rPr>
        <w:t xml:space="preserve">, </w:t>
      </w:r>
      <m:oMath>
        <m:r>
          <w:rPr>
            <w:rFonts w:ascii="Cambria Math" w:hAnsi="Cambria Math" w:cs="Cambria Math"/>
            <w:sz w:val="20"/>
          </w:rPr>
          <m:t>e</m:t>
        </m:r>
      </m:oMath>
      <w:r w:rsidRPr="00B9776F">
        <w:rPr>
          <w:rFonts w:ascii="Book Antiqua" w:hAnsi="Book Antiqua"/>
          <w:sz w:val="20"/>
        </w:rPr>
        <w:t xml:space="preserve">, and </w:t>
      </w:r>
      <m:oMath>
        <m:r>
          <w:rPr>
            <w:rFonts w:ascii="Cambria Math" w:hAnsi="Cambria Math" w:cs="Cambria Math"/>
            <w:sz w:val="20"/>
          </w:rPr>
          <m:t>c</m:t>
        </m:r>
      </m:oMath>
      <w:r w:rsidRPr="00B9776F">
        <w:rPr>
          <w:rFonts w:ascii="Book Antiqua" w:hAnsi="Book Antiqua"/>
          <w:sz w:val="20"/>
        </w:rPr>
        <w:t xml:space="preserve"> from Chapter 2 Eq. (10) and here in (2) and (3). It is defined as the proton’s magnetic moment divided by its angular momentum, which </w:t>
      </w:r>
      <w:r w:rsidR="00D772FD" w:rsidRPr="00B9776F">
        <w:rPr>
          <w:rFonts w:ascii="Book Antiqua" w:hAnsi="Book Antiqua"/>
          <w:sz w:val="20"/>
        </w:rPr>
        <w:t>is given by</w:t>
      </w:r>
      <w:r w:rsidRPr="00B9776F">
        <w:rPr>
          <w:rFonts w:ascii="Book Antiqua" w:hAnsi="Book Antiqua"/>
          <w:sz w:val="20"/>
        </w:rPr>
        <w:t xml:space="preserve"> [58]:</w:t>
      </w:r>
    </w:p>
    <w:p w:rsidR="00820B57" w:rsidRPr="00B9776F" w:rsidRDefault="00820B57" w:rsidP="00820B57">
      <w:pPr>
        <w:pStyle w:val="NoSpacing"/>
        <w:ind w:firstLine="720"/>
        <w:jc w:val="both"/>
        <w:rPr>
          <w:rFonts w:ascii="Book Antiqua" w:hAnsi="Book Antiqua"/>
          <w:sz w:val="20"/>
        </w:rPr>
      </w:pPr>
    </w:p>
    <w:p w:rsidR="00820B57" w:rsidRPr="00B9776F" w:rsidRDefault="007B3EBC" w:rsidP="00820B57">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cs="Cambria Math"/>
                <w:sz w:val="20"/>
              </w:rPr>
              <m:t>γ</m:t>
            </m:r>
          </m:e>
          <m:sub>
            <m:r>
              <w:rPr>
                <w:rFonts w:ascii="Cambria Math" w:hAnsi="Cambria Math" w:cs="Cambria Math"/>
                <w:sz w:val="20"/>
              </w:rPr>
              <m:t>p</m:t>
            </m:r>
          </m:sub>
        </m:sSub>
        <m:r>
          <w:rPr>
            <w:rFonts w:ascii="Cambria Math" w:hAnsi="Cambria Math"/>
            <w:sz w:val="20"/>
          </w:rPr>
          <m:t xml:space="preserve"> = </m:t>
        </m:r>
        <m:r>
          <w:rPr>
            <w:rFonts w:ascii="Cambria Math" w:hAnsi="Cambria Math" w:cs="Cambria Math"/>
            <w:sz w:val="20"/>
          </w:rPr>
          <m:t>e</m:t>
        </m:r>
        <m:r>
          <w:rPr>
            <w:rFonts w:ascii="Cambria Math" w:hAnsi="Cambria Math"/>
            <w:sz w:val="20"/>
          </w:rPr>
          <m:t>/</m:t>
        </m:r>
        <m:r>
          <w:rPr>
            <w:rFonts w:ascii="Cambria Math" w:hAnsi="Cambria Math" w:cs="Cambria Math"/>
            <w:sz w:val="20"/>
          </w:rPr>
          <m:t>mc</m:t>
        </m:r>
      </m:oMath>
      <w:r w:rsidR="00820B57" w:rsidRPr="00B9776F">
        <w:rPr>
          <w:rFonts w:ascii="Book Antiqua" w:hAnsi="Book Antiqua"/>
          <w:sz w:val="20"/>
        </w:rPr>
        <w:t xml:space="preserve">  ~  √c</w:t>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sz w:val="20"/>
        </w:rPr>
        <w:tab/>
      </w:r>
      <w:r w:rsidR="00820B57" w:rsidRPr="00B9776F">
        <w:rPr>
          <w:rFonts w:ascii="Book Antiqua" w:hAnsi="Book Antiqua"/>
          <w:i/>
          <w:sz w:val="20"/>
        </w:rPr>
        <w:t>(7</w:t>
      </w:r>
      <w:r w:rsidR="00C24253">
        <w:rPr>
          <w:rFonts w:ascii="Book Antiqua" w:hAnsi="Book Antiqua"/>
          <w:i/>
          <w:sz w:val="20"/>
        </w:rPr>
        <w:t>6</w:t>
      </w:r>
      <w:r w:rsidR="00820B57" w:rsidRPr="00B9776F">
        <w:rPr>
          <w:rFonts w:ascii="Book Antiqua" w:hAnsi="Book Antiqua"/>
          <w:i/>
          <w:sz w:val="20"/>
        </w:rPr>
        <w:t>)</w:t>
      </w:r>
    </w:p>
    <w:p w:rsidR="00E818DC" w:rsidRDefault="00E818DC" w:rsidP="00820B57">
      <w:pPr>
        <w:pStyle w:val="NoSpacing"/>
        <w:ind w:firstLine="720"/>
        <w:jc w:val="both"/>
        <w:rPr>
          <w:rFonts w:ascii="Book Antiqua" w:hAnsi="Book Antiqua"/>
          <w:sz w:val="20"/>
        </w:rPr>
      </w:pPr>
    </w:p>
    <w:p w:rsidR="002A7896" w:rsidRPr="00255F46" w:rsidRDefault="002A7896" w:rsidP="00E74BCC">
      <w:pPr>
        <w:pStyle w:val="NoSpacing"/>
        <w:jc w:val="center"/>
        <w:rPr>
          <w:rFonts w:ascii="Book Antiqua" w:hAnsi="Book Antiqua"/>
          <w:i/>
          <w:sz w:val="18"/>
          <w:szCs w:val="18"/>
        </w:rPr>
      </w:pPr>
      <w:r w:rsidRPr="00255F46">
        <w:rPr>
          <w:rFonts w:ascii="Book Antiqua" w:hAnsi="Book Antiqua"/>
          <w:b/>
          <w:sz w:val="18"/>
          <w:szCs w:val="18"/>
        </w:rPr>
        <w:t>Table 1:</w:t>
      </w:r>
      <w:r w:rsidRPr="00255F46">
        <w:rPr>
          <w:rFonts w:ascii="Book Antiqua" w:hAnsi="Book Antiqua"/>
          <w:b/>
          <w:i/>
          <w:sz w:val="18"/>
          <w:szCs w:val="18"/>
        </w:rPr>
        <w:t xml:space="preserve"> Experimental values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sz w:val="18"/>
                    <w:szCs w:val="18"/>
                  </w:rPr>
                  <m:t>γ</m:t>
                </m:r>
              </m:e>
              <m:sup>
                <m:r>
                  <m:rPr>
                    <m:sty m:val="bi"/>
                  </m:rPr>
                  <w:rPr>
                    <w:rFonts w:ascii="Cambria Math" w:hAnsi="Cambria Math"/>
                    <w:sz w:val="18"/>
                    <w:szCs w:val="18"/>
                  </w:rPr>
                  <m:t>'</m:t>
                </m:r>
              </m:sup>
            </m:sSup>
          </m:e>
          <m:sub>
            <m:r>
              <m:rPr>
                <m:sty m:val="bi"/>
              </m:rPr>
              <w:rPr>
                <w:rFonts w:ascii="Cambria Math" w:hAnsi="Cambria Math"/>
                <w:sz w:val="18"/>
                <w:szCs w:val="18"/>
              </w:rPr>
              <m:t>p</m:t>
            </m:r>
          </m:sub>
        </m:sSub>
        <m:r>
          <w:rPr>
            <w:rFonts w:ascii="Cambria Math" w:hAnsi="Cambria Math"/>
            <w:sz w:val="18"/>
            <w:szCs w:val="18"/>
          </w:rPr>
          <m:t xml:space="preserve"> </m:t>
        </m:r>
      </m:oMath>
      <w:r w:rsidRPr="00255F46">
        <w:rPr>
          <w:rFonts w:ascii="Book Antiqua" w:hAnsi="Book Antiqua"/>
          <w:i/>
          <w:sz w:val="18"/>
          <w:szCs w:val="18"/>
        </w:rPr>
        <w:t xml:space="preserve"> .</w:t>
      </w:r>
    </w:p>
    <w:p w:rsidR="002A7896" w:rsidRPr="00B9776F" w:rsidRDefault="002A7896" w:rsidP="002A7896">
      <w:pPr>
        <w:pStyle w:val="NoSpacing"/>
        <w:jc w:val="both"/>
        <w:rPr>
          <w:rFonts w:ascii="Book Antiqua" w:hAnsi="Book Antiqua"/>
          <w:sz w:val="20"/>
        </w:rPr>
      </w:pPr>
    </w:p>
    <w:tbl>
      <w:tblPr>
        <w:tblStyle w:val="TableGrid"/>
        <w:tblW w:w="0" w:type="auto"/>
        <w:jc w:val="center"/>
        <w:tblLook w:val="04A0"/>
      </w:tblPr>
      <w:tblGrid>
        <w:gridCol w:w="702"/>
        <w:gridCol w:w="3113"/>
        <w:gridCol w:w="2440"/>
      </w:tblGrid>
      <w:tr w:rsidR="002A7896" w:rsidRPr="00B9776F" w:rsidTr="00E74BCC">
        <w:trPr>
          <w:trHeight w:val="558"/>
          <w:jc w:val="center"/>
        </w:trPr>
        <w:tc>
          <w:tcPr>
            <w:tcW w:w="702"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Date</w:t>
            </w:r>
          </w:p>
        </w:tc>
        <w:tc>
          <w:tcPr>
            <w:tcW w:w="3113"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Authority</w:t>
            </w:r>
          </w:p>
        </w:tc>
        <w:tc>
          <w:tcPr>
            <w:tcW w:w="2440" w:type="dxa"/>
          </w:tcPr>
          <w:p w:rsidR="002A7896" w:rsidRPr="00255F46" w:rsidRDefault="002A7896" w:rsidP="002A7896">
            <w:pPr>
              <w:pStyle w:val="NoSpacing"/>
              <w:jc w:val="both"/>
              <w:rPr>
                <w:rFonts w:ascii="Book Antiqua" w:hAnsi="Book Antiqua"/>
                <w:b/>
                <w:i/>
                <w:sz w:val="18"/>
                <w:szCs w:val="18"/>
              </w:rPr>
            </w:pPr>
            <w:r w:rsidRPr="00255F46">
              <w:rPr>
                <w:rFonts w:ascii="Book Antiqua" w:hAnsi="Book Antiqua"/>
                <w:b/>
                <w:i/>
                <w:sz w:val="18"/>
                <w:szCs w:val="18"/>
              </w:rPr>
              <w:t xml:space="preserve">Value of </w:t>
            </w:r>
            <m:oMath>
              <m:sSub>
                <m:sSubPr>
                  <m:ctrlPr>
                    <w:rPr>
                      <w:rFonts w:ascii="Cambria Math" w:hAnsi="Cambria Math"/>
                      <w:b/>
                      <w:i/>
                      <w:sz w:val="18"/>
                      <w:szCs w:val="18"/>
                    </w:rPr>
                  </m:ctrlPr>
                </m:sSubPr>
                <m:e>
                  <m:sSup>
                    <m:sSupPr>
                      <m:ctrlPr>
                        <w:rPr>
                          <w:rFonts w:ascii="Cambria Math" w:hAnsi="Cambria Math"/>
                          <w:b/>
                          <w:i/>
                          <w:sz w:val="18"/>
                          <w:szCs w:val="18"/>
                        </w:rPr>
                      </m:ctrlPr>
                    </m:sSupPr>
                    <m:e>
                      <m:r>
                        <m:rPr>
                          <m:sty m:val="bi"/>
                        </m:rPr>
                        <w:rPr>
                          <w:rFonts w:ascii="Cambria Math" w:hAnsi="Cambria Math" w:cs="Cambria Math"/>
                          <w:sz w:val="18"/>
                          <w:szCs w:val="18"/>
                        </w:rPr>
                        <m:t>γ</m:t>
                      </m:r>
                    </m:e>
                    <m:sup>
                      <m:r>
                        <m:rPr>
                          <m:sty m:val="bi"/>
                        </m:rPr>
                        <w:rPr>
                          <w:rFonts w:ascii="Cambria Math" w:hAnsi="Cambria Math"/>
                          <w:sz w:val="18"/>
                          <w:szCs w:val="18"/>
                        </w:rPr>
                        <m:t>'</m:t>
                      </m:r>
                    </m:sup>
                  </m:sSup>
                </m:e>
                <m:sub>
                  <m:r>
                    <m:rPr>
                      <m:sty m:val="bi"/>
                    </m:rPr>
                    <w:rPr>
                      <w:rFonts w:ascii="Cambria Math" w:hAnsi="Cambria Math" w:cs="Cambria Math"/>
                      <w:sz w:val="18"/>
                      <w:szCs w:val="18"/>
                    </w:rPr>
                    <m:t>p</m:t>
                  </m:r>
                </m:sub>
              </m:sSub>
              <m:r>
                <m:rPr>
                  <m:sty m:val="bi"/>
                </m:rPr>
                <w:rPr>
                  <w:rFonts w:ascii="Cambria Math" w:hAnsi="Cambria Math"/>
                  <w:sz w:val="18"/>
                  <w:szCs w:val="18"/>
                </w:rPr>
                <m:t xml:space="preserve"> </m:t>
              </m:r>
            </m:oMath>
            <w:r w:rsidRPr="00255F46">
              <w:rPr>
                <w:rFonts w:ascii="Book Antiqua" w:hAnsi="Book Antiqua"/>
                <w:b/>
                <w:i/>
                <w:sz w:val="18"/>
                <w:szCs w:val="18"/>
              </w:rPr>
              <w:t xml:space="preserve"> radians/sec/gauss.</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1949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Thomas et al. [59]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26752.31</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DuMond and Cohen [23]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26752.70</w:t>
            </w:r>
          </w:p>
        </w:tc>
      </w:tr>
      <w:tr w:rsidR="002A7896" w:rsidRPr="00B9776F" w:rsidTr="00E74BCC">
        <w:trPr>
          <w:trHeight w:val="297"/>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et al, [24]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26753.00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Bender [60]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26751.465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1959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Yanovskii et al. [61]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26752.00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Capptuller [62]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26752.50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Vigoreaux [63]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DuMond [25]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26751.92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1964</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Yagola et al. [66]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26751.05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Driscoll and Olsen [65]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26751.526</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Hara et al. [67]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Studentsov et al. [68]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26751.349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1969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Taylor et al. [27]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26751.270</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Driscoll [69]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26751.384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1973</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26751.301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1975</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Olsen and Williams [70]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26751.354</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1977</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Wang [71]</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26751.481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Kibble and Hunt [72]</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26751.689</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1979</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Williams and Olsen [73]</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26751.3625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Chiao, Liu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26751.572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Chaio and Shen [74]</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26751.391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26751.32</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lastRenderedPageBreak/>
              <w:t>1980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Forkert and Schlesok [75]</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26751.257</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1981</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Tarbeyev [76]</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26751.228</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1986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Cohen and Taylor [29]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26751.5255</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1998</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[30]</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26751.5341</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2002</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and Taylor [77]</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26751.5333</w:t>
            </w:r>
          </w:p>
        </w:tc>
      </w:tr>
      <w:tr w:rsidR="002A7896" w:rsidRPr="00B9776F" w:rsidTr="00E74BCC">
        <w:trPr>
          <w:trHeight w:val="279"/>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2006</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Mohr, Taylor, Newell [78]</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26751.3362</w:t>
            </w:r>
          </w:p>
        </w:tc>
      </w:tr>
      <w:tr w:rsidR="002A7896" w:rsidRPr="00B9776F" w:rsidTr="00E74BCC">
        <w:trPr>
          <w:trHeight w:val="98"/>
          <w:jc w:val="center"/>
        </w:trPr>
        <w:tc>
          <w:tcPr>
            <w:tcW w:w="702"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2010</w:t>
            </w:r>
          </w:p>
        </w:tc>
        <w:tc>
          <w:tcPr>
            <w:tcW w:w="3113"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CODATA/NIST [79]</w:t>
            </w:r>
          </w:p>
        </w:tc>
        <w:tc>
          <w:tcPr>
            <w:tcW w:w="2440" w:type="dxa"/>
          </w:tcPr>
          <w:p w:rsidR="002A7896" w:rsidRPr="00255F46" w:rsidRDefault="002A7896" w:rsidP="002A7896">
            <w:pPr>
              <w:pStyle w:val="NoSpacing"/>
              <w:jc w:val="both"/>
              <w:rPr>
                <w:rFonts w:ascii="Book Antiqua" w:hAnsi="Book Antiqua"/>
                <w:b/>
                <w:sz w:val="18"/>
                <w:szCs w:val="18"/>
              </w:rPr>
            </w:pPr>
            <w:r w:rsidRPr="00255F46">
              <w:rPr>
                <w:rFonts w:ascii="Book Antiqua" w:hAnsi="Book Antiqua"/>
                <w:b/>
                <w:sz w:val="18"/>
                <w:szCs w:val="18"/>
              </w:rPr>
              <w:t>26751.53268</w:t>
            </w:r>
          </w:p>
        </w:tc>
      </w:tr>
    </w:tbl>
    <w:p w:rsidR="002A7896" w:rsidRPr="00B9776F" w:rsidRDefault="002A7896" w:rsidP="002A7896">
      <w:pPr>
        <w:pStyle w:val="NoSpacing"/>
        <w:jc w:val="both"/>
        <w:rPr>
          <w:rFonts w:ascii="Book Antiqua" w:hAnsi="Book Antiqua"/>
          <w:sz w:val="20"/>
        </w:rPr>
      </w:pPr>
    </w:p>
    <w:p w:rsidR="000554D7" w:rsidRDefault="000736F7" w:rsidP="00820B57">
      <w:pPr>
        <w:pStyle w:val="NoSpacing"/>
        <w:rPr>
          <w:rFonts w:ascii="Book Antiqua" w:hAnsi="Book Antiqua"/>
          <w:sz w:val="20"/>
        </w:rPr>
      </w:pPr>
      <w:r w:rsidRPr="00B9776F">
        <w:rPr>
          <w:rFonts w:ascii="Book Antiqua" w:hAnsi="Book Antiqua"/>
          <w:sz w:val="20"/>
        </w:rPr>
        <w:t xml:space="preserve">For consistency, Table 1 and Fig.3 use the shielded ratio,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r>
          <w:rPr>
            <w:rFonts w:ascii="Cambria Math" w:hAnsi="Cambria Math"/>
            <w:sz w:val="20"/>
          </w:rPr>
          <m:t xml:space="preserve"> </m:t>
        </m:r>
      </m:oMath>
      <w:r w:rsidRPr="00B9776F">
        <w:rPr>
          <w:rFonts w:ascii="Book Antiqua" w:hAnsi="Book Antiqua"/>
          <w:sz w:val="20"/>
        </w:rPr>
        <w:t>. Two aberrant values have been omitted from this Table, one was excessively high, the other excessively low. The data from Table 1 are plotted in Figure 3 with a 4</w:t>
      </w:r>
      <w:r w:rsidRPr="00B9776F">
        <w:rPr>
          <w:rFonts w:ascii="Book Antiqua" w:hAnsi="Book Antiqua"/>
          <w:sz w:val="20"/>
          <w:vertAlign w:val="superscript"/>
        </w:rPr>
        <w:t xml:space="preserve">th </w:t>
      </w:r>
      <w:r w:rsidRPr="00B9776F">
        <w:rPr>
          <w:rFonts w:ascii="Book Antiqua" w:hAnsi="Book Antiqua"/>
          <w:sz w:val="20"/>
        </w:rPr>
        <w:t xml:space="preserve">order polynomial giving the best fit to the data. Again the minimum around 1970 is in evidence. The data from 1949 to 1981 give a linear decay rate of 0.0294 rad./sec./gauss per year with a 99.9% confidence interval that </w:t>
      </w:r>
      <m:oMath>
        <m:sSub>
          <m:sSubPr>
            <m:ctrlPr>
              <w:rPr>
                <w:rFonts w:ascii="Cambria Math" w:hAnsi="Cambria Math"/>
                <w:i/>
                <w:sz w:val="20"/>
              </w:rPr>
            </m:ctrlPr>
          </m:sSubPr>
          <m:e>
            <m:sSup>
              <m:sSupPr>
                <m:ctrlPr>
                  <w:rPr>
                    <w:rFonts w:ascii="Cambria Math" w:hAnsi="Cambria Math"/>
                    <w:i/>
                    <w:sz w:val="20"/>
                  </w:rPr>
                </m:ctrlPr>
              </m:sSupPr>
              <m:e>
                <m:r>
                  <w:rPr>
                    <w:rFonts w:ascii="Cambria Math" w:hAnsi="Cambria Math" w:cs="Cambria Math"/>
                    <w:sz w:val="20"/>
                  </w:rPr>
                  <m:t>γ</m:t>
                </m:r>
              </m:e>
              <m:sup>
                <m:r>
                  <w:rPr>
                    <w:rFonts w:ascii="Cambria Math" w:hAnsi="Cambria Math"/>
                    <w:sz w:val="20"/>
                  </w:rPr>
                  <m:t>'</m:t>
                </m:r>
              </m:sup>
            </m:sSup>
          </m:e>
          <m:sub>
            <m:r>
              <w:rPr>
                <w:rFonts w:ascii="Cambria Math" w:hAnsi="Cambria Math" w:cs="Cambria Math"/>
                <w:sz w:val="20"/>
              </w:rPr>
              <m:t>p</m:t>
            </m:r>
          </m:sub>
        </m:sSub>
      </m:oMath>
      <w:r w:rsidRPr="00B9776F">
        <w:rPr>
          <w:rFonts w:ascii="Book Antiqua" w:hAnsi="Book Antiqua"/>
          <w:sz w:val="20"/>
        </w:rPr>
        <w:t xml:space="preserve"> was not constant at the 1981 value.</w:t>
      </w:r>
      <w:r>
        <w:rPr>
          <w:rFonts w:ascii="Book Antiqua" w:hAnsi="Book Antiqua"/>
          <w:sz w:val="20"/>
        </w:rPr>
        <w:t xml:space="preserve"> Figure 3 may be </w:t>
      </w:r>
      <w:r w:rsidRPr="000736F7">
        <w:rPr>
          <w:rFonts w:ascii="Book Antiqua" w:hAnsi="Book Antiqua"/>
          <w:sz w:val="20"/>
        </w:rPr>
        <w:t>the most definitive data showing what currently happening with the Narlikar-Arp oscillation.</w:t>
      </w:r>
    </w:p>
    <w:p w:rsidR="000736F7" w:rsidRDefault="000736F7" w:rsidP="00820B57">
      <w:pPr>
        <w:pStyle w:val="NoSpacing"/>
        <w:rPr>
          <w:rFonts w:ascii="Book Antiqua" w:hAnsi="Book Antiqua"/>
          <w:sz w:val="20"/>
        </w:rPr>
      </w:pPr>
    </w:p>
    <w:p w:rsidR="000736F7" w:rsidRPr="00B9776F" w:rsidRDefault="000736F7" w:rsidP="00820B57">
      <w:pPr>
        <w:pStyle w:val="NoSpacing"/>
        <w:rPr>
          <w:rFonts w:ascii="Book Antiqua" w:hAnsi="Book Antiqua"/>
          <w:sz w:val="18"/>
          <w:szCs w:val="18"/>
        </w:rPr>
      </w:pPr>
    </w:p>
    <w:p w:rsidR="00820B57" w:rsidRPr="00B9776F" w:rsidRDefault="000554D7" w:rsidP="00E74BCC">
      <w:pPr>
        <w:pStyle w:val="NoSpacing"/>
        <w:jc w:val="center"/>
        <w:rPr>
          <w:rFonts w:ascii="Book Antiqua" w:hAnsi="Book Antiqua"/>
          <w:sz w:val="18"/>
          <w:szCs w:val="18"/>
        </w:rPr>
      </w:pPr>
      <w:r w:rsidRPr="00B9776F">
        <w:rPr>
          <w:rFonts w:ascii="Book Antiqua" w:hAnsi="Book Antiqua"/>
          <w:noProof/>
          <w:sz w:val="18"/>
          <w:szCs w:val="18"/>
        </w:rPr>
        <w:drawing>
          <wp:inline distT="0" distB="0" distL="0" distR="0">
            <wp:extent cx="6819900" cy="3333750"/>
            <wp:effectExtent l="19050" t="0" r="19050" b="0"/>
            <wp:docPr id="1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820B57" w:rsidRPr="00B9776F" w:rsidRDefault="00820B57" w:rsidP="00820B57">
      <w:pPr>
        <w:pStyle w:val="NoSpacing"/>
        <w:rPr>
          <w:rFonts w:ascii="Book Antiqua" w:hAnsi="Book Antiqua"/>
          <w:sz w:val="18"/>
          <w:szCs w:val="18"/>
        </w:rPr>
      </w:pPr>
    </w:p>
    <w:p w:rsidR="000554D7" w:rsidRPr="00B9776F" w:rsidRDefault="000554D7" w:rsidP="00820B57">
      <w:pPr>
        <w:pStyle w:val="NoSpacing"/>
        <w:rPr>
          <w:rFonts w:ascii="Book Antiqua" w:hAnsi="Book Antiqua"/>
          <w:sz w:val="18"/>
          <w:szCs w:val="18"/>
        </w:rPr>
      </w:pPr>
    </w:p>
    <w:p w:rsidR="000554D7" w:rsidRPr="00D306FE" w:rsidRDefault="000554D7" w:rsidP="000554D7">
      <w:pPr>
        <w:pStyle w:val="NoSpacing"/>
        <w:rPr>
          <w:rFonts w:ascii="Book Antiqua" w:hAnsi="Book Antiqua"/>
          <w:i/>
          <w:sz w:val="18"/>
          <w:szCs w:val="18"/>
        </w:rPr>
      </w:pPr>
      <w:r w:rsidRPr="00D306FE">
        <w:rPr>
          <w:rFonts w:ascii="Book Antiqua" w:hAnsi="Book Antiqua"/>
          <w:b/>
          <w:i/>
          <w:sz w:val="18"/>
          <w:szCs w:val="18"/>
        </w:rPr>
        <w:t>Figure 3:</w:t>
      </w:r>
      <w:r w:rsidRPr="00D306FE">
        <w:rPr>
          <w:rFonts w:ascii="Book Antiqua" w:hAnsi="Book Antiqua"/>
          <w:i/>
          <w:sz w:val="18"/>
          <w:szCs w:val="18"/>
        </w:rPr>
        <w:t xml:space="preserve"> Graph of the proton gyromagnetic ratio which is proportional to √c . The best fit to these data is given by a 4</w:t>
      </w:r>
      <w:r w:rsidRPr="00D306FE">
        <w:rPr>
          <w:rFonts w:ascii="Book Antiqua" w:hAnsi="Book Antiqua"/>
          <w:i/>
          <w:sz w:val="18"/>
          <w:szCs w:val="18"/>
          <w:vertAlign w:val="superscript"/>
        </w:rPr>
        <w:t>th</w:t>
      </w:r>
      <w:r w:rsidRPr="00D306FE">
        <w:rPr>
          <w:rFonts w:ascii="Book Antiqua" w:hAnsi="Book Antiqua"/>
          <w:i/>
          <w:sz w:val="18"/>
          <w:szCs w:val="18"/>
        </w:rPr>
        <w:t xml:space="preserve"> order polynomial shown here. The graph shows a minimum around 1970 followed by a rise and then flattening</w:t>
      </w:r>
      <w:r w:rsidR="00255F46" w:rsidRPr="00D306FE">
        <w:rPr>
          <w:rFonts w:ascii="Book Antiqua" w:hAnsi="Book Antiqua"/>
          <w:i/>
          <w:sz w:val="18"/>
          <w:szCs w:val="18"/>
        </w:rPr>
        <w:t>.</w:t>
      </w:r>
    </w:p>
    <w:p w:rsidR="00C24253" w:rsidRPr="00B9776F" w:rsidRDefault="00C24253" w:rsidP="000554D7">
      <w:pPr>
        <w:pStyle w:val="NoSpacing"/>
        <w:rPr>
          <w:rFonts w:ascii="Book Antiqua" w:hAnsi="Book Antiqua"/>
          <w:sz w:val="18"/>
          <w:szCs w:val="18"/>
        </w:rPr>
      </w:pPr>
    </w:p>
    <w:p w:rsidR="00820B57" w:rsidRPr="00B9776F" w:rsidRDefault="00820B57" w:rsidP="00C24253">
      <w:pPr>
        <w:pStyle w:val="NoSpacing"/>
        <w:ind w:firstLine="720"/>
        <w:jc w:val="both"/>
        <w:rPr>
          <w:rFonts w:ascii="Book Antiqua" w:hAnsi="Book Antiqua"/>
          <w:sz w:val="20"/>
        </w:rPr>
      </w:pPr>
      <w:r w:rsidRPr="00B9776F">
        <w:rPr>
          <w:rFonts w:ascii="Book Antiqua" w:hAnsi="Book Antiqua"/>
          <w:sz w:val="20"/>
        </w:rPr>
        <w:t>The behavior of this quantity in Figure 3 near the flat-point has occurred in all data</w:t>
      </w:r>
      <w:r w:rsidR="006D55C3">
        <w:rPr>
          <w:rFonts w:ascii="Book Antiqua" w:hAnsi="Book Antiqua"/>
          <w:sz w:val="20"/>
        </w:rPr>
        <w:t>.  Figure 3</w:t>
      </w:r>
      <w:r w:rsidRPr="00B9776F">
        <w:rPr>
          <w:rFonts w:ascii="Book Antiqua" w:hAnsi="Book Antiqua"/>
          <w:sz w:val="20"/>
        </w:rPr>
        <w:t xml:space="preserve"> seems to give a better idea of the flat-point’s actual form. Related to th</w:t>
      </w:r>
      <w:r w:rsidR="006D55C3">
        <w:rPr>
          <w:rFonts w:ascii="Book Antiqua" w:hAnsi="Book Antiqua"/>
          <w:sz w:val="20"/>
        </w:rPr>
        <w:t>e</w:t>
      </w:r>
      <w:r w:rsidRPr="00B9776F">
        <w:rPr>
          <w:rFonts w:ascii="Book Antiqua" w:hAnsi="Book Antiqua"/>
          <w:sz w:val="20"/>
        </w:rPr>
        <w:t xml:space="preserve"> flat-point in Figure 3 was the fact that in 1983, the speed of light, </w:t>
      </w:r>
      <m:oMath>
        <m:r>
          <w:rPr>
            <w:rFonts w:ascii="Cambria Math" w:hAnsi="Cambria Math" w:cs="Cambria Math"/>
            <w:sz w:val="20"/>
          </w:rPr>
          <m:t>c</m:t>
        </m:r>
      </m:oMath>
      <w:r w:rsidRPr="00B9776F">
        <w:rPr>
          <w:rFonts w:ascii="Book Antiqua" w:hAnsi="Book Antiqua"/>
          <w:sz w:val="20"/>
        </w:rPr>
        <w:t>, was officially declared a constant.  Equation (</w:t>
      </w:r>
      <w:r w:rsidR="00B038E8">
        <w:rPr>
          <w:rFonts w:ascii="Book Antiqua" w:hAnsi="Book Antiqua"/>
          <w:sz w:val="20"/>
        </w:rPr>
        <w:t>6</w:t>
      </w:r>
      <w:r w:rsidRPr="00B9776F">
        <w:rPr>
          <w:rFonts w:ascii="Book Antiqua" w:hAnsi="Book Antiqua"/>
          <w:sz w:val="20"/>
        </w:rPr>
        <w:t xml:space="preserve">8) points to the other reason for this, quite apart from the cosmological behavior picked up by the other ZPE associated constants like the gyromagnetic ratio. From 1972 to 1983, the experimental value of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 xml:space="preserve">was obtained using lasers. Lasers measured the frequency of light at known wavelengths using atomic time and frequency standards. Using this method, </w:t>
      </w:r>
      <m:oMath>
        <m:r>
          <w:rPr>
            <w:rFonts w:ascii="Cambria Math" w:hAnsi="Cambria Math" w:cs="Cambria Math"/>
            <w:sz w:val="20"/>
          </w:rPr>
          <m:t>c</m:t>
        </m:r>
      </m:oMath>
      <w:r w:rsidRPr="00B9776F">
        <w:rPr>
          <w:rFonts w:ascii="Book Antiqua" w:hAnsi="Book Antiqua"/>
          <w:sz w:val="20"/>
        </w:rPr>
        <w:t xml:space="preserve"> was determined in terms of equation (1</w:t>
      </w:r>
      <w:r w:rsidR="00C468EC">
        <w:rPr>
          <w:rFonts w:ascii="Book Antiqua" w:hAnsi="Book Antiqua"/>
          <w:sz w:val="20"/>
        </w:rPr>
        <w:t>7</w:t>
      </w:r>
      <w:r w:rsidRPr="00B9776F">
        <w:rPr>
          <w:rFonts w:ascii="Book Antiqua" w:hAnsi="Book Antiqua"/>
          <w:sz w:val="20"/>
        </w:rPr>
        <w:t xml:space="preserve">) in Chapter 2, namely </w:t>
      </w:r>
      <m:oMath>
        <m:r>
          <w:rPr>
            <w:rFonts w:ascii="Cambria Math" w:hAnsi="Cambria Math" w:cs="Cambria Math"/>
            <w:sz w:val="20"/>
          </w:rPr>
          <m:t>c</m:t>
        </m:r>
        <m:r>
          <w:rPr>
            <w:rFonts w:ascii="Cambria Math" w:hAnsi="Cambria Math"/>
            <w:sz w:val="20"/>
          </w:rPr>
          <m:t xml:space="preserve"> = </m:t>
        </m:r>
        <m:r>
          <w:rPr>
            <w:rFonts w:ascii="Cambria Math" w:hAnsi="Cambria Math" w:cs="Cambria Math"/>
            <w:sz w:val="20"/>
          </w:rPr>
          <m:t>f</m:t>
        </m:r>
        <m:r>
          <w:rPr>
            <w:rFonts w:ascii="Cambria Math" w:hAnsi="Cambria Math"/>
            <w:sz w:val="20"/>
          </w:rPr>
          <m:t xml:space="preserve"> </m:t>
        </m:r>
        <m:r>
          <w:rPr>
            <w:rFonts w:ascii="Cambria Math" w:hAnsi="Cambria Math" w:cs="Cambria Math"/>
            <w:sz w:val="20"/>
          </w:rPr>
          <m:t>λ</m:t>
        </m:r>
      </m:oMath>
      <w:r w:rsidRPr="00B9776F">
        <w:rPr>
          <w:rFonts w:ascii="Book Antiqua" w:hAnsi="Book Antiqua"/>
          <w:sz w:val="20"/>
        </w:rPr>
        <w:t xml:space="preserve">. </w:t>
      </w:r>
      <w:r w:rsidR="00D928B7">
        <w:rPr>
          <w:rFonts w:ascii="Book Antiqua" w:hAnsi="Book Antiqua"/>
          <w:sz w:val="20"/>
        </w:rPr>
        <w:t>As shown in Chapter 2, wavelengths,</w:t>
      </w:r>
      <m:oMath>
        <m:r>
          <w:rPr>
            <w:rFonts w:ascii="Cambria Math" w:hAnsi="Cambria Math"/>
            <w:sz w:val="20"/>
          </w:rPr>
          <m:t xml:space="preserve"> λ</m:t>
        </m:r>
      </m:oMath>
      <w:r w:rsidR="00D928B7">
        <w:rPr>
          <w:rFonts w:ascii="Book Antiqua" w:hAnsi="Book Antiqua"/>
          <w:sz w:val="20"/>
        </w:rPr>
        <w:t xml:space="preserve">, are constant. This means that </w:t>
      </w:r>
      <w:r w:rsidRPr="00B9776F">
        <w:rPr>
          <w:rFonts w:ascii="Book Antiqua" w:hAnsi="Book Antiqua"/>
          <w:sz w:val="20"/>
        </w:rPr>
        <w:t xml:space="preserve">if atomic frequencies, </w:t>
      </w:r>
      <m:oMath>
        <m:r>
          <w:rPr>
            <w:rFonts w:ascii="Cambria Math" w:hAnsi="Cambria Math" w:cs="Cambria Math"/>
            <w:sz w:val="20"/>
          </w:rPr>
          <m:t>f</m:t>
        </m:r>
      </m:oMath>
      <w:r w:rsidRPr="00B9776F">
        <w:rPr>
          <w:rFonts w:ascii="Book Antiqua" w:hAnsi="Book Antiqua"/>
          <w:sz w:val="20"/>
        </w:rPr>
        <w:t xml:space="preserve">, are changing synchronously with </w:t>
      </w:r>
      <m:oMath>
        <m:r>
          <w:rPr>
            <w:rFonts w:ascii="Cambria Math" w:hAnsi="Cambria Math" w:cs="Cambria Math"/>
            <w:sz w:val="20"/>
          </w:rPr>
          <m:t>c</m:t>
        </m:r>
      </m:oMath>
      <w:r w:rsidRPr="00B9776F">
        <w:rPr>
          <w:rFonts w:ascii="Book Antiqua" w:hAnsi="Book Antiqua"/>
          <w:sz w:val="20"/>
        </w:rPr>
        <w:t xml:space="preserve">, no variation in </w:t>
      </w:r>
      <m:oMath>
        <m:r>
          <w:rPr>
            <w:rFonts w:ascii="Cambria Math" w:hAnsi="Cambria Math" w:cs="Cambria Math"/>
            <w:sz w:val="20"/>
          </w:rPr>
          <m:t>c</m:t>
        </m:r>
      </m:oMath>
      <w:r w:rsidRPr="00B9776F">
        <w:rPr>
          <w:rFonts w:ascii="Book Antiqua" w:hAnsi="Book Antiqua"/>
          <w:i/>
          <w:iCs/>
          <w:sz w:val="20"/>
        </w:rPr>
        <w:t xml:space="preserve"> </w:t>
      </w:r>
      <w:r w:rsidRPr="00B9776F">
        <w:rPr>
          <w:rFonts w:ascii="Book Antiqua" w:hAnsi="Book Antiqua"/>
          <w:sz w:val="20"/>
        </w:rPr>
        <w:t>could have been detected</w:t>
      </w:r>
      <w:r w:rsidR="006D55C3">
        <w:rPr>
          <w:rFonts w:ascii="Book Antiqua" w:hAnsi="Book Antiqua"/>
          <w:sz w:val="20"/>
        </w:rPr>
        <w:t xml:space="preserve">.  None was.  </w:t>
      </w:r>
    </w:p>
    <w:p w:rsidR="00D772FD" w:rsidRPr="00B9776F" w:rsidRDefault="00D772FD" w:rsidP="00820B57">
      <w:pPr>
        <w:pStyle w:val="NoSpacing"/>
        <w:rPr>
          <w:rFonts w:ascii="Book Antiqua" w:hAnsi="Book Antiqua"/>
          <w:b/>
          <w:bCs/>
          <w:iCs/>
          <w:color w:val="000000"/>
          <w:sz w:val="20"/>
        </w:rPr>
      </w:pPr>
    </w:p>
    <w:p w:rsidR="00820B57" w:rsidRPr="00B9776F" w:rsidRDefault="00820B57" w:rsidP="00820B57">
      <w:pPr>
        <w:pStyle w:val="NoSpacing"/>
        <w:rPr>
          <w:rFonts w:ascii="Book Antiqua" w:hAnsi="Book Antiqua"/>
          <w:b/>
          <w:bCs/>
          <w:i/>
          <w:iCs/>
          <w:color w:val="000000"/>
          <w:sz w:val="20"/>
        </w:rPr>
      </w:pPr>
      <w:r w:rsidRPr="00B9776F">
        <w:rPr>
          <w:rFonts w:ascii="Book Antiqua" w:hAnsi="Book Antiqua"/>
          <w:b/>
          <w:bCs/>
          <w:iCs/>
          <w:color w:val="000000"/>
          <w:sz w:val="20"/>
        </w:rPr>
        <w:t>References</w:t>
      </w:r>
      <w:r w:rsidRPr="00B9776F">
        <w:rPr>
          <w:rFonts w:ascii="Book Antiqua" w:hAnsi="Book Antiqua"/>
          <w:b/>
          <w:bCs/>
          <w:i/>
          <w:iCs/>
          <w:color w:val="000000"/>
          <w:sz w:val="20"/>
        </w:rPr>
        <w:t xml:space="preserve"> </w:t>
      </w:r>
      <w:r w:rsidRPr="00B9776F">
        <w:rPr>
          <w:rFonts w:ascii="Book Antiqua" w:hAnsi="Book Antiqua"/>
          <w:bCs/>
          <w:i/>
          <w:iCs/>
          <w:color w:val="000000"/>
          <w:sz w:val="20"/>
        </w:rPr>
        <w:t>– All URL’s retrieved 9/13/12</w:t>
      </w:r>
    </w:p>
    <w:p w:rsidR="00820B57" w:rsidRPr="00B9776F" w:rsidRDefault="00820B57" w:rsidP="00820B57">
      <w:pPr>
        <w:pStyle w:val="NoSpacing"/>
        <w:jc w:val="both"/>
        <w:rPr>
          <w:rFonts w:ascii="Book Antiqua" w:hAnsi="Book Antiqua"/>
          <w:sz w:val="16"/>
          <w:szCs w:val="16"/>
        </w:rPr>
      </w:pP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 M. Chown, New Scientist, pp.22-25, (3 Feb, 2001).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[2] Science Editor, New Scientist, p.17 (28 May 2011).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 B. Haisch, A. Rueda, H. E. Puthoff, </w:t>
      </w:r>
      <w:r w:rsidRPr="00B9776F">
        <w:rPr>
          <w:rFonts w:ascii="Book Antiqua" w:hAnsi="Book Antiqua"/>
          <w:i/>
          <w:sz w:val="16"/>
          <w:szCs w:val="16"/>
        </w:rPr>
        <w:t>Speculations in Science and Technology</w:t>
      </w:r>
      <w:r w:rsidRPr="00B9776F">
        <w:rPr>
          <w:rFonts w:ascii="Book Antiqua" w:hAnsi="Book Antiqua"/>
          <w:sz w:val="16"/>
          <w:szCs w:val="16"/>
        </w:rPr>
        <w:t xml:space="preserve"> </w:t>
      </w:r>
      <w:r w:rsidRPr="00B9776F">
        <w:rPr>
          <w:rFonts w:ascii="Book Antiqua" w:hAnsi="Book Antiqua"/>
          <w:b/>
          <w:sz w:val="16"/>
          <w:szCs w:val="16"/>
        </w:rPr>
        <w:t>20</w:t>
      </w:r>
      <w:r w:rsidRPr="00B9776F">
        <w:rPr>
          <w:rFonts w:ascii="Book Antiqua" w:hAnsi="Book Antiqua"/>
          <w:sz w:val="16"/>
          <w:szCs w:val="16"/>
        </w:rPr>
        <w:t>, pp. 99-114 (1997).</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 Science Editor,  </w:t>
      </w:r>
      <w:r w:rsidRPr="00B9776F">
        <w:rPr>
          <w:rFonts w:ascii="Book Antiqua" w:hAnsi="Book Antiqua"/>
          <w:i/>
          <w:sz w:val="16"/>
          <w:szCs w:val="16"/>
        </w:rPr>
        <w:t>New Scientist</w:t>
      </w:r>
      <w:r w:rsidRPr="00B9776F">
        <w:rPr>
          <w:rFonts w:ascii="Book Antiqua" w:hAnsi="Book Antiqua"/>
          <w:sz w:val="16"/>
          <w:szCs w:val="16"/>
        </w:rPr>
        <w:t>, 7 July 2007, issue 2611.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 R. Gerritsma et al.,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463</w:t>
      </w:r>
      <w:r w:rsidRPr="00B9776F">
        <w:rPr>
          <w:rFonts w:ascii="Book Antiqua" w:hAnsi="Book Antiqua"/>
          <w:sz w:val="16"/>
          <w:szCs w:val="16"/>
        </w:rPr>
        <w:t>, pp. 68-71 ( 7 January 2010).</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[6]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 A. Ananthaswamy, </w:t>
      </w:r>
      <w:r w:rsidRPr="00B9776F">
        <w:rPr>
          <w:rFonts w:ascii="Book Antiqua" w:hAnsi="Book Antiqua"/>
          <w:i/>
          <w:sz w:val="16"/>
          <w:szCs w:val="16"/>
        </w:rPr>
        <w:t>New Scientist</w:t>
      </w:r>
      <w:r w:rsidRPr="00B9776F">
        <w:rPr>
          <w:rFonts w:ascii="Book Antiqua" w:hAnsi="Book Antiqua"/>
          <w:sz w:val="16"/>
          <w:szCs w:val="16"/>
        </w:rPr>
        <w:t>,10 December, 2011, pp.5, 42-45.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[8] </w:t>
      </w:r>
      <w:r w:rsidR="00395C9D">
        <w:rPr>
          <w:rFonts w:ascii="Book Antiqua" w:hAnsi="Book Antiqua"/>
          <w:sz w:val="16"/>
          <w:szCs w:val="16"/>
        </w:rPr>
        <w:t xml:space="preserve">CERN Press Release, 14 March, 2013, at </w:t>
      </w:r>
      <w:hyperlink r:id="rId169" w:history="1">
        <w:r w:rsidR="00395C9D" w:rsidRPr="00C1682F">
          <w:rPr>
            <w:rStyle w:val="Hyperlink"/>
            <w:rFonts w:ascii="Book Antiqua" w:hAnsi="Book Antiqua"/>
            <w:szCs w:val="16"/>
          </w:rPr>
          <w:t>http://press.web.cern.ch/press-releases/2013/03/new-results-indicate-particle-discovered-cern-higgs-boson</w:t>
        </w:r>
      </w:hyperlink>
      <w:r w:rsidR="00395C9D">
        <w:rPr>
          <w:rFonts w:ascii="Book Antiqua" w:hAnsi="Book Antiqua"/>
          <w:sz w:val="16"/>
          <w:szCs w:val="16"/>
        </w:rPr>
        <w:t xml:space="preserve"> </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[10] CIPA, Q &amp; A at </w:t>
      </w:r>
      <w:r w:rsidRPr="00B9776F">
        <w:rPr>
          <w:rStyle w:val="Hyperlink"/>
          <w:rFonts w:ascii="Book Antiqua" w:hAnsi="Book Antiqua"/>
          <w:i/>
          <w:szCs w:val="16"/>
        </w:rPr>
        <w:t>http://www.calphysics.org/questions.html</w:t>
      </w:r>
      <w:r w:rsidRPr="00B9776F">
        <w:rPr>
          <w:rFonts w:ascii="Book Antiqua" w:hAnsi="Book Antiqua"/>
          <w:sz w:val="16"/>
          <w:szCs w:val="16"/>
        </w:rPr>
        <w:t xml:space="preserve">. Also Y. Dobyns, A. Rueda and B. Haisch, </w:t>
      </w:r>
      <w:r w:rsidRPr="00B9776F">
        <w:rPr>
          <w:rFonts w:ascii="Book Antiqua" w:hAnsi="Book Antiqua"/>
          <w:i/>
          <w:sz w:val="16"/>
          <w:szCs w:val="16"/>
        </w:rPr>
        <w:t>Found. Phys.</w:t>
      </w:r>
      <w:r w:rsidRPr="00B9776F">
        <w:rPr>
          <w:rFonts w:ascii="Book Antiqua" w:hAnsi="Book Antiqua"/>
          <w:sz w:val="16"/>
          <w:szCs w:val="16"/>
        </w:rPr>
        <w:t xml:space="preserve"> </w:t>
      </w:r>
      <w:r w:rsidRPr="00B9776F">
        <w:rPr>
          <w:rFonts w:ascii="Book Antiqua" w:hAnsi="Book Antiqua"/>
          <w:b/>
          <w:sz w:val="16"/>
          <w:szCs w:val="16"/>
        </w:rPr>
        <w:t>30 (</w:t>
      </w:r>
      <w:r w:rsidRPr="00B9776F">
        <w:rPr>
          <w:rFonts w:ascii="Book Antiqua" w:hAnsi="Book Antiqua"/>
          <w:sz w:val="16"/>
          <w:szCs w:val="16"/>
        </w:rPr>
        <w:t>1), p.59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[11] B. Setterfield,  ”Reviewing the Zero Point Energy,” </w:t>
      </w:r>
      <w:r w:rsidRPr="00B9776F">
        <w:rPr>
          <w:rFonts w:ascii="Book Antiqua" w:hAnsi="Book Antiqua"/>
          <w:i/>
          <w:sz w:val="16"/>
          <w:szCs w:val="16"/>
        </w:rPr>
        <w:t>Journal of Vectorial Relativity</w:t>
      </w:r>
      <w:r w:rsidRPr="00B9776F">
        <w:rPr>
          <w:rFonts w:ascii="Book Antiqua" w:hAnsi="Book Antiqua"/>
          <w:b/>
          <w:sz w:val="16"/>
          <w:szCs w:val="16"/>
        </w:rPr>
        <w:t xml:space="preserve"> 2</w:t>
      </w:r>
      <w:r w:rsidRPr="00B9776F">
        <w:rPr>
          <w:rFonts w:ascii="Book Antiqua" w:hAnsi="Book Antiqua"/>
          <w:sz w:val="16"/>
          <w:szCs w:val="16"/>
        </w:rPr>
        <w:t xml:space="preserve"> (3):1-28 (2007) and also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[12] B. Haisch, A. Rueda, H. E. Puthoff, </w:t>
      </w:r>
      <w:r w:rsidRPr="00B9776F">
        <w:rPr>
          <w:rFonts w:ascii="Book Antiqua" w:hAnsi="Book Antiqua"/>
          <w:i/>
          <w:sz w:val="16"/>
          <w:szCs w:val="16"/>
        </w:rPr>
        <w:t>Physical Review A</w:t>
      </w:r>
      <w:r w:rsidRPr="00B9776F">
        <w:rPr>
          <w:rFonts w:ascii="Book Antiqua" w:hAnsi="Book Antiqua"/>
          <w:sz w:val="16"/>
          <w:szCs w:val="16"/>
        </w:rPr>
        <w:t xml:space="preserve">, </w:t>
      </w:r>
      <w:r w:rsidRPr="00B9776F">
        <w:rPr>
          <w:rFonts w:ascii="Book Antiqua" w:hAnsi="Book Antiqua"/>
          <w:b/>
          <w:sz w:val="16"/>
          <w:szCs w:val="16"/>
        </w:rPr>
        <w:t>49 (</w:t>
      </w:r>
      <w:r w:rsidRPr="00B9776F">
        <w:rPr>
          <w:rFonts w:ascii="Book Antiqua" w:hAnsi="Book Antiqua"/>
          <w:sz w:val="16"/>
          <w:szCs w:val="16"/>
        </w:rPr>
        <w:t>2), pp. 678-694  (February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[13] H. E. Puthoff, </w:t>
      </w:r>
      <w:r w:rsidRPr="00B9776F">
        <w:rPr>
          <w:rFonts w:ascii="Book Antiqua" w:hAnsi="Book Antiqua"/>
          <w:i/>
          <w:iCs/>
          <w:sz w:val="16"/>
          <w:szCs w:val="16"/>
        </w:rPr>
        <w:t xml:space="preserve">Phys. Rev. A </w:t>
      </w:r>
      <w:r w:rsidRPr="00B9776F">
        <w:rPr>
          <w:rFonts w:ascii="Book Antiqua" w:hAnsi="Book Antiqua"/>
          <w:b/>
          <w:bCs/>
          <w:sz w:val="16"/>
          <w:szCs w:val="16"/>
        </w:rPr>
        <w:t xml:space="preserve">39 </w:t>
      </w:r>
      <w:r w:rsidRPr="00B9776F">
        <w:rPr>
          <w:rFonts w:ascii="Book Antiqua" w:hAnsi="Book Antiqua"/>
          <w:sz w:val="16"/>
          <w:szCs w:val="16"/>
        </w:rPr>
        <w:t>(5):2333-2342 (1 March 1989).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[14] B. Setterfield, “General Relativity and the Zero Point Energy,” </w:t>
      </w:r>
      <w:r w:rsidRPr="00B9776F">
        <w:rPr>
          <w:rFonts w:ascii="Book Antiqua" w:hAnsi="Book Antiqua"/>
          <w:i/>
          <w:iCs/>
          <w:sz w:val="16"/>
          <w:szCs w:val="16"/>
        </w:rPr>
        <w:t>Journal of Theoretics</w:t>
      </w:r>
      <w:r w:rsidRPr="00B9776F">
        <w:rPr>
          <w:rFonts w:ascii="Book Antiqua" w:hAnsi="Book Antiqua"/>
          <w:sz w:val="16"/>
          <w:szCs w:val="16"/>
        </w:rPr>
        <w:t>, extensive papers (15 Oct. 2003).</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[15] M. H. MacGregor, </w:t>
      </w:r>
      <w:r w:rsidRPr="00B9776F">
        <w:rPr>
          <w:rFonts w:ascii="Book Antiqua" w:hAnsi="Book Antiqua"/>
          <w:i/>
          <w:sz w:val="16"/>
          <w:szCs w:val="16"/>
        </w:rPr>
        <w:t>The Enigmatic Electron,</w:t>
      </w:r>
      <w:r w:rsidRPr="00B9776F">
        <w:rPr>
          <w:rFonts w:ascii="Book Antiqua" w:hAnsi="Book Antiqua"/>
          <w:sz w:val="16"/>
          <w:szCs w:val="16"/>
        </w:rPr>
        <w:t xml:space="preserve"> p. 7 (Kluwer, Dordrecht, 1992).</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[16] A.P. French, </w:t>
      </w:r>
      <w:r w:rsidRPr="00B9776F">
        <w:rPr>
          <w:rFonts w:ascii="Book Antiqua" w:hAnsi="Book Antiqua"/>
          <w:i/>
          <w:sz w:val="16"/>
          <w:szCs w:val="16"/>
        </w:rPr>
        <w:t>Principles of Modern Physics,</w:t>
      </w:r>
      <w:r w:rsidRPr="00B9776F">
        <w:rPr>
          <w:rFonts w:ascii="Book Antiqua" w:hAnsi="Book Antiqua"/>
          <w:sz w:val="16"/>
          <w:szCs w:val="16"/>
        </w:rPr>
        <w:t xml:space="preserve"> pp. 66-67, (Wiley,1959).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[17] See in Wikipedia under the Classical Electron Radius or go to</w:t>
      </w:r>
      <w:r w:rsidR="00C468EC">
        <w:rPr>
          <w:rFonts w:ascii="Book Antiqua" w:hAnsi="Book Antiqua"/>
          <w:sz w:val="16"/>
          <w:szCs w:val="16"/>
        </w:rPr>
        <w:t xml:space="preserve"> </w:t>
      </w:r>
      <w:hyperlink r:id="rId170" w:history="1">
        <w:r w:rsidRPr="00B9776F">
          <w:rPr>
            <w:rStyle w:val="Hyperlink"/>
            <w:rFonts w:ascii="Book Antiqua" w:hAnsi="Book Antiqua"/>
            <w:i/>
            <w:szCs w:val="16"/>
          </w:rPr>
          <w:t>http://farside.ph.utexas.edu/teaching/em/lectures/node56.html</w:t>
        </w:r>
      </w:hyperlink>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[18] H. E. Puthoff, </w:t>
      </w:r>
      <w:r w:rsidRPr="00B9776F">
        <w:rPr>
          <w:rFonts w:ascii="Book Antiqua" w:hAnsi="Book Antiqua"/>
          <w:i/>
          <w:sz w:val="16"/>
          <w:szCs w:val="16"/>
        </w:rPr>
        <w:t>International Journal of Theoretical Physics</w:t>
      </w:r>
      <w:r w:rsidRPr="00B9776F">
        <w:rPr>
          <w:rFonts w:ascii="Book Antiqua" w:hAnsi="Book Antiqua"/>
          <w:sz w:val="16"/>
          <w:szCs w:val="16"/>
        </w:rPr>
        <w:t xml:space="preserve">, </w:t>
      </w:r>
      <w:r w:rsidRPr="00B9776F">
        <w:rPr>
          <w:rFonts w:ascii="Book Antiqua" w:hAnsi="Book Antiqua"/>
          <w:b/>
          <w:sz w:val="16"/>
          <w:szCs w:val="16"/>
        </w:rPr>
        <w:t xml:space="preserve">46, </w:t>
      </w:r>
      <w:r w:rsidRPr="00B9776F">
        <w:rPr>
          <w:rFonts w:ascii="Book Antiqua" w:hAnsi="Book Antiqua"/>
          <w:sz w:val="16"/>
          <w:szCs w:val="16"/>
        </w:rPr>
        <w:t>pp. 3005-3008 (2007).</w:t>
      </w:r>
    </w:p>
    <w:p w:rsidR="00820B57" w:rsidRPr="00B9776F" w:rsidRDefault="00820B57" w:rsidP="00820B57">
      <w:pPr>
        <w:pStyle w:val="NoSpacing"/>
        <w:rPr>
          <w:rFonts w:ascii="Book Antiqua" w:hAnsi="Book Antiqua"/>
          <w:color w:val="000000"/>
          <w:sz w:val="16"/>
          <w:szCs w:val="16"/>
        </w:rPr>
      </w:pPr>
      <w:r w:rsidRPr="00B9776F">
        <w:rPr>
          <w:rFonts w:ascii="Book Antiqua" w:hAnsi="Book Antiqua"/>
          <w:sz w:val="16"/>
          <w:szCs w:val="16"/>
        </w:rPr>
        <w:t>[19]</w:t>
      </w:r>
      <w:r w:rsidRPr="00B9776F">
        <w:rPr>
          <w:rFonts w:ascii="Book Antiqua" w:hAnsi="Book Antiqua"/>
          <w:color w:val="000000"/>
          <w:sz w:val="16"/>
          <w:szCs w:val="16"/>
        </w:rPr>
        <w:t xml:space="preserve"> F. G. </w:t>
      </w:r>
      <w:r w:rsidRPr="00B9776F">
        <w:rPr>
          <w:rFonts w:ascii="Book Antiqua" w:hAnsi="Book Antiqua"/>
          <w:sz w:val="16"/>
          <w:szCs w:val="16"/>
        </w:rPr>
        <w:t xml:space="preserve">Dunnington, “The Atomic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11</w:t>
      </w:r>
      <w:r w:rsidRPr="00B9776F">
        <w:rPr>
          <w:rFonts w:ascii="Book Antiqua" w:hAnsi="Book Antiqua"/>
          <w:sz w:val="16"/>
          <w:szCs w:val="16"/>
        </w:rPr>
        <w:t xml:space="preserve"> (2), 65-83, (April 1939).</w:t>
      </w:r>
      <w:r w:rsidRPr="00B9776F">
        <w:rPr>
          <w:rFonts w:ascii="Book Antiqua" w:hAnsi="Book Antiqua"/>
          <w:color w:val="000000"/>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[20] R. T. Birge, “A New Table of Values of the General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13</w:t>
      </w:r>
      <w:r w:rsidRPr="00B9776F">
        <w:rPr>
          <w:rFonts w:ascii="Book Antiqua" w:hAnsi="Book Antiqua"/>
          <w:sz w:val="16"/>
          <w:szCs w:val="16"/>
        </w:rPr>
        <w:t xml:space="preserve"> (4), 233-239, (Oct. 1941).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[21] J. W. M. DuMond, E. R. Cohen, “Our Knowledge of the Atomic Constants F, N, m and h in 1947, and of Other Constants Derivable Therefrom,”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20</w:t>
      </w:r>
      <w:r w:rsidRPr="00B9776F">
        <w:rPr>
          <w:rFonts w:ascii="Book Antiqua" w:hAnsi="Book Antiqua"/>
          <w:sz w:val="16"/>
          <w:szCs w:val="16"/>
        </w:rPr>
        <w:t xml:space="preserve"> (1), 82-108, (Jan. 1948).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[22] J. A. Bearden, H. M. Watts, “A Re-Evaluation of the Fundamental Atomic Constants,” </w:t>
      </w:r>
      <w:r w:rsidRPr="00B9776F">
        <w:rPr>
          <w:rFonts w:ascii="Book Antiqua" w:hAnsi="Book Antiqua"/>
          <w:i/>
          <w:iCs/>
          <w:sz w:val="16"/>
          <w:szCs w:val="16"/>
        </w:rPr>
        <w:t>Physical Review</w:t>
      </w:r>
      <w:r w:rsidRPr="00B9776F">
        <w:rPr>
          <w:rFonts w:ascii="Book Antiqua" w:hAnsi="Book Antiqua"/>
          <w:sz w:val="16"/>
          <w:szCs w:val="16"/>
        </w:rPr>
        <w:t>,</w:t>
      </w:r>
      <w:r w:rsidRPr="00B9776F">
        <w:rPr>
          <w:rFonts w:ascii="Book Antiqua" w:hAnsi="Book Antiqua"/>
          <w:b/>
          <w:sz w:val="16"/>
          <w:szCs w:val="16"/>
        </w:rPr>
        <w:t xml:space="preserve"> 81</w:t>
      </w:r>
      <w:r w:rsidRPr="00B9776F">
        <w:rPr>
          <w:rFonts w:ascii="Book Antiqua" w:hAnsi="Book Antiqua"/>
          <w:sz w:val="16"/>
          <w:szCs w:val="16"/>
        </w:rPr>
        <w:t>, 73-81, (Jan. 1, 1951).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[23] J. W. M. DuMond, E. R. Cohen, “Least Squares Adjustment of the Atomic Constants, 1952,”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25</w:t>
      </w:r>
      <w:r w:rsidRPr="00B9776F">
        <w:rPr>
          <w:rFonts w:ascii="Book Antiqua" w:hAnsi="Book Antiqua"/>
          <w:sz w:val="16"/>
          <w:szCs w:val="16"/>
        </w:rPr>
        <w:t xml:space="preserve"> (3), 691-708, (Jul. 1953).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[24] E. R. Cohen et al., “Analysis of Variance of the 1952 Data on the Atomic Constants and a New Adjustment, 1955,”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27</w:t>
      </w:r>
      <w:r w:rsidRPr="00B9776F">
        <w:rPr>
          <w:rFonts w:ascii="Book Antiqua" w:hAnsi="Book Antiqua"/>
          <w:sz w:val="16"/>
          <w:szCs w:val="16"/>
        </w:rPr>
        <w:t xml:space="preserve"> (4), 363-380, (Oct. 1955).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[25] E. R. Cohen, J. W. M. DuMond, “Present Status of our Knowledge of the Numerical Values of the Fundamental Constants,” </w:t>
      </w:r>
      <w:r w:rsidRPr="00B9776F">
        <w:rPr>
          <w:rFonts w:ascii="Book Antiqua" w:hAnsi="Book Antiqua"/>
          <w:i/>
          <w:iCs/>
          <w:sz w:val="16"/>
          <w:szCs w:val="16"/>
        </w:rPr>
        <w:t>Proceedings of the Second International Conference on Nuclidic Masses</w:t>
      </w:r>
      <w:r w:rsidRPr="00B9776F">
        <w:rPr>
          <w:rFonts w:ascii="Book Antiqua" w:hAnsi="Book Antiqua"/>
          <w:sz w:val="16"/>
          <w:szCs w:val="16"/>
        </w:rPr>
        <w:t>, Vienna, Austria, July 15-19, 1963, W. H. Johnson, Jr., editor, pp. 152-186 (Springer-Verlag, Wien, 1964).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[26] E. R. Cohen, J. W. M. DuMond, “Our Knowledge of the Fundamental Constants of Physics and Chemistry in 1965,”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37</w:t>
      </w:r>
      <w:r w:rsidRPr="00B9776F">
        <w:rPr>
          <w:rFonts w:ascii="Book Antiqua" w:hAnsi="Book Antiqua"/>
          <w:sz w:val="16"/>
          <w:szCs w:val="16"/>
        </w:rPr>
        <w:t xml:space="preserve"> (4), 537-594, (Oct.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[27] B. N. Taylor, W. H. Parker, D. N. Langenberg, “Determination of e/h Using Macroscopic Quantum Phase Coherence in Superconductors: Implications for Quantum Electrodynamics and the Fundamental Physical Constants,” </w:t>
      </w:r>
      <w:r w:rsidRPr="00B9776F">
        <w:rPr>
          <w:rFonts w:ascii="Book Antiqua" w:hAnsi="Book Antiqua"/>
          <w:i/>
          <w:iCs/>
          <w:sz w:val="16"/>
          <w:szCs w:val="16"/>
        </w:rPr>
        <w:t>Reviews of Modern Physics</w:t>
      </w:r>
      <w:r w:rsidRPr="00B9776F">
        <w:rPr>
          <w:rFonts w:ascii="Book Antiqua" w:hAnsi="Book Antiqua"/>
          <w:sz w:val="16"/>
          <w:szCs w:val="16"/>
        </w:rPr>
        <w:t xml:space="preserve">, </w:t>
      </w:r>
      <w:r w:rsidRPr="00B9776F">
        <w:rPr>
          <w:rFonts w:ascii="Book Antiqua" w:hAnsi="Book Antiqua"/>
          <w:b/>
          <w:bCs/>
          <w:sz w:val="16"/>
          <w:szCs w:val="16"/>
        </w:rPr>
        <w:t>41</w:t>
      </w:r>
      <w:r w:rsidRPr="00B9776F">
        <w:rPr>
          <w:rFonts w:ascii="Book Antiqua" w:hAnsi="Book Antiqua"/>
          <w:sz w:val="16"/>
          <w:szCs w:val="16"/>
        </w:rPr>
        <w:t xml:space="preserve"> (3), 375-496, (Jul. 1969).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[28] E. R. Cohen, B. N. Taylor, “The 1973 Least-Squares Adjustment of the Fundamental Constants,” </w:t>
      </w:r>
      <w:r w:rsidRPr="00B9776F">
        <w:rPr>
          <w:rFonts w:ascii="Book Antiqua" w:hAnsi="Book Antiqua"/>
          <w:i/>
          <w:iCs/>
          <w:sz w:val="16"/>
          <w:szCs w:val="16"/>
        </w:rPr>
        <w:t>Journal of Physical and Chemical Reference Data</w:t>
      </w:r>
      <w:r w:rsidRPr="00B9776F">
        <w:rPr>
          <w:rFonts w:ascii="Book Antiqua" w:hAnsi="Book Antiqua"/>
          <w:sz w:val="16"/>
          <w:szCs w:val="16"/>
        </w:rPr>
        <w:t xml:space="preserve">, </w:t>
      </w:r>
      <w:r w:rsidRPr="00B9776F">
        <w:rPr>
          <w:rFonts w:ascii="Book Antiqua" w:hAnsi="Book Antiqua"/>
          <w:b/>
          <w:bCs/>
          <w:sz w:val="16"/>
          <w:szCs w:val="16"/>
        </w:rPr>
        <w:t>2</w:t>
      </w:r>
      <w:r w:rsidRPr="00B9776F">
        <w:rPr>
          <w:rFonts w:ascii="Book Antiqua" w:hAnsi="Book Antiqua"/>
          <w:sz w:val="16"/>
          <w:szCs w:val="16"/>
        </w:rPr>
        <w:t xml:space="preserve"> (4), 663-718, (1973).</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[29] E. R. Cohen , B. M. Taylor, “The 1986 Adjustment of the Fundamental Physical Constants,” </w:t>
      </w:r>
      <w:r w:rsidRPr="00B9776F">
        <w:rPr>
          <w:rFonts w:ascii="Book Antiqua" w:hAnsi="Book Antiqua"/>
          <w:i/>
          <w:sz w:val="16"/>
          <w:szCs w:val="16"/>
        </w:rPr>
        <w:t>Codata Bulletin</w:t>
      </w:r>
      <w:r w:rsidRPr="00B9776F">
        <w:rPr>
          <w:rFonts w:ascii="Book Antiqua" w:hAnsi="Book Antiqua"/>
          <w:sz w:val="16"/>
          <w:szCs w:val="16"/>
        </w:rPr>
        <w:t xml:space="preserve"> </w:t>
      </w:r>
      <w:r w:rsidRPr="00B9776F">
        <w:rPr>
          <w:rFonts w:ascii="Book Antiqua" w:hAnsi="Book Antiqua"/>
          <w:b/>
          <w:sz w:val="16"/>
          <w:szCs w:val="16"/>
        </w:rPr>
        <w:t>63</w:t>
      </w:r>
      <w:r w:rsidRPr="00B9776F">
        <w:rPr>
          <w:rFonts w:ascii="Book Antiqua" w:hAnsi="Book Antiqua"/>
          <w:sz w:val="16"/>
          <w:szCs w:val="16"/>
        </w:rPr>
        <w:t xml:space="preserve">, (Pergamum Press, Nov. 1986).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[30] P. J. Mohr, B. N. Taylor, “Codata Recommended Values of the Fundamental Physical Constants, 1998,”  </w:t>
      </w:r>
      <w:r w:rsidRPr="00B9776F">
        <w:rPr>
          <w:rFonts w:ascii="Book Antiqua" w:hAnsi="Book Antiqua"/>
          <w:i/>
          <w:iCs/>
          <w:sz w:val="16"/>
          <w:szCs w:val="16"/>
        </w:rPr>
        <w:t>Reviews of Modern Physics</w:t>
      </w:r>
      <w:r w:rsidRPr="00B9776F">
        <w:rPr>
          <w:rFonts w:ascii="Book Antiqua" w:hAnsi="Book Antiqua"/>
          <w:sz w:val="16"/>
          <w:szCs w:val="16"/>
        </w:rPr>
        <w:t>, (April, 2000).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[31] </w:t>
      </w:r>
      <w:hyperlink r:id="rId171" w:history="1">
        <w:r w:rsidRPr="00B9776F">
          <w:rPr>
            <w:rStyle w:val="Hyperlink"/>
            <w:rFonts w:ascii="Book Antiqua" w:hAnsi="Book Antiqua"/>
            <w:i/>
            <w:szCs w:val="16"/>
          </w:rPr>
          <w:t>http://physics.nist.gov/cuu/Constants/index.html</w:t>
        </w:r>
      </w:hyperlink>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[32] See references [19-31] and Figure 1 with details in </w:t>
      </w:r>
      <w:r w:rsidRPr="00B9776F">
        <w:rPr>
          <w:rFonts w:ascii="Book Antiqua" w:hAnsi="Book Antiqua"/>
          <w:color w:val="000000"/>
          <w:sz w:val="16"/>
          <w:szCs w:val="16"/>
        </w:rPr>
        <w:t>T. Norman, B. Setterfield, ‘</w:t>
      </w:r>
      <w:r w:rsidRPr="00B9776F">
        <w:rPr>
          <w:rFonts w:ascii="Book Antiqua" w:hAnsi="Book Antiqua"/>
          <w:i/>
          <w:iCs/>
          <w:color w:val="000000"/>
          <w:sz w:val="16"/>
          <w:szCs w:val="16"/>
        </w:rPr>
        <w:t>The Atomic Constants, Light, and Time</w:t>
      </w:r>
      <w:r w:rsidRPr="00B9776F">
        <w:rPr>
          <w:rFonts w:ascii="Book Antiqua" w:hAnsi="Book Antiqua"/>
          <w:color w:val="000000"/>
          <w:sz w:val="16"/>
          <w:szCs w:val="16"/>
        </w:rPr>
        <w:t>,’ Research Report, Stanford Research Institute (</w:t>
      </w:r>
      <w:smartTag w:uri="urn:schemas-microsoft-com:office:smarttags" w:element="stockticker">
        <w:r w:rsidRPr="00B9776F">
          <w:rPr>
            <w:rFonts w:ascii="Book Antiqua" w:hAnsi="Book Antiqua"/>
            <w:color w:val="000000"/>
            <w:sz w:val="16"/>
            <w:szCs w:val="16"/>
          </w:rPr>
          <w:t>SRI</w:t>
        </w:r>
      </w:smartTag>
      <w:r w:rsidRPr="00B9776F">
        <w:rPr>
          <w:rFonts w:ascii="Book Antiqua" w:hAnsi="Book Antiqua"/>
          <w:color w:val="000000"/>
          <w:sz w:val="16"/>
          <w:szCs w:val="16"/>
        </w:rPr>
        <w:t>) International &amp;  Flinders University, South Australia, August (1987)</w:t>
      </w:r>
      <w:r w:rsidRPr="00B9776F">
        <w:rPr>
          <w:rFonts w:ascii="Book Antiqua" w:hAnsi="Book Antiqua"/>
          <w:sz w:val="16"/>
          <w:szCs w:val="16"/>
        </w:rPr>
        <w:t>.</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[33] R. H. Dicke, </w:t>
      </w:r>
      <w:r w:rsidRPr="00B9776F">
        <w:rPr>
          <w:rFonts w:ascii="Book Antiqua" w:hAnsi="Book Antiqua"/>
          <w:i/>
          <w:sz w:val="16"/>
          <w:szCs w:val="16"/>
        </w:rPr>
        <w:t>American Journal of Physics</w:t>
      </w:r>
      <w:r w:rsidRPr="00B9776F">
        <w:rPr>
          <w:rFonts w:ascii="Book Antiqua" w:hAnsi="Book Antiqua"/>
          <w:sz w:val="16"/>
          <w:szCs w:val="16"/>
        </w:rPr>
        <w:t xml:space="preserve">, </w:t>
      </w:r>
      <w:r w:rsidRPr="00B9776F">
        <w:rPr>
          <w:rFonts w:ascii="Book Antiqua" w:hAnsi="Book Antiqua"/>
          <w:b/>
          <w:sz w:val="16"/>
          <w:szCs w:val="16"/>
        </w:rPr>
        <w:t xml:space="preserve">28 </w:t>
      </w:r>
      <w:r w:rsidRPr="00B9776F">
        <w:rPr>
          <w:rFonts w:ascii="Book Antiqua" w:hAnsi="Book Antiqua"/>
          <w:sz w:val="16"/>
          <w:szCs w:val="16"/>
        </w:rPr>
        <w:t>(4), pp. 344-347  (1960).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[34] C. H. Brans, R. H. Dicke,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 xml:space="preserve">124 </w:t>
      </w:r>
      <w:r w:rsidRPr="00B9776F">
        <w:rPr>
          <w:rFonts w:ascii="Book Antiqua" w:hAnsi="Book Antiqua"/>
          <w:sz w:val="16"/>
          <w:szCs w:val="16"/>
        </w:rPr>
        <w:t>(3), pp. 925-935 (1 November 1961).</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[35] G. Audi, A. H. Wapstra, </w:t>
      </w:r>
      <w:r w:rsidRPr="00B9776F">
        <w:rPr>
          <w:rFonts w:ascii="Book Antiqua" w:hAnsi="Book Antiqua"/>
          <w:i/>
          <w:sz w:val="16"/>
          <w:szCs w:val="16"/>
        </w:rPr>
        <w:t>Nuclear Physics A</w:t>
      </w:r>
      <w:r w:rsidRPr="00B9776F">
        <w:rPr>
          <w:rFonts w:ascii="Book Antiqua" w:hAnsi="Book Antiqua"/>
          <w:sz w:val="16"/>
          <w:szCs w:val="16"/>
        </w:rPr>
        <w:t xml:space="preserve">, </w:t>
      </w:r>
      <w:r w:rsidRPr="00B9776F">
        <w:rPr>
          <w:rFonts w:ascii="Book Antiqua" w:hAnsi="Book Antiqua"/>
          <w:b/>
          <w:sz w:val="16"/>
          <w:szCs w:val="16"/>
        </w:rPr>
        <w:t>595</w:t>
      </w:r>
      <w:r w:rsidRPr="00B9776F">
        <w:rPr>
          <w:rFonts w:ascii="Book Antiqua" w:hAnsi="Book Antiqua"/>
          <w:sz w:val="16"/>
          <w:szCs w:val="16"/>
        </w:rPr>
        <w:t>, pp. 409-480 (1995).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[36] B. Setterfield, “Reviewing a Plasma Universe With Zero Point Energy,” </w:t>
      </w:r>
      <w:r w:rsidRPr="00B9776F">
        <w:rPr>
          <w:rFonts w:ascii="Book Antiqua" w:hAnsi="Book Antiqua"/>
          <w:i/>
          <w:sz w:val="16"/>
          <w:szCs w:val="16"/>
        </w:rPr>
        <w:t>Journal of Vectorial Relativity</w:t>
      </w:r>
      <w:r w:rsidRPr="00B9776F">
        <w:rPr>
          <w:rFonts w:ascii="Book Antiqua" w:hAnsi="Book Antiqua"/>
          <w:sz w:val="16"/>
          <w:szCs w:val="16"/>
        </w:rPr>
        <w:t xml:space="preserve"> </w:t>
      </w:r>
      <w:r w:rsidRPr="00B9776F">
        <w:rPr>
          <w:rFonts w:ascii="Book Antiqua" w:hAnsi="Book Antiqua"/>
          <w:b/>
          <w:sz w:val="16"/>
          <w:szCs w:val="16"/>
        </w:rPr>
        <w:t>3</w:t>
      </w:r>
      <w:r w:rsidRPr="00B9776F">
        <w:rPr>
          <w:rFonts w:ascii="Book Antiqua" w:hAnsi="Book Antiqua"/>
          <w:sz w:val="16"/>
          <w:szCs w:val="16"/>
        </w:rPr>
        <w:t xml:space="preserve"> (3), pp. 1-29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[37] B. J. Setterfield, “A Plasma Universe With Changing Zero Point Energy,” </w:t>
      </w:r>
      <w:r w:rsidRPr="00B9776F">
        <w:rPr>
          <w:rFonts w:ascii="Book Antiqua" w:hAnsi="Book Antiqua"/>
          <w:i/>
          <w:sz w:val="16"/>
          <w:szCs w:val="16"/>
        </w:rPr>
        <w:t>Proceedings of the NPA 18th Conference</w:t>
      </w:r>
      <w:r w:rsidRPr="00B9776F">
        <w:rPr>
          <w:rFonts w:ascii="Book Antiqua" w:hAnsi="Book Antiqua"/>
          <w:sz w:val="16"/>
          <w:szCs w:val="16"/>
        </w:rPr>
        <w:t>, Maryland, Vol.</w:t>
      </w:r>
      <w:r w:rsidRPr="00B9776F">
        <w:rPr>
          <w:rFonts w:ascii="Book Antiqua" w:hAnsi="Book Antiqua"/>
          <w:b/>
          <w:sz w:val="16"/>
          <w:szCs w:val="16"/>
        </w:rPr>
        <w:t xml:space="preserve"> 8</w:t>
      </w:r>
      <w:r w:rsidRPr="00B9776F">
        <w:rPr>
          <w:rFonts w:ascii="Book Antiqua" w:hAnsi="Book Antiqua"/>
          <w:sz w:val="16"/>
          <w:szCs w:val="16"/>
        </w:rPr>
        <w:t xml:space="preserve">, pp. 525-544 (2011).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[38] B. Haisch, A. Ruedda, H. Puthoff, </w:t>
      </w:r>
      <w:r w:rsidRPr="00B9776F">
        <w:rPr>
          <w:rFonts w:ascii="Book Antiqua" w:hAnsi="Book Antiqua"/>
          <w:i/>
          <w:sz w:val="16"/>
          <w:szCs w:val="16"/>
        </w:rPr>
        <w:t>The Sciences</w:t>
      </w:r>
      <w:r w:rsidRPr="00B9776F">
        <w:rPr>
          <w:rFonts w:ascii="Book Antiqua" w:hAnsi="Book Antiqua"/>
          <w:sz w:val="16"/>
          <w:szCs w:val="16"/>
        </w:rPr>
        <w:t>, pp.26-31 (Nov/Dec 1994).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[39] S. L. Martin, A. K. Connor, </w:t>
      </w:r>
      <w:r w:rsidRPr="00B9776F">
        <w:rPr>
          <w:rFonts w:ascii="Book Antiqua" w:hAnsi="Book Antiqua"/>
          <w:i/>
          <w:sz w:val="16"/>
          <w:szCs w:val="16"/>
        </w:rPr>
        <w:t>Basic Physics</w:t>
      </w:r>
      <w:r w:rsidRPr="00B9776F">
        <w:rPr>
          <w:rFonts w:ascii="Book Antiqua" w:hAnsi="Book Antiqua"/>
          <w:sz w:val="16"/>
          <w:szCs w:val="16"/>
        </w:rPr>
        <w:t>, Vol.1, p.207, (Whitcombe &amp; Tombs Pty. Ltd., Melbourne,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[40] A. N. Cox, </w:t>
      </w:r>
      <w:r w:rsidRPr="00B9776F">
        <w:rPr>
          <w:rFonts w:ascii="Book Antiqua" w:hAnsi="Book Antiqua"/>
          <w:i/>
          <w:sz w:val="16"/>
          <w:szCs w:val="16"/>
        </w:rPr>
        <w:t>Allen’s Astrophysical Quantities,</w:t>
      </w:r>
      <w:r w:rsidRPr="00B9776F">
        <w:rPr>
          <w:rFonts w:ascii="Book Antiqua" w:hAnsi="Book Antiqua"/>
          <w:sz w:val="16"/>
          <w:szCs w:val="16"/>
        </w:rPr>
        <w:t xml:space="preserve"> p. 9, (Springer Verlag, 2000.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[41] A. P. French, </w:t>
      </w:r>
      <w:r w:rsidRPr="00B9776F">
        <w:rPr>
          <w:rFonts w:ascii="Book Antiqua" w:hAnsi="Book Antiqua"/>
          <w:i/>
          <w:sz w:val="16"/>
          <w:szCs w:val="16"/>
        </w:rPr>
        <w:t>Principles of Modern Physics</w:t>
      </w:r>
      <w:r w:rsidRPr="00B9776F">
        <w:rPr>
          <w:rFonts w:ascii="Book Antiqua" w:hAnsi="Book Antiqua"/>
          <w:sz w:val="16"/>
          <w:szCs w:val="16"/>
        </w:rPr>
        <w:t>, p.114, (Wiley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[42] R. T. Birge, </w:t>
      </w:r>
      <w:r w:rsidRPr="00B9776F">
        <w:rPr>
          <w:rFonts w:ascii="Book Antiqua" w:hAnsi="Book Antiqua"/>
          <w:i/>
          <w:sz w:val="16"/>
          <w:szCs w:val="16"/>
        </w:rPr>
        <w:t>Nature</w:t>
      </w:r>
      <w:r w:rsidRPr="00B9776F">
        <w:rPr>
          <w:rFonts w:ascii="Book Antiqua" w:hAnsi="Book Antiqua"/>
          <w:sz w:val="16"/>
          <w:szCs w:val="16"/>
        </w:rPr>
        <w:t xml:space="preserve">, </w:t>
      </w:r>
      <w:r w:rsidRPr="00B9776F">
        <w:rPr>
          <w:rFonts w:ascii="Book Antiqua" w:hAnsi="Book Antiqua"/>
          <w:b/>
          <w:sz w:val="16"/>
          <w:szCs w:val="16"/>
        </w:rPr>
        <w:t>134,</w:t>
      </w:r>
      <w:r w:rsidRPr="00B9776F">
        <w:rPr>
          <w:rFonts w:ascii="Book Antiqua" w:hAnsi="Book Antiqua"/>
          <w:sz w:val="16"/>
          <w:szCs w:val="16"/>
        </w:rPr>
        <w:t xml:space="preserve"> pp.771-772 (1934).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[43] M. Harwit, </w:t>
      </w:r>
      <w:r w:rsidRPr="00B9776F">
        <w:rPr>
          <w:rFonts w:ascii="Book Antiqua" w:hAnsi="Book Antiqua"/>
          <w:i/>
          <w:sz w:val="16"/>
          <w:szCs w:val="16"/>
        </w:rPr>
        <w:t>Astrophysical Concepts</w:t>
      </w:r>
      <w:r w:rsidRPr="00B9776F">
        <w:rPr>
          <w:rFonts w:ascii="Book Antiqua" w:hAnsi="Book Antiqua"/>
          <w:sz w:val="16"/>
          <w:szCs w:val="16"/>
        </w:rPr>
        <w:t>, second Edition, p. 178, (Springer-Verlag, New York, 1988).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[44] J. Kovalevsky, </w:t>
      </w:r>
      <w:r w:rsidRPr="00B9776F">
        <w:rPr>
          <w:rFonts w:ascii="Book Antiqua" w:hAnsi="Book Antiqua"/>
          <w:i/>
          <w:sz w:val="16"/>
          <w:szCs w:val="16"/>
        </w:rPr>
        <w:t>Metrologia</w:t>
      </w:r>
      <w:r w:rsidRPr="00B9776F">
        <w:rPr>
          <w:rFonts w:ascii="Book Antiqua" w:hAnsi="Book Antiqua"/>
          <w:sz w:val="16"/>
          <w:szCs w:val="16"/>
        </w:rPr>
        <w:t>,</w:t>
      </w:r>
      <w:r w:rsidRPr="00B9776F">
        <w:rPr>
          <w:rFonts w:ascii="Book Antiqua" w:hAnsi="Book Antiqua"/>
          <w:b/>
          <w:sz w:val="16"/>
          <w:szCs w:val="16"/>
        </w:rPr>
        <w:t xml:space="preserve"> 1</w:t>
      </w:r>
      <w:r w:rsidRPr="00B9776F">
        <w:rPr>
          <w:rFonts w:ascii="Book Antiqua" w:hAnsi="Book Antiqua"/>
          <w:sz w:val="16"/>
          <w:szCs w:val="16"/>
        </w:rPr>
        <w:t>(4), pp. 169-180 (1965).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[45] T. C. Van Flandern, </w:t>
      </w:r>
      <w:r w:rsidRPr="00B9776F">
        <w:rPr>
          <w:rStyle w:val="Emphasis"/>
          <w:rFonts w:ascii="Book Antiqua" w:hAnsi="Book Antiqua"/>
          <w:sz w:val="16"/>
          <w:szCs w:val="16"/>
        </w:rPr>
        <w:t>Precision Measurements and Fundamental Constants II</w:t>
      </w:r>
      <w:r w:rsidRPr="00B9776F">
        <w:rPr>
          <w:rFonts w:ascii="Book Antiqua" w:hAnsi="Book Antiqua"/>
          <w:sz w:val="16"/>
          <w:szCs w:val="16"/>
        </w:rPr>
        <w:t xml:space="preserve">, B.N. Taylor and W. D. Phillips, (Eds.), </w:t>
      </w:r>
      <w:r w:rsidRPr="00B9776F">
        <w:rPr>
          <w:rStyle w:val="Emphasis"/>
          <w:rFonts w:ascii="Book Antiqua" w:hAnsi="Book Antiqua"/>
          <w:sz w:val="16"/>
          <w:szCs w:val="16"/>
        </w:rPr>
        <w:t>National Bureau of Standards (U.S.) Special Publication</w:t>
      </w:r>
      <w:r w:rsidRPr="00B9776F">
        <w:rPr>
          <w:rStyle w:val="Strong"/>
          <w:rFonts w:ascii="Book Antiqua" w:hAnsi="Book Antiqua"/>
          <w:sz w:val="16"/>
          <w:szCs w:val="16"/>
        </w:rPr>
        <w:t xml:space="preserve"> 617</w:t>
      </w:r>
      <w:r w:rsidRPr="00B9776F">
        <w:rPr>
          <w:rFonts w:ascii="Book Antiqua" w:hAnsi="Book Antiqua"/>
          <w:sz w:val="16"/>
          <w:szCs w:val="16"/>
        </w:rPr>
        <w:t>, pp. 625-627 (1984).</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[46]</w:t>
      </w:r>
      <w:bookmarkStart w:id="207" w:name="3b76"/>
      <w:bookmarkEnd w:id="207"/>
      <w:r w:rsidRPr="00B9776F">
        <w:rPr>
          <w:rFonts w:ascii="Book Antiqua" w:hAnsi="Book Antiqua"/>
          <w:sz w:val="16"/>
          <w:szCs w:val="16"/>
        </w:rPr>
        <w:t xml:space="preserve"> C. J. Masreliez, </w:t>
      </w:r>
      <w:r w:rsidRPr="00B9776F">
        <w:rPr>
          <w:rStyle w:val="Emphasis"/>
          <w:rFonts w:ascii="Book Antiqua" w:hAnsi="Book Antiqua"/>
          <w:sz w:val="16"/>
          <w:szCs w:val="16"/>
        </w:rPr>
        <w:t>Aperion</w:t>
      </w:r>
      <w:r w:rsidRPr="00B9776F">
        <w:rPr>
          <w:rFonts w:ascii="Book Antiqua" w:hAnsi="Book Antiqua"/>
          <w:sz w:val="16"/>
          <w:szCs w:val="16"/>
        </w:rPr>
        <w:t xml:space="preserve">, </w:t>
      </w:r>
      <w:r w:rsidRPr="00B9776F">
        <w:rPr>
          <w:rStyle w:val="Strong"/>
          <w:rFonts w:ascii="Book Antiqua" w:hAnsi="Book Antiqua"/>
          <w:sz w:val="16"/>
          <w:szCs w:val="16"/>
        </w:rPr>
        <w:t>11</w:t>
      </w:r>
      <w:r w:rsidRPr="00B9776F">
        <w:rPr>
          <w:rFonts w:ascii="Book Antiqua" w:hAnsi="Book Antiqua"/>
          <w:sz w:val="16"/>
          <w:szCs w:val="16"/>
        </w:rPr>
        <w:t xml:space="preserve">:4, (October 2004). See also Masreliez &amp; Kolesnik, </w:t>
      </w:r>
      <w:r w:rsidRPr="00B9776F">
        <w:rPr>
          <w:rStyle w:val="Emphasis"/>
          <w:rFonts w:ascii="Book Antiqua" w:hAnsi="Book Antiqua"/>
          <w:sz w:val="16"/>
          <w:szCs w:val="16"/>
        </w:rPr>
        <w:t>Astronomical Journal</w:t>
      </w:r>
      <w:r w:rsidRPr="00B9776F">
        <w:rPr>
          <w:rFonts w:ascii="Book Antiqua" w:hAnsi="Book Antiqua"/>
          <w:sz w:val="16"/>
          <w:szCs w:val="16"/>
        </w:rPr>
        <w:t xml:space="preserve"> (August 2004) and Y.B. Kolesnik “Analysis of the secular variations of the longitudes of the Sun, Mercury, and Venus from Optical observations” (2005) online at: </w:t>
      </w:r>
      <w:hyperlink r:id="rId172" w:history="1">
        <w:r w:rsidRPr="00B9776F">
          <w:rPr>
            <w:rStyle w:val="Hyperlink"/>
            <w:rFonts w:ascii="Book Antiqua" w:hAnsi="Book Antiqua"/>
            <w:i/>
            <w:szCs w:val="16"/>
          </w:rPr>
          <w:t>http://www.estfound.org/analysis.htm</w:t>
        </w:r>
      </w:hyperlink>
      <w:r w:rsidRPr="00B9776F">
        <w:rPr>
          <w:rFonts w:ascii="Book Antiqua" w:hAnsi="Book Antiqua"/>
          <w:i/>
          <w:sz w:val="16"/>
          <w:szCs w:val="16"/>
        </w:rPr>
        <w:t>.</w:t>
      </w:r>
      <w:r w:rsidRPr="00B9776F">
        <w:rPr>
          <w:rFonts w:ascii="Book Antiqua" w:hAnsi="Book Antiqua"/>
          <w:sz w:val="16"/>
          <w:szCs w:val="16"/>
        </w:rPr>
        <w:br/>
        <w:t>[47]</w:t>
      </w:r>
      <w:bookmarkStart w:id="208" w:name="3b77"/>
      <w:bookmarkEnd w:id="208"/>
      <w:r w:rsidRPr="00B9776F">
        <w:rPr>
          <w:rFonts w:ascii="Book Antiqua" w:hAnsi="Book Antiqua"/>
          <w:sz w:val="16"/>
          <w:szCs w:val="16"/>
        </w:rPr>
        <w:t xml:space="preserve"> Z-G. Yao, C. Smith in </w:t>
      </w:r>
      <w:r w:rsidRPr="00B9776F">
        <w:rPr>
          <w:rStyle w:val="Emphasis"/>
          <w:rFonts w:ascii="Book Antiqua" w:hAnsi="Book Antiqua"/>
          <w:sz w:val="16"/>
          <w:szCs w:val="16"/>
        </w:rPr>
        <w:t>Mapping the Sky</w:t>
      </w:r>
      <w:r w:rsidRPr="00B9776F">
        <w:rPr>
          <w:rFonts w:ascii="Book Antiqua" w:hAnsi="Book Antiqua"/>
          <w:sz w:val="16"/>
          <w:szCs w:val="16"/>
        </w:rPr>
        <w:t>, S. Debarbat, J. A. Eddy, H. K. Eichhorn, A. R. Upgren (eds.), p. 501 (Kluwer, Dordrecht, 1988).</w:t>
      </w:r>
      <w:r w:rsidRPr="00B9776F">
        <w:rPr>
          <w:rFonts w:ascii="Book Antiqua" w:hAnsi="Book Antiqua"/>
          <w:sz w:val="16"/>
          <w:szCs w:val="16"/>
        </w:rPr>
        <w:br/>
        <w:t>[48]</w:t>
      </w:r>
      <w:bookmarkStart w:id="209" w:name="3b78"/>
      <w:bookmarkEnd w:id="209"/>
      <w:r w:rsidRPr="00B9776F">
        <w:rPr>
          <w:rFonts w:ascii="Book Antiqua" w:hAnsi="Book Antiqua"/>
          <w:sz w:val="16"/>
          <w:szCs w:val="16"/>
        </w:rPr>
        <w:t xml:space="preserve"> Z-G. Yao, C. Smith, </w:t>
      </w:r>
      <w:r w:rsidRPr="00B9776F">
        <w:rPr>
          <w:rStyle w:val="Emphasis"/>
          <w:rFonts w:ascii="Book Antiqua" w:hAnsi="Book Antiqua"/>
          <w:sz w:val="16"/>
          <w:szCs w:val="16"/>
        </w:rPr>
        <w:t>Astrophysics and Space Science</w:t>
      </w:r>
      <w:r w:rsidRPr="00B9776F">
        <w:rPr>
          <w:rFonts w:ascii="Book Antiqua" w:hAnsi="Book Antiqua"/>
          <w:sz w:val="16"/>
          <w:szCs w:val="16"/>
        </w:rPr>
        <w:t xml:space="preserve">, </w:t>
      </w:r>
      <w:r w:rsidRPr="00B9776F">
        <w:rPr>
          <w:rStyle w:val="Strong"/>
          <w:rFonts w:ascii="Book Antiqua" w:hAnsi="Book Antiqua"/>
          <w:sz w:val="16"/>
          <w:szCs w:val="16"/>
        </w:rPr>
        <w:t>177</w:t>
      </w:r>
      <w:r w:rsidRPr="00B9776F">
        <w:rPr>
          <w:rFonts w:ascii="Book Antiqua" w:hAnsi="Book Antiqua"/>
          <w:sz w:val="16"/>
          <w:szCs w:val="16"/>
        </w:rPr>
        <w:t>, p. 181 (1991).</w:t>
      </w:r>
      <w:r w:rsidRPr="00B9776F">
        <w:rPr>
          <w:rFonts w:ascii="Book Antiqua" w:hAnsi="Book Antiqua"/>
          <w:sz w:val="16"/>
          <w:szCs w:val="16"/>
        </w:rPr>
        <w:br/>
      </w:r>
      <w:r w:rsidRPr="00B9776F">
        <w:rPr>
          <w:rFonts w:ascii="Book Antiqua" w:hAnsi="Book Antiqua"/>
          <w:sz w:val="16"/>
          <w:szCs w:val="16"/>
        </w:rPr>
        <w:lastRenderedPageBreak/>
        <w:t>[49]</w:t>
      </w:r>
      <w:bookmarkStart w:id="210" w:name="3b79"/>
      <w:bookmarkEnd w:id="210"/>
      <w:r w:rsidRPr="00B9776F">
        <w:rPr>
          <w:rFonts w:ascii="Book Antiqua" w:hAnsi="Book Antiqua"/>
          <w:sz w:val="16"/>
          <w:szCs w:val="16"/>
        </w:rPr>
        <w:t xml:space="preserve"> Z-G. Yao, C. Smith in </w:t>
      </w:r>
      <w:r w:rsidRPr="00B9776F">
        <w:rPr>
          <w:rStyle w:val="Emphasis"/>
          <w:rFonts w:ascii="Book Antiqua" w:hAnsi="Book Antiqua"/>
          <w:sz w:val="16"/>
          <w:szCs w:val="16"/>
        </w:rPr>
        <w:t>Developments in Astrometry and Their Impact on Astrophysics and Geodynamics</w:t>
      </w:r>
      <w:r w:rsidRPr="00B9776F">
        <w:rPr>
          <w:rFonts w:ascii="Book Antiqua" w:hAnsi="Book Antiqua"/>
          <w:sz w:val="16"/>
          <w:szCs w:val="16"/>
        </w:rPr>
        <w:t xml:space="preserve">, p. 403, I. I. Muller and B. Kolaczek (eds.), Kluwer, Dordrecht, (1993). </w:t>
      </w:r>
      <w:r w:rsidRPr="00B9776F">
        <w:rPr>
          <w:rFonts w:ascii="Book Antiqua" w:hAnsi="Book Antiqua"/>
          <w:sz w:val="16"/>
          <w:szCs w:val="16"/>
        </w:rPr>
        <w:br/>
        <w:t>[50]</w:t>
      </w:r>
      <w:bookmarkStart w:id="211" w:name="3b80"/>
      <w:bookmarkEnd w:id="211"/>
      <w:r w:rsidRPr="00B9776F">
        <w:rPr>
          <w:rFonts w:ascii="Book Antiqua" w:hAnsi="Book Antiqua"/>
          <w:sz w:val="16"/>
          <w:szCs w:val="16"/>
        </w:rPr>
        <w:t xml:space="preserve"> G. A. Krasinsky et al., </w:t>
      </w:r>
      <w:r w:rsidRPr="00B9776F">
        <w:rPr>
          <w:rStyle w:val="Emphasis"/>
          <w:rFonts w:ascii="Book Antiqua" w:hAnsi="Book Antiqua"/>
          <w:sz w:val="16"/>
          <w:szCs w:val="16"/>
        </w:rPr>
        <w:t xml:space="preserve">Cel. Mec. Dyn Astron, </w:t>
      </w:r>
      <w:r w:rsidRPr="00B9776F">
        <w:rPr>
          <w:rStyle w:val="Strong"/>
          <w:rFonts w:ascii="Book Antiqua" w:hAnsi="Book Antiqua"/>
          <w:sz w:val="16"/>
          <w:szCs w:val="16"/>
        </w:rPr>
        <w:t>55</w:t>
      </w:r>
      <w:r w:rsidRPr="00B9776F">
        <w:rPr>
          <w:rFonts w:ascii="Book Antiqua" w:hAnsi="Book Antiqua"/>
          <w:sz w:val="16"/>
          <w:szCs w:val="16"/>
        </w:rPr>
        <w:t xml:space="preserve">), p. 1 (1993). </w:t>
      </w:r>
      <w:r w:rsidRPr="00B9776F">
        <w:rPr>
          <w:rFonts w:ascii="Book Antiqua" w:hAnsi="Book Antiqua"/>
          <w:sz w:val="16"/>
          <w:szCs w:val="16"/>
        </w:rPr>
        <w:br/>
        <w:t>[51]</w:t>
      </w:r>
      <w:bookmarkStart w:id="212" w:name="3b81"/>
      <w:bookmarkEnd w:id="212"/>
      <w:r w:rsidRPr="00B9776F">
        <w:rPr>
          <w:rFonts w:ascii="Book Antiqua" w:hAnsi="Book Antiqua"/>
          <w:sz w:val="16"/>
          <w:szCs w:val="16"/>
        </w:rPr>
        <w:t xml:space="preserve"> E. M. Standish, J. G. Williams in </w:t>
      </w:r>
      <w:r w:rsidRPr="00B9776F">
        <w:rPr>
          <w:rStyle w:val="Emphasis"/>
          <w:rFonts w:ascii="Book Antiqua" w:hAnsi="Book Antiqua"/>
          <w:b/>
          <w:sz w:val="16"/>
          <w:szCs w:val="16"/>
        </w:rPr>
        <w:t>Inertial Coordinate System on the Sky</w:t>
      </w:r>
      <w:r w:rsidRPr="00B9776F">
        <w:rPr>
          <w:rFonts w:ascii="Book Antiqua" w:hAnsi="Book Antiqua"/>
          <w:sz w:val="16"/>
          <w:szCs w:val="16"/>
        </w:rPr>
        <w:t>, J. H. Lieske, V. K. Abalakin (eds.), p. 173 (Kluwer, Dordrecht, 1990).</w:t>
      </w:r>
      <w:r w:rsidRPr="00B9776F">
        <w:rPr>
          <w:rFonts w:ascii="Book Antiqua" w:hAnsi="Book Antiqua"/>
          <w:sz w:val="16"/>
          <w:szCs w:val="16"/>
        </w:rPr>
        <w:br/>
        <w:t>[52]</w:t>
      </w:r>
      <w:bookmarkStart w:id="213" w:name="3b82"/>
      <w:bookmarkEnd w:id="213"/>
      <w:r w:rsidRPr="00B9776F">
        <w:rPr>
          <w:rFonts w:ascii="Book Antiqua" w:hAnsi="Book Antiqua"/>
          <w:sz w:val="16"/>
          <w:szCs w:val="16"/>
        </w:rPr>
        <w:t xml:space="preserve"> P. K. Seidelman et al. in </w:t>
      </w:r>
      <w:r w:rsidRPr="00B9776F">
        <w:rPr>
          <w:rStyle w:val="Emphasis"/>
          <w:rFonts w:ascii="Book Antiqua" w:hAnsi="Book Antiqua"/>
          <w:sz w:val="16"/>
          <w:szCs w:val="16"/>
        </w:rPr>
        <w:t>Dynamical Astronomy</w:t>
      </w:r>
      <w:r w:rsidRPr="00B9776F">
        <w:rPr>
          <w:rFonts w:ascii="Book Antiqua" w:hAnsi="Book Antiqua"/>
          <w:sz w:val="16"/>
          <w:szCs w:val="16"/>
        </w:rPr>
        <w:t>, V. Szebenhey and B. Balazs (eds.), pp. 55 ff (Austin, Texas, 1985).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[53]</w:t>
      </w:r>
      <w:bookmarkStart w:id="214" w:name="3b83"/>
      <w:bookmarkEnd w:id="214"/>
      <w:r w:rsidRPr="00B9776F">
        <w:rPr>
          <w:rFonts w:ascii="Book Antiqua" w:hAnsi="Book Antiqua"/>
          <w:sz w:val="16"/>
          <w:szCs w:val="16"/>
        </w:rPr>
        <w:t xml:space="preserve"> P. K. Seidelman et al. in </w:t>
      </w:r>
      <w:r w:rsidRPr="00B9776F">
        <w:rPr>
          <w:rStyle w:val="Emphasis"/>
          <w:rFonts w:ascii="Book Antiqua" w:hAnsi="Book Antiqua"/>
          <w:sz w:val="16"/>
          <w:szCs w:val="16"/>
        </w:rPr>
        <w:t>Relativity in Celestial Mechanics and Astrometry</w:t>
      </w:r>
      <w:r w:rsidRPr="00B9776F">
        <w:rPr>
          <w:rFonts w:ascii="Book Antiqua" w:hAnsi="Book Antiqua"/>
          <w:sz w:val="16"/>
          <w:szCs w:val="16"/>
        </w:rPr>
        <w:t>,  J. Kovalevsky and V.A. Brumberg (eds.), pp. 99 ff. (Kluwer, Dordrecht, 1986).</w:t>
      </w:r>
      <w:r w:rsidRPr="00B9776F">
        <w:rPr>
          <w:rFonts w:ascii="Book Antiqua" w:hAnsi="Book Antiqua"/>
          <w:sz w:val="16"/>
          <w:szCs w:val="16"/>
        </w:rPr>
        <w:br/>
        <w:t>[54]</w:t>
      </w:r>
      <w:bookmarkStart w:id="215" w:name="3b84"/>
      <w:bookmarkEnd w:id="215"/>
      <w:r w:rsidRPr="00B9776F">
        <w:rPr>
          <w:rFonts w:ascii="Book Antiqua" w:hAnsi="Book Antiqua"/>
          <w:sz w:val="16"/>
          <w:szCs w:val="16"/>
        </w:rPr>
        <w:t xml:space="preserve"> P. K. Seidelman in </w:t>
      </w:r>
      <w:r w:rsidRPr="00B9776F">
        <w:rPr>
          <w:rStyle w:val="Emphasis"/>
          <w:rFonts w:ascii="Book Antiqua" w:hAnsi="Book Antiqua"/>
          <w:sz w:val="16"/>
          <w:szCs w:val="16"/>
        </w:rPr>
        <w:t>Chaos, Resonance and Collective Dynamical Phenomena in the Solar System</w:t>
      </w:r>
      <w:r w:rsidRPr="00B9776F">
        <w:rPr>
          <w:rFonts w:ascii="Book Antiqua" w:hAnsi="Book Antiqua"/>
          <w:sz w:val="16"/>
          <w:szCs w:val="16"/>
        </w:rPr>
        <w:t>,  S. Ferraz-Mello et al. (eds.), pp. 49 ff.  (Kluwer, Dordrecht, 1992).</w:t>
      </w:r>
      <w:r w:rsidRPr="00B9776F">
        <w:rPr>
          <w:rFonts w:ascii="Book Antiqua" w:hAnsi="Book Antiqua"/>
          <w:sz w:val="16"/>
          <w:szCs w:val="16"/>
        </w:rPr>
        <w:br/>
        <w:t>[55]</w:t>
      </w:r>
      <w:bookmarkStart w:id="216" w:name="3b85"/>
      <w:bookmarkEnd w:id="216"/>
      <w:r w:rsidRPr="00B9776F">
        <w:rPr>
          <w:rFonts w:ascii="Book Antiqua" w:hAnsi="Book Antiqua"/>
          <w:sz w:val="16"/>
          <w:szCs w:val="16"/>
        </w:rPr>
        <w:t xml:space="preserve"> Y. B. Kolesnik, </w:t>
      </w:r>
      <w:r w:rsidRPr="00B9776F">
        <w:rPr>
          <w:rStyle w:val="Emphasis"/>
          <w:rFonts w:ascii="Book Antiqua" w:hAnsi="Book Antiqua"/>
          <w:sz w:val="16"/>
          <w:szCs w:val="16"/>
        </w:rPr>
        <w:t>Astronomy and Astrophysics</w:t>
      </w:r>
      <w:r w:rsidRPr="00B9776F">
        <w:rPr>
          <w:rFonts w:ascii="Book Antiqua" w:hAnsi="Book Antiqua"/>
          <w:sz w:val="16"/>
          <w:szCs w:val="16"/>
        </w:rPr>
        <w:t xml:space="preserve">, </w:t>
      </w:r>
      <w:r w:rsidRPr="00B9776F">
        <w:rPr>
          <w:rStyle w:val="Strong"/>
          <w:rFonts w:ascii="Book Antiqua" w:hAnsi="Book Antiqua"/>
          <w:sz w:val="16"/>
          <w:szCs w:val="16"/>
        </w:rPr>
        <w:t>294</w:t>
      </w:r>
      <w:r w:rsidRPr="00B9776F">
        <w:rPr>
          <w:rFonts w:ascii="Book Antiqua" w:hAnsi="Book Antiqua"/>
          <w:sz w:val="16"/>
          <w:szCs w:val="16"/>
        </w:rPr>
        <w:t xml:space="preserve"> p. 876 (1995).</w:t>
      </w:r>
      <w:r w:rsidRPr="00B9776F">
        <w:rPr>
          <w:rFonts w:ascii="Book Antiqua" w:hAnsi="Book Antiqua"/>
          <w:sz w:val="16"/>
          <w:szCs w:val="16"/>
        </w:rPr>
        <w:br/>
        <w:t>[56]</w:t>
      </w:r>
      <w:bookmarkStart w:id="217" w:name="3b86"/>
      <w:bookmarkEnd w:id="217"/>
      <w:r w:rsidRPr="00B9776F">
        <w:rPr>
          <w:rFonts w:ascii="Book Antiqua" w:hAnsi="Book Antiqua"/>
          <w:sz w:val="16"/>
          <w:szCs w:val="16"/>
        </w:rPr>
        <w:t xml:space="preserve"> Y. B. Kolesnik, in </w:t>
      </w:r>
      <w:r w:rsidRPr="00B9776F">
        <w:rPr>
          <w:rStyle w:val="Emphasis"/>
          <w:rFonts w:ascii="Book Antiqua" w:hAnsi="Book Antiqua"/>
          <w:sz w:val="16"/>
          <w:szCs w:val="16"/>
        </w:rPr>
        <w:t>Dynamics, Ephemerides and Astrometry of the Solar System</w:t>
      </w:r>
      <w:r w:rsidRPr="00B9776F">
        <w:rPr>
          <w:rFonts w:ascii="Book Antiqua" w:hAnsi="Book Antiqua"/>
          <w:sz w:val="16"/>
          <w:szCs w:val="16"/>
        </w:rPr>
        <w:t>,  S. Ferraz-Mello et al. (eds.), pp. 477 ff. (Reidel, Dordrecht, 1996).</w:t>
      </w:r>
      <w:r w:rsidRPr="00B9776F">
        <w:rPr>
          <w:rFonts w:ascii="Book Antiqua" w:hAnsi="Book Antiqua"/>
          <w:sz w:val="16"/>
          <w:szCs w:val="16"/>
        </w:rPr>
        <w:br/>
        <w:t>[57]</w:t>
      </w:r>
      <w:bookmarkStart w:id="218" w:name="3b87"/>
      <w:bookmarkEnd w:id="218"/>
      <w:r w:rsidRPr="00B9776F">
        <w:rPr>
          <w:rFonts w:ascii="Book Antiqua" w:hAnsi="Book Antiqua"/>
          <w:sz w:val="16"/>
          <w:szCs w:val="16"/>
        </w:rPr>
        <w:t xml:space="preserve"> P. S. R. Poppe et al., </w:t>
      </w:r>
      <w:r w:rsidRPr="00B9776F">
        <w:rPr>
          <w:rStyle w:val="Emphasis"/>
          <w:rFonts w:ascii="Book Antiqua" w:hAnsi="Book Antiqua"/>
          <w:sz w:val="16"/>
          <w:szCs w:val="16"/>
        </w:rPr>
        <w:t>Astronomical Journal</w:t>
      </w:r>
      <w:r w:rsidRPr="00B9776F">
        <w:rPr>
          <w:rFonts w:ascii="Book Antiqua" w:hAnsi="Book Antiqua"/>
          <w:sz w:val="16"/>
          <w:szCs w:val="16"/>
        </w:rPr>
        <w:t xml:space="preserve">, </w:t>
      </w:r>
      <w:r w:rsidRPr="00B9776F">
        <w:rPr>
          <w:rStyle w:val="Strong"/>
          <w:rFonts w:ascii="Book Antiqua" w:hAnsi="Book Antiqua"/>
          <w:sz w:val="16"/>
          <w:szCs w:val="16"/>
        </w:rPr>
        <w:t>116</w:t>
      </w:r>
      <w:r w:rsidRPr="00B9776F">
        <w:rPr>
          <w:rFonts w:ascii="Book Antiqua" w:hAnsi="Book Antiqua"/>
          <w:sz w:val="16"/>
          <w:szCs w:val="16"/>
        </w:rPr>
        <w:t>,  pp. 2 ff. (1999).</w:t>
      </w:r>
    </w:p>
    <w:p w:rsidR="00820B57" w:rsidRPr="00B9776F" w:rsidRDefault="00820B57" w:rsidP="00820B57">
      <w:pPr>
        <w:pStyle w:val="NoSpacing"/>
        <w:jc w:val="both"/>
        <w:rPr>
          <w:rFonts w:ascii="Book Antiqua" w:hAnsi="Book Antiqua"/>
          <w:sz w:val="16"/>
          <w:szCs w:val="16"/>
        </w:rPr>
      </w:pPr>
      <w:r w:rsidRPr="00B9776F">
        <w:rPr>
          <w:rFonts w:ascii="Book Antiqua" w:hAnsi="Book Antiqua"/>
          <w:sz w:val="16"/>
          <w:szCs w:val="16"/>
        </w:rPr>
        <w:t xml:space="preserve">[58] A. P. French, </w:t>
      </w:r>
      <w:r w:rsidRPr="00B9776F">
        <w:rPr>
          <w:rFonts w:ascii="Book Antiqua" w:hAnsi="Book Antiqua"/>
          <w:i/>
          <w:sz w:val="16"/>
          <w:szCs w:val="16"/>
        </w:rPr>
        <w:t>Principles of Modern Physics</w:t>
      </w:r>
      <w:r w:rsidRPr="00B9776F">
        <w:rPr>
          <w:rFonts w:ascii="Book Antiqua" w:hAnsi="Book Antiqua"/>
          <w:sz w:val="16"/>
          <w:szCs w:val="16"/>
        </w:rPr>
        <w:t>, p.235, (Wiley,1959).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[59] H. A. Thomas, R. L. Driscoll, and J. A. Hipple, ‘Measurement of the Proton Moment in Absolute units’, </w:t>
      </w:r>
      <w:r w:rsidRPr="00B9776F">
        <w:rPr>
          <w:rFonts w:ascii="Book Antiqua" w:hAnsi="Book Antiqua"/>
          <w:i/>
          <w:sz w:val="16"/>
          <w:szCs w:val="16"/>
        </w:rPr>
        <w:t>Physical Review,</w:t>
      </w:r>
      <w:r w:rsidRPr="00B9776F">
        <w:rPr>
          <w:rFonts w:ascii="Book Antiqua" w:hAnsi="Book Antiqua"/>
          <w:sz w:val="16"/>
          <w:szCs w:val="16"/>
        </w:rPr>
        <w:t xml:space="preserve"> </w:t>
      </w:r>
      <w:r w:rsidRPr="00B9776F">
        <w:rPr>
          <w:rFonts w:ascii="Book Antiqua" w:hAnsi="Book Antiqua"/>
          <w:b/>
          <w:sz w:val="16"/>
          <w:szCs w:val="16"/>
        </w:rPr>
        <w:t>78</w:t>
      </w:r>
      <w:r w:rsidRPr="00B9776F">
        <w:rPr>
          <w:rFonts w:ascii="Book Antiqua" w:hAnsi="Book Antiqua"/>
          <w:sz w:val="16"/>
          <w:szCs w:val="16"/>
        </w:rPr>
        <w:t>, 787-790, June 15, 1950.</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[60] R. L. Driscoll, and P. L. Bender, ‘Proton Gyromagnetic Ratio’,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1</w:t>
      </w:r>
      <w:r w:rsidRPr="00B9776F">
        <w:rPr>
          <w:rFonts w:ascii="Book Antiqua" w:hAnsi="Book Antiqua"/>
          <w:sz w:val="16"/>
          <w:szCs w:val="16"/>
        </w:rPr>
        <w:t>, 413-414, Dec.1, 1958.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[61] B. M. Yanovskii, N. V. Studentsov and T. N. Tikhomirova, Ismeritel'naya Tekhnika 2, 39, 1959, (Translation: Measurement Of The Gyromagnetic Ratio Of A Proton In A Weak Magnetic Field, </w:t>
      </w:r>
      <w:r w:rsidRPr="00B9776F">
        <w:rPr>
          <w:rFonts w:ascii="Book Antiqua" w:hAnsi="Book Antiqua"/>
          <w:i/>
          <w:sz w:val="16"/>
          <w:szCs w:val="16"/>
        </w:rPr>
        <w:t>Measures of Technology</w:t>
      </w:r>
      <w:r w:rsidRPr="00B9776F">
        <w:rPr>
          <w:rFonts w:ascii="Book Antiqua" w:hAnsi="Book Antiqua"/>
          <w:sz w:val="16"/>
          <w:szCs w:val="16"/>
        </w:rPr>
        <w:t>, pp.126-128, (1959).</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[62] H. Capptuller, ‘Bestimmung des gyromagnetischen Verhaltnisses des Protons,’ </w:t>
      </w:r>
      <w:r w:rsidRPr="00B9776F">
        <w:rPr>
          <w:rFonts w:ascii="Book Antiqua" w:hAnsi="Book Antiqua"/>
          <w:i/>
          <w:sz w:val="16"/>
          <w:szCs w:val="16"/>
        </w:rPr>
        <w:t>Zeitschrift fur Instrumentenkunde</w:t>
      </w:r>
      <w:r w:rsidRPr="00B9776F">
        <w:rPr>
          <w:rFonts w:ascii="Book Antiqua" w:hAnsi="Book Antiqua"/>
          <w:sz w:val="16"/>
          <w:szCs w:val="16"/>
        </w:rPr>
        <w:t>,</w:t>
      </w:r>
      <w:r w:rsidRPr="00B9776F">
        <w:rPr>
          <w:rFonts w:ascii="Book Antiqua" w:hAnsi="Book Antiqua"/>
          <w:b/>
          <w:sz w:val="16"/>
          <w:szCs w:val="16"/>
        </w:rPr>
        <w:t xml:space="preserve"> 69</w:t>
      </w:r>
      <w:r w:rsidRPr="00B9776F">
        <w:rPr>
          <w:rFonts w:ascii="Book Antiqua" w:hAnsi="Book Antiqua"/>
          <w:sz w:val="16"/>
          <w:szCs w:val="16"/>
        </w:rPr>
        <w:t xml:space="preserve">, 191-198, (July 1961).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[63] P. Vigoreaux, ‘A determination of the gyromagnetic ratio of the proton,’ </w:t>
      </w:r>
      <w:r w:rsidRPr="00B9776F">
        <w:rPr>
          <w:rFonts w:ascii="Book Antiqua" w:hAnsi="Book Antiqua"/>
          <w:i/>
          <w:sz w:val="16"/>
          <w:szCs w:val="16"/>
        </w:rPr>
        <w:t>Proceedings of the Royal Society (London),</w:t>
      </w:r>
      <w:r w:rsidRPr="00B9776F">
        <w:rPr>
          <w:rFonts w:ascii="Book Antiqua" w:hAnsi="Book Antiqua"/>
          <w:sz w:val="16"/>
          <w:szCs w:val="16"/>
        </w:rPr>
        <w:t xml:space="preserve"> </w:t>
      </w:r>
      <w:r w:rsidRPr="00B9776F">
        <w:rPr>
          <w:rFonts w:ascii="Book Antiqua" w:hAnsi="Book Antiqua"/>
          <w:b/>
          <w:sz w:val="16"/>
          <w:szCs w:val="16"/>
        </w:rPr>
        <w:t>A270</w:t>
      </w:r>
      <w:r w:rsidRPr="00B9776F">
        <w:rPr>
          <w:rFonts w:ascii="Book Antiqua" w:hAnsi="Book Antiqua"/>
          <w:sz w:val="16"/>
          <w:szCs w:val="16"/>
        </w:rPr>
        <w:t xml:space="preserve">, pp. 72-89, (1962).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[64]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w:t>
      </w:r>
      <w:r w:rsidRPr="00B9776F">
        <w:rPr>
          <w:rFonts w:ascii="Book Antiqua" w:hAnsi="Book Antiqua"/>
          <w:b/>
          <w:sz w:val="16"/>
          <w:szCs w:val="16"/>
        </w:rPr>
        <w:t xml:space="preserve"> 5</w:t>
      </w:r>
      <w:r w:rsidRPr="00B9776F">
        <w:rPr>
          <w:rFonts w:ascii="Book Antiqua" w:hAnsi="Book Antiqua"/>
          <w:sz w:val="16"/>
          <w:szCs w:val="16"/>
        </w:rPr>
        <w:t xml:space="preserve">, 24-29, 1962. (Translation: ‘Determination Of The Gyromagnetic Ratio Of Protons,’ </w:t>
      </w:r>
      <w:r w:rsidRPr="00B9776F">
        <w:rPr>
          <w:rFonts w:ascii="Book Antiqua" w:hAnsi="Book Antiqua"/>
          <w:i/>
          <w:sz w:val="16"/>
          <w:szCs w:val="16"/>
        </w:rPr>
        <w:t>Measures of Technology</w:t>
      </w:r>
      <w:r w:rsidRPr="00B9776F">
        <w:rPr>
          <w:rFonts w:ascii="Book Antiqua" w:hAnsi="Book Antiqua"/>
          <w:sz w:val="16"/>
          <w:szCs w:val="16"/>
        </w:rPr>
        <w:t xml:space="preserve">, 1962, 387-0393). </w:t>
      </w:r>
    </w:p>
    <w:p w:rsidR="00820B57" w:rsidRPr="00B9776F" w:rsidRDefault="00820B57" w:rsidP="00820B57">
      <w:pPr>
        <w:pStyle w:val="NoSpacing"/>
        <w:rPr>
          <w:rFonts w:ascii="Book Antiqua" w:hAnsi="Book Antiqua"/>
          <w:i/>
          <w:sz w:val="16"/>
          <w:szCs w:val="16"/>
        </w:rPr>
      </w:pPr>
      <w:r w:rsidRPr="00B9776F">
        <w:rPr>
          <w:rFonts w:ascii="Book Antiqua" w:hAnsi="Book Antiqua"/>
          <w:sz w:val="16"/>
          <w:szCs w:val="16"/>
        </w:rPr>
        <w:t>[65] R. L. Driscoll, P. T. Olsen, ‘</w:t>
      </w:r>
      <w:r w:rsidRPr="00B9776F">
        <w:rPr>
          <w:rFonts w:ascii="Book Antiqua" w:hAnsi="Book Antiqua"/>
          <w:i/>
          <w:sz w:val="16"/>
          <w:szCs w:val="16"/>
        </w:rPr>
        <w:t xml:space="preserve">Report to Comite Consultatif d'Electricite, Comite International des Poids et Mesures, 12th Session, Oct.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[66] G. K. Yagola, V. I. Zingerman, and V. N. Sepetyi,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7</w:t>
      </w:r>
      <w:r w:rsidRPr="00B9776F">
        <w:rPr>
          <w:rFonts w:ascii="Book Antiqua" w:hAnsi="Book Antiqua"/>
          <w:sz w:val="16"/>
          <w:szCs w:val="16"/>
        </w:rPr>
        <w:t xml:space="preserve">, 44, 1966. (Translation: ‘Determination Of The Precise Value Of The Proton Gyromagnetic Ratio In Strong Magnetic Fields,’ </w:t>
      </w:r>
      <w:r w:rsidRPr="00B9776F">
        <w:rPr>
          <w:rFonts w:ascii="Book Antiqua" w:hAnsi="Book Antiqua"/>
          <w:i/>
          <w:sz w:val="16"/>
          <w:szCs w:val="16"/>
        </w:rPr>
        <w:t>Measures of Technology,</w:t>
      </w:r>
      <w:r w:rsidRPr="00B9776F">
        <w:rPr>
          <w:rFonts w:ascii="Book Antiqua" w:hAnsi="Book Antiqua"/>
          <w:sz w:val="16"/>
          <w:szCs w:val="16"/>
        </w:rPr>
        <w:t xml:space="preserve"> 1967, 914-917).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[67] K. Hara, H. Nakamura, T. Sakai and N. Koizumi, </w:t>
      </w:r>
      <w:r w:rsidRPr="00B9776F">
        <w:rPr>
          <w:rFonts w:ascii="Book Antiqua" w:hAnsi="Book Antiqua"/>
          <w:i/>
          <w:sz w:val="16"/>
          <w:szCs w:val="16"/>
        </w:rPr>
        <w:t>Report to the Comite Consultatif d'Electricite, Comite International des Poids et Mesures, 11th Session, 1968.</w:t>
      </w:r>
      <w:r w:rsidRPr="00B9776F">
        <w:rPr>
          <w:rFonts w:ascii="Book Antiqua" w:hAnsi="Book Antiqua"/>
          <w:sz w:val="16"/>
          <w:szCs w:val="16"/>
        </w:rPr>
        <w:t xml:space="preserve">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[68] N. V. Studentsov, T. N. Malyarevskaya, and V. Ya. Shifrin, </w:t>
      </w:r>
      <w:r w:rsidRPr="00B9776F">
        <w:rPr>
          <w:rFonts w:ascii="Book Antiqua" w:hAnsi="Book Antiqua"/>
          <w:i/>
          <w:sz w:val="16"/>
          <w:szCs w:val="16"/>
        </w:rPr>
        <w:t>Ismeritel'naya Tekhnika</w:t>
      </w:r>
      <w:r w:rsidRPr="00B9776F">
        <w:rPr>
          <w:rFonts w:ascii="Book Antiqua" w:hAnsi="Book Antiqua"/>
          <w:sz w:val="16"/>
          <w:szCs w:val="16"/>
        </w:rPr>
        <w:t xml:space="preserve">, </w:t>
      </w:r>
      <w:r w:rsidRPr="00B9776F">
        <w:rPr>
          <w:rFonts w:ascii="Book Antiqua" w:hAnsi="Book Antiqua"/>
          <w:b/>
          <w:sz w:val="16"/>
          <w:szCs w:val="16"/>
        </w:rPr>
        <w:t>11</w:t>
      </w:r>
      <w:r w:rsidRPr="00B9776F">
        <w:rPr>
          <w:rFonts w:ascii="Book Antiqua" w:hAnsi="Book Antiqua"/>
          <w:sz w:val="16"/>
          <w:szCs w:val="16"/>
        </w:rPr>
        <w:t xml:space="preserve">, p. 29, 1968. (Translation: ‘Measurement Of The Proton Gyromagnetic Ratio In A Weak Magnetic Field, ‘ </w:t>
      </w:r>
      <w:r w:rsidRPr="00B9776F">
        <w:rPr>
          <w:rFonts w:ascii="Book Antiqua" w:hAnsi="Book Antiqua"/>
          <w:i/>
          <w:sz w:val="16"/>
          <w:szCs w:val="16"/>
        </w:rPr>
        <w:t>Measures of Technology</w:t>
      </w:r>
      <w:r w:rsidRPr="00B9776F">
        <w:rPr>
          <w:rFonts w:ascii="Book Antiqua" w:hAnsi="Book Antiqua"/>
          <w:sz w:val="16"/>
          <w:szCs w:val="16"/>
        </w:rPr>
        <w:t xml:space="preserve">, pp. 1483-1485, 1968).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[69] P. T. Olsen and R. L. Driscoll,</w:t>
      </w:r>
      <w:r w:rsidRPr="00B9776F">
        <w:rPr>
          <w:rFonts w:ascii="Book Antiqua" w:hAnsi="Book Antiqua"/>
          <w:b/>
          <w:sz w:val="16"/>
          <w:szCs w:val="16"/>
        </w:rPr>
        <w:t xml:space="preserve"> ‘</w:t>
      </w:r>
      <w:r w:rsidRPr="00B9776F">
        <w:rPr>
          <w:rFonts w:ascii="Book Antiqua" w:hAnsi="Book Antiqua"/>
          <w:i/>
          <w:sz w:val="16"/>
          <w:szCs w:val="16"/>
        </w:rPr>
        <w:t>Atomic Masses and Fundamental Constants 4</w:t>
      </w:r>
      <w:r w:rsidRPr="00B9776F">
        <w:rPr>
          <w:rFonts w:ascii="Book Antiqua" w:hAnsi="Book Antiqua"/>
          <w:b/>
          <w:sz w:val="16"/>
          <w:szCs w:val="16"/>
        </w:rPr>
        <w:t>,</w:t>
      </w:r>
      <w:r w:rsidRPr="00B9776F">
        <w:rPr>
          <w:rFonts w:ascii="Book Antiqua" w:hAnsi="Book Antiqua"/>
          <w:sz w:val="16"/>
          <w:szCs w:val="16"/>
        </w:rPr>
        <w:t xml:space="preserve">’ p.471, J.  H. Sanders and A. H. Wapstra, editors, Plenum Publishing Corp., New York, 1972.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[70] P. T. Olsen, E. R. Williams, </w:t>
      </w:r>
      <w:r w:rsidRPr="00B9776F">
        <w:rPr>
          <w:rFonts w:ascii="Book Antiqua" w:hAnsi="Book Antiqua"/>
          <w:i/>
          <w:sz w:val="16"/>
          <w:szCs w:val="16"/>
        </w:rPr>
        <w:t>Atomic Masses and Fundamental Constants 5</w:t>
      </w:r>
      <w:r w:rsidRPr="00B9776F">
        <w:rPr>
          <w:rFonts w:ascii="Book Antiqua" w:hAnsi="Book Antiqua"/>
          <w:sz w:val="16"/>
          <w:szCs w:val="16"/>
        </w:rPr>
        <w:t xml:space="preserve">, p.538, J.H.Sanders and A.H. Wapstra, editors, Plenum Publishing Corp., New York, 1976.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[71] Z. Wang, ‘The Development of Precision Measurement and Fundamental Constants in China,’ </w:t>
      </w:r>
      <w:r w:rsidRPr="00B9776F">
        <w:rPr>
          <w:rFonts w:ascii="Book Antiqua" w:hAnsi="Book Antiqua"/>
          <w:i/>
          <w:sz w:val="16"/>
          <w:szCs w:val="16"/>
        </w:rPr>
        <w:t>Precision Measurements and Fundamental Constants II</w:t>
      </w:r>
      <w:r w:rsidRPr="00B9776F">
        <w:rPr>
          <w:rFonts w:ascii="Book Antiqua" w:hAnsi="Book Antiqua"/>
          <w:b/>
          <w:sz w:val="16"/>
          <w:szCs w:val="16"/>
        </w:rPr>
        <w:t>,</w:t>
      </w:r>
      <w:r w:rsidRPr="00B9776F">
        <w:rPr>
          <w:rFonts w:ascii="Book Antiqua" w:hAnsi="Book Antiqua"/>
          <w:sz w:val="16"/>
          <w:szCs w:val="16"/>
        </w:rPr>
        <w:t xml:space="preserve"> p.505-508, B.N. Taylor and W.D. Phillips, Eds.,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[72] B. P. Kibble, and G. J. Hunt, ‘A Measurement of the Gyromagnetic Ratio of the Proton in a Strong Magnetic Field,’ </w:t>
      </w:r>
      <w:r w:rsidRPr="00B9776F">
        <w:rPr>
          <w:rFonts w:ascii="Book Antiqua" w:hAnsi="Book Antiqua"/>
          <w:i/>
          <w:sz w:val="16"/>
          <w:szCs w:val="16"/>
        </w:rPr>
        <w:t>Metrologia</w:t>
      </w:r>
      <w:r w:rsidRPr="00B9776F">
        <w:rPr>
          <w:rFonts w:ascii="Book Antiqua" w:hAnsi="Book Antiqua"/>
          <w:sz w:val="16"/>
          <w:szCs w:val="16"/>
        </w:rPr>
        <w:t xml:space="preserve">, </w:t>
      </w:r>
      <w:r w:rsidRPr="00B9776F">
        <w:rPr>
          <w:rFonts w:ascii="Book Antiqua" w:hAnsi="Book Antiqua"/>
          <w:b/>
          <w:sz w:val="16"/>
          <w:szCs w:val="16"/>
        </w:rPr>
        <w:t>15</w:t>
      </w:r>
      <w:r w:rsidRPr="00B9776F">
        <w:rPr>
          <w:rFonts w:ascii="Book Antiqua" w:hAnsi="Book Antiqua"/>
          <w:sz w:val="16"/>
          <w:szCs w:val="16"/>
        </w:rPr>
        <w:t xml:space="preserve">, p. 5,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[73] E. R. Williams, and P. T. Olsen, ‘New Measurement of the Proton Gyromagnetic Ratio and a Derived Value of the Fine-Structure Constant Accurate to a Part in 10</w:t>
      </w:r>
      <w:r w:rsidRPr="00B9776F">
        <w:rPr>
          <w:rFonts w:ascii="Book Antiqua" w:hAnsi="Book Antiqua"/>
          <w:sz w:val="16"/>
          <w:szCs w:val="16"/>
          <w:vertAlign w:val="superscript"/>
        </w:rPr>
        <w:t>7</w:t>
      </w:r>
      <w:r w:rsidRPr="00B9776F">
        <w:rPr>
          <w:rFonts w:ascii="Book Antiqua" w:hAnsi="Book Antiqua"/>
          <w:sz w:val="16"/>
          <w:szCs w:val="16"/>
        </w:rPr>
        <w:t xml:space="preserve">,’ </w:t>
      </w:r>
      <w:r w:rsidRPr="00B9776F">
        <w:rPr>
          <w:rFonts w:ascii="Book Antiqua" w:hAnsi="Book Antiqua"/>
          <w:i/>
          <w:sz w:val="16"/>
          <w:szCs w:val="16"/>
        </w:rPr>
        <w:t>Physical Review Letters</w:t>
      </w:r>
      <w:r w:rsidRPr="00B9776F">
        <w:rPr>
          <w:rFonts w:ascii="Book Antiqua" w:hAnsi="Book Antiqua"/>
          <w:sz w:val="16"/>
          <w:szCs w:val="16"/>
        </w:rPr>
        <w:t xml:space="preserve">, </w:t>
      </w:r>
      <w:r w:rsidRPr="00B9776F">
        <w:rPr>
          <w:rFonts w:ascii="Book Antiqua" w:hAnsi="Book Antiqua"/>
          <w:b/>
          <w:sz w:val="16"/>
          <w:szCs w:val="16"/>
        </w:rPr>
        <w:t>42</w:t>
      </w:r>
      <w:r w:rsidRPr="00B9776F">
        <w:rPr>
          <w:rFonts w:ascii="Book Antiqua" w:hAnsi="Book Antiqua"/>
          <w:sz w:val="16"/>
          <w:szCs w:val="16"/>
        </w:rPr>
        <w:t xml:space="preserve">, pp. 1575-1579, (June 11, 1979).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[74] W. Chiao, R. Liu, and P. Shen, ‘The Absolute Measurement of the Ampere by Means of NMR,’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238-242,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[75] W. Schlesok, ‘Progress in the Realization of Electrical Units at the Board for Standardization, Metrology, and Goods Testing (ASMW),’ </w:t>
      </w:r>
      <w:r w:rsidRPr="00B9776F">
        <w:rPr>
          <w:rFonts w:ascii="Book Antiqua" w:hAnsi="Book Antiqua"/>
          <w:i/>
          <w:sz w:val="16"/>
          <w:szCs w:val="16"/>
        </w:rPr>
        <w:t>IEEE Transactions on Instrumentation and Measurement,</w:t>
      </w:r>
      <w:r w:rsidRPr="00B9776F">
        <w:rPr>
          <w:rFonts w:ascii="Book Antiqua" w:hAnsi="Book Antiqua"/>
          <w:sz w:val="16"/>
          <w:szCs w:val="16"/>
        </w:rPr>
        <w:t xml:space="preserve"> </w:t>
      </w:r>
      <w:r w:rsidRPr="00B9776F">
        <w:rPr>
          <w:rFonts w:ascii="Book Antiqua" w:hAnsi="Book Antiqua"/>
          <w:b/>
          <w:sz w:val="16"/>
          <w:szCs w:val="16"/>
        </w:rPr>
        <w:t>IM-29</w:t>
      </w:r>
      <w:r w:rsidRPr="00B9776F">
        <w:rPr>
          <w:rFonts w:ascii="Book Antiqua" w:hAnsi="Book Antiqua"/>
          <w:sz w:val="16"/>
          <w:szCs w:val="16"/>
        </w:rPr>
        <w:t xml:space="preserve">, pp.248-250, (1980).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[76] Y. V. Tarbeyev, ‘The Work Done at the Mendeleyev Research Institute of Metrology (VNIIM) to Improve the Values of the Fundamental Constants,’ </w:t>
      </w:r>
      <w:r w:rsidRPr="00B9776F">
        <w:rPr>
          <w:rFonts w:ascii="Book Antiqua" w:hAnsi="Book Antiqua"/>
          <w:i/>
          <w:sz w:val="16"/>
          <w:szCs w:val="16"/>
        </w:rPr>
        <w:t>Precision Measurements and Fundamental Constants II, p.483-488,</w:t>
      </w:r>
      <w:r w:rsidRPr="00B9776F">
        <w:rPr>
          <w:rFonts w:ascii="Book Antiqua" w:hAnsi="Book Antiqua"/>
          <w:sz w:val="16"/>
          <w:szCs w:val="16"/>
        </w:rPr>
        <w:t xml:space="preserve"> B.N. Taylor and W.D. Phillips, editors, National Bureau of Standards (US) Special Publication 617, 1984. </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[77] P. J. Mohr and B. N. Taylor, </w:t>
      </w:r>
      <w:r w:rsidRPr="00B9776F">
        <w:rPr>
          <w:rFonts w:ascii="Book Antiqua" w:hAnsi="Book Antiqua"/>
          <w:i/>
          <w:sz w:val="16"/>
          <w:szCs w:val="16"/>
        </w:rPr>
        <w:t>Rev. Mod. Phys</w:t>
      </w:r>
      <w:r w:rsidRPr="00B9776F">
        <w:rPr>
          <w:rFonts w:ascii="Book Antiqua" w:hAnsi="Book Antiqua"/>
          <w:sz w:val="16"/>
          <w:szCs w:val="16"/>
        </w:rPr>
        <w:t xml:space="preserve">., </w:t>
      </w:r>
      <w:r w:rsidRPr="00B9776F">
        <w:rPr>
          <w:rFonts w:ascii="Book Antiqua" w:hAnsi="Book Antiqua"/>
          <w:b/>
          <w:sz w:val="16"/>
          <w:szCs w:val="16"/>
        </w:rPr>
        <w:t>77</w:t>
      </w:r>
      <w:r w:rsidRPr="00B9776F">
        <w:rPr>
          <w:rFonts w:ascii="Book Antiqua" w:hAnsi="Book Antiqua"/>
          <w:sz w:val="16"/>
          <w:szCs w:val="16"/>
        </w:rPr>
        <w:t>, p. 1 (2005)</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[78] P. J. Mohr, B. N. Taylor, Newell, </w:t>
      </w:r>
      <w:r w:rsidRPr="00B9776F">
        <w:rPr>
          <w:rFonts w:ascii="Book Antiqua" w:hAnsi="Book Antiqua"/>
          <w:i/>
          <w:sz w:val="16"/>
          <w:szCs w:val="16"/>
        </w:rPr>
        <w:t>J. Phys. Chem. Ref. Data</w:t>
      </w:r>
      <w:r w:rsidRPr="00B9776F">
        <w:rPr>
          <w:rFonts w:ascii="Book Antiqua" w:hAnsi="Book Antiqua"/>
          <w:sz w:val="16"/>
          <w:szCs w:val="16"/>
        </w:rPr>
        <w:t xml:space="preserve">, </w:t>
      </w:r>
      <w:r w:rsidRPr="00B9776F">
        <w:rPr>
          <w:rFonts w:ascii="Book Antiqua" w:hAnsi="Book Antiqua"/>
          <w:b/>
          <w:sz w:val="16"/>
          <w:szCs w:val="16"/>
        </w:rPr>
        <w:t>37</w:t>
      </w:r>
      <w:r w:rsidRPr="00B9776F">
        <w:rPr>
          <w:rFonts w:ascii="Book Antiqua" w:hAnsi="Book Antiqua"/>
          <w:sz w:val="16"/>
          <w:szCs w:val="16"/>
        </w:rPr>
        <w:t>:3, (2008).</w:t>
      </w:r>
    </w:p>
    <w:p w:rsidR="00820B57" w:rsidRPr="00B9776F" w:rsidRDefault="00820B57" w:rsidP="00820B57">
      <w:pPr>
        <w:pStyle w:val="NoSpacing"/>
        <w:rPr>
          <w:rFonts w:ascii="Book Antiqua" w:hAnsi="Book Antiqua"/>
          <w:sz w:val="16"/>
          <w:szCs w:val="16"/>
        </w:rPr>
      </w:pPr>
      <w:r w:rsidRPr="00B9776F">
        <w:rPr>
          <w:rFonts w:ascii="Book Antiqua" w:hAnsi="Book Antiqua"/>
          <w:sz w:val="16"/>
          <w:szCs w:val="16"/>
        </w:rPr>
        <w:t xml:space="preserve">[79] CODATA/NIST website at: </w:t>
      </w:r>
      <w:hyperlink r:id="rId173" w:history="1">
        <w:r w:rsidRPr="00B9776F">
          <w:rPr>
            <w:rStyle w:val="Hyperlink"/>
            <w:rFonts w:ascii="Book Antiqua" w:hAnsi="Book Antiqua"/>
            <w:i/>
            <w:szCs w:val="16"/>
          </w:rPr>
          <w:t>http://physics.nist.gov/constants</w:t>
        </w:r>
      </w:hyperlink>
      <w:r w:rsidRPr="00B9776F">
        <w:rPr>
          <w:rFonts w:ascii="Book Antiqua" w:hAnsi="Book Antiqua"/>
          <w:i/>
          <w:sz w:val="16"/>
          <w:szCs w:val="16"/>
        </w:rPr>
        <w:t xml:space="preserve"> .</w:t>
      </w:r>
    </w:p>
    <w:p w:rsidR="00820B57" w:rsidRPr="00B9776F" w:rsidRDefault="00820B57" w:rsidP="00820B57">
      <w:pPr>
        <w:pStyle w:val="Els-body-text"/>
        <w:ind w:firstLine="0"/>
        <w:rPr>
          <w:rFonts w:ascii="Book Antiqua" w:hAnsi="Book Antiqua"/>
          <w:sz w:val="16"/>
          <w:szCs w:val="16"/>
        </w:rPr>
      </w:pPr>
    </w:p>
    <w:p w:rsidR="00820B57" w:rsidRDefault="00820B57" w:rsidP="00820B57">
      <w:pPr>
        <w:pStyle w:val="NoSpacing"/>
        <w:jc w:val="center"/>
        <w:rPr>
          <w:rFonts w:ascii="Book Antiqua" w:hAnsi="Book Antiqua"/>
          <w:b/>
          <w:sz w:val="28"/>
          <w:szCs w:val="28"/>
        </w:rPr>
      </w:pPr>
      <w:r w:rsidRPr="00977029">
        <w:rPr>
          <w:rFonts w:ascii="Book Antiqua" w:hAnsi="Book Antiqua"/>
          <w:b/>
          <w:sz w:val="28"/>
          <w:szCs w:val="28"/>
        </w:rPr>
        <w:t>*  *  *  *  *  *  *</w:t>
      </w:r>
    </w:p>
    <w:p w:rsidR="001E6C68" w:rsidRDefault="001E6C6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265840" w:rsidRPr="00E02F43" w:rsidRDefault="00265840" w:rsidP="00265840">
      <w:pPr>
        <w:pStyle w:val="NoSpacing"/>
        <w:jc w:val="center"/>
        <w:rPr>
          <w:rFonts w:ascii="Book Antiqua" w:hAnsi="Book Antiqua"/>
          <w:b/>
          <w:bCs/>
          <w:iCs/>
          <w:color w:val="000000"/>
          <w:szCs w:val="24"/>
        </w:rPr>
      </w:pPr>
      <w:r w:rsidRPr="00E02F43">
        <w:rPr>
          <w:rFonts w:ascii="Book Antiqua" w:hAnsi="Book Antiqua"/>
          <w:b/>
          <w:bCs/>
          <w:iCs/>
          <w:color w:val="000000"/>
          <w:szCs w:val="24"/>
        </w:rPr>
        <w:lastRenderedPageBreak/>
        <w:t xml:space="preserve">Chapter 5: </w:t>
      </w:r>
      <w:r w:rsidRPr="00E02F43">
        <w:rPr>
          <w:rFonts w:ascii="Book Antiqua" w:hAnsi="Book Antiqua"/>
          <w:b/>
          <w:bCs/>
          <w:i/>
          <w:iCs/>
          <w:color w:val="000000"/>
          <w:szCs w:val="24"/>
        </w:rPr>
        <w:t>The Zpe And The Redshift.</w:t>
      </w:r>
    </w:p>
    <w:p w:rsidR="00265840" w:rsidRPr="00372C58" w:rsidRDefault="00265840" w:rsidP="00265840">
      <w:pPr>
        <w:pStyle w:val="NoSpacing"/>
        <w:rPr>
          <w:rFonts w:ascii="Book Antiqua" w:hAnsi="Book Antiqua"/>
          <w:b/>
          <w:bCs/>
          <w:iCs/>
          <w:color w:val="000000"/>
          <w:sz w:val="20"/>
          <w:u w:val="single"/>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1.  Introducing The Redshift.</w:t>
      </w:r>
    </w:p>
    <w:p w:rsidR="00265840" w:rsidRPr="00372C58" w:rsidRDefault="00265840" w:rsidP="00265840">
      <w:pPr>
        <w:pStyle w:val="NoSpacing"/>
        <w:rPr>
          <w:rFonts w:ascii="Book Antiqua" w:hAnsi="Book Antiqua"/>
          <w:b/>
          <w:bCs/>
          <w:iCs/>
          <w:color w:val="000000"/>
          <w:sz w:val="20"/>
        </w:rPr>
      </w:pPr>
    </w:p>
    <w:p w:rsidR="00265840" w:rsidRDefault="00265840" w:rsidP="006D55C3">
      <w:pPr>
        <w:pStyle w:val="NoSpacing"/>
        <w:numPr>
          <w:ilvl w:val="1"/>
          <w:numId w:val="65"/>
        </w:numPr>
        <w:rPr>
          <w:rFonts w:ascii="Book Antiqua" w:hAnsi="Book Antiqua"/>
          <w:b/>
          <w:bCs/>
          <w:iCs/>
          <w:color w:val="000000"/>
          <w:sz w:val="20"/>
        </w:rPr>
      </w:pPr>
      <w:r w:rsidRPr="00372C58">
        <w:rPr>
          <w:rFonts w:ascii="Book Antiqua" w:hAnsi="Book Antiqua"/>
          <w:bCs/>
          <w:i/>
          <w:iCs/>
          <w:color w:val="000000"/>
          <w:sz w:val="20"/>
        </w:rPr>
        <w:t>Introductory Concepts</w:t>
      </w:r>
      <w:r w:rsidRPr="00372C58">
        <w:rPr>
          <w:rFonts w:ascii="Book Antiqua" w:hAnsi="Book Antiqua"/>
          <w:b/>
          <w:bCs/>
          <w:iCs/>
          <w:color w:val="000000"/>
          <w:sz w:val="20"/>
        </w:rPr>
        <w:t xml:space="preserve">. </w:t>
      </w:r>
    </w:p>
    <w:p w:rsidR="006D55C3" w:rsidRDefault="006D55C3" w:rsidP="006D55C3">
      <w:pPr>
        <w:pStyle w:val="NoSpacing"/>
        <w:ind w:left="360"/>
        <w:rPr>
          <w:rFonts w:ascii="Book Antiqua" w:hAnsi="Book Antiqua"/>
          <w:bCs/>
          <w:i/>
          <w:iCs/>
          <w:color w:val="000000"/>
          <w:sz w:val="20"/>
        </w:rPr>
      </w:pPr>
    </w:p>
    <w:p w:rsidR="006D55C3" w:rsidRPr="00372C58" w:rsidRDefault="006D55C3" w:rsidP="006D55C3">
      <w:pPr>
        <w:pStyle w:val="NoSpacing"/>
        <w:ind w:firstLine="720"/>
        <w:jc w:val="both"/>
        <w:rPr>
          <w:rFonts w:ascii="Book Antiqua" w:hAnsi="Book Antiqua"/>
          <w:b/>
          <w:bCs/>
          <w:iCs/>
          <w:color w:val="000000"/>
          <w:sz w:val="20"/>
        </w:rPr>
      </w:pPr>
      <w:r w:rsidRPr="00B9776F">
        <w:rPr>
          <w:rFonts w:ascii="Book Antiqua" w:hAnsi="Book Antiqua"/>
          <w:sz w:val="20"/>
        </w:rPr>
        <w:t xml:space="preserve">Historical observations of the speed of light can only take us back about 360 years.  It requires other data to be able to go back further than that.  Archaeology can give us historical data compared with atomic time using radiometric clocks and this procedure can take us back over 3500 years (see Chapter 8).  However, examination of the ZPE data and the red shift data from distant galaxies can take us back to the origin of the universe. This is examined </w:t>
      </w:r>
      <w:r>
        <w:rPr>
          <w:rFonts w:ascii="Book Antiqua" w:hAnsi="Book Antiqua"/>
          <w:sz w:val="20"/>
        </w:rPr>
        <w:t>here</w:t>
      </w:r>
      <w:r w:rsidRPr="00B9776F">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All elements can produce light. A photon of light is released when an electron which has been forced out of its normal position snaps back, releasing the energy that forced it out. Thus, the more energetic the electron's orbit, the more energy is required to force it out of that orbit and this means that the same increased amount of energy is released when it snaps back. Any element can produce light when its electrons are disturbed. Each element's light, however, is slightly different when analyzed. Think of the bar codes we see on products -- a series of heavy lines, light lines, and spaces. In a similar way, each element has a signature 'bar code' which identifies it. Here on earth, we have a laboratory standard for each element. These 'bar codes' extend across the rainbow of colors. For example, the 'bar-codes' or 'spectral lines' of hydrogen, helium, mercury and uranium appear in Figure 1 going from top to bottom.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305550" cy="3971925"/>
            <wp:effectExtent l="19050" t="0" r="0" b="0"/>
            <wp:docPr id="165" name="Picture 11" descr="light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bars"/>
                    <pic:cNvPicPr>
                      <a:picLocks noChangeAspect="1" noChangeArrowheads="1"/>
                    </pic:cNvPicPr>
                  </pic:nvPicPr>
                  <pic:blipFill>
                    <a:blip r:embed="rId16" cstate="print"/>
                    <a:srcRect/>
                    <a:stretch>
                      <a:fillRect/>
                    </a:stretch>
                  </pic:blipFill>
                  <pic:spPr bwMode="auto">
                    <a:xfrm>
                      <a:off x="0" y="0"/>
                      <a:ext cx="6314302" cy="3977438"/>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E32755">
      <w:pPr>
        <w:pStyle w:val="NoSpacing"/>
        <w:jc w:val="center"/>
        <w:rPr>
          <w:rFonts w:ascii="Book Antiqua" w:hAnsi="Book Antiqua"/>
          <w:i/>
          <w:sz w:val="18"/>
          <w:szCs w:val="18"/>
        </w:rPr>
      </w:pPr>
      <w:r w:rsidRPr="004A5722">
        <w:rPr>
          <w:rFonts w:ascii="Book Antiqua" w:hAnsi="Book Antiqua"/>
          <w:b/>
          <w:i/>
          <w:sz w:val="18"/>
          <w:szCs w:val="18"/>
        </w:rPr>
        <w:t>Figure 1:</w:t>
      </w:r>
      <w:r w:rsidRPr="004A5722">
        <w:rPr>
          <w:rFonts w:ascii="Book Antiqua" w:hAnsi="Book Antiqua"/>
          <w:i/>
          <w:sz w:val="18"/>
          <w:szCs w:val="18"/>
        </w:rPr>
        <w:t xml:space="preserve"> The characteristic spectral lines of hydrogen, helium, mercury and uranium (going from top to bottom).</w:t>
      </w:r>
    </w:p>
    <w:p w:rsidR="00265840" w:rsidRPr="00372C58" w:rsidRDefault="00265840" w:rsidP="00265840">
      <w:pPr>
        <w:pStyle w:val="NoSpacing"/>
        <w:jc w:val="both"/>
        <w:rPr>
          <w:rFonts w:ascii="Book Antiqua" w:hAnsi="Book Antiqua"/>
          <w:sz w:val="20"/>
        </w:rPr>
      </w:pPr>
    </w:p>
    <w:p w:rsidR="006D55C3"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One of the key pieces of evidence that cosmologists use to indicate universal expansion is the redshift of light from distant galaxies. The redshift is an astronomical term that describes the shifting of these bar-code spectral lines of elements towards the red end of the spectrum when compared with a laboratory standard here on earth. Essentially, a redshift means that the wavelength of a given spectral line is longer than normal. A typical result is shown in Figure 2. </w:t>
      </w:r>
    </w:p>
    <w:p w:rsidR="006D55C3" w:rsidRDefault="006D55C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477000" cy="1666875"/>
            <wp:effectExtent l="19050" t="0" r="0" b="0"/>
            <wp:docPr id="164" name="Picture 1" descr="red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shift"/>
                    <pic:cNvPicPr>
                      <a:picLocks noChangeAspect="1" noChangeArrowheads="1"/>
                    </pic:cNvPicPr>
                  </pic:nvPicPr>
                  <pic:blipFill>
                    <a:blip r:embed="rId17" cstate="print"/>
                    <a:srcRect/>
                    <a:stretch>
                      <a:fillRect/>
                    </a:stretch>
                  </pic:blipFill>
                  <pic:spPr bwMode="auto">
                    <a:xfrm>
                      <a:off x="0" y="0"/>
                      <a:ext cx="6477000" cy="1666875"/>
                    </a:xfrm>
                    <a:prstGeom prst="rect">
                      <a:avLst/>
                    </a:prstGeom>
                    <a:noFill/>
                    <a:ln w="9525">
                      <a:noFill/>
                      <a:miter lim="800000"/>
                      <a:headEnd/>
                      <a:tailEnd/>
                    </a:ln>
                  </pic:spPr>
                </pic:pic>
              </a:graphicData>
            </a:graphic>
          </wp:inline>
        </w:drawing>
      </w:r>
    </w:p>
    <w:p w:rsidR="00265840" w:rsidRPr="00372C58" w:rsidRDefault="00265840" w:rsidP="00265840">
      <w:pPr>
        <w:pStyle w:val="NoSpacing"/>
        <w:rPr>
          <w:rFonts w:ascii="Book Antiqua" w:hAnsi="Book Antiqua"/>
          <w:sz w:val="20"/>
        </w:rPr>
      </w:pPr>
    </w:p>
    <w:p w:rsidR="00265840" w:rsidRDefault="00265840" w:rsidP="00265840">
      <w:pPr>
        <w:pStyle w:val="NoSpacing"/>
        <w:rPr>
          <w:rFonts w:ascii="Book Antiqua" w:hAnsi="Book Antiqua"/>
          <w:i/>
          <w:sz w:val="18"/>
          <w:szCs w:val="18"/>
        </w:rPr>
      </w:pPr>
      <w:r w:rsidRPr="004A5722">
        <w:rPr>
          <w:rFonts w:ascii="Book Antiqua" w:hAnsi="Book Antiqua"/>
          <w:b/>
          <w:i/>
          <w:sz w:val="18"/>
          <w:szCs w:val="18"/>
        </w:rPr>
        <w:t>Figure 2:</w:t>
      </w:r>
      <w:r w:rsidRPr="004A5722">
        <w:rPr>
          <w:rFonts w:ascii="Book Antiqua" w:hAnsi="Book Antiqua"/>
          <w:i/>
          <w:sz w:val="18"/>
          <w:szCs w:val="18"/>
        </w:rPr>
        <w:t xml:space="preserve"> The shifting of spectral lines towards the red end of the spectrum is called the redshift. Essentially it is a longer wavelength for a given line.</w:t>
      </w:r>
    </w:p>
    <w:p w:rsidR="006D55C3" w:rsidRDefault="006D55C3" w:rsidP="00265840">
      <w:pPr>
        <w:pStyle w:val="NoSpacing"/>
        <w:rPr>
          <w:rFonts w:ascii="Book Antiqua" w:hAnsi="Book Antiqua"/>
          <w:i/>
          <w:sz w:val="18"/>
          <w:szCs w:val="18"/>
        </w:rPr>
      </w:pPr>
    </w:p>
    <w:p w:rsidR="006D55C3" w:rsidRPr="004A5722" w:rsidRDefault="006D55C3" w:rsidP="006D55C3">
      <w:pPr>
        <w:pStyle w:val="NoSpacing"/>
        <w:jc w:val="both"/>
        <w:rPr>
          <w:rFonts w:ascii="Book Antiqua" w:hAnsi="Book Antiqua"/>
          <w:i/>
          <w:sz w:val="18"/>
          <w:szCs w:val="18"/>
        </w:rPr>
      </w:pPr>
      <w:r w:rsidRPr="00372C58">
        <w:rPr>
          <w:rFonts w:ascii="Book Antiqua" w:hAnsi="Book Antiqua"/>
          <w:sz w:val="20"/>
        </w:rPr>
        <w:t xml:space="preserve">The redshift, </w:t>
      </w:r>
      <m:oMath>
        <m:r>
          <w:rPr>
            <w:rFonts w:ascii="Cambria Math" w:hAnsi="Cambria Math"/>
            <w:sz w:val="20"/>
          </w:rPr>
          <m:t>z</m:t>
        </m:r>
      </m:oMath>
      <w:r w:rsidRPr="00372C58">
        <w:rPr>
          <w:rFonts w:ascii="Book Antiqua" w:hAnsi="Book Antiqua"/>
          <w:sz w:val="20"/>
        </w:rPr>
        <w:t xml:space="preserve">, is defined as the measured increase in wavelength when compared with the earth standard, divided by that same laboratory standard wavelength. If the change in wavelength is given by </w:t>
      </w:r>
      <m:oMath>
        <m:r>
          <w:rPr>
            <w:rFonts w:ascii="Cambria Math" w:hAnsi="Cambria Math"/>
            <w:sz w:val="20"/>
          </w:rPr>
          <m:t>ΔW</m:t>
        </m:r>
      </m:oMath>
      <w:r w:rsidRPr="00372C58">
        <w:rPr>
          <w:rFonts w:ascii="Book Antiqua" w:hAnsi="Book Antiqua"/>
          <w:sz w:val="20"/>
        </w:rPr>
        <w:t xml:space="preserve"> and the laboratory standard wavelength is </w:t>
      </w:r>
      <m:oMath>
        <m:r>
          <w:rPr>
            <w:rFonts w:ascii="Cambria Math" w:hAnsi="Cambria Math"/>
            <w:sz w:val="20"/>
          </w:rPr>
          <m:t>W</m:t>
        </m:r>
      </m:oMath>
      <w:r w:rsidRPr="00372C58">
        <w:rPr>
          <w:rFonts w:ascii="Book Antiqua" w:hAnsi="Book Antiqua"/>
          <w:sz w:val="20"/>
        </w:rPr>
        <w:t xml:space="preserve">, then the redshift is defined as [1, 2]:  </w:t>
      </w:r>
    </w:p>
    <w:p w:rsidR="00A6203C" w:rsidRPr="00372C58" w:rsidRDefault="00A6203C" w:rsidP="00265840">
      <w:pPr>
        <w:pStyle w:val="NoSpacing"/>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The earth standard and the change from that are what is actually measured. If the standard laboratory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the wavelength of photons received from the distant object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then we can define thus: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ΔW</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this case,  the first equation can be expressed as follows: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Reduced, this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means we can write</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 + </m:t>
        </m:r>
        <m:r>
          <w:rPr>
            <w:rFonts w:ascii="Cambria Math" w:hAnsi="Cambria Math"/>
            <w:sz w:val="20"/>
          </w:rPr>
          <m:t>z</m:t>
        </m:r>
        <m:r>
          <w:rPr>
            <w:rFonts w:ascii="Cambria Math" w:hAnsi="Book Antiqua"/>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many astronomical applications it has proven to be more convenient to use th</w:t>
      </w:r>
      <w:r w:rsidR="006D55C3">
        <w:rPr>
          <w:rFonts w:ascii="Book Antiqua" w:hAnsi="Book Antiqua"/>
          <w:sz w:val="20"/>
        </w:rPr>
        <w:t>e</w:t>
      </w:r>
      <w:r w:rsidRPr="00372C58">
        <w:rPr>
          <w:rFonts w:ascii="Book Antiqua" w:hAnsi="Book Antiqua"/>
          <w:sz w:val="20"/>
        </w:rPr>
        <w:t xml:space="preserve"> formulation of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w:t>
      </w:r>
      <w:r w:rsidRPr="00372C58">
        <w:rPr>
          <w:rFonts w:ascii="Book Antiqua" w:hAnsi="Book Antiqua"/>
          <w:iCs/>
          <w:sz w:val="20"/>
        </w:rPr>
        <w:t xml:space="preserve"> just as we have in (5), </w:t>
      </w:r>
      <w:r w:rsidRPr="00372C58">
        <w:rPr>
          <w:rFonts w:ascii="Book Antiqua" w:hAnsi="Book Antiqua"/>
          <w:sz w:val="20"/>
        </w:rPr>
        <w:t xml:space="preserve">for the description of reality rather than just </w:t>
      </w:r>
      <m:oMath>
        <m:r>
          <w:rPr>
            <w:rFonts w:ascii="Cambria Math" w:hAnsi="Cambria Math"/>
            <w:sz w:val="20"/>
          </w:rPr>
          <m:t>z</m:t>
        </m:r>
      </m:oMath>
      <w:r w:rsidRPr="00372C58">
        <w:rPr>
          <w:rFonts w:ascii="Book Antiqua" w:hAnsi="Book Antiqua"/>
          <w:i/>
          <w:iCs/>
          <w:sz w:val="20"/>
        </w:rPr>
        <w:t>.</w:t>
      </w:r>
      <w:r w:rsidRPr="00372C58">
        <w:rPr>
          <w:rFonts w:ascii="Book Antiqua" w:hAnsi="Book Antiqua"/>
          <w:sz w:val="20"/>
        </w:rPr>
        <w:t xml:space="preserve"> Nevertheless, notice that, in every case,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is a dimensionless number as the units of wavelength cancel out.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1.2. Historical Background</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1122AA" w:rsidRDefault="00265840" w:rsidP="001122AA">
      <w:pPr>
        <w:pStyle w:val="NoSpacing"/>
        <w:jc w:val="both"/>
        <w:rPr>
          <w:rFonts w:ascii="Book Antiqua" w:hAnsi="Book Antiqua"/>
          <w:sz w:val="20"/>
        </w:rPr>
      </w:pPr>
      <w:r w:rsidRPr="00372C58">
        <w:rPr>
          <w:rFonts w:ascii="Book Antiqua" w:hAnsi="Book Antiqua"/>
          <w:sz w:val="20"/>
        </w:rPr>
        <w:tab/>
        <w:t>Between 1912 and 1922, Vesto Slipher and Francis Pease, at the Lowell Observatory in Flagstaff, Arizona, measured the redshift of forty-two galaxies [3].</w:t>
      </w:r>
      <w:r w:rsidRPr="00372C58">
        <w:rPr>
          <w:rFonts w:ascii="Book Antiqua" w:hAnsi="Book Antiqua"/>
          <w:position w:val="10"/>
          <w:sz w:val="20"/>
          <w:vertAlign w:val="superscript"/>
        </w:rPr>
        <w:t xml:space="preserve"> </w:t>
      </w:r>
      <w:r w:rsidRPr="00372C58">
        <w:rPr>
          <w:rFonts w:ascii="Book Antiqua" w:hAnsi="Book Antiqua"/>
          <w:sz w:val="20"/>
        </w:rPr>
        <w:t xml:space="preserve">In 1919, Harlow Shapley noted that the vast majority of those redshifts were positive, indicating the ‘bar codes’ of the elements involved were shifted more toward the red end of the spectrum. </w:t>
      </w:r>
      <w:r w:rsidRPr="00372C58">
        <w:rPr>
          <w:rFonts w:ascii="Book Antiqua" w:hAnsi="Book Antiqua"/>
          <w:sz w:val="20"/>
        </w:rPr>
        <w:lastRenderedPageBreak/>
        <w:t>In other words, their characteristic wavelength was longer. The only exceptions, the galaxies with blue shifts, were those nearby.</w:t>
      </w:r>
      <w:r w:rsidR="001122AA">
        <w:rPr>
          <w:rFonts w:ascii="Book Antiqua" w:hAnsi="Book Antiqua"/>
          <w:sz w:val="20"/>
        </w:rPr>
        <w:t xml:space="preserve"> This will be examined in more detail at the end of this chapter.</w:t>
      </w:r>
      <w:r w:rsidR="00FA5681" w:rsidRPr="00372C58">
        <w:rPr>
          <w:rFonts w:ascii="Book Antiqua" w:hAnsi="Book Antiqua"/>
          <w:sz w:val="20"/>
        </w:rPr>
        <w:t xml:space="preserve"> </w:t>
      </w:r>
    </w:p>
    <w:p w:rsidR="001122AA" w:rsidRDefault="001122AA" w:rsidP="001122AA">
      <w:pPr>
        <w:pStyle w:val="NoSpacing"/>
        <w:jc w:val="both"/>
        <w:rPr>
          <w:rFonts w:ascii="Book Antiqua" w:hAnsi="Book Antiqua"/>
          <w:sz w:val="20"/>
        </w:rPr>
      </w:pPr>
    </w:p>
    <w:p w:rsidR="00265840" w:rsidRDefault="00265840" w:rsidP="001122AA">
      <w:pPr>
        <w:pStyle w:val="NoSpacing"/>
        <w:ind w:firstLine="720"/>
        <w:jc w:val="both"/>
        <w:rPr>
          <w:rFonts w:ascii="Book Antiqua" w:hAnsi="Book Antiqua"/>
          <w:sz w:val="20"/>
        </w:rPr>
      </w:pPr>
      <w:r w:rsidRPr="00372C58">
        <w:rPr>
          <w:rFonts w:ascii="Book Antiqua" w:hAnsi="Book Antiqua"/>
          <w:sz w:val="20"/>
        </w:rPr>
        <w:t xml:space="preserve">Then during the period 1923-1924, Edwin Hubble discovered Cepheid variables in neighboring galaxies [4]. These are stars whose brightness appears to pulsate regularly.  The bigger they are, the brighter they are, and the more slowly they pulsate (see Figure 3). </w:t>
      </w:r>
    </w:p>
    <w:p w:rsidR="00E32755" w:rsidRPr="00372C58" w:rsidRDefault="00E32755" w:rsidP="001122AA">
      <w:pPr>
        <w:pStyle w:val="NoSpacing"/>
        <w:ind w:firstLine="720"/>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6096000" cy="4705350"/>
            <wp:effectExtent l="19050" t="0" r="0" b="0"/>
            <wp:docPr id="163" name="il_fi" descr="http://www.math.lsa.umich.edu/mmss/coursesONLINE/Astro/Ex1.4/lightc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th.lsa.umich.edu/mmss/coursesONLINE/Astro/Ex1.4/lightcur.jpg"/>
                    <pic:cNvPicPr>
                      <a:picLocks noChangeAspect="1" noChangeArrowheads="1"/>
                    </pic:cNvPicPr>
                  </pic:nvPicPr>
                  <pic:blipFill>
                    <a:blip r:embed="rId174" cstate="print"/>
                    <a:srcRect/>
                    <a:stretch>
                      <a:fillRect/>
                    </a:stretch>
                  </pic:blipFill>
                  <pic:spPr bwMode="auto">
                    <a:xfrm>
                      <a:off x="0" y="0"/>
                      <a:ext cx="6096000" cy="4705350"/>
                    </a:xfrm>
                    <a:prstGeom prst="rect">
                      <a:avLst/>
                    </a:prstGeom>
                    <a:noFill/>
                    <a:ln w="9525">
                      <a:noFill/>
                      <a:miter lim="800000"/>
                      <a:headEnd/>
                      <a:tailEnd/>
                    </a:ln>
                  </pic:spPr>
                </pic:pic>
              </a:graphicData>
            </a:graphic>
          </wp:inline>
        </w:drawing>
      </w:r>
    </w:p>
    <w:p w:rsidR="00265840" w:rsidRPr="00D1635A" w:rsidRDefault="00265840" w:rsidP="00265840">
      <w:pPr>
        <w:pStyle w:val="NoSpacing"/>
        <w:jc w:val="both"/>
        <w:rPr>
          <w:rFonts w:ascii="Book Antiqua" w:hAnsi="Book Antiqua"/>
          <w:b/>
          <w:i/>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3:</w:t>
      </w:r>
      <w:r w:rsidRPr="004A5722">
        <w:rPr>
          <w:rFonts w:ascii="Book Antiqua" w:hAnsi="Book Antiqua"/>
          <w:i/>
          <w:sz w:val="18"/>
          <w:szCs w:val="18"/>
        </w:rPr>
        <w:t xml:space="preserve"> The pulsating brightness curves of four Cepheid variable stars. Note the characteristic shape to the curves: the rise time is always shorter than the decline. The crest to crest period for the top curve is 43 days with 12 days for the bottom curve. This means that the top Cepheid here is about 30,000 brighter than the sun, while the bottom one is only about 3,000 times brighter than the sun. </w:t>
      </w:r>
    </w:p>
    <w:p w:rsidR="001122AA" w:rsidRPr="00372C58" w:rsidRDefault="001122AA" w:rsidP="00265840">
      <w:pPr>
        <w:pStyle w:val="NoSpacing"/>
        <w:rPr>
          <w:rFonts w:ascii="Book Antiqua" w:hAnsi="Book Antiqua"/>
          <w:sz w:val="20"/>
        </w:rPr>
      </w:pPr>
    </w:p>
    <w:p w:rsidR="00FA5681" w:rsidRPr="00372C58" w:rsidRDefault="00FA5681" w:rsidP="00FA5681">
      <w:pPr>
        <w:pStyle w:val="NoSpacing"/>
        <w:ind w:firstLine="720"/>
        <w:jc w:val="both"/>
        <w:rPr>
          <w:rFonts w:ascii="Book Antiqua" w:hAnsi="Book Antiqua"/>
          <w:sz w:val="20"/>
        </w:rPr>
      </w:pPr>
      <w:r w:rsidRPr="00372C58">
        <w:rPr>
          <w:rFonts w:ascii="Book Antiqua" w:hAnsi="Book Antiqua"/>
          <w:sz w:val="20"/>
        </w:rPr>
        <w:t>Before Hubble’s discovery, the assumption had been made that all the objects we see were part of our own galaxy, and that the Milky Way was all there was.  Within this Milky Way Galaxy were “spiral nebulae” which were considered part of it.  However, when Hubble examined Cepheid variable stars in some of these nebulae, their pulsation rates meant their intrinsic brightness required them to be much farther away than we thought.    As a result, these nebulae became called “island universes” and it was only then, in the mid 1920’s, we began to realize that the Milky Way was only one of many galaxies.</w:t>
      </w:r>
    </w:p>
    <w:p w:rsidR="00FA5681" w:rsidRPr="00372C58" w:rsidRDefault="00FA5681" w:rsidP="00FA5681">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Slipher and Pease had examined the red shifts of 42 galaxies.  In examining the Cepheid variables in these galaxies, Hubble discovered that the observed redshifts were proportional to distance. In 1929 he published the law of spectral displacements, which is now called Hubble’s Law </w:t>
      </w:r>
      <w:r w:rsidRPr="00E263BC">
        <w:rPr>
          <w:rFonts w:ascii="Book Antiqua" w:hAnsi="Book Antiqua"/>
          <w:sz w:val="20"/>
        </w:rPr>
        <w:t>[5].</w:t>
      </w:r>
      <w:r w:rsidRPr="00E263BC">
        <w:rPr>
          <w:rFonts w:ascii="Book Antiqua" w:hAnsi="Book Antiqua"/>
          <w:position w:val="10"/>
          <w:sz w:val="20"/>
          <w:vertAlign w:val="superscript"/>
        </w:rPr>
        <w:t xml:space="preserve"> </w:t>
      </w:r>
      <w:r w:rsidRPr="00372C58">
        <w:rPr>
          <w:rFonts w:ascii="Book Antiqua" w:hAnsi="Book Antiqua"/>
          <w:sz w:val="20"/>
        </w:rPr>
        <w:t xml:space="preserve">If astronomical distance is </w:t>
      </w:r>
      <m:oMath>
        <m:r>
          <w:rPr>
            <w:rFonts w:ascii="Cambria Math" w:hAnsi="Cambria Math"/>
            <w:sz w:val="20"/>
          </w:rPr>
          <m:t>R</m:t>
        </m:r>
      </m:oMath>
      <w:r w:rsidRPr="00372C58">
        <w:rPr>
          <w:rFonts w:ascii="Book Antiqua" w:hAnsi="Book Antiqua"/>
          <w:i/>
          <w:iCs/>
          <w:sz w:val="20"/>
        </w:rPr>
        <w:t xml:space="preserve"> </w:t>
      </w:r>
      <w:r w:rsidRPr="00372C58">
        <w:rPr>
          <w:rFonts w:ascii="Book Antiqua" w:hAnsi="Book Antiqua"/>
          <w:sz w:val="20"/>
        </w:rPr>
        <w:t xml:space="preserve">and redshift is </w:t>
      </w:r>
      <m:oMath>
        <m:r>
          <w:rPr>
            <w:rFonts w:ascii="Cambria Math" w:hAnsi="Cambria Math"/>
            <w:sz w:val="20"/>
          </w:rPr>
          <m:t>z</m:t>
        </m:r>
      </m:oMath>
      <w:r w:rsidRPr="00372C58">
        <w:rPr>
          <w:rFonts w:ascii="Book Antiqua" w:hAnsi="Book Antiqua"/>
          <w:sz w:val="20"/>
        </w:rPr>
        <w:t>, then in mathematical terms Hubble’s Law can be written</w:t>
      </w:r>
      <w:r w:rsidR="000634A1" w:rsidRPr="00372C58">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sz w:val="20"/>
          </w:rPr>
          <m:t xml:space="preserve"> </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sz w:val="20"/>
        </w:rPr>
        <w:t xml:space="preserve"> </w:t>
      </w:r>
      <w:r w:rsidRPr="00372C58">
        <w:rPr>
          <w:rFonts w:ascii="Book Antiqua" w:hAnsi="Book Antiqua"/>
          <w:sz w:val="20"/>
        </w:rPr>
        <w:t xml:space="preserve">is a constant of proportionality. Figure 4 is </w:t>
      </w:r>
      <w:r w:rsidR="000634A1" w:rsidRPr="00372C58">
        <w:rPr>
          <w:rFonts w:ascii="Book Antiqua" w:hAnsi="Book Antiqua"/>
          <w:sz w:val="20"/>
        </w:rPr>
        <w:t>Edwin Hubble’s</w:t>
      </w:r>
      <w:r w:rsidRPr="00372C58">
        <w:rPr>
          <w:rFonts w:ascii="Book Antiqua" w:hAnsi="Book Antiqua"/>
          <w:sz w:val="20"/>
        </w:rPr>
        <w:t xml:space="preserve"> graph</w:t>
      </w:r>
      <w:r w:rsidR="000634A1" w:rsidRPr="00372C58">
        <w:rPr>
          <w:rFonts w:ascii="Book Antiqua" w:hAnsi="Book Antiqua"/>
          <w:sz w:val="20"/>
        </w:rPr>
        <w:t xml:space="preserve"> of 1929</w:t>
      </w:r>
      <w:r w:rsidRPr="00372C58">
        <w:rPr>
          <w:rFonts w:ascii="Book Antiqua" w:hAnsi="Book Antiqua"/>
          <w:sz w:val="20"/>
        </w:rPr>
        <w:t>.</w:t>
      </w:r>
    </w:p>
    <w:p w:rsidR="00E32755" w:rsidRPr="00372C58" w:rsidRDefault="00E32755"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15293" cy="2047875"/>
            <wp:effectExtent l="19050" t="0" r="8957" b="0"/>
            <wp:docPr id="162" name="Picture 3" descr="http://www.astronomy.ohio-state.edu/~pogge/Ast162/Unit5/Images/Hubble19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stronomy.ohio-state.edu/~pogge/Ast162/Unit5/Images/Hubble1929.gif"/>
                    <pic:cNvPicPr>
                      <a:picLocks noChangeAspect="1" noChangeArrowheads="1"/>
                    </pic:cNvPicPr>
                  </pic:nvPicPr>
                  <pic:blipFill>
                    <a:blip r:embed="rId175" cstate="print"/>
                    <a:srcRect l="13379" t="26314" r="13614" b="10426"/>
                    <a:stretch>
                      <a:fillRect/>
                    </a:stretch>
                  </pic:blipFill>
                  <pic:spPr bwMode="auto">
                    <a:xfrm>
                      <a:off x="0" y="0"/>
                      <a:ext cx="3515293" cy="20478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4:</w:t>
      </w:r>
      <w:r w:rsidRPr="004A5722">
        <w:rPr>
          <w:rFonts w:ascii="Book Antiqua" w:hAnsi="Book Antiqua"/>
          <w:i/>
          <w:sz w:val="18"/>
          <w:szCs w:val="18"/>
        </w:rPr>
        <w:t xml:space="preserve"> Edwin Hubble's 1929 graph of redshift / distance. The distance scale is in millions of parsecs. A parsec is 3.26 light years. The lowest four values on the left are below zero and are thus blueshifts</w:t>
      </w:r>
      <w:r w:rsidR="000634A1" w:rsidRPr="004A5722">
        <w:rPr>
          <w:rFonts w:ascii="Book Antiqua" w:hAnsi="Book Antiqua"/>
          <w:i/>
          <w:sz w:val="18"/>
          <w:szCs w:val="18"/>
        </w:rPr>
        <w:t>, not redshifts</w:t>
      </w:r>
      <w:r w:rsidRPr="004A5722">
        <w:rPr>
          <w:rFonts w:ascii="Book Antiqua" w:hAnsi="Book Antiqua"/>
          <w:i/>
          <w:sz w:val="18"/>
          <w:szCs w:val="18"/>
        </w:rPr>
        <w: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color w:val="FF0000"/>
          <w:sz w:val="20"/>
        </w:rPr>
      </w:pPr>
      <w:r w:rsidRPr="00372C58">
        <w:rPr>
          <w:rFonts w:ascii="Book Antiqua" w:hAnsi="Book Antiqua"/>
          <w:sz w:val="20"/>
        </w:rPr>
        <w:tab/>
        <w:t xml:space="preserve">Essentially Hubble’s Law is a redshift/distance relationship, and as such simply notes that the redshift of light from galaxies is proportional to their distance. That is the basic data that astronomers and cosmologists have to deal with. Although cautious about the procedure until more data came in, Hubble suggested that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could be multiplied by the current speed of light, </w:t>
      </w:r>
      <m:oMath>
        <m:sSub>
          <m:sSubPr>
            <m:ctrlPr>
              <w:rPr>
                <w:rFonts w:ascii="Cambria Math" w:hAnsi="Book Antiqua"/>
                <w:i/>
                <w:iCs/>
                <w:sz w:val="20"/>
              </w:rPr>
            </m:ctrlPr>
          </m:sSubPr>
          <m:e>
            <m:r>
              <w:rPr>
                <w:rFonts w:ascii="Cambria Math" w:hAnsi="Cambria Math"/>
                <w:sz w:val="20"/>
              </w:rPr>
              <m:t>c</m:t>
            </m:r>
          </m:e>
          <m:sub>
            <m:r>
              <w:rPr>
                <w:rFonts w:ascii="Cambria Math" w:hAnsi="Book Antiqua"/>
                <w:sz w:val="20"/>
              </w:rPr>
              <m:t>0</m:t>
            </m:r>
          </m:sub>
        </m:sSub>
      </m:oMath>
      <w:r w:rsidRPr="00372C58">
        <w:rPr>
          <w:rFonts w:ascii="Book Antiqua" w:hAnsi="Book Antiqua"/>
          <w:sz w:val="20"/>
        </w:rPr>
        <w:t xml:space="preserve">, thereby transforming the dimensionless number into a velocity. Hubble pointed out that this procedure then allowed the redshift to be interpreted as a Doppler effect of galactic recessional velocities, </w:t>
      </w:r>
      <m:oMath>
        <m:r>
          <w:rPr>
            <w:rFonts w:ascii="Cambria Math" w:hAnsi="Cambria Math"/>
            <w:sz w:val="20"/>
          </w:rPr>
          <m:t>v</m:t>
        </m:r>
      </m:oMath>
      <w:r w:rsidRPr="00372C58">
        <w:rPr>
          <w:rFonts w:ascii="Book Antiqua" w:hAnsi="Book Antiqua"/>
          <w:sz w:val="20"/>
        </w:rPr>
        <w:t xml:space="preserve"> as shown in Figure 5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2547417" cy="2272421"/>
            <wp:effectExtent l="19050" t="0" r="5283" b="0"/>
            <wp:docPr id="161" name="il_fi" descr="http://www.sciencewriter.net/ncd/dop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writer.net/ncd/doppler.png"/>
                    <pic:cNvPicPr>
                      <a:picLocks noChangeAspect="1" noChangeArrowheads="1"/>
                    </pic:cNvPicPr>
                  </pic:nvPicPr>
                  <pic:blipFill>
                    <a:blip r:embed="rId176" cstate="print"/>
                    <a:srcRect/>
                    <a:stretch>
                      <a:fillRect/>
                    </a:stretch>
                  </pic:blipFill>
                  <pic:spPr bwMode="auto">
                    <a:xfrm>
                      <a:off x="0" y="0"/>
                      <a:ext cx="2558172" cy="2282015"/>
                    </a:xfrm>
                    <a:prstGeom prst="rect">
                      <a:avLst/>
                    </a:prstGeom>
                    <a:noFill/>
                    <a:ln w="9525">
                      <a:noFill/>
                      <a:miter lim="800000"/>
                      <a:headEnd/>
                      <a:tailEnd/>
                    </a:ln>
                  </pic:spPr>
                </pic:pic>
              </a:graphicData>
            </a:graphic>
          </wp:inline>
        </w:drawing>
      </w:r>
    </w:p>
    <w:p w:rsidR="00265840" w:rsidRPr="004A5722" w:rsidRDefault="00265840" w:rsidP="00265840">
      <w:pPr>
        <w:pStyle w:val="NoSpacing"/>
        <w:jc w:val="center"/>
        <w:rPr>
          <w:rFonts w:ascii="Book Antiqua" w:hAnsi="Book Antiqua"/>
          <w:b/>
          <w:sz w:val="18"/>
          <w:szCs w:val="18"/>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5:</w:t>
      </w:r>
      <w:r w:rsidRPr="004A5722">
        <w:rPr>
          <w:rFonts w:ascii="Book Antiqua" w:hAnsi="Book Antiqua"/>
          <w:i/>
          <w:sz w:val="18"/>
          <w:szCs w:val="18"/>
        </w:rPr>
        <w:t xml:space="preserve"> The Doppler effect. Wave fronts crowd together (or are shorter) in front of a moving emitter and trail out (or lengthen) behind it. This means the frequency of sound (or light) waves drops as the moving emitter passes. For sound this means the pitch of the note gets lower; for light, the waves look redder.</w:t>
      </w:r>
    </w:p>
    <w:p w:rsidR="00265840" w:rsidRPr="00372C58" w:rsidRDefault="00265840" w:rsidP="00265840">
      <w:pPr>
        <w:pStyle w:val="NoSpacing"/>
        <w:ind w:firstLine="720"/>
        <w:jc w:val="both"/>
        <w:rPr>
          <w:rFonts w:ascii="Book Antiqua" w:hAnsi="Book Antiqua"/>
          <w:sz w:val="20"/>
        </w:rPr>
      </w:pPr>
    </w:p>
    <w:p w:rsidR="00265840" w:rsidRDefault="00265840" w:rsidP="00AE210A">
      <w:pPr>
        <w:pStyle w:val="NoSpacing"/>
        <w:ind w:firstLine="720"/>
        <w:jc w:val="both"/>
        <w:rPr>
          <w:rFonts w:ascii="Book Antiqua" w:hAnsi="Book Antiqua"/>
          <w:sz w:val="20"/>
        </w:rPr>
      </w:pPr>
      <w:r w:rsidRPr="00372C58">
        <w:rPr>
          <w:rFonts w:ascii="Book Antiqua" w:hAnsi="Book Antiqua"/>
          <w:sz w:val="20"/>
        </w:rPr>
        <w:t>In the mid-nineteenth century, Christian Doppler published a paper in which he was trying to explain the colors of binary stars.  Although his explanation was later to be shown wrong in regard to the stars, his theory that the frequency of both light and sound waves changed with movement is still valid.  An example of what he meant can be found with the effect heard when a police car passes you with its siren going. As it pulls away from you, the pitch of the siren drops. This is because the sound waves lengthen as the car passes you and goes away.</w:t>
      </w:r>
    </w:p>
    <w:p w:rsidR="00770772" w:rsidRPr="00372C58" w:rsidRDefault="00770772" w:rsidP="00AE210A">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a similar way, Hubble suggested that the redshift, which shows lengthened wavelengths of light from distant galaxies, might indicate they are moving away from us also. On this approach to the redshift data, equation (1) was thereby interpreted to read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v</m:t>
        </m:r>
        <m: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m:t>
        </m:r>
        <m:r>
          <w:rPr>
            <w:rFonts w:ascii="Cambria Math" w:hAnsi="Cambria Math"/>
            <w:sz w:val="20"/>
          </w:rPr>
          <m:t>z</m:t>
        </m:r>
        <m:r>
          <w:rPr>
            <w:rFonts w:ascii="Cambria Math" w:hAnsi="Book Antiqua"/>
            <w:sz w:val="20"/>
          </w:rPr>
          <m:t xml:space="preserve"> =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m:t>
        </m:r>
        <m:r>
          <m:rPr>
            <m:sty m:val="bi"/>
          </m:rPr>
          <w:rPr>
            <w:rFonts w:ascii="Cambria Math" w:hAnsi="Cambria Math"/>
            <w:sz w:val="20"/>
          </w:rPr>
          <m:t>so</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Book Antiqua"/>
            <w:sz w:val="20"/>
          </w:rPr>
          <m:t xml:space="preserve"> = </m:t>
        </m:r>
        <m:r>
          <w:rPr>
            <w:rFonts w:ascii="Cambria Math" w:hAnsi="Cambria Math"/>
            <w:sz w:val="20"/>
          </w:rPr>
          <m:t>ΔW</m:t>
        </m:r>
        <m:r>
          <w:rPr>
            <w:rFonts w:ascii="Cambria Math" w:hAnsi="Book Antiqua"/>
            <w:sz w:val="20"/>
          </w:rPr>
          <m:t>/</m:t>
        </m:r>
        <m:r>
          <w:rPr>
            <w:rFonts w:ascii="Cambria Math" w:hAnsi="Cambria Math"/>
            <w:sz w:val="20"/>
          </w:rPr>
          <m:t>W</m:t>
        </m:r>
        <m:r>
          <w:rPr>
            <w:rFonts w:ascii="Cambria Math" w:hAnsi="Book Antiqua"/>
            <w:sz w:val="20"/>
          </w:rPr>
          <m:t xml:space="preserve">  = </m:t>
        </m:r>
        <m:r>
          <w:rPr>
            <w:rFonts w:ascii="Cambria Math" w:hAnsi="Cambria Math"/>
            <w:sz w:val="20"/>
          </w:rPr>
          <m:t>z</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then allowed equation (6) to be re-written, in accord with the presentation given in the </w:t>
      </w:r>
      <w:r w:rsidRPr="00372C58">
        <w:rPr>
          <w:rFonts w:ascii="Book Antiqua" w:hAnsi="Book Antiqua"/>
          <w:i/>
          <w:sz w:val="20"/>
        </w:rPr>
        <w:t>Cambridge Atlas of Astronomy</w:t>
      </w:r>
      <w:r w:rsidRPr="00372C58">
        <w:rPr>
          <w:rFonts w:ascii="Book Antiqua" w:hAnsi="Book Antiqua"/>
          <w:sz w:val="20"/>
        </w:rPr>
        <w:t xml:space="preserve"> [7], as</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R</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c</m:t>
            </m:r>
          </m:e>
          <m:sub>
            <m:r>
              <w:rPr>
                <w:rFonts w:ascii="Cambria Math" w:hAnsi="Book Antiqua"/>
                <w:sz w:val="20"/>
              </w:rPr>
              <m:t>0</m:t>
            </m:r>
          </m:sub>
        </m:sSub>
        <m:r>
          <w:rPr>
            <w:rFonts w:ascii="Cambria Math" w:hAnsi="Cambria Math"/>
            <w:sz w:val="20"/>
          </w:rPr>
          <m:t>z</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r>
          <w:rPr>
            <w:rFonts w:ascii="Cambria Math" w:hAnsi="Book Antiqua"/>
            <w:position w:val="-10"/>
            <w:sz w:val="20"/>
            <w:vertAlign w:val="subscript"/>
          </w:rPr>
          <m:t xml:space="preserve"> </m:t>
        </m:r>
        <m:r>
          <w:rPr>
            <w:rFonts w:ascii="Cambria Math" w:hAnsi="Book Antiqua"/>
            <w:sz w:val="20"/>
          </w:rPr>
          <m:t xml:space="preserve">= </m:t>
        </m:r>
        <m:r>
          <w:rPr>
            <w:rFonts w:ascii="Cambria Math" w:hAnsi="Cambria Math"/>
            <w:sz w:val="20"/>
          </w:rPr>
          <m:t>v</m:t>
        </m:r>
        <m:r>
          <w:rPr>
            <w:rFonts w:ascii="Cambria Math" w:hAnsi="Book Antiqua"/>
            <w:sz w:val="20"/>
          </w:rPr>
          <m:t>/</m:t>
        </m:r>
        <m:sSub>
          <m:sSubPr>
            <m:ctrlPr>
              <w:rPr>
                <w:rFonts w:ascii="Cambria Math" w:hAnsi="Book Antiqua"/>
                <w:i/>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i/>
          <w:iCs/>
          <w:position w:val="-10"/>
          <w:sz w:val="20"/>
          <w:vertAlign w:val="subscript"/>
        </w:rPr>
        <w:t xml:space="preserve"> </w:t>
      </w:r>
      <w:r w:rsidRPr="00372C58">
        <w:rPr>
          <w:rFonts w:ascii="Book Antiqua" w:hAnsi="Book Antiqua"/>
          <w:sz w:val="20"/>
        </w:rPr>
        <w:t xml:space="preserve">is the new constant of proportionality and is now called the Hubble constant.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was the situation up until the 1960’s. By 1960, the highest red shift value, </w:t>
      </w:r>
      <m:oMath>
        <m:r>
          <w:rPr>
            <w:rFonts w:ascii="Cambria Math" w:hAnsi="Cambria Math"/>
            <w:sz w:val="20"/>
          </w:rPr>
          <m:t>z</m:t>
        </m:r>
      </m:oMath>
      <w:r w:rsidRPr="00372C58">
        <w:rPr>
          <w:rFonts w:ascii="Book Antiqua" w:hAnsi="Book Antiqua"/>
          <w:iCs/>
          <w:sz w:val="20"/>
        </w:rPr>
        <w:t>,</w:t>
      </w:r>
      <w:r w:rsidRPr="00372C58">
        <w:rPr>
          <w:rFonts w:ascii="Book Antiqua" w:hAnsi="Book Antiqua"/>
          <w:i/>
          <w:iCs/>
          <w:sz w:val="20"/>
        </w:rPr>
        <w:t xml:space="preserve"> </w:t>
      </w:r>
      <w:r w:rsidRPr="00372C58">
        <w:rPr>
          <w:rFonts w:ascii="Book Antiqua" w:hAnsi="Book Antiqua"/>
          <w:sz w:val="20"/>
        </w:rPr>
        <w:t>obtained was around 0.4. From the interpretation of equation (7) this meant these galaxies were receding at two-fifths of the velocity of light, and an essentially linear relationship was being maintained on the Hubble graph of redshift/distance from (6) or (8) [8, 9].</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However, after 1960, around a redshift of about 0.4, a departure from linearity began to be noted as galaxy ‘velocities’ became more relativistic, meaning they were approaching the speed of light. Consequently, by the mid-1960’s, a relativistic Doppler formula was applied. Later, with the advent of the Hubble Space Telescope, that formula was found to be a reasonably accurate approximation for objects even at the frontiers of the universe. Thus equation (7) came to be re-written as [10]: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(9)</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Since many astronomical applications use the formula </w:t>
      </w:r>
      <m:oMath>
        <m:r>
          <w:rPr>
            <w:rFonts w:ascii="Cambria Math" w:hAnsi="Book Antiqua"/>
            <w:sz w:val="20"/>
          </w:rPr>
          <m:t xml:space="preserve">(1 + </m:t>
        </m:r>
        <m:r>
          <w:rPr>
            <w:rFonts w:ascii="Cambria Math" w:hAnsi="Cambria Math"/>
            <w:sz w:val="20"/>
          </w:rPr>
          <m:t>z</m:t>
        </m:r>
        <m:r>
          <w:rPr>
            <w:rFonts w:ascii="Cambria Math" w:hAnsi="Book Antiqua"/>
            <w:sz w:val="20"/>
          </w:rPr>
          <m:t>)</m:t>
        </m:r>
      </m:oMath>
      <w:r w:rsidRPr="00372C58">
        <w:rPr>
          <w:rFonts w:ascii="Book Antiqua" w:hAnsi="Book Antiqua"/>
          <w:i/>
          <w:iCs/>
          <w:sz w:val="20"/>
        </w:rPr>
        <w:t xml:space="preserve"> </w:t>
      </w:r>
      <w:r w:rsidRPr="00372C58">
        <w:rPr>
          <w:rFonts w:ascii="Book Antiqua" w:hAnsi="Book Antiqua"/>
          <w:iCs/>
          <w:sz w:val="20"/>
        </w:rPr>
        <w:t>to describe what is being observed</w:t>
      </w:r>
      <w:r w:rsidRPr="00372C58">
        <w:rPr>
          <w:rFonts w:ascii="Book Antiqua" w:hAnsi="Book Antiqua"/>
          <w:sz w:val="20"/>
        </w:rPr>
        <w:t xml:space="preserve">, (9) then becomes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(10)</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color w:val="000000"/>
          <w:sz w:val="20"/>
        </w:rPr>
        <w:t>1.3. Noting Some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Because of Hubble’s multiplication of the red 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by the speed of light, </w:t>
      </w:r>
      <m:oMath>
        <m:r>
          <w:rPr>
            <w:rFonts w:ascii="Cambria Math" w:hAnsi="Cambria Math"/>
            <w:sz w:val="20"/>
          </w:rPr>
          <m:t>c</m:t>
        </m:r>
      </m:oMath>
      <w:r w:rsidRPr="00372C58">
        <w:rPr>
          <w:rFonts w:ascii="Book Antiqua" w:hAnsi="Book Antiqua"/>
          <w:sz w:val="20"/>
        </w:rPr>
        <w:t>, a Doppler shift interpretation has been given to the redshift data. This interpretation has led to the impression that galaxies are racing away from each other at speeds which increase with distance from our galaxy. Indeed, near the frontiers of the cosmos, those speeds are thought to be close to the current speed of light. However, Hubble himself had doubts about that explanation.  Nevertheless, that was the explanation adopted and is still accepted.</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Yet the question remains:  Is redshift </w:t>
      </w:r>
      <w:r w:rsidR="009554D2">
        <w:rPr>
          <w:rFonts w:ascii="Book Antiqua" w:hAnsi="Book Antiqua"/>
          <w:sz w:val="20"/>
        </w:rPr>
        <w:t xml:space="preserve">actually </w:t>
      </w:r>
      <w:r w:rsidRPr="00372C58">
        <w:rPr>
          <w:rFonts w:ascii="Book Antiqua" w:hAnsi="Book Antiqua"/>
          <w:sz w:val="20"/>
        </w:rPr>
        <w:t xml:space="preserve">indicative of motion?  In 1995, Malcolm Longair wrote [11]: </w:t>
      </w:r>
      <w:r w:rsidRPr="00372C58">
        <w:rPr>
          <w:rFonts w:ascii="Book Antiqua" w:hAnsi="Book Antiqua"/>
          <w:i/>
          <w:iCs/>
          <w:sz w:val="20"/>
        </w:rPr>
        <w:t xml:space="preserve">“Thus, redshift does not really have anything to do with velocities at all in cosmology. The redshift is a … dimensionless number which … tells us the relative distance between galaxies when the light was emitted compared with that distance now. It is a great pity that Hubble multiplied </w:t>
      </w:r>
      <m:oMath>
        <m:r>
          <w:rPr>
            <w:rFonts w:ascii="Cambria Math" w:hAnsi="Cambria Math"/>
            <w:sz w:val="20"/>
          </w:rPr>
          <m:t>z</m:t>
        </m:r>
      </m:oMath>
      <w:r w:rsidRPr="00372C58">
        <w:rPr>
          <w:rFonts w:ascii="Book Antiqua" w:hAnsi="Book Antiqua"/>
          <w:i/>
          <w:iCs/>
          <w:sz w:val="20"/>
        </w:rPr>
        <w:t xml:space="preserve"> by </w:t>
      </w:r>
      <m:oMath>
        <m:r>
          <w:rPr>
            <w:rFonts w:ascii="Cambria Math" w:hAnsi="Cambria Math"/>
            <w:sz w:val="20"/>
          </w:rPr>
          <m:t>c</m:t>
        </m:r>
      </m:oMath>
      <w:r w:rsidRPr="00372C58">
        <w:rPr>
          <w:rFonts w:ascii="Book Antiqua" w:hAnsi="Book Antiqua"/>
          <w:i/>
          <w:iCs/>
          <w:sz w:val="20"/>
        </w:rPr>
        <w:t xml:space="preserve">. I hope we will eventually get rid of the </w:t>
      </w:r>
      <m:oMath>
        <m:r>
          <w:rPr>
            <w:rFonts w:ascii="Cambria Math" w:hAnsi="Cambria Math"/>
            <w:sz w:val="20"/>
          </w:rPr>
          <m:t>c</m:t>
        </m:r>
      </m:oMath>
      <w:r w:rsidRPr="00372C58">
        <w:rPr>
          <w:rFonts w:ascii="Book Antiqua" w:hAnsi="Book Antiqua"/>
          <w:i/>
          <w:iCs/>
          <w:sz w:val="20"/>
        </w:rPr>
        <w:t xml:space="preserve">.” </w:t>
      </w:r>
    </w:p>
    <w:p w:rsidR="00265840" w:rsidRPr="00372C58" w:rsidRDefault="00265840" w:rsidP="00265840">
      <w:pPr>
        <w:pStyle w:val="NoSpacing"/>
        <w:jc w:val="both"/>
        <w:rPr>
          <w:rFonts w:ascii="Book Antiqua" w:hAnsi="Book Antiqua"/>
          <w:sz w:val="20"/>
        </w:rPr>
      </w:pPr>
    </w:p>
    <w:p w:rsidR="00EC666F" w:rsidRDefault="00265840" w:rsidP="00265840">
      <w:pPr>
        <w:pStyle w:val="NoSpacing"/>
        <w:jc w:val="both"/>
        <w:rPr>
          <w:rFonts w:ascii="Book Antiqua" w:hAnsi="Book Antiqua"/>
          <w:iCs/>
          <w:sz w:val="20"/>
        </w:rPr>
      </w:pPr>
      <w:r w:rsidRPr="00372C58">
        <w:rPr>
          <w:rFonts w:ascii="Book Antiqua" w:hAnsi="Book Antiqua"/>
          <w:sz w:val="20"/>
        </w:rPr>
        <w:tab/>
        <w:t xml:space="preserve">Using quasars of high redshifts with </w:t>
      </w:r>
      <m:oMath>
        <m:r>
          <w:rPr>
            <w:rFonts w:ascii="Cambria Math" w:hAnsi="Cambria Math"/>
            <w:sz w:val="20"/>
          </w:rPr>
          <m:t>z</m:t>
        </m:r>
        <m:r>
          <w:rPr>
            <w:rFonts w:ascii="Cambria Math" w:hAnsi="Book Antiqua"/>
            <w:sz w:val="20"/>
          </w:rPr>
          <m:t xml:space="preserve"> &gt; 1</m:t>
        </m:r>
      </m:oMath>
      <w:r w:rsidRPr="00372C58">
        <w:rPr>
          <w:rFonts w:ascii="Book Antiqua" w:hAnsi="Book Antiqua"/>
          <w:i/>
          <w:iCs/>
          <w:sz w:val="20"/>
        </w:rPr>
        <w:t xml:space="preserve"> </w:t>
      </w:r>
      <w:r w:rsidRPr="00372C58">
        <w:rPr>
          <w:rFonts w:ascii="Book Antiqua" w:hAnsi="Book Antiqua"/>
          <w:sz w:val="20"/>
        </w:rPr>
        <w:t>as examples, Misner, Thorne and Wheeler use an argument similar to Schmidt’s [12], rejecting the</w:t>
      </w:r>
      <w:r w:rsidRPr="00372C58">
        <w:rPr>
          <w:rFonts w:ascii="Book Antiqua" w:hAnsi="Book Antiqua"/>
          <w:position w:val="10"/>
          <w:sz w:val="20"/>
          <w:vertAlign w:val="superscript"/>
        </w:rPr>
        <w:t xml:space="preserve"> </w:t>
      </w:r>
      <w:r w:rsidRPr="00372C58">
        <w:rPr>
          <w:rFonts w:ascii="Book Antiqua" w:hAnsi="Book Antiqua"/>
          <w:sz w:val="20"/>
        </w:rPr>
        <w:t xml:space="preserve">Doppler shift explanation on different grounds. They state: </w:t>
      </w:r>
      <w:r w:rsidRPr="00372C58">
        <w:rPr>
          <w:rFonts w:ascii="Book Antiqua" w:hAnsi="Book Antiqua"/>
          <w:i/>
          <w:iCs/>
          <w:sz w:val="20"/>
        </w:rPr>
        <w:t xml:space="preserve">“Nor are the quasar redshifts likely to be Doppler; how could so massive an object be accelerated to </w:t>
      </w:r>
      <m:oMath>
        <m:r>
          <w:rPr>
            <w:rFonts w:ascii="Cambria Math" w:hAnsi="Cambria Math"/>
            <w:sz w:val="20"/>
          </w:rPr>
          <m:t>v</m:t>
        </m:r>
        <m:r>
          <w:rPr>
            <w:rFonts w:ascii="Cambria Math" w:hAnsi="Book Antiqua"/>
            <w:sz w:val="20"/>
          </w:rPr>
          <m:t xml:space="preserve"> ~ 1</m:t>
        </m:r>
      </m:oMath>
      <w:r w:rsidRPr="00372C58">
        <w:rPr>
          <w:rFonts w:ascii="Book Antiqua" w:hAnsi="Book Antiqua"/>
          <w:i/>
          <w:iCs/>
          <w:sz w:val="20"/>
        </w:rPr>
        <w:t xml:space="preserve"> [the speed of light] without complete disruption?”</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In thus rejecting the redshifts as Doppler effects, they also point out the problem that exists with one alternative explanation, namely gravitational redshifts. They state: </w:t>
      </w:r>
      <w:r w:rsidRPr="00372C58">
        <w:rPr>
          <w:rFonts w:ascii="Book Antiqua" w:hAnsi="Book Antiqua"/>
          <w:i/>
          <w:iCs/>
          <w:sz w:val="20"/>
        </w:rPr>
        <w:t xml:space="preserve">“Observed quasar redshifts of </w:t>
      </w:r>
      <m:oMath>
        <m:r>
          <w:rPr>
            <w:rFonts w:ascii="Cambria Math" w:hAnsi="Cambria Math"/>
            <w:sz w:val="20"/>
          </w:rPr>
          <m:t>z</m:t>
        </m:r>
        <m:r>
          <w:rPr>
            <w:rFonts w:ascii="Cambria Math" w:hAnsi="Book Antiqua"/>
            <w:sz w:val="20"/>
          </w:rPr>
          <m:t xml:space="preserve"> ~ 1 </m:t>
        </m:r>
        <m:r>
          <w:rPr>
            <w:rFonts w:ascii="Cambria Math" w:hAnsi="Cambria Math"/>
            <w:sz w:val="20"/>
          </w:rPr>
          <m:t>to</m:t>
        </m:r>
        <m:r>
          <w:rPr>
            <w:rFonts w:ascii="Cambria Math" w:hAnsi="Book Antiqua"/>
            <w:sz w:val="20"/>
          </w:rPr>
          <m:t xml:space="preserve"> 3</m:t>
        </m:r>
      </m:oMath>
      <w:r w:rsidRPr="00372C58">
        <w:rPr>
          <w:rFonts w:ascii="Book Antiqua" w:hAnsi="Book Antiqua"/>
          <w:i/>
          <w:iCs/>
          <w:sz w:val="20"/>
        </w:rPr>
        <w:t xml:space="preserve"> cannot be gravitational in origin; objects with gravitational redshifts larger than</w:t>
      </w:r>
      <m:oMath>
        <m:r>
          <w:rPr>
            <w:rFonts w:ascii="Cambria Math" w:hAnsi="Book Antiqua"/>
            <w:sz w:val="20"/>
          </w:rPr>
          <m:t xml:space="preserve"> </m:t>
        </m:r>
        <m:r>
          <w:rPr>
            <w:rFonts w:ascii="Cambria Math" w:hAnsi="Cambria Math"/>
            <w:sz w:val="20"/>
          </w:rPr>
          <m:t>z</m:t>
        </m:r>
        <m:r>
          <w:rPr>
            <w:rFonts w:ascii="Cambria Math" w:hAnsi="Book Antiqua"/>
            <w:sz w:val="20"/>
          </w:rPr>
          <m:t xml:space="preserve"> ~ 0.5</m:t>
        </m:r>
      </m:oMath>
      <w:r w:rsidRPr="00372C58">
        <w:rPr>
          <w:rFonts w:ascii="Book Antiqua" w:hAnsi="Book Antiqua"/>
          <w:i/>
          <w:iCs/>
          <w:sz w:val="20"/>
        </w:rPr>
        <w:t xml:space="preserve"> are unstable against collapse.”</w:t>
      </w:r>
      <w:r w:rsidRPr="00372C58">
        <w:rPr>
          <w:rFonts w:ascii="Book Antiqua" w:hAnsi="Book Antiqua"/>
          <w:iCs/>
          <w:sz w:val="20"/>
        </w:rPr>
        <w:t>[13]</w:t>
      </w:r>
      <w:r w:rsidRPr="00372C58">
        <w:rPr>
          <w:rFonts w:ascii="Book Antiqua" w:hAnsi="Book Antiqua"/>
          <w:position w:val="10"/>
          <w:sz w:val="20"/>
          <w:vertAlign w:val="superscript"/>
        </w:rPr>
        <w:t xml:space="preserve"> </w:t>
      </w:r>
      <w:r w:rsidRPr="00372C58">
        <w:rPr>
          <w:rFonts w:ascii="Book Antiqua" w:hAnsi="Book Antiqua"/>
          <w:sz w:val="20"/>
        </w:rPr>
        <w:t xml:space="preserve">So in knocking out Doppler shifts and gravitation as the origin of the observed redshifts they come to what they see as the only other solution, namely a </w:t>
      </w:r>
      <w:r w:rsidRPr="00372C58">
        <w:rPr>
          <w:rFonts w:ascii="Book Antiqua" w:hAnsi="Book Antiqua"/>
          <w:i/>
          <w:iCs/>
          <w:sz w:val="20"/>
        </w:rPr>
        <w:t xml:space="preserve">“cosmological redshift.” </w:t>
      </w:r>
      <w:r w:rsidRPr="00372C58">
        <w:rPr>
          <w:rFonts w:ascii="Book Antiqua" w:hAnsi="Book Antiqua"/>
          <w:iCs/>
          <w:sz w:val="20"/>
        </w:rPr>
        <w:t>[13]</w:t>
      </w:r>
    </w:p>
    <w:p w:rsidR="00EC666F" w:rsidRPr="00EC666F" w:rsidRDefault="00265840" w:rsidP="00265840">
      <w:pPr>
        <w:pStyle w:val="NoSpacing"/>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This cosmological redshift was explained by another interpretation, one commonly used to explain the observed lengthening of wavelengths. About the time that the initial redshift and distance measurements were being made in the mid 1920’s, the mathematician Alexander Friedmann was examining the Einstein’s field equations which describe a static universe. Friedmann found that these equations were capable of an infinite number of solutions if Einstein’s model of a static universe was abandoned [14].</w:t>
      </w:r>
      <w:r w:rsidRPr="00372C58">
        <w:rPr>
          <w:rFonts w:ascii="Book Antiqua" w:hAnsi="Book Antiqua"/>
          <w:position w:val="10"/>
          <w:sz w:val="20"/>
          <w:vertAlign w:val="superscript"/>
        </w:rPr>
        <w:t xml:space="preserve"> </w:t>
      </w:r>
      <w:r w:rsidRPr="00372C58">
        <w:rPr>
          <w:rFonts w:ascii="Book Antiqua" w:hAnsi="Book Antiqua"/>
          <w:sz w:val="20"/>
        </w:rPr>
        <w:t>Then in 1927, the Abbe, Georges Lemaitre, produced equations describing a universe which exploded out of an infinitely dense state and which has continued to expand ever since [15].</w:t>
      </w:r>
      <w:r w:rsidRPr="00372C58">
        <w:rPr>
          <w:rFonts w:ascii="Book Antiqua" w:hAnsi="Book Antiqua"/>
          <w:position w:val="10"/>
          <w:sz w:val="20"/>
          <w:vertAlign w:val="superscript"/>
        </w:rPr>
        <w:t xml:space="preserve"> </w:t>
      </w:r>
      <w:r w:rsidRPr="00372C58">
        <w:rPr>
          <w:rFonts w:ascii="Book Antiqua" w:hAnsi="Book Antiqua"/>
          <w:sz w:val="20"/>
        </w:rPr>
        <w:t xml:space="preserve">In Einstein’s case, the equations required the very ‘fabric’ of space-time to be static with the galaxies moving through it. Einstein's model required that the redshift was due entirely to galaxy motion.  This implied that the redshift was thereby a Doppler effect, and this explanation is still used, despite the problems that Misner, Thorne and Wheeler have shown with this concept.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agreement with Lemaitre, and in opposition to Einstein, Friedmann and Lemaitre’s universe had the very ‘fabric’ of space-time expanding, so that the universe’s spatial co-ordinates are time dependent. Importantly, Lemaitre pointed out that if the fabric of space was itself expanding, then photons of light in transit should have their wavelengths stretched in a manner proportional to the expansion. This concept is illustrated in Figure 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154601" cy="2581275"/>
            <wp:effectExtent l="19050" t="0" r="7949" b="0"/>
            <wp:docPr id="1530" name="Picture 42" descr="http://www.sirtf.nau.edu/~koerner/ast180/lectures/pic/cdrom/art_high-res/ch17/figure-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irtf.nau.edu/~koerner/ast180/lectures/pic/cdrom/art_high-res/ch17/figure-17-01.jpg"/>
                    <pic:cNvPicPr>
                      <a:picLocks noChangeAspect="1" noChangeArrowheads="1"/>
                    </pic:cNvPicPr>
                  </pic:nvPicPr>
                  <pic:blipFill>
                    <a:blip r:embed="rId18" cstate="print"/>
                    <a:srcRect t="8743" r="1437" b="15301"/>
                    <a:stretch>
                      <a:fillRect/>
                    </a:stretch>
                  </pic:blipFill>
                  <pic:spPr bwMode="auto">
                    <a:xfrm>
                      <a:off x="0" y="0"/>
                      <a:ext cx="5154601" cy="25812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sz w:val="20"/>
        </w:rPr>
      </w:pPr>
    </w:p>
    <w:p w:rsidR="00265840" w:rsidRPr="004A5722" w:rsidRDefault="00265840" w:rsidP="00265840">
      <w:pPr>
        <w:pStyle w:val="NoSpacing"/>
        <w:rPr>
          <w:rFonts w:ascii="Book Antiqua" w:hAnsi="Book Antiqua"/>
          <w:i/>
          <w:sz w:val="18"/>
          <w:szCs w:val="18"/>
        </w:rPr>
      </w:pPr>
      <w:r w:rsidRPr="004A5722">
        <w:rPr>
          <w:rFonts w:ascii="Book Antiqua" w:hAnsi="Book Antiqua"/>
          <w:b/>
          <w:i/>
          <w:sz w:val="18"/>
          <w:szCs w:val="18"/>
        </w:rPr>
        <w:t>Figure 6:</w:t>
      </w:r>
      <w:r w:rsidRPr="004A5722">
        <w:rPr>
          <w:rFonts w:ascii="Book Antiqua" w:hAnsi="Book Antiqua"/>
          <w:i/>
          <w:sz w:val="18"/>
          <w:szCs w:val="18"/>
        </w:rPr>
        <w:t xml:space="preserve"> A wave is drawn on a piece of unstretched elastic fabric. Then the fabric is stretched. As it does so, the wavelength is stretched proportionally. This is how it is proposed that expanding the fabric of space causes the redshift.</w:t>
      </w:r>
    </w:p>
    <w:p w:rsidR="00CA1383" w:rsidRPr="00372C58" w:rsidRDefault="00CA1383" w:rsidP="00265840">
      <w:pPr>
        <w:pStyle w:val="NoSpacing"/>
        <w:jc w:val="both"/>
        <w:rPr>
          <w:rFonts w:ascii="Book Antiqua" w:hAnsi="Book Antiqua"/>
          <w:sz w:val="20"/>
        </w:rPr>
      </w:pPr>
    </w:p>
    <w:p w:rsidR="00CA1383" w:rsidRPr="00372C58" w:rsidRDefault="00CA1383"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These hypothesized space-time expansion redshifts can then be described by the relationship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Cambria Math"/>
            <w:sz w:val="20"/>
          </w:rPr>
          <m:t>z</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1      </m:t>
        </m:r>
        <m:r>
          <m:rPr>
            <m:sty m:val="bi"/>
          </m:rPr>
          <w:rPr>
            <w:rFonts w:ascii="Cambria Math" w:hAnsi="Book Antiqua"/>
            <w:sz w:val="20"/>
          </w:rPr>
          <m:t xml:space="preserve">  </m:t>
        </m:r>
        <m:r>
          <m:rPr>
            <m:sty m:val="bi"/>
          </m:rPr>
          <w:rPr>
            <w:rFonts w:ascii="Cambria Math" w:hAnsi="Cambria Math"/>
            <w:sz w:val="20"/>
          </w:rPr>
          <m:t>or</m:t>
        </m:r>
        <m:r>
          <w:rPr>
            <w:rFonts w:ascii="Cambria Math" w:hAnsi="Book Antiqua"/>
            <w:sz w:val="20"/>
          </w:rPr>
          <m:t xml:space="preserve">        (1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(11)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 xml:space="preserve">where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oMath>
      <w:r w:rsidRPr="00372C58">
        <w:rPr>
          <w:rFonts w:ascii="Book Antiqua" w:hAnsi="Book Antiqua"/>
          <w:sz w:val="20"/>
          <w:vertAlign w:val="subscript"/>
        </w:rPr>
        <w:t xml:space="preserve"> </w:t>
      </w:r>
      <w:r w:rsidRPr="00372C58">
        <w:rPr>
          <w:rFonts w:ascii="Book Antiqua" w:hAnsi="Book Antiqua"/>
          <w:sz w:val="20"/>
        </w:rPr>
        <w:t xml:space="preserve">are the values of the space-time expansion factor at the time of photon emission from a distant galaxy and at the time of reception respectively [16].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on this basis that a balloon analogy is often used to describe the redshift. As it is being inflated, the fabric of the balloon expands in the same way that the fabric of space-time is proposed to be expanding. According to this explanation, wavelengths of light in transit through space will be stretched proportionally resulting in a redshift when that light is compared with the laboratory standard.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
          <w:sz w:val="20"/>
        </w:rPr>
      </w:pPr>
      <w:r w:rsidRPr="00372C58">
        <w:rPr>
          <w:rFonts w:ascii="Book Antiqua" w:hAnsi="Book Antiqua"/>
          <w:bCs/>
          <w:i/>
          <w:iCs/>
          <w:sz w:val="20"/>
        </w:rPr>
        <w:t>1.4. Three Further Problems.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this approach is adopted, there are three </w:t>
      </w:r>
      <w:r w:rsidR="009554D2">
        <w:rPr>
          <w:rFonts w:ascii="Book Antiqua" w:hAnsi="Book Antiqua"/>
          <w:sz w:val="20"/>
        </w:rPr>
        <w:t>more</w:t>
      </w:r>
      <w:r w:rsidRPr="00372C58">
        <w:rPr>
          <w:rFonts w:ascii="Book Antiqua" w:hAnsi="Book Antiqua"/>
          <w:sz w:val="20"/>
        </w:rPr>
        <w:t xml:space="preserve"> problems. First, let us assume that the expansion of space-time really is the cause of the redshift.  But, if light waves in transit are lengthened, it necessarily means that all spectral lines will also be proportionally broadened, as well as being redshifted. This has not been observed, as Lyndon Ashmore pointed out in </w:t>
      </w:r>
      <w:r w:rsidRPr="00372C58">
        <w:rPr>
          <w:rFonts w:ascii="Book Antiqua" w:hAnsi="Book Antiqua"/>
          <w:i/>
          <w:sz w:val="20"/>
        </w:rPr>
        <w:t>'An Explanation of Redshift in a Static Universe</w:t>
      </w:r>
      <w:r w:rsidRPr="00372C58">
        <w:rPr>
          <w:rFonts w:ascii="Book Antiqua" w:hAnsi="Book Antiqua"/>
          <w:sz w:val="20"/>
        </w:rPr>
        <w:t xml:space="preserve">’ [17]. What this observational evidence means is that the stretching of wavelengths cannot be the cause of the redshift. </w:t>
      </w:r>
      <w:r w:rsidR="009554D2">
        <w:rPr>
          <w:rFonts w:ascii="Book Antiqua" w:hAnsi="Book Antiqua"/>
          <w:sz w:val="20"/>
        </w:rPr>
        <w:t>This, then, indicates that</w:t>
      </w:r>
      <w:r w:rsidRPr="00372C58">
        <w:rPr>
          <w:rFonts w:ascii="Book Antiqua" w:hAnsi="Book Antiqua"/>
          <w:sz w:val="20"/>
        </w:rPr>
        <w:t xml:space="preserve"> the stretching of space-time is not the reason for the redshift.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Second, if space-time expanded light waves in transit, atoms </w:t>
      </w:r>
      <w:r w:rsidR="009554D2">
        <w:rPr>
          <w:rFonts w:ascii="Book Antiqua" w:hAnsi="Book Antiqua"/>
          <w:sz w:val="20"/>
        </w:rPr>
        <w:t xml:space="preserve">themselves </w:t>
      </w:r>
      <w:r w:rsidRPr="00372C58">
        <w:rPr>
          <w:rFonts w:ascii="Book Antiqua" w:hAnsi="Book Antiqua"/>
          <w:sz w:val="20"/>
        </w:rPr>
        <w:t xml:space="preserve">should undergo expansion </w:t>
      </w:r>
      <w:r w:rsidR="009554D2">
        <w:rPr>
          <w:rFonts w:ascii="Book Antiqua" w:hAnsi="Book Antiqua"/>
          <w:sz w:val="20"/>
        </w:rPr>
        <w:t>as well</w:t>
      </w:r>
      <w:r w:rsidRPr="00372C58">
        <w:rPr>
          <w:rFonts w:ascii="Book Antiqua" w:hAnsi="Book Antiqua"/>
          <w:sz w:val="20"/>
        </w:rPr>
        <w:t xml:space="preserve">. If this were the case, then shouldn’t this expansion be unobservable, since everything would be expanding, including our measuring sticks? In 1994, W. Q. Sumner thoroughly examined both this question and the Friedmann equations involved. Sumner established that, due to the effects of cosmological expansion on the atom, the results would indeed be observable; and, contrary to expectations, would lead to a blue-shift of light received from such atoms [18]. When Sumner followed Friedmann’s equations through to their logical conclusion, he noted that the observed redshift implies that the very fabric of space must be contracting rather than expanding [18]. </w:t>
      </w:r>
      <w:r w:rsidR="009554D2">
        <w:rPr>
          <w:rFonts w:ascii="Book Antiqua" w:hAnsi="Book Antiqua"/>
          <w:sz w:val="20"/>
        </w:rPr>
        <w:t xml:space="preserve">  This requires some further explanation before we get to the third problem.</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Interestingly, it is not customary for the Friedmann equations to be logically followed through </w:t>
      </w:r>
      <w:r w:rsidR="009554D2">
        <w:rPr>
          <w:rFonts w:ascii="Book Antiqua" w:hAnsi="Book Antiqua"/>
          <w:sz w:val="20"/>
        </w:rPr>
        <w:t>as described above</w:t>
      </w:r>
      <w:r w:rsidRPr="00372C58">
        <w:rPr>
          <w:rFonts w:ascii="Book Antiqua" w:hAnsi="Book Antiqua"/>
          <w:sz w:val="20"/>
        </w:rPr>
        <w:t xml:space="preserve">. </w:t>
      </w:r>
      <w:r w:rsidR="009554D2">
        <w:rPr>
          <w:rFonts w:ascii="Book Antiqua" w:hAnsi="Book Antiqua"/>
          <w:sz w:val="20"/>
        </w:rPr>
        <w:t xml:space="preserve"> </w:t>
      </w:r>
      <w:r w:rsidRPr="00372C58">
        <w:rPr>
          <w:rFonts w:ascii="Book Antiqua" w:hAnsi="Book Antiqua"/>
          <w:sz w:val="20"/>
        </w:rPr>
        <w:t>Indeed, Sumner was accused of a conceptual error because he failed to follow the accepted position which stated that not everything expands. In a segment whose side-bar reads "</w:t>
      </w:r>
      <w:r w:rsidRPr="00372C58">
        <w:rPr>
          <w:rFonts w:ascii="Book Antiqua" w:hAnsi="Book Antiqua"/>
          <w:i/>
          <w:iCs/>
          <w:sz w:val="20"/>
        </w:rPr>
        <w:t>What expands in the universe and what does not,"</w:t>
      </w:r>
      <w:r w:rsidRPr="00372C58">
        <w:rPr>
          <w:rFonts w:ascii="Book Antiqua" w:hAnsi="Book Antiqua"/>
          <w:sz w:val="20"/>
        </w:rPr>
        <w:t xml:space="preserve"> Misner, Thorne and Wheeler refer to this common problem and then comment:</w:t>
      </w:r>
      <w:r w:rsidRPr="00372C58">
        <w:rPr>
          <w:rFonts w:ascii="Book Antiqua" w:hAnsi="Book Antiqua"/>
          <w:i/>
          <w:iCs/>
          <w:sz w:val="20"/>
        </w:rPr>
        <w:t xml:space="preserve"> "Only later does [the student] realize that the atom does not expand, the meter stick does not expand, the distance between the sun and earth does not expand. Only distances between clusters of galaxies and greater distances are subject to the expansion. No model more quickly illustrates the actual situation than a rubber balloon with pennies affixed to it, each by a drop of glue. As the balloon is inflated the pennies increase their separation one from another but not a single one of them expands!"</w:t>
      </w:r>
      <w:r w:rsidRPr="00372C58">
        <w:rPr>
          <w:rFonts w:ascii="Book Antiqua" w:hAnsi="Book Antiqua"/>
          <w:sz w:val="20"/>
        </w:rPr>
        <w:t xml:space="preserve"> [18] Evidently, however, they missed the point that while atomic particles are the substance of which the expanding universe is made, </w:t>
      </w:r>
      <w:r w:rsidR="009554D2">
        <w:rPr>
          <w:rFonts w:ascii="Book Antiqua" w:hAnsi="Book Antiqua"/>
          <w:sz w:val="20"/>
        </w:rPr>
        <w:t xml:space="preserve">somehow </w:t>
      </w:r>
      <w:r w:rsidRPr="00372C58">
        <w:rPr>
          <w:rFonts w:ascii="Book Antiqua" w:hAnsi="Book Antiqua"/>
          <w:sz w:val="20"/>
        </w:rPr>
        <w:t>the pennies glued to a balloon are not.</w:t>
      </w:r>
    </w:p>
    <w:p w:rsidR="00265840" w:rsidRPr="00372C58" w:rsidRDefault="00265840" w:rsidP="00265840">
      <w:pPr>
        <w:pStyle w:val="NoSpacing"/>
        <w:jc w:val="both"/>
        <w:rPr>
          <w:rFonts w:ascii="Book Antiqua" w:hAnsi="Book Antiqua"/>
          <w:sz w:val="20"/>
        </w:rPr>
      </w:pPr>
    </w:p>
    <w:p w:rsidR="00265840" w:rsidRPr="00372C58" w:rsidRDefault="009554D2" w:rsidP="00265840">
      <w:pPr>
        <w:pStyle w:val="NoSpacing"/>
        <w:ind w:firstLine="720"/>
        <w:jc w:val="both"/>
        <w:rPr>
          <w:rFonts w:ascii="Book Antiqua" w:hAnsi="Book Antiqua"/>
          <w:sz w:val="20"/>
        </w:rPr>
      </w:pPr>
      <w:r>
        <w:rPr>
          <w:rFonts w:ascii="Book Antiqua" w:hAnsi="Book Antiqua"/>
          <w:sz w:val="20"/>
        </w:rPr>
        <w:t>W</w:t>
      </w:r>
      <w:r w:rsidR="00265840" w:rsidRPr="00372C58">
        <w:rPr>
          <w:rFonts w:ascii="Book Antiqua" w:hAnsi="Book Antiqua"/>
          <w:sz w:val="20"/>
        </w:rPr>
        <w:t>e are</w:t>
      </w:r>
      <w:r>
        <w:rPr>
          <w:rFonts w:ascii="Book Antiqua" w:hAnsi="Book Antiqua"/>
          <w:sz w:val="20"/>
        </w:rPr>
        <w:t xml:space="preserve"> then</w:t>
      </w:r>
      <w:r w:rsidR="00265840" w:rsidRPr="00372C58">
        <w:rPr>
          <w:rFonts w:ascii="Book Antiqua" w:hAnsi="Book Antiqua"/>
          <w:sz w:val="20"/>
        </w:rPr>
        <w:t xml:space="preserve"> supposed to conclude that the expansion of space is not meant to occur within the galaxies themselves, </w:t>
      </w:r>
      <w:r>
        <w:rPr>
          <w:rFonts w:ascii="Book Antiqua" w:hAnsi="Book Antiqua"/>
          <w:sz w:val="20"/>
        </w:rPr>
        <w:t xml:space="preserve">due to their being </w:t>
      </w:r>
      <w:r w:rsidR="00265840" w:rsidRPr="00372C58">
        <w:rPr>
          <w:rFonts w:ascii="Book Antiqua" w:hAnsi="Book Antiqua"/>
          <w:sz w:val="20"/>
        </w:rPr>
        <w:t>held together by the force of gravity. Rather the expansion of space is external to them (since the expansion force there is meant to be greater than gravity). Misner, Thorne and Wheeler’s classic text on gravity would have been an excellent place to outline the details of their argument [19]. Yet nothing of substance is presented. Their key, and only, defense for this position is to give a reference to a paper by Noerdlinger and Petrosian [20]. One would have thought that this paper would give the definitive proof required. However, when this paper is examined in detail, it is also seen to be ambiguous in addressing the matter of the expansion of galaxies.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It is at this point that Robert Gentry makes a significant contribution to the discussion. Using basic Newtonian mathematics, he showed that the gravitational forces within galaxies were not enough to resist the force causing the supposed expansion of the universe. He also demonstrated that the gravitational pull between the galaxies and clusters of galaxies is stronger than the gravitational fields within them.  In other words, they should be expanding too</w:t>
      </w:r>
      <w:r w:rsidR="009554D2">
        <w:rPr>
          <w:rFonts w:ascii="Book Antiqua" w:hAnsi="Book Antiqua"/>
          <w:sz w:val="20"/>
        </w:rPr>
        <w:t xml:space="preserve">. </w:t>
      </w:r>
      <w:r w:rsidR="007A2834">
        <w:rPr>
          <w:rFonts w:ascii="Book Antiqua" w:hAnsi="Book Antiqua"/>
          <w:sz w:val="20"/>
        </w:rPr>
        <w:t>But</w:t>
      </w:r>
      <w:r w:rsidRPr="00372C58">
        <w:rPr>
          <w:rFonts w:ascii="Book Antiqua" w:hAnsi="Book Antiqua"/>
          <w:sz w:val="20"/>
        </w:rPr>
        <w:t xml:space="preserve"> they are not. </w:t>
      </w:r>
      <w:r w:rsidR="00962D40">
        <w:rPr>
          <w:rFonts w:ascii="Book Antiqua" w:hAnsi="Book Antiqua"/>
          <w:sz w:val="20"/>
        </w:rPr>
        <w:t>Let us examine this in detail.</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lastRenderedPageBreak/>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Gentry calculated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between two clusters of galaxies. Each cluster has about 500 Milky Way sized galaxies, and every galaxy has a mass of about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r>
          <w:rPr>
            <w:rFonts w:ascii="Cambria Math" w:hAnsi="Book Antiqua"/>
            <w:sz w:val="20"/>
          </w:rPr>
          <m:t xml:space="preserve"> </m:t>
        </m:r>
      </m:oMath>
      <w:r w:rsidRPr="00372C58">
        <w:rPr>
          <w:rFonts w:ascii="Book Antiqua" w:hAnsi="Book Antiqua"/>
          <w:sz w:val="20"/>
        </w:rPr>
        <w:t>times the mass of the Sun. In Newtonian mechanics, the force between galaxy clusters is given by the equation</w:t>
      </w:r>
    </w:p>
    <w:p w:rsidR="00265840" w:rsidRPr="00372C58" w:rsidRDefault="00265840" w:rsidP="00265840">
      <w:pPr>
        <w:pStyle w:val="NoSpacing"/>
        <w:ind w:firstLine="720"/>
        <w:jc w:val="both"/>
        <w:rPr>
          <w:rFonts w:ascii="Book Antiqua" w:hAnsi="Book Antiqua"/>
          <w:sz w:val="20"/>
        </w:rPr>
      </w:pPr>
    </w:p>
    <w:p w:rsidR="00ED221B" w:rsidRDefault="007B3EBC" w:rsidP="00265840">
      <w:pPr>
        <w:pStyle w:val="NoSpacing"/>
        <w:ind w:firstLine="720"/>
        <w:jc w:val="center"/>
        <w:rPr>
          <w:rFonts w:ascii="Book Antiqua" w:hAnsi="Book Antiqua"/>
          <w:i/>
          <w:sz w:val="20"/>
          <w:vertAlign w:val="superscript"/>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rPr>
          <m:t xml:space="preserve"> = </m:t>
        </m:r>
        <m:r>
          <w:rPr>
            <w:rFonts w:ascii="Book Antiqua" w:hAnsi="Book Antiqua"/>
            <w:sz w:val="20"/>
          </w:rPr>
          <m:t>-</m:t>
        </m:r>
        <m:r>
          <w:rPr>
            <w:rFonts w:ascii="Cambria Math" w:hAnsi="Cambria Math"/>
            <w:sz w:val="20"/>
          </w:rPr>
          <m:t>G</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e>
          <m:sup>
            <m:r>
              <w:rPr>
                <w:rFonts w:ascii="Cambria Math" w:hAnsi="Book Antiqua"/>
                <w:sz w:val="20"/>
              </w:rPr>
              <m:t>2</m:t>
            </m:r>
          </m:sup>
        </m:sSup>
      </m:oMath>
      <w:r w:rsidR="00265840" w:rsidRPr="00372C58">
        <w:rPr>
          <w:rFonts w:ascii="Book Antiqua" w:hAnsi="Book Antiqua"/>
          <w:i/>
          <w:sz w:val="20"/>
        </w:rPr>
        <w:t>.</w:t>
      </w:r>
      <w:r w:rsidR="00265840" w:rsidRPr="00372C58">
        <w:rPr>
          <w:rFonts w:ascii="Book Antiqua" w:hAnsi="Book Antiqua"/>
          <w:i/>
          <w:sz w:val="20"/>
          <w:vertAlign w:val="superscript"/>
        </w:rPr>
        <w:tab/>
      </w:r>
    </w:p>
    <w:p w:rsidR="00265840" w:rsidRPr="00372C58" w:rsidRDefault="00265840" w:rsidP="00265840">
      <w:pPr>
        <w:pStyle w:val="NoSpacing"/>
        <w:ind w:firstLine="720"/>
        <w:jc w:val="center"/>
        <w:rPr>
          <w:rFonts w:ascii="Book Antiqua" w:hAnsi="Book Antiqua"/>
          <w:sz w:val="20"/>
        </w:rPr>
      </w:pP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r w:rsidRPr="00372C58">
        <w:rPr>
          <w:rFonts w:ascii="Book Antiqua" w:hAnsi="Book Antiqua"/>
          <w:i/>
          <w:sz w:val="20"/>
          <w:vertAlign w:val="superscript"/>
        </w:rPr>
        <w:tab/>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equation, the center to center distance between clusters,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m:t>
        </m:r>
      </m:oMath>
      <w:r w:rsidRPr="00372C58">
        <w:rPr>
          <w:rFonts w:ascii="Book Antiqua" w:hAnsi="Book Antiqua"/>
          <w:sz w:val="20"/>
        </w:rPr>
        <w:t xml:space="preserve"> is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 years; the mass of each cluster is given by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c</m:t>
            </m:r>
          </m:sub>
        </m:sSub>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10</m:t>
            </m:r>
          </m:e>
          <m:sup>
            <m:r>
              <w:rPr>
                <w:rFonts w:ascii="Cambria Math" w:hAnsi="Book Antiqua"/>
                <w:sz w:val="20"/>
              </w:rPr>
              <m:t>14</m:t>
            </m:r>
          </m:sup>
        </m:sSup>
      </m:oMath>
      <w:r w:rsidRPr="00372C58">
        <w:rPr>
          <w:rFonts w:ascii="Book Antiqua" w:hAnsi="Book Antiqua"/>
          <w:sz w:val="20"/>
        </w:rPr>
        <w:t xml:space="preserve"> times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(where </w:t>
      </w:r>
      <m:oMath>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oMath>
      <w:r w:rsidRPr="00372C58">
        <w:rPr>
          <w:rFonts w:ascii="Book Antiqua" w:hAnsi="Book Antiqua"/>
          <w:sz w:val="20"/>
        </w:rPr>
        <w:t xml:space="preserve"> is the mass of the Sun and equals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33</m:t>
            </m:r>
          </m:sup>
        </m:sSup>
      </m:oMath>
      <w:r w:rsidRPr="00372C58">
        <w:rPr>
          <w:rFonts w:ascii="Book Antiqua" w:hAnsi="Book Antiqua"/>
          <w:sz w:val="20"/>
        </w:rPr>
        <w:t xml:space="preserve"> grams).  Gentry then uses the spherical mass approximation for the galaxy to find the gravitational force exerted on the sun by our galaxy’s mass interior to the sun’s position (the part of our galaxy between us and the center of our galaxy).  This is given by the standard Newtonian formula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m:t>
        </m:r>
        <m:r>
          <w:rPr>
            <w:rFonts w:ascii="Book Antiqua" w:hAnsi="Book Antiqua"/>
            <w:sz w:val="20"/>
          </w:rPr>
          <m:t>-</m:t>
        </m:r>
        <m:r>
          <w:rPr>
            <w:rFonts w:ascii="Cambria Math" w:hAnsi="Book Antiqua"/>
            <w:sz w:val="20"/>
          </w:rPr>
          <m:t>4</m:t>
        </m:r>
        <m:r>
          <w:rPr>
            <w:rFonts w:ascii="Cambria Math" w:hAnsi="Cambria Math"/>
            <w:sz w:val="20"/>
          </w:rPr>
          <m:t>πG</m:t>
        </m:r>
        <m:sSub>
          <m:sSubPr>
            <m:ctrlPr>
              <w:rPr>
                <w:rFonts w:ascii="Cambria Math" w:hAnsi="Book Antiqua"/>
                <w:i/>
                <w:sz w:val="20"/>
              </w:rPr>
            </m:ctrlPr>
          </m:sSubPr>
          <m:e>
            <m:r>
              <w:rPr>
                <w:rFonts w:ascii="Cambria Math" w:hAnsi="Cambria Math"/>
                <w:sz w:val="20"/>
              </w:rPr>
              <m:t>M</m:t>
            </m:r>
          </m:e>
          <m:sub>
            <m:r>
              <w:rPr>
                <w:rFonts w:ascii="Cambria Math" w:hAnsi="Cambria Math"/>
                <w:sz w:val="20"/>
              </w:rPr>
              <m:t>s</m:t>
            </m:r>
          </m:sub>
        </m:sSub>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r>
          <w:rPr>
            <w:rFonts w:ascii="Cambria Math" w:hAnsi="Cambria Math"/>
            <w:sz w:val="20"/>
          </w:rPr>
          <m:t>ρ</m:t>
        </m:r>
        <m:r>
          <w:rPr>
            <w:rFonts w:ascii="Cambria Math" w:hAnsi="Book Antiqua"/>
            <w:sz w:val="20"/>
          </w:rPr>
          <m:t>/3</m:t>
        </m:r>
      </m:oMath>
      <w:r w:rsidRPr="00372C58">
        <w:rPr>
          <w:rFonts w:ascii="Book Antiqua" w:hAnsi="Book Antiqua"/>
          <w:sz w:val="20"/>
        </w:rPr>
        <w:t xml:space="preserve">, where the Sun's position from the centre of the Galaxy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roughly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and the average matter density, </w:t>
      </w:r>
      <m:oMath>
        <m:r>
          <w:rPr>
            <w:rFonts w:ascii="Cambria Math" w:hAnsi="Cambria Math"/>
            <w:sz w:val="20"/>
          </w:rPr>
          <m:t>ρ</m:t>
        </m:r>
      </m:oMath>
      <w:r w:rsidRPr="00372C58">
        <w:rPr>
          <w:rFonts w:ascii="Book Antiqua" w:hAnsi="Book Antiqua"/>
          <w:sz w:val="20"/>
        </w:rPr>
        <w:t xml:space="preserve">, is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oMath>
      <w:r w:rsidRPr="00372C58">
        <w:rPr>
          <w:rFonts w:ascii="Book Antiqua" w:hAnsi="Book Antiqua"/>
          <w:sz w:val="20"/>
        </w:rPr>
        <w:t xml:space="preserve">grams per cubic centimetre. The result is that the gravitational force acting on the galaxy clusters,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oMath>
      <w:r w:rsidRPr="00372C58">
        <w:rPr>
          <w:rFonts w:ascii="Book Antiqua" w:hAnsi="Book Antiqua"/>
          <w:sz w:val="20"/>
        </w:rPr>
        <w:t xml:space="preserve">, turns out to be close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w:t>
      </w:r>
      <m:oMath>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oMath>
      <w:r w:rsidRPr="00372C58">
        <w:rPr>
          <w:rFonts w:ascii="Book Antiqua" w:hAnsi="Book Antiqua"/>
          <w:sz w:val="20"/>
        </w:rPr>
        <w:t xml:space="preserve">, exerted on the Sun [21]. We can therefore write </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F</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F</m:t>
            </m:r>
          </m:e>
          <m:sub>
            <m:r>
              <w:rPr>
                <w:rFonts w:ascii="Cambria Math" w:hAnsi="Cambria Math"/>
                <w:sz w:val="20"/>
              </w:rPr>
              <m:t>s</m:t>
            </m:r>
          </m:sub>
        </m:sSub>
        <m:r>
          <w:rPr>
            <w:rFonts w:ascii="Cambria Math" w:hAnsi="Book Antiqua"/>
            <w:sz w:val="20"/>
          </w:rPr>
          <m:t xml:space="preserve"> = 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00265840" w:rsidRPr="00372C58">
        <w:rPr>
          <w:rFonts w:ascii="Book Antiqua" w:hAnsi="Book Antiqua"/>
          <w:sz w:val="20"/>
          <w:vertAlign w:val="superscript"/>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(12)</w:t>
      </w:r>
      <w:r w:rsidR="00265840"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means that the gravitational force between clusters which tends to prevent expansion is greater than the gravitational force acting on the sun and stars that is meant to stop our galaxy expanding. Misner, Thorne and Wheeler say the gravitational force within a galaxy prevents it from expanding.  If this is true, then there is a big problem for universal expansion, since the gravitational force between galaxy clusters is so much greater.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It is also important to find out the relative sizes of the cosmological expansion factors both within and between galaxies.  These then need to be compared with equation (12). Since Gentry's distance between clusters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oMath>
      <w:r w:rsidRPr="00372C58">
        <w:rPr>
          <w:rFonts w:ascii="Book Antiqua" w:hAnsi="Book Antiqua"/>
          <w:sz w:val="20"/>
        </w:rPr>
        <w:t xml:space="preserve"> ) is of the order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2C58">
        <w:rPr>
          <w:rFonts w:ascii="Book Antiqua" w:hAnsi="Book Antiqua"/>
          <w:sz w:val="20"/>
        </w:rPr>
        <w:t xml:space="preserve"> light-years, while he gives the distance of the Sun from our galactic centre (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 as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m:t>
            </m:r>
          </m:sup>
        </m:sSup>
      </m:oMath>
      <w:r w:rsidRPr="00372C58">
        <w:rPr>
          <w:rFonts w:ascii="Book Antiqua" w:hAnsi="Book Antiqua"/>
          <w:sz w:val="20"/>
        </w:rPr>
        <w:t xml:space="preserve"> light-years, the ratio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c</m:t>
            </m:r>
          </m:sub>
        </m:sSub>
        <m:r>
          <w:rPr>
            <w:rFonts w:ascii="Cambria Math" w:hAnsi="Book Antiqua"/>
            <w:sz w:val="20"/>
            <w:vertAlign w:val="subscript"/>
          </w:rPr>
          <m:t xml:space="preserve"> </m:t>
        </m:r>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s</m:t>
            </m:r>
          </m:sub>
        </m:sSub>
      </m:oMath>
      <w:r w:rsidRPr="00372C58">
        <w:rPr>
          <w:rFonts w:ascii="Book Antiqua" w:hAnsi="Book Antiqua"/>
          <w:sz w:val="20"/>
        </w:rPr>
        <w:t xml:space="preserve"> is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At any given time, the expansion factor, </w:t>
      </w:r>
      <m:oMath>
        <m:r>
          <w:rPr>
            <w:rFonts w:ascii="Cambria Math" w:hAnsi="Cambria Math"/>
            <w:sz w:val="20"/>
          </w:rPr>
          <m:t>R</m:t>
        </m:r>
      </m:oMath>
      <w:r w:rsidRPr="00372C58">
        <w:rPr>
          <w:rFonts w:ascii="Book Antiqua" w:hAnsi="Book Antiqua"/>
          <w:sz w:val="20"/>
        </w:rPr>
        <w:t xml:space="preserve">,  is essentially linear in distance over the scales being considered here, as shown by Landsberg and Evans [22]. It then follows that the expansion factor between galaxies is only about </w:t>
      </w:r>
      <m:oMath>
        <m:r>
          <w:rPr>
            <w:rFonts w:ascii="Cambria Math" w:hAnsi="Book Antiqua"/>
            <w:sz w:val="20"/>
          </w:rPr>
          <m:t xml:space="preserve">3.3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3</m:t>
            </m:r>
          </m:sup>
        </m:sSup>
      </m:oMath>
      <w:r w:rsidRPr="00372C58">
        <w:rPr>
          <w:rFonts w:ascii="Book Antiqua" w:hAnsi="Book Antiqua"/>
          <w:sz w:val="20"/>
        </w:rPr>
        <w:t xml:space="preserve"> greater than the expansion force between the middle of our galaxy and the sun.  However, the gravitational force acting on the clusters is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oMath>
      <w:r w:rsidRPr="00372C58">
        <w:rPr>
          <w:rFonts w:ascii="Book Antiqua" w:hAnsi="Book Antiqua"/>
          <w:sz w:val="20"/>
        </w:rPr>
        <w:t xml:space="preserve"> times greater than the gravitational force on the Sun.  This gravitational force between clusters effectively prevents the expansion </w:t>
      </w:r>
      <w:r w:rsidR="002B0E41">
        <w:rPr>
          <w:rFonts w:ascii="Book Antiqua" w:hAnsi="Book Antiqua"/>
          <w:sz w:val="20"/>
        </w:rPr>
        <w:t xml:space="preserve">of the cosmos </w:t>
      </w:r>
      <w:r w:rsidRPr="00372C58">
        <w:rPr>
          <w:rFonts w:ascii="Book Antiqua" w:hAnsi="Book Antiqua"/>
          <w:sz w:val="20"/>
        </w:rPr>
        <w:t>currently used as an explanation for the red shift.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Nevertheless, the red shift is still being explained as a product of an expanding universe.  So how are these problems being explained?  Despite the math shown above, some say the acceleration of an expanding universe overcomes gravitational acceleration which pulls things together. In their paper, Cooperstock, Faraoni and Vollick calculated the gravitational acceleration for galaxy clusters is of the order of </w:t>
      </w:r>
      <m:oMath>
        <m:r>
          <w:rPr>
            <w:rFonts w:ascii="Cambria Math" w:hAnsi="Book Antiqua"/>
            <w:sz w:val="20"/>
          </w:rPr>
          <m:t xml:space="preserve">8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372C58">
        <w:rPr>
          <w:rFonts w:ascii="Book Antiqua" w:hAnsi="Book Antiqua"/>
          <w:sz w:val="20"/>
        </w:rPr>
        <w:t xml:space="preserve"> meters per second /sec, while the acceleration due to cosmological expansion is merely </w:t>
      </w:r>
      <m:oMath>
        <m:r>
          <w:rPr>
            <w:rFonts w:ascii="Cambria Math" w:hAnsi="Book Antiqua"/>
            <w:sz w:val="20"/>
          </w:rPr>
          <m:t xml:space="preserve">5.6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18</m:t>
            </m:r>
          </m:sup>
        </m:sSup>
      </m:oMath>
      <w:r w:rsidRPr="00372C58">
        <w:rPr>
          <w:rFonts w:ascii="Book Antiqua" w:hAnsi="Book Antiqua"/>
          <w:sz w:val="20"/>
        </w:rPr>
        <w:t>meters per second /sec. [23]. As they point out, these figures indicate that the gravitational acceleration tending to hold the galaxy clusters together, is 7 orders of magnitude greater than that of the cosmological acceleration which tends to push them apart.  In fact, this calculation suggests that even when comparing the gravitational and cosmological accelerations, not only do the stars and galaxies not expand, it seems that even the space between clusters does not expand either.</w:t>
      </w:r>
    </w:p>
    <w:p w:rsidR="00CA1383" w:rsidRPr="00372C58" w:rsidRDefault="00CA1383"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Cooperstock, Faraoni and Vollick then try to overcome this problem by doing a different calculation using the local equations of motion under Newtonian conditions, as applied to two bodies. Using this approach, the cumulative effect of cosmological expansion on the Sun-Earth system is considered negligible. In other words, space within our solar system would not expand on the basis of these local equations. However, cosmological expansion would become increasingly significant for larger systems over the lifetime of the cosmos. This is what the standard approach requires to back up the contention that our solar system does not expand, while inter-cluster space does. But this presents a huge problem: Cooperstock, Faraoni and Vollick admit that when using the solar system equation for large distances: </w:t>
      </w:r>
      <w:r w:rsidRPr="00372C58">
        <w:rPr>
          <w:rFonts w:ascii="Book Antiqua" w:hAnsi="Book Antiqua"/>
          <w:i/>
          <w:iCs/>
          <w:sz w:val="20"/>
        </w:rPr>
        <w:t>"In this case, the approximation used in this paper becomes invalid."</w:t>
      </w:r>
      <w:r w:rsidRPr="00372C58">
        <w:rPr>
          <w:rFonts w:ascii="Book Antiqua" w:hAnsi="Book Antiqua"/>
          <w:iCs/>
          <w:sz w:val="20"/>
        </w:rPr>
        <w:t xml:space="preserve"> In other words, the physics and math used </w:t>
      </w:r>
      <w:r w:rsidR="002B0E41">
        <w:rPr>
          <w:rFonts w:ascii="Book Antiqua" w:hAnsi="Book Antiqua"/>
          <w:iCs/>
          <w:sz w:val="20"/>
        </w:rPr>
        <w:t xml:space="preserve">for the solar system </w:t>
      </w:r>
      <w:r w:rsidRPr="00372C58">
        <w:rPr>
          <w:rFonts w:ascii="Book Antiqua" w:hAnsi="Book Antiqua"/>
          <w:iCs/>
          <w:sz w:val="20"/>
        </w:rPr>
        <w:t xml:space="preserve">do </w:t>
      </w:r>
      <w:r w:rsidRPr="00372C58">
        <w:rPr>
          <w:rFonts w:ascii="Book Antiqua" w:hAnsi="Book Antiqua"/>
          <w:iCs/>
          <w:sz w:val="20"/>
        </w:rPr>
        <w:lastRenderedPageBreak/>
        <w:t>not apply on a large scale [23]. They are back where they began, with a problem they cannot seem to solve regarding an expanding universe.</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inevitable conclusion is</w:t>
      </w:r>
      <w:r w:rsidR="003B74DF">
        <w:rPr>
          <w:rFonts w:ascii="Book Antiqua" w:hAnsi="Book Antiqua"/>
          <w:sz w:val="20"/>
        </w:rPr>
        <w:t xml:space="preserve"> </w:t>
      </w:r>
      <w:r w:rsidRPr="00372C58">
        <w:rPr>
          <w:rFonts w:ascii="Book Antiqua" w:hAnsi="Book Antiqua"/>
          <w:sz w:val="20"/>
        </w:rPr>
        <w:t xml:space="preserve">that if the gravitational forces acting on the Sun in our Galaxy are too strong for the cosmological expansion factor to affect it, then, by the same token, the even stronger gravitational forces acting between clusters will also prevent the expansion factor from operating there, too. Yet if the expansion of space-time is called into question by these considerations, the usual procedure is to invoke the movement of galaxies through a static space-time. </w:t>
      </w:r>
      <w:r w:rsidR="003B74DF">
        <w:rPr>
          <w:rFonts w:ascii="Book Antiqua" w:hAnsi="Book Antiqua"/>
          <w:sz w:val="20"/>
        </w:rPr>
        <w:t>But</w:t>
      </w:r>
      <w:r w:rsidRPr="00372C58">
        <w:rPr>
          <w:rFonts w:ascii="Book Antiqua" w:hAnsi="Book Antiqua"/>
          <w:sz w:val="20"/>
        </w:rPr>
        <w:t xml:space="preserve"> in that case, the problems associated with high galaxy velocities, pointed out by Misner</w:t>
      </w:r>
      <w:r w:rsidR="003B74DF">
        <w:rPr>
          <w:rFonts w:ascii="Book Antiqua" w:hAnsi="Book Antiqua"/>
          <w:sz w:val="20"/>
        </w:rPr>
        <w:t xml:space="preserve"> et al</w:t>
      </w:r>
      <w:r w:rsidRPr="00372C58">
        <w:rPr>
          <w:rFonts w:ascii="Book Antiqua" w:hAnsi="Book Antiqua"/>
          <w:sz w:val="20"/>
        </w:rPr>
        <w:t xml:space="preserve"> rear their heads in denial.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iCs/>
          <w:sz w:val="20"/>
        </w:rPr>
      </w:pPr>
      <w:r w:rsidRPr="00372C58">
        <w:rPr>
          <w:rFonts w:ascii="Book Antiqua" w:hAnsi="Book Antiqua"/>
          <w:sz w:val="20"/>
        </w:rPr>
        <w:tab/>
      </w:r>
      <w:r w:rsidR="007A2834">
        <w:rPr>
          <w:rFonts w:ascii="Book Antiqua" w:hAnsi="Book Antiqua"/>
          <w:sz w:val="20"/>
        </w:rPr>
        <w:t>The third problem involves</w:t>
      </w:r>
      <w:r w:rsidRPr="00372C58">
        <w:rPr>
          <w:rFonts w:ascii="Book Antiqua" w:hAnsi="Book Antiqua"/>
          <w:sz w:val="20"/>
        </w:rPr>
        <w:t xml:space="preserve"> the</w:t>
      </w:r>
      <w:r w:rsidR="007A2834">
        <w:rPr>
          <w:rFonts w:ascii="Book Antiqua" w:hAnsi="Book Antiqua"/>
          <w:sz w:val="20"/>
        </w:rPr>
        <w:t xml:space="preserve"> space-time expansion factor, </w:t>
      </w:r>
      <w:r w:rsidR="007A2834" w:rsidRPr="007A2834">
        <w:rPr>
          <w:rFonts w:ascii="Book Antiqua" w:hAnsi="Book Antiqua"/>
          <w:i/>
          <w:sz w:val="20"/>
        </w:rPr>
        <w:t>R</w:t>
      </w:r>
      <w:r w:rsidRPr="00372C58">
        <w:rPr>
          <w:rFonts w:ascii="Book Antiqua" w:hAnsi="Book Antiqua"/>
          <w:sz w:val="20"/>
        </w:rPr>
        <w:t>.</w:t>
      </w:r>
      <w:r w:rsidR="007A2834">
        <w:rPr>
          <w:rFonts w:ascii="Book Antiqua" w:hAnsi="Book Antiqua"/>
          <w:sz w:val="20"/>
        </w:rPr>
        <w:t xml:space="preserve"> </w:t>
      </w:r>
      <w:r w:rsidRPr="00372C58">
        <w:rPr>
          <w:rFonts w:ascii="Book Antiqua" w:hAnsi="Book Antiqua"/>
          <w:sz w:val="20"/>
        </w:rPr>
        <w:t xml:space="preserve"> Following an examination of the Lemaitre model, Robert Gentry made a pertinent comment </w:t>
      </w:r>
      <w:r w:rsidR="007A2834">
        <w:rPr>
          <w:rFonts w:ascii="Book Antiqua" w:hAnsi="Book Antiqua"/>
          <w:sz w:val="20"/>
        </w:rPr>
        <w:t>regarding this factor as shown in</w:t>
      </w:r>
      <w:r w:rsidRPr="00372C58">
        <w:rPr>
          <w:rFonts w:ascii="Book Antiqua" w:hAnsi="Book Antiqua"/>
          <w:sz w:val="20"/>
        </w:rPr>
        <w:t xml:space="preserve"> equation (11). He states: </w:t>
      </w:r>
      <w:r w:rsidRPr="00372C58">
        <w:rPr>
          <w:rFonts w:ascii="Book Antiqua" w:hAnsi="Book Antiqua"/>
          <w:i/>
          <w:iCs/>
          <w:sz w:val="20"/>
        </w:rPr>
        <w:t xml:space="preserve">“Despite its crucial role in big-bang cosmology, the foregoing expression </w:t>
      </w:r>
      <w:r w:rsidRPr="00372C58">
        <w:rPr>
          <w:rFonts w:ascii="Book Antiqua" w:hAnsi="Book Antiqua"/>
          <w:iCs/>
          <w:sz w:val="20"/>
        </w:rPr>
        <w:t>[essentially equation (11) here]</w:t>
      </w:r>
      <w:r w:rsidRPr="00372C58">
        <w:rPr>
          <w:rFonts w:ascii="Book Antiqua" w:hAnsi="Book Antiqua"/>
          <w:i/>
          <w:iCs/>
          <w:sz w:val="20"/>
        </w:rPr>
        <w:t xml:space="preserve"> is unique in that the physical presence of </w:t>
      </w:r>
      <m:oMath>
        <m:r>
          <w:rPr>
            <w:rFonts w:ascii="Cambria Math" w:hAnsi="Cambria Math"/>
            <w:sz w:val="20"/>
          </w:rPr>
          <m:t>R</m:t>
        </m:r>
      </m:oMath>
      <w:r w:rsidRPr="00372C58">
        <w:rPr>
          <w:rFonts w:ascii="Book Antiqua" w:hAnsi="Book Antiqua"/>
          <w:i/>
          <w:iCs/>
          <w:sz w:val="20"/>
        </w:rPr>
        <w:t xml:space="preserve"> has never been verified by experiment; the reason is that no method has yet been proposed to measure </w:t>
      </w:r>
      <m:oMath>
        <m:r>
          <w:rPr>
            <w:rFonts w:ascii="Cambria Math" w:hAnsi="Cambria Math"/>
            <w:sz w:val="20"/>
          </w:rPr>
          <m:t>R</m:t>
        </m:r>
      </m:oMath>
      <w:r w:rsidRPr="00372C58">
        <w:rPr>
          <w:rFonts w:ascii="Book Antiqua" w:hAnsi="Book Antiqua"/>
          <w:i/>
          <w:iCs/>
          <w:sz w:val="20"/>
        </w:rPr>
        <w:t>, either past or present.”</w:t>
      </w:r>
      <w:r w:rsidRPr="00372C58">
        <w:rPr>
          <w:rFonts w:ascii="Book Antiqua" w:hAnsi="Book Antiqua"/>
          <w:iCs/>
          <w:sz w:val="20"/>
        </w:rPr>
        <w:t>[24]</w:t>
      </w:r>
    </w:p>
    <w:p w:rsidR="00265840" w:rsidRPr="00372C58" w:rsidRDefault="00265840" w:rsidP="00265840">
      <w:pPr>
        <w:pStyle w:val="NoSpacing"/>
        <w:jc w:val="both"/>
        <w:rPr>
          <w:rFonts w:ascii="Book Antiqua" w:hAnsi="Book Antiqua"/>
          <w:iCs/>
          <w:color w:val="FF0000"/>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Whether or not the universe is expanding, there is a formula for the red shift.  When everything is taken into consideration, </w:t>
      </w:r>
      <w:r w:rsidR="00BB64FF">
        <w:rPr>
          <w:rFonts w:ascii="Book Antiqua" w:hAnsi="Book Antiqua"/>
          <w:sz w:val="20"/>
        </w:rPr>
        <w:t>the equation</w:t>
      </w:r>
      <w:r w:rsidRPr="00372C58">
        <w:rPr>
          <w:rFonts w:ascii="Book Antiqua" w:hAnsi="Book Antiqua"/>
          <w:sz w:val="20"/>
        </w:rPr>
        <w:t xml:space="preserve"> dictated by the Doppler formula,</w:t>
      </w:r>
      <w:r w:rsidR="00BB64FF">
        <w:rPr>
          <w:rFonts w:ascii="Book Antiqua" w:hAnsi="Book Antiqua"/>
          <w:sz w:val="20"/>
        </w:rPr>
        <w:t xml:space="preserve"> which is the standard redshift equation (shown on the left of equation (13) below), must be equal to</w:t>
      </w:r>
      <w:r w:rsidRPr="00372C58">
        <w:rPr>
          <w:rFonts w:ascii="Book Antiqua" w:hAnsi="Book Antiqua"/>
          <w:sz w:val="20"/>
        </w:rPr>
        <w:t xml:space="preserve"> the cosmological expansion factor (‘</w:t>
      </w:r>
      <m:oMath>
        <m:r>
          <w:rPr>
            <w:rFonts w:ascii="Cambria Math" w:hAnsi="Cambria Math"/>
            <w:sz w:val="20"/>
          </w:rPr>
          <m:t>R</m:t>
        </m:r>
      </m:oMath>
      <w:r w:rsidRPr="00372C58">
        <w:rPr>
          <w:rFonts w:ascii="Book Antiqua" w:hAnsi="Book Antiqua"/>
          <w:sz w:val="20"/>
        </w:rPr>
        <w:t xml:space="preserve">’ in equation 11) </w:t>
      </w:r>
      <w:r w:rsidR="00BB64FF">
        <w:rPr>
          <w:rFonts w:ascii="Book Antiqua" w:hAnsi="Book Antiqua"/>
          <w:sz w:val="20"/>
        </w:rPr>
        <w:t>(shown on</w:t>
      </w:r>
      <w:r w:rsidRPr="00372C58">
        <w:rPr>
          <w:rFonts w:ascii="Book Antiqua" w:hAnsi="Book Antiqua"/>
          <w:sz w:val="20"/>
        </w:rPr>
        <w:t xml:space="preserve"> the right</w:t>
      </w:r>
      <w:r w:rsidR="00BB64FF">
        <w:rPr>
          <w:rFonts w:ascii="Book Antiqua" w:hAnsi="Book Antiqua"/>
          <w:sz w:val="20"/>
        </w:rPr>
        <w:t xml:space="preserve"> in equation (13) below). These terms</w:t>
      </w:r>
      <w:r w:rsidRPr="00372C58">
        <w:rPr>
          <w:rFonts w:ascii="Book Antiqua" w:hAnsi="Book Antiqua"/>
          <w:sz w:val="20"/>
        </w:rPr>
        <w:t xml:space="preserve"> should also be equal to th</w:t>
      </w:r>
      <w:r w:rsidR="00BB64FF">
        <w:rPr>
          <w:rFonts w:ascii="Book Antiqua" w:hAnsi="Book Antiqua"/>
          <w:sz w:val="20"/>
        </w:rPr>
        <w:t xml:space="preserve">e standard red shift equations, </w:t>
      </w:r>
      <w:r w:rsidRPr="00372C58">
        <w:rPr>
          <w:rFonts w:ascii="Book Antiqua" w:hAnsi="Book Antiqua"/>
          <w:sz w:val="20"/>
        </w:rPr>
        <w:t>(9) or (10), so that we get</w:t>
      </w:r>
      <w:r w:rsidR="00BB64FF">
        <w:rPr>
          <w:rFonts w:ascii="Book Antiqua" w:hAnsi="Book Antiqua"/>
          <w:sz w:val="20"/>
        </w:rPr>
        <w:t>:</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m:oMath>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c</m:t>
        </m:r>
        <m:r>
          <w:rPr>
            <w:rFonts w:ascii="Cambria Math" w:hAnsi="Book Antiqua"/>
            <w:sz w:val="20"/>
          </w:rPr>
          <m:t xml:space="preserve">)]/ </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 {</m:t>
        </m:r>
        <m:sSub>
          <m:sSubPr>
            <m:ctrlPr>
              <w:rPr>
                <w:rFonts w:ascii="Cambria Math" w:hAnsi="Book Antiqua"/>
                <w:i/>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r>
          <w:rPr>
            <w:rFonts w:ascii="Cambria Math" w:hAnsi="Cambria Math"/>
            <w:sz w:val="20"/>
          </w:rPr>
          <m:t xml:space="preserve"> =</m:t>
        </m:r>
      </m:oMath>
      <w:r w:rsidRPr="00372C58">
        <w:rPr>
          <w:rFonts w:ascii="Book Antiqua" w:hAnsi="Book Antiqua"/>
          <w:sz w:val="20"/>
        </w:rPr>
        <w:t xml:space="preserve"> </w:t>
      </w:r>
      <m:oMath>
        <m:r>
          <w:rPr>
            <w:rFonts w:ascii="Cambria Math" w:hAnsi="Cambria Math"/>
            <w:sz w:val="20"/>
          </w:rPr>
          <m:t xml:space="preserve">  (1 + z).</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(13)</w:t>
      </w:r>
    </w:p>
    <w:p w:rsidR="00265840" w:rsidRPr="00372C58" w:rsidRDefault="00265840" w:rsidP="00265840">
      <w:pPr>
        <w:pStyle w:val="NoSpacing"/>
        <w:jc w:val="right"/>
        <w:rPr>
          <w:rFonts w:ascii="Book Antiqua" w:hAnsi="Book Antiqua"/>
          <w:sz w:val="20"/>
        </w:rPr>
      </w:pPr>
      <w:r w:rsidRPr="00372C58">
        <w:rPr>
          <w:rFonts w:ascii="Book Antiqua" w:hAnsi="Book Antiqua"/>
          <w:sz w:val="20"/>
        </w:rPr>
        <w:t xml:space="preserve"> </w:t>
      </w:r>
    </w:p>
    <w:p w:rsidR="00ED221B" w:rsidRDefault="00265840" w:rsidP="00ED221B">
      <w:pPr>
        <w:pStyle w:val="NoSpacing"/>
        <w:jc w:val="both"/>
        <w:rPr>
          <w:rFonts w:ascii="Book Antiqua" w:hAnsi="Book Antiqua"/>
          <w:sz w:val="20"/>
        </w:rPr>
      </w:pPr>
      <w:r w:rsidRPr="00372C58">
        <w:rPr>
          <w:rFonts w:ascii="Book Antiqua" w:hAnsi="Book Antiqua"/>
          <w:sz w:val="20"/>
        </w:rPr>
        <w:tab/>
        <w:t xml:space="preserve">In other words, the space-time expansion factor </w:t>
      </w:r>
      <m:oMath>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2</m:t>
            </m:r>
          </m:sub>
        </m:sSub>
        <m:r>
          <w:rPr>
            <w:rFonts w:ascii="Cambria Math" w:hAnsi="Book Antiqua"/>
            <w:sz w:val="20"/>
          </w:rPr>
          <m:t>/</m:t>
        </m:r>
        <m:sSub>
          <m:sSubPr>
            <m:ctrlPr>
              <w:rPr>
                <w:rFonts w:ascii="Cambria Math" w:hAnsi="Book Antiqua"/>
                <w:i/>
                <w:iCs/>
                <w:sz w:val="20"/>
              </w:rPr>
            </m:ctrlPr>
          </m:sSubPr>
          <m:e>
            <m:r>
              <w:rPr>
                <w:rFonts w:ascii="Cambria Math" w:hAnsi="Cambria Math"/>
                <w:sz w:val="20"/>
              </w:rPr>
              <m:t>R</m:t>
            </m:r>
          </m:e>
          <m:sub>
            <m:r>
              <w:rPr>
                <w:rFonts w:ascii="Cambria Math" w:hAnsi="Book Antiqua"/>
                <w:sz w:val="20"/>
              </w:rPr>
              <m:t>1</m:t>
            </m:r>
          </m:sub>
        </m:sSub>
        <m:r>
          <w:rPr>
            <w:rFonts w:ascii="Cambria Math" w:hAnsi="Book Antiqua"/>
            <w:sz w:val="20"/>
          </w:rPr>
          <m:t>}</m:t>
        </m:r>
      </m:oMath>
      <w:r w:rsidRPr="00372C58">
        <w:rPr>
          <w:rFonts w:ascii="Book Antiqua" w:hAnsi="Book Antiqua"/>
          <w:sz w:val="20"/>
        </w:rPr>
        <w:t xml:space="preserve"> must be behaving in a way that mimics the relativistic Doppler formula. Therefore, no matter what the actual origin of the redshift is and no matter what interpretation of the data is used, the relativistic Doppler formula may be considered to be a good approximation to the actual behavior of the red shift. On that basis, a graph of redshift </w:t>
      </w:r>
      <m:oMath>
        <m:r>
          <w:rPr>
            <w:rFonts w:ascii="Cambria Math" w:hAnsi="Cambria Math"/>
            <w:sz w:val="20"/>
          </w:rPr>
          <m:t>z</m:t>
        </m:r>
      </m:oMath>
      <w:r w:rsidRPr="00372C58">
        <w:rPr>
          <w:rFonts w:ascii="Book Antiqua" w:hAnsi="Book Antiqua"/>
          <w:i/>
          <w:iCs/>
          <w:sz w:val="20"/>
        </w:rPr>
        <w:t xml:space="preserve"> </w:t>
      </w:r>
      <w:r w:rsidRPr="00372C58">
        <w:rPr>
          <w:rFonts w:ascii="Book Antiqua" w:hAnsi="Book Antiqua"/>
          <w:sz w:val="20"/>
        </w:rPr>
        <w:t xml:space="preserve">on the y-axis against distance, </w:t>
      </w:r>
      <m:oMath>
        <m:r>
          <w:rPr>
            <w:rFonts w:ascii="Cambria Math" w:hAnsi="Cambria Math"/>
            <w:sz w:val="20"/>
          </w:rPr>
          <m:t>x</m:t>
        </m:r>
      </m:oMath>
      <w:r w:rsidRPr="00372C58">
        <w:rPr>
          <w:rFonts w:ascii="Book Antiqua" w:hAnsi="Book Antiqua"/>
          <w:sz w:val="20"/>
        </w:rPr>
        <w:t>, on the x-axis is usually drawn [2, 25].</w:t>
      </w:r>
      <w:r w:rsidRPr="00372C58">
        <w:rPr>
          <w:rFonts w:ascii="Book Antiqua" w:hAnsi="Book Antiqua"/>
          <w:position w:val="10"/>
          <w:sz w:val="20"/>
          <w:vertAlign w:val="superscript"/>
        </w:rPr>
        <w:t xml:space="preserve"> </w:t>
      </w:r>
      <w:r w:rsidRPr="00372C58">
        <w:rPr>
          <w:rFonts w:ascii="Book Antiqua" w:hAnsi="Book Antiqua"/>
          <w:sz w:val="20"/>
        </w:rPr>
        <w:t>A typical graph of this relativistic redshift/distance relationship is given in Figure 7.</w:t>
      </w:r>
    </w:p>
    <w:p w:rsidR="00ED221B" w:rsidRPr="00D1635A" w:rsidRDefault="00265840" w:rsidP="00ED221B">
      <w:pPr>
        <w:pStyle w:val="NoSpacing"/>
        <w:jc w:val="center"/>
        <w:rPr>
          <w:rFonts w:ascii="Book Antiqua" w:hAnsi="Book Antiqua"/>
          <w:b/>
          <w:i/>
          <w:sz w:val="18"/>
          <w:szCs w:val="18"/>
        </w:rPr>
      </w:pPr>
      <w:r w:rsidRPr="00372C58">
        <w:rPr>
          <w:rFonts w:ascii="Book Antiqua" w:hAnsi="Book Antiqua"/>
          <w:noProof/>
          <w:sz w:val="20"/>
        </w:rPr>
        <w:drawing>
          <wp:inline distT="0" distB="0" distL="0" distR="0">
            <wp:extent cx="2589164" cy="3227475"/>
            <wp:effectExtent l="323850" t="0" r="325486" b="0"/>
            <wp:docPr id="159" name="Picture 4" descr="http://www.asterism.org/tutorials/gifs/rshft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sterism.org/tutorials/gifs/rshft12.gif"/>
                    <pic:cNvPicPr>
                      <a:picLocks noChangeAspect="1" noChangeArrowheads="1"/>
                    </pic:cNvPicPr>
                  </pic:nvPicPr>
                  <pic:blipFill>
                    <a:blip r:embed="rId177" cstate="print"/>
                    <a:srcRect l="3966" t="13263" b="-188"/>
                    <a:stretch>
                      <a:fillRect/>
                    </a:stretch>
                  </pic:blipFill>
                  <pic:spPr bwMode="auto">
                    <a:xfrm rot="-5400000">
                      <a:off x="0" y="0"/>
                      <a:ext cx="2588762" cy="3226974"/>
                    </a:xfrm>
                    <a:prstGeom prst="rect">
                      <a:avLst/>
                    </a:prstGeom>
                    <a:noFill/>
                    <a:ln w="9525">
                      <a:noFill/>
                      <a:miter lim="800000"/>
                      <a:headEnd/>
                      <a:tailEnd/>
                    </a:ln>
                  </pic:spPr>
                </pic:pic>
              </a:graphicData>
            </a:graphic>
          </wp:inline>
        </w:drawing>
      </w:r>
    </w:p>
    <w:p w:rsidR="00265840" w:rsidRPr="004223A5" w:rsidRDefault="00265840" w:rsidP="00265840">
      <w:pPr>
        <w:pStyle w:val="NoSpacing"/>
        <w:rPr>
          <w:rFonts w:ascii="Book Antiqua" w:hAnsi="Book Antiqua"/>
          <w:i/>
          <w:noProof/>
          <w:sz w:val="18"/>
          <w:szCs w:val="18"/>
        </w:rPr>
      </w:pPr>
      <w:r w:rsidRPr="004223A5">
        <w:rPr>
          <w:rFonts w:ascii="Book Antiqua" w:hAnsi="Book Antiqua"/>
          <w:b/>
          <w:i/>
          <w:sz w:val="18"/>
          <w:szCs w:val="18"/>
        </w:rPr>
        <w:t>F</w:t>
      </w:r>
      <w:r w:rsidRPr="004223A5">
        <w:rPr>
          <w:rFonts w:ascii="Book Antiqua" w:hAnsi="Book Antiqua"/>
          <w:b/>
          <w:i/>
          <w:noProof/>
          <w:sz w:val="18"/>
          <w:szCs w:val="18"/>
        </w:rPr>
        <w:t>igure 7:</w:t>
      </w:r>
      <w:r w:rsidRPr="004223A5">
        <w:rPr>
          <w:rFonts w:ascii="Book Antiqua" w:hAnsi="Book Antiqua"/>
          <w:i/>
          <w:noProof/>
          <w:sz w:val="18"/>
          <w:szCs w:val="18"/>
        </w:rPr>
        <w:t xml:space="preserve"> The relativistic Doppler redshift graph. The horizontal axis has distance running from zero to one. The graph starts out near zero (bottom right) as nearly linear, (like Hubble's 1929 graph of nearby galaxies), but then curves up dramatically at higher redshifts.</w:t>
      </w:r>
    </w:p>
    <w:p w:rsidR="00ED221B" w:rsidRDefault="00ED221B" w:rsidP="00265840">
      <w:pPr>
        <w:pStyle w:val="NoSpacing"/>
        <w:rPr>
          <w:rFonts w:ascii="Book Antiqua" w:hAnsi="Book Antiqua"/>
          <w:noProof/>
          <w:sz w:val="20"/>
        </w:rPr>
      </w:pPr>
    </w:p>
    <w:p w:rsidR="00ED221B" w:rsidRPr="00372C58" w:rsidRDefault="00ED221B" w:rsidP="00ED221B">
      <w:pPr>
        <w:pStyle w:val="NoSpacing"/>
        <w:ind w:firstLine="720"/>
        <w:jc w:val="both"/>
        <w:rPr>
          <w:rFonts w:ascii="Book Antiqua" w:hAnsi="Book Antiqua"/>
          <w:sz w:val="20"/>
        </w:rPr>
      </w:pPr>
      <w:r w:rsidRPr="00372C58">
        <w:rPr>
          <w:rFonts w:ascii="Book Antiqua" w:hAnsi="Book Antiqua"/>
          <w:sz w:val="20"/>
        </w:rPr>
        <w:lastRenderedPageBreak/>
        <w:t xml:space="preserve">Until recently, the precise distance scale was in doubt since the Hubble constant, </w:t>
      </w:r>
      <m:oMath>
        <m:sSub>
          <m:sSubPr>
            <m:ctrlPr>
              <w:rPr>
                <w:rFonts w:ascii="Cambria Math" w:hAnsi="Book Antiqua"/>
                <w:i/>
                <w:iCs/>
                <w:sz w:val="20"/>
              </w:rPr>
            </m:ctrlPr>
          </m:sSubPr>
          <m:e>
            <m:r>
              <w:rPr>
                <w:rFonts w:ascii="Cambria Math" w:hAnsi="Cambria Math"/>
                <w:sz w:val="20"/>
              </w:rPr>
              <m:t>H</m:t>
            </m:r>
          </m:e>
          <m:sub>
            <m:r>
              <w:rPr>
                <w:rFonts w:ascii="Cambria Math" w:hAnsi="Book Antiqua"/>
                <w:sz w:val="20"/>
              </w:rPr>
              <m:t>0</m:t>
            </m:r>
          </m:sub>
        </m:sSub>
      </m:oMath>
      <w:r w:rsidRPr="00372C58">
        <w:rPr>
          <w:rFonts w:ascii="Book Antiqua" w:hAnsi="Book Antiqua"/>
          <w:sz w:val="20"/>
        </w:rPr>
        <w:t xml:space="preserve">, which determines the distance scale, had not been accurately delineated. To overcome this problem on the horizontal axis, the values are often arranged to go from </w:t>
      </w:r>
      <m:oMath>
        <m:r>
          <w:rPr>
            <w:rFonts w:ascii="Cambria Math" w:hAnsi="Cambria Math"/>
            <w:sz w:val="20"/>
          </w:rPr>
          <m:t>x</m:t>
        </m:r>
        <m:r>
          <w:rPr>
            <w:rFonts w:ascii="Cambria Math" w:hAnsi="Book Antiqua"/>
            <w:sz w:val="20"/>
          </w:rPr>
          <m:t xml:space="preserve"> = 0</m:t>
        </m:r>
      </m:oMath>
      <w:r w:rsidRPr="00372C58">
        <w:rPr>
          <w:rFonts w:ascii="Book Antiqua" w:hAnsi="Book Antiqua"/>
          <w:i/>
          <w:iCs/>
          <w:sz w:val="20"/>
        </w:rPr>
        <w:t xml:space="preserve"> </w:t>
      </w:r>
      <w:r w:rsidRPr="00372C58">
        <w:rPr>
          <w:rFonts w:ascii="Book Antiqua" w:hAnsi="Book Antiqua"/>
          <w:iCs/>
          <w:sz w:val="20"/>
        </w:rPr>
        <w:t>at</w:t>
      </w:r>
      <w:r w:rsidRPr="00372C58">
        <w:rPr>
          <w:rFonts w:ascii="Book Antiqua" w:hAnsi="Book Antiqua"/>
          <w:sz w:val="20"/>
        </w:rPr>
        <w:t xml:space="preserve"> our own locality in space, to </w:t>
      </w:r>
      <m:oMath>
        <m:r>
          <w:rPr>
            <w:rFonts w:ascii="Cambria Math" w:hAnsi="Cambria Math"/>
            <w:sz w:val="20"/>
          </w:rPr>
          <m:t>x</m:t>
        </m:r>
        <m:r>
          <w:rPr>
            <w:rFonts w:ascii="Cambria Math" w:hAnsi="Book Antiqua"/>
            <w:sz w:val="20"/>
          </w:rPr>
          <m:t xml:space="preserve"> = 1</m:t>
        </m:r>
      </m:oMath>
      <w:r w:rsidRPr="00372C58">
        <w:rPr>
          <w:rFonts w:ascii="Book Antiqua" w:hAnsi="Book Antiqua"/>
          <w:sz w:val="20"/>
        </w:rPr>
        <w:t xml:space="preserve">, the furthest distance in space (essentially at the origin of the cosmos).  Figure </w:t>
      </w:r>
      <w:r w:rsidR="00CB7A62">
        <w:rPr>
          <w:rFonts w:ascii="Book Antiqua" w:hAnsi="Book Antiqua"/>
          <w:sz w:val="20"/>
        </w:rPr>
        <w:t>7</w:t>
      </w:r>
      <w:r w:rsidRPr="00372C58">
        <w:rPr>
          <w:rFonts w:ascii="Book Antiqua" w:hAnsi="Book Antiqua"/>
          <w:sz w:val="20"/>
        </w:rPr>
        <w:t xml:space="preserve"> follows this convention. This means </w:t>
      </w:r>
      <m:oMath>
        <m:r>
          <w:rPr>
            <w:rFonts w:ascii="Cambria Math" w:hAnsi="Cambria Math"/>
            <w:sz w:val="20"/>
          </w:rPr>
          <m:t>x</m:t>
        </m:r>
      </m:oMath>
      <w:r w:rsidRPr="00372C58">
        <w:rPr>
          <w:rFonts w:ascii="Book Antiqua" w:hAnsi="Book Antiqua"/>
          <w:i/>
          <w:iCs/>
          <w:sz w:val="20"/>
        </w:rPr>
        <w:t xml:space="preserve"> </w:t>
      </w:r>
      <w:r w:rsidRPr="00372C58">
        <w:rPr>
          <w:rFonts w:ascii="Book Antiqua" w:hAnsi="Book Antiqua"/>
          <w:sz w:val="20"/>
        </w:rPr>
        <w:t>becomes a dimensionless number since it is then the ratio of the distance of any given object to the furthest distance in space. On this approach, the redshift/distance relationship can then be expressed as [26]:</w:t>
      </w:r>
      <w:r w:rsidRPr="00372C58">
        <w:rPr>
          <w:rFonts w:ascii="Book Antiqua" w:hAnsi="Book Antiqua"/>
          <w:position w:val="10"/>
          <w:sz w:val="20"/>
          <w:vertAlign w:val="superscript"/>
        </w:rPr>
        <w:t xml:space="preserve"> </w:t>
      </w:r>
    </w:p>
    <w:p w:rsidR="00ED221B" w:rsidRPr="00372C58" w:rsidRDefault="00ED221B" w:rsidP="00ED221B">
      <w:pPr>
        <w:pStyle w:val="NoSpacing"/>
        <w:jc w:val="both"/>
        <w:rPr>
          <w:rFonts w:ascii="Book Antiqua" w:hAnsi="Book Antiqua"/>
          <w:sz w:val="20"/>
        </w:rPr>
      </w:pPr>
    </w:p>
    <w:p w:rsidR="00ED221B" w:rsidRPr="00372C58" w:rsidRDefault="00ED221B" w:rsidP="00ED221B">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(14)</w:t>
      </w:r>
      <w:r w:rsidRPr="00372C58">
        <w:rPr>
          <w:rFonts w:ascii="Book Antiqua" w:hAnsi="Book Antiqua"/>
          <w:sz w:val="20"/>
        </w:rPr>
        <w:t xml:space="preserve"> </w:t>
      </w:r>
    </w:p>
    <w:p w:rsidR="00ED221B" w:rsidRPr="00372C58" w:rsidRDefault="00ED221B" w:rsidP="00ED221B">
      <w:pPr>
        <w:pStyle w:val="NoSpacing"/>
        <w:jc w:val="both"/>
        <w:rPr>
          <w:rFonts w:ascii="Book Antiqua" w:hAnsi="Book Antiqua"/>
          <w:sz w:val="20"/>
        </w:rPr>
      </w:pPr>
    </w:p>
    <w:p w:rsidR="00ED221B" w:rsidRDefault="00ED221B" w:rsidP="00ED221B">
      <w:pPr>
        <w:pStyle w:val="NoSpacing"/>
        <w:rPr>
          <w:rFonts w:ascii="Book Antiqua" w:hAnsi="Book Antiqua"/>
          <w:sz w:val="20"/>
        </w:rPr>
      </w:pPr>
      <w:r w:rsidRPr="00372C58">
        <w:rPr>
          <w:rFonts w:ascii="Book Antiqua" w:hAnsi="Book Antiqua"/>
          <w:sz w:val="20"/>
        </w:rPr>
        <w:t xml:space="preserve">The total distance in LY at </w:t>
      </w:r>
      <m:oMath>
        <m:r>
          <w:rPr>
            <w:rFonts w:ascii="Cambria Math" w:hAnsi="Cambria Math"/>
            <w:sz w:val="20"/>
          </w:rPr>
          <m:t>x</m:t>
        </m:r>
        <m:r>
          <w:rPr>
            <w:rFonts w:ascii="Cambria Math" w:hAnsi="Book Antiqua"/>
            <w:sz w:val="20"/>
          </w:rPr>
          <m:t xml:space="preserve"> = 1</m:t>
        </m:r>
      </m:oMath>
      <w:r w:rsidRPr="00372C58">
        <w:rPr>
          <w:rFonts w:ascii="Book Antiqua" w:hAnsi="Book Antiqua"/>
          <w:iCs/>
          <w:sz w:val="20"/>
        </w:rPr>
        <w:t xml:space="preserve"> </w:t>
      </w:r>
      <w:r w:rsidRPr="00372C58">
        <w:rPr>
          <w:rFonts w:ascii="Book Antiqua" w:hAnsi="Book Antiqua"/>
          <w:sz w:val="20"/>
        </w:rPr>
        <w:t>is then dependent upon the value of the Hubble constant.</w:t>
      </w:r>
    </w:p>
    <w:p w:rsidR="007A2834" w:rsidRDefault="007A2834" w:rsidP="00ED221B">
      <w:pPr>
        <w:pStyle w:val="NoSpacing"/>
        <w:rPr>
          <w:rFonts w:ascii="Book Antiqua" w:hAnsi="Book Antiqua"/>
          <w:sz w:val="20"/>
        </w:rPr>
      </w:pPr>
    </w:p>
    <w:p w:rsidR="007A2834" w:rsidRDefault="007A2834" w:rsidP="00ED221B">
      <w:pPr>
        <w:pStyle w:val="NoSpacing"/>
        <w:rPr>
          <w:rFonts w:ascii="Book Antiqua" w:hAnsi="Book Antiqua"/>
          <w:sz w:val="20"/>
        </w:rPr>
      </w:pPr>
      <w:r>
        <w:rPr>
          <w:rFonts w:ascii="Book Antiqua" w:hAnsi="Book Antiqua"/>
          <w:sz w:val="20"/>
        </w:rPr>
        <w:tab/>
        <w:t>These three problems involving the lack of broadening of spectral lines, the lack of expansion in atoms themselves, and the fact that gravity can be shown to be stronger than the expansion force between clusters all indicate that there needs to be another explanation for the red shift.</w:t>
      </w:r>
    </w:p>
    <w:p w:rsidR="00265840" w:rsidRPr="00372C58" w:rsidRDefault="00265840" w:rsidP="00265840">
      <w:pPr>
        <w:pStyle w:val="NoSpacing"/>
        <w:jc w:val="both"/>
        <w:rPr>
          <w:rFonts w:ascii="Book Antiqua" w:hAnsi="Book Antiqua"/>
          <w:b/>
          <w:i/>
          <w:noProof/>
          <w:sz w:val="20"/>
        </w:rPr>
      </w:pPr>
      <w:r w:rsidRPr="00372C58">
        <w:rPr>
          <w:rFonts w:ascii="Book Antiqua" w:hAnsi="Book Antiqua"/>
          <w:b/>
          <w:i/>
          <w:noProof/>
          <w:sz w:val="20"/>
        </w:rPr>
        <w:t xml:space="preserve"> </w:t>
      </w:r>
    </w:p>
    <w:p w:rsidR="00265840" w:rsidRPr="00372C58" w:rsidRDefault="00265840" w:rsidP="00265840">
      <w:pPr>
        <w:pStyle w:val="NoSpacing"/>
        <w:rPr>
          <w:rFonts w:ascii="Book Antiqua" w:hAnsi="Book Antiqua"/>
          <w:b/>
          <w:bCs/>
          <w:iCs/>
          <w:color w:val="000000"/>
          <w:sz w:val="20"/>
        </w:rPr>
      </w:pPr>
      <w:r w:rsidRPr="003D33FE">
        <w:rPr>
          <w:rFonts w:ascii="Book Antiqua" w:hAnsi="Book Antiqua"/>
          <w:b/>
          <w:bCs/>
          <w:iCs/>
          <w:color w:val="000000"/>
          <w:sz w:val="20"/>
        </w:rPr>
        <w:t>2.  The Accuracy of the Redshift Equation.</w:t>
      </w:r>
    </w:p>
    <w:p w:rsidR="00265840" w:rsidRPr="00372C58" w:rsidRDefault="00265840" w:rsidP="00265840">
      <w:pPr>
        <w:pStyle w:val="NoSpacing"/>
        <w:ind w:left="720"/>
        <w:rPr>
          <w:rFonts w:ascii="Book Antiqua" w:hAnsi="Book Antiqua"/>
          <w:b/>
          <w:bCs/>
          <w:iCs/>
          <w:color w:val="000000"/>
          <w:sz w:val="20"/>
        </w:rPr>
      </w:pPr>
    </w:p>
    <w:p w:rsidR="00265840" w:rsidRPr="00372C58" w:rsidRDefault="00265840" w:rsidP="00265840">
      <w:pPr>
        <w:pStyle w:val="NoSpacing"/>
        <w:numPr>
          <w:ilvl w:val="1"/>
          <w:numId w:val="29"/>
        </w:numPr>
        <w:rPr>
          <w:rFonts w:ascii="Book Antiqua" w:hAnsi="Book Antiqua"/>
          <w:bCs/>
          <w:i/>
          <w:iCs/>
          <w:color w:val="000000"/>
          <w:sz w:val="20"/>
        </w:rPr>
      </w:pPr>
      <w:r w:rsidRPr="00372C58">
        <w:rPr>
          <w:rFonts w:ascii="Book Antiqua" w:hAnsi="Book Antiqua"/>
          <w:bCs/>
          <w:i/>
          <w:iCs/>
          <w:color w:val="000000"/>
          <w:sz w:val="20"/>
        </w:rPr>
        <w:t>An Accelerating Cosmos?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Equation (14) is usually considered definitive of redshift behavior with distance. It is therefore thought that any deviation from this equation needs an explanation. It is in this context that evidence relating to Type Ia supernovae have created an interesting situation. A supernova is essentially an exploding star, and all Type Ia supernovae have been presumed to explode with a standard brightness, rather like light bulbs with a known wattage. This presumption then allows an accurate distance measurement to be made when we see these Type Ia supernovae in very distant galaxies.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In 1998, Saul Perlmutter examined data that measured the brightness of these stellar explosions at redshifts from </w:t>
      </w:r>
      <m:oMath>
        <m:r>
          <w:rPr>
            <w:rFonts w:ascii="Cambria Math" w:hAnsi="Cambria Math"/>
            <w:sz w:val="20"/>
          </w:rPr>
          <m:t>z</m:t>
        </m:r>
        <m:r>
          <w:rPr>
            <w:rFonts w:ascii="Cambria Math" w:hAnsi="Book Antiqua"/>
            <w:sz w:val="20"/>
          </w:rPr>
          <m:t xml:space="preserve"> = 0.83</m:t>
        </m:r>
      </m:oMath>
      <w:r w:rsidRPr="00372C58">
        <w:rPr>
          <w:rFonts w:ascii="Book Antiqua" w:hAnsi="Book Antiqua"/>
          <w:i/>
          <w:iCs/>
          <w:sz w:val="20"/>
        </w:rPr>
        <w:t xml:space="preserve"> </w:t>
      </w:r>
      <w:r w:rsidRPr="00372C58">
        <w:rPr>
          <w:rFonts w:ascii="Book Antiqua" w:hAnsi="Book Antiqua"/>
          <w:sz w:val="20"/>
        </w:rPr>
        <w:t xml:space="preserve">to about </w:t>
      </w:r>
      <m:oMath>
        <m:r>
          <w:rPr>
            <w:rFonts w:ascii="Cambria Math" w:hAnsi="Cambria Math"/>
            <w:sz w:val="20"/>
          </w:rPr>
          <m:t>z</m:t>
        </m:r>
        <m:r>
          <w:rPr>
            <w:rFonts w:ascii="Cambria Math" w:hAnsi="Book Antiqua"/>
            <w:sz w:val="20"/>
          </w:rPr>
          <m:t xml:space="preserve"> = 1.2</m:t>
        </m:r>
      </m:oMath>
      <w:r w:rsidRPr="00372C58">
        <w:rPr>
          <w:rFonts w:ascii="Book Antiqua" w:hAnsi="Book Antiqua"/>
          <w:sz w:val="20"/>
        </w:rPr>
        <w:t xml:space="preserve"> [27-32]. These explosions were about 20% fainter than expected. Their observed change in brightness by 0.2 magnitudes corresponds to a reduction in intensity by a factor of 1.2. This meant that they were further away than their redshift indicated by a factor of </w:t>
      </w:r>
      <m:oMath>
        <m:r>
          <w:rPr>
            <w:rFonts w:ascii="Cambria Math" w:hAnsi="Book Antiqua"/>
            <w:sz w:val="20"/>
          </w:rPr>
          <m:t>(</m:t>
        </m:r>
        <m:r>
          <w:rPr>
            <w:rFonts w:ascii="Book Antiqua" w:hAnsi="Book Antiqua"/>
            <w:sz w:val="20"/>
          </w:rPr>
          <m:t>√</m:t>
        </m:r>
        <m:r>
          <w:rPr>
            <w:rFonts w:ascii="Cambria Math" w:hAnsi="Book Antiqua"/>
            <w:sz w:val="20"/>
          </w:rPr>
          <m:t>1.2 = 1.1</m:t>
        </m:r>
      </m:oMath>
      <w:r w:rsidRPr="00372C58">
        <w:rPr>
          <w:rFonts w:ascii="Book Antiqua" w:hAnsi="Book Antiqua"/>
          <w:sz w:val="20"/>
        </w:rPr>
        <w:t>), or about 10% [33].</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This disconcerting result spawned a number of explanations, but two were predominant. The first attributed the dimming of the light from these supernovae to the action of interstellar dust. The more distant they are, the fainter they should be compared with predictions from the redshift/distance relation. This (minority) approach was subsequently shown to be incorrect. In the meantime, the other (majority) interpretation was that these results could be accounted for if the Big Bang expansion rate was speeding up with time. Up until then, the majority of astronomers had accepted that the Big Bang expansion rate was gradually slowing under the action of gravity.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However, if the integrity of Big Bang modeling and equation (14) was to be maintained, this new result could only be accounted for if cosmological expansion was speeding up.  This is also the only way the red shift data could be harmonized with what was being seen. This required the existence of a cosmological constant, </w:t>
      </w:r>
      <m:oMath>
        <m:r>
          <w:rPr>
            <w:rFonts w:ascii="Cambria Math" w:hAnsi="Cambria Math"/>
            <w:sz w:val="20"/>
          </w:rPr>
          <m:t>Λ</m:t>
        </m:r>
      </m:oMath>
      <w:r w:rsidRPr="00372C58">
        <w:rPr>
          <w:rFonts w:ascii="Book Antiqua" w:hAnsi="Book Antiqua"/>
          <w:sz w:val="20"/>
        </w:rPr>
        <w:t xml:space="preserve">, (often referred to as “dark energy”) which would act like gravity in reverse, pushing the universe out. While Einstein had postulated the existence of this mathematical term, most had regarded its existence with some skepticism. This was because its calculated size, when compared with observational data, resulted in a large discrepancy (as noted in Chapter 1 in the section on the ZPE and the cosmological constant). Because of that discrepancy, the existence as well as the effect of a cosmological constant must be seriously questioned.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Astronomers had hardly recovered from their surprise regarding Perlmutter’s observations when a further shock came in 2001. Adam Riess had just examined the most distant Type Ia supernova yet discovered. It was at a redshift of </w:t>
      </w:r>
      <m:oMath>
        <m:r>
          <w:rPr>
            <w:rFonts w:ascii="Cambria Math" w:hAnsi="Cambria Math"/>
            <w:sz w:val="20"/>
          </w:rPr>
          <m:t>z</m:t>
        </m:r>
        <m:r>
          <w:rPr>
            <w:rFonts w:ascii="Cambria Math" w:hAnsi="Book Antiqua"/>
            <w:sz w:val="20"/>
          </w:rPr>
          <m:t xml:space="preserve"> = 1.7</m:t>
        </m:r>
      </m:oMath>
      <w:r w:rsidRPr="00372C58">
        <w:rPr>
          <w:rFonts w:ascii="Book Antiqua" w:hAnsi="Book Antiqua"/>
          <w:sz w:val="20"/>
        </w:rPr>
        <w:t xml:space="preserve"> and was not fainter, but brighter than expected</w:t>
      </w:r>
      <w:r w:rsidR="00B60979">
        <w:rPr>
          <w:rFonts w:ascii="Book Antiqua" w:hAnsi="Book Antiqua"/>
          <w:sz w:val="20"/>
        </w:rPr>
        <w:t xml:space="preserve"> </w:t>
      </w:r>
      <w:r w:rsidRPr="00372C58">
        <w:rPr>
          <w:rFonts w:ascii="Book Antiqua" w:hAnsi="Book Antiqua"/>
          <w:sz w:val="20"/>
        </w:rPr>
        <w:t xml:space="preserve">[34]. This meant that it was closer to us than the redshift/distance relationship indicated. This result was confirmed on 10th October 2003 when Riess announced that ten more distant supernovae were all brighter than expected [35-36]. Since dust can only make things dimmer, but never brighter, some </w:t>
      </w:r>
      <w:r w:rsidRPr="00372C58">
        <w:rPr>
          <w:rFonts w:ascii="Book Antiqua" w:hAnsi="Book Antiqua"/>
          <w:sz w:val="20"/>
        </w:rPr>
        <w:lastRenderedPageBreak/>
        <w:t xml:space="preserve">other factor had to be the cause. This was then interpreted as indicating that universal expansion had slowed under gravity initially, and then accelerated later, as the effects of the cosmological constant began to be manifested.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Initially Riess's work suggested the transition from slowing to accelerating expansion occurred at a redshift of about </w:t>
      </w:r>
      <m:oMath>
        <m:r>
          <w:rPr>
            <w:rFonts w:ascii="Cambria Math" w:hAnsi="Cambria Math"/>
            <w:sz w:val="20"/>
          </w:rPr>
          <m:t>z</m:t>
        </m:r>
        <m:r>
          <w:rPr>
            <w:rFonts w:ascii="Cambria Math" w:hAnsi="Book Antiqua"/>
            <w:sz w:val="20"/>
          </w:rPr>
          <m:t xml:space="preserve"> = 1.5</m:t>
        </m:r>
      </m:oMath>
      <w:r w:rsidRPr="00372C58">
        <w:rPr>
          <w:rFonts w:ascii="Book Antiqua" w:hAnsi="Book Antiqua"/>
          <w:sz w:val="20"/>
        </w:rPr>
        <w:t xml:space="preserve">. Since then, further work has suggested that the change-over might have occurred at a redshift as low as </w:t>
      </w:r>
      <m:oMath>
        <m:r>
          <w:rPr>
            <w:rFonts w:ascii="Cambria Math" w:hAnsi="Cambria Math"/>
            <w:sz w:val="20"/>
          </w:rPr>
          <m:t>z</m:t>
        </m:r>
        <m:r>
          <w:rPr>
            <w:rFonts w:ascii="Cambria Math" w:hAnsi="Book Antiqua"/>
            <w:sz w:val="20"/>
          </w:rPr>
          <m:t xml:space="preserve"> = 0.46</m:t>
        </m:r>
      </m:oMath>
      <w:r w:rsidRPr="00372C58">
        <w:rPr>
          <w:rFonts w:ascii="Book Antiqua" w:hAnsi="Book Antiqua"/>
          <w:sz w:val="20"/>
        </w:rPr>
        <w:t xml:space="preserve"> [37], while other work suggests that this transition point might be in the middle of the range at </w:t>
      </w:r>
      <m:oMath>
        <m:r>
          <w:rPr>
            <w:rFonts w:ascii="Cambria Math" w:hAnsi="Cambria Math"/>
            <w:sz w:val="20"/>
          </w:rPr>
          <m:t>z</m:t>
        </m:r>
        <m:r>
          <w:rPr>
            <w:rFonts w:ascii="Cambria Math" w:hAnsi="Book Antiqua"/>
            <w:sz w:val="20"/>
          </w:rPr>
          <m:t xml:space="preserve"> = 0.72</m:t>
        </m:r>
      </m:oMath>
      <w:r w:rsidRPr="00372C58">
        <w:rPr>
          <w:rFonts w:ascii="Book Antiqua" w:hAnsi="Book Antiqua"/>
          <w:sz w:val="20"/>
        </w:rPr>
        <w:t xml:space="preserve"> [38]. In 2006, theory-driven research found the evolution of the universe critically depended on the time when that changeover occurred [39]. If the transition point occurred at redshifts greater than about </w:t>
      </w:r>
      <m:oMath>
        <m:r>
          <w:rPr>
            <w:rFonts w:ascii="Cambria Math" w:hAnsi="Cambria Math"/>
            <w:sz w:val="20"/>
          </w:rPr>
          <m:t>z</m:t>
        </m:r>
        <m:r>
          <w:rPr>
            <w:rFonts w:ascii="Cambria Math" w:hAnsi="Book Antiqua"/>
            <w:sz w:val="20"/>
          </w:rPr>
          <m:t xml:space="preserve"> = 0.64</m:t>
        </m:r>
      </m:oMath>
      <w:r w:rsidRPr="00372C58">
        <w:rPr>
          <w:rFonts w:ascii="Book Antiqua" w:hAnsi="Book Antiqua"/>
          <w:sz w:val="20"/>
        </w:rPr>
        <w:t xml:space="preserve">, the cosmos would eventually collapse [39].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Beginning in 2008, some doubts began to be expressed. In February of that year, Marina Seikel and Dominik J. Schwarz pointed out in </w:t>
      </w:r>
      <w:r w:rsidRPr="00372C58">
        <w:rPr>
          <w:rFonts w:ascii="Book Antiqua" w:hAnsi="Book Antiqua"/>
          <w:i/>
          <w:sz w:val="20"/>
        </w:rPr>
        <w:t>Journal of Cosmology and Astroparticle Physics</w:t>
      </w:r>
      <w:r w:rsidRPr="00372C58">
        <w:rPr>
          <w:rFonts w:ascii="Book Antiqua" w:hAnsi="Book Antiqua"/>
          <w:sz w:val="20"/>
        </w:rPr>
        <w:t xml:space="preserve">, volume </w:t>
      </w:r>
      <w:r w:rsidRPr="003D33FE">
        <w:rPr>
          <w:rFonts w:ascii="Book Antiqua" w:hAnsi="Book Antiqua"/>
          <w:sz w:val="20"/>
        </w:rPr>
        <w:t>2008</w:t>
      </w:r>
      <w:r w:rsidRPr="00372C58">
        <w:rPr>
          <w:rFonts w:ascii="Book Antiqua" w:hAnsi="Book Antiqua"/>
          <w:sz w:val="20"/>
        </w:rPr>
        <w:t xml:space="preserve">, that in the case of all these data </w:t>
      </w:r>
      <w:r w:rsidRPr="00372C58">
        <w:rPr>
          <w:rFonts w:ascii="Book Antiqua" w:hAnsi="Book Antiqua"/>
          <w:i/>
          <w:sz w:val="20"/>
        </w:rPr>
        <w:t>"The result strongly depends on the data set, the light curve fitting method and the calibration of the absolute magnitude used for the test, indicating strong systematic errors."</w:t>
      </w:r>
      <w:r w:rsidRPr="00372C58">
        <w:rPr>
          <w:rFonts w:ascii="Book Antiqua" w:hAnsi="Book Antiqua"/>
          <w:sz w:val="20"/>
        </w:rPr>
        <w:t xml:space="preserve"> When this is considered, there is a suspicion that these supernova results may perhaps be an artifact of errors in our treatment of data, or perhaps an intrinsic variability in the brightness of the supernovas themselves. This variability is possible, as studies from 2006 to 2011 have proven. (See, for example references [40-42]).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Nevertheless, if the supernova data were to be accepted without question, then the Big Bang model needed to be revised to account for them. The explanation offered was that in the early universe with </w:t>
      </w:r>
      <m:oMath>
        <m:r>
          <w:rPr>
            <w:rFonts w:ascii="Cambria Math" w:hAnsi="Cambria Math"/>
            <w:sz w:val="20"/>
          </w:rPr>
          <m:t>z</m:t>
        </m:r>
        <m:r>
          <w:rPr>
            <w:rFonts w:ascii="Cambria Math" w:hAnsi="Book Antiqua"/>
            <w:sz w:val="20"/>
          </w:rPr>
          <m:t xml:space="preserve"> &gt; 1.5</m:t>
        </m:r>
      </m:oMath>
      <w:r w:rsidRPr="00372C58">
        <w:rPr>
          <w:rFonts w:ascii="Book Antiqua" w:hAnsi="Book Antiqua"/>
          <w:sz w:val="20"/>
        </w:rPr>
        <w:t xml:space="preserve">, expansion was slowing under gravity. However, at about </w:t>
      </w:r>
      <m:oMath>
        <m:r>
          <w:rPr>
            <w:rFonts w:ascii="Cambria Math" w:hAnsi="Cambria Math"/>
            <w:sz w:val="20"/>
          </w:rPr>
          <m:t>z</m:t>
        </m:r>
        <m:r>
          <w:rPr>
            <w:rFonts w:ascii="Cambria Math" w:hAnsi="Book Antiqua"/>
            <w:sz w:val="20"/>
          </w:rPr>
          <m:t xml:space="preserve"> = 1.5</m:t>
        </m:r>
      </m:oMath>
      <w:r w:rsidRPr="00372C58">
        <w:rPr>
          <w:rFonts w:ascii="Book Antiqua" w:hAnsi="Book Antiqua"/>
          <w:i/>
          <w:iCs/>
          <w:sz w:val="20"/>
        </w:rPr>
        <w:t xml:space="preserve"> </w:t>
      </w:r>
      <w:r w:rsidRPr="00372C58">
        <w:rPr>
          <w:rFonts w:ascii="Book Antiqua" w:hAnsi="Book Antiqua"/>
          <w:sz w:val="20"/>
        </w:rPr>
        <w:t xml:space="preserve">the action of the cosmological constant, </w:t>
      </w:r>
      <m:oMath>
        <m:r>
          <w:rPr>
            <w:rFonts w:ascii="Cambria Math" w:hAnsi="Cambria Math"/>
            <w:sz w:val="20"/>
          </w:rPr>
          <m:t>Λ</m:t>
        </m:r>
      </m:oMath>
      <w:r w:rsidRPr="00372C58">
        <w:rPr>
          <w:rFonts w:ascii="Book Antiqua" w:hAnsi="Book Antiqua"/>
          <w:sz w:val="20"/>
        </w:rPr>
        <w:t xml:space="preserve">, became greater than the pull of gravity, and the expansion of the universe started to accelerate as a result of this “dark energy.”  But, as </w:t>
      </w:r>
      <w:r w:rsidRPr="00372C58">
        <w:rPr>
          <w:rFonts w:ascii="Book Antiqua" w:hAnsi="Book Antiqua"/>
          <w:i/>
          <w:sz w:val="20"/>
        </w:rPr>
        <w:t xml:space="preserve">Science News </w:t>
      </w:r>
      <w:r w:rsidRPr="00372C58">
        <w:rPr>
          <w:rFonts w:ascii="Book Antiqua" w:hAnsi="Book Antiqua"/>
          <w:sz w:val="20"/>
        </w:rPr>
        <w:t xml:space="preserve">Vol. 164:15 pointed out, science is not sure of the source of this energy. Furthermore, X-ray data from the European XMM satellite </w:t>
      </w:r>
      <w:r w:rsidRPr="00372C58">
        <w:rPr>
          <w:rFonts w:ascii="Book Antiqua" w:hAnsi="Book Antiqua"/>
          <w:i/>
          <w:iCs/>
          <w:sz w:val="20"/>
        </w:rPr>
        <w:t xml:space="preserve">“leaves little room for dark energy” </w:t>
      </w:r>
      <w:r w:rsidRPr="00372C58">
        <w:rPr>
          <w:rFonts w:ascii="Book Antiqua" w:hAnsi="Book Antiqua"/>
          <w:sz w:val="20"/>
        </w:rPr>
        <w:t xml:space="preserve">according to Alain Blanchard of the European Space Agency [43].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It must be understood that the necessity for all these explanations of changes in the rates of universal acceleration come from the suspected deviations in the redshift/distance relationship in (14). These explanations are all made on the basic assumption that the redshift is due to cosmic expansion. In turn, this expansion is assumed to be completely described by the relativistic Doppler formula. If these observations are accepted at face value, then what they are actually showing is that this formula in (14) is not an exact replication of reality. It is only an approximation to what is actually happening.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If the aberrant observations are valid, and not just faulty data analysis, or intrinsic variability in the supernovas, then perhaps the presuppositions regarding universe expansion need to be examined. If the redshift does not come from cosmological expansion at all, but has a different origin, then the relativistic Doppler formula might </w:t>
      </w:r>
      <w:r w:rsidR="00550258">
        <w:rPr>
          <w:rFonts w:ascii="Book Antiqua" w:hAnsi="Book Antiqua"/>
          <w:sz w:val="20"/>
        </w:rPr>
        <w:t>not be the needed explantion</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In this regard an analysis of the origin of the ZPE associated with the turbulence and recombination of Planck Particle Pairs (PPP), as discussed in Chapter 1, results in a formula very similar to the relativistic Doppler equation. This is discussed more fully in “The Redshift and the Zero Point Energy” [44]. A streamlined derivation is given here in Appendix A. It will be helpful to an analysis of the redshift-distance relationship if we write equation (14) in the form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Y</m:t>
        </m:r>
        <m:r>
          <w:rPr>
            <w:rFonts w:ascii="Cambria Math" w:hAnsi="Book Antiqua"/>
            <w:sz w:val="20"/>
          </w:rPr>
          <m:t xml:space="preserve">  =  (1 + </m:t>
        </m:r>
        <m:r>
          <w:rPr>
            <w:rFonts w:ascii="Cambria Math" w:hAnsi="Cambria Math"/>
            <w:sz w:val="20"/>
          </w:rPr>
          <m:t>z</m:t>
        </m:r>
        <m:r>
          <w:rPr>
            <w:rFonts w:ascii="Cambria Math" w:hAnsi="Book Antiqua"/>
            <w:sz w:val="20"/>
          </w:rPr>
          <m:t xml:space="preserve">) = (1 + </m:t>
        </m:r>
        <m:r>
          <w:rPr>
            <w:rFonts w:ascii="Cambria Math" w:hAnsi="Cambria Math"/>
            <w:sz w:val="20"/>
          </w:rPr>
          <m:t>x</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[ 1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x</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(14A)</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the Doppler formula the exponent </w:t>
      </w:r>
      <m:oMath>
        <m:r>
          <w:rPr>
            <w:rFonts w:ascii="Cambria Math" w:hAnsi="Cambria Math"/>
            <w:sz w:val="20"/>
          </w:rPr>
          <m:t>a</m:t>
        </m:r>
      </m:oMath>
      <w:r w:rsidRPr="00372C58">
        <w:rPr>
          <w:rFonts w:ascii="Book Antiqua" w:hAnsi="Book Antiqua"/>
          <w:sz w:val="20"/>
        </w:rPr>
        <w:t xml:space="preserve"> is exactly 2, and </w:t>
      </w:r>
      <m:oMath>
        <m:r>
          <w:rPr>
            <w:rFonts w:ascii="Cambria Math" w:hAnsi="Cambria Math"/>
            <w:sz w:val="20"/>
          </w:rPr>
          <m:t>b</m:t>
        </m:r>
      </m:oMath>
      <w:r w:rsidRPr="00372C58">
        <w:rPr>
          <w:rFonts w:ascii="Book Antiqua" w:hAnsi="Book Antiqua"/>
          <w:sz w:val="20"/>
        </w:rPr>
        <w:t xml:space="preserve"> is exactly </w:t>
      </w:r>
      <m:oMath>
        <m:r>
          <w:rPr>
            <w:rFonts w:ascii="Book Antiqua" w:hAnsi="Book Antiqua"/>
            <w:sz w:val="20"/>
          </w:rPr>
          <m:t>½</m:t>
        </m:r>
      </m:oMath>
      <w:r w:rsidRPr="00372C58">
        <w:rPr>
          <w:rFonts w:ascii="Book Antiqua" w:hAnsi="Book Antiqua"/>
          <w:i/>
          <w:sz w:val="20"/>
        </w:rPr>
        <w:t>.</w:t>
      </w:r>
      <w:r w:rsidRPr="00372C58">
        <w:rPr>
          <w:rFonts w:ascii="Book Antiqua" w:hAnsi="Book Antiqua"/>
          <w:sz w:val="20"/>
        </w:rPr>
        <w:t xml:space="preserve"> However, the derivation using recombination and turbulence of PPP allows these exponents to vary over a small range of values depending on the exact system involved. For example, if </w:t>
      </w:r>
      <m:oMath>
        <m:r>
          <w:rPr>
            <w:rFonts w:ascii="Cambria Math" w:hAnsi="Cambria Math"/>
            <w:sz w:val="20"/>
          </w:rPr>
          <m:t>b</m:t>
        </m:r>
        <m:r>
          <w:rPr>
            <w:rFonts w:ascii="Cambria Math" w:hAnsi="Book Antiqua"/>
            <w:sz w:val="20"/>
          </w:rPr>
          <m:t xml:space="preserve"> </m:t>
        </m:r>
      </m:oMath>
      <w:r w:rsidRPr="00372C58">
        <w:rPr>
          <w:rFonts w:ascii="Book Antiqua" w:hAnsi="Book Antiqua"/>
          <w:sz w:val="20"/>
        </w:rPr>
        <w:t>held the value of 0.75 instead of 0.5 and</w:t>
      </w:r>
      <m:oMath>
        <m:r>
          <w:rPr>
            <w:rFonts w:ascii="Cambria Math" w:hAnsi="Book Antiqua"/>
            <w:sz w:val="20"/>
          </w:rPr>
          <m:t xml:space="preserve"> </m:t>
        </m:r>
        <m:r>
          <w:rPr>
            <w:rFonts w:ascii="Cambria Math" w:hAnsi="Cambria Math"/>
            <w:sz w:val="20"/>
          </w:rPr>
          <m:t>a</m:t>
        </m:r>
        <m:r>
          <w:rPr>
            <w:rFonts w:ascii="Cambria Math" w:hAnsi="Book Antiqua"/>
            <w:sz w:val="20"/>
          </w:rPr>
          <m:t xml:space="preserve"> </m:t>
        </m:r>
      </m:oMath>
      <w:r w:rsidRPr="00372C58">
        <w:rPr>
          <w:rFonts w:ascii="Book Antiqua" w:hAnsi="Book Antiqua"/>
          <w:sz w:val="20"/>
        </w:rPr>
        <w:t xml:space="preserve">held the value of 3 instead of 2 (both of which are in accord with results we are getting from the red shift as well as PPP recombination), then the resulting graph is plotted in Figure 8. </w:t>
      </w:r>
    </w:p>
    <w:p w:rsidR="00265840" w:rsidRPr="00372C58" w:rsidRDefault="00265840" w:rsidP="00265840">
      <w:pPr>
        <w:pStyle w:val="NoSpacing"/>
        <w:jc w:val="both"/>
        <w:rPr>
          <w:rFonts w:ascii="Book Antiqua" w:hAnsi="Book Antiqua"/>
          <w:sz w:val="20"/>
        </w:rPr>
      </w:pPr>
    </w:p>
    <w:p w:rsidR="00EC41E0" w:rsidRPr="00372C58" w:rsidRDefault="00265840" w:rsidP="00550258">
      <w:pPr>
        <w:pStyle w:val="NoSpacing"/>
        <w:ind w:firstLine="720"/>
        <w:jc w:val="both"/>
        <w:rPr>
          <w:rFonts w:ascii="Book Antiqua" w:hAnsi="Book Antiqua"/>
          <w:sz w:val="20"/>
        </w:rPr>
      </w:pPr>
      <w:r w:rsidRPr="00372C58">
        <w:rPr>
          <w:rFonts w:ascii="Book Antiqua" w:hAnsi="Book Antiqua"/>
          <w:sz w:val="20"/>
        </w:rPr>
        <w:lastRenderedPageBreak/>
        <w:t xml:space="preserve">In this figure, the blue line is the graph of the relativistic Doppler formula which is normally assumed to be a precise description of the redshift. The red line is the graph with the slightly altered exponents, which is actually more in accord with the observed redshifts. In the horizontal portion of the graph, the actual redshift from objects (red line) is lower for a given distance than expected from the Doppler formula (blue line). However, as distance increases, in the vertical segment of the graph, actual objects are closer than expected from the Doppler Formula. This means redshifts are somewhat higher for a given distance than the Doppler formula predicts as distances from Earth increase. The cross-over point </w:t>
      </w:r>
      <w:r w:rsidR="00EC41E0" w:rsidRPr="00372C58">
        <w:rPr>
          <w:rFonts w:ascii="Book Antiqua" w:hAnsi="Book Antiqua"/>
          <w:sz w:val="20"/>
        </w:rPr>
        <w:t xml:space="preserve">for these effects is a redshift near </w:t>
      </w:r>
      <m:oMath>
        <m:r>
          <w:rPr>
            <w:rFonts w:ascii="Cambria Math" w:hAnsi="Cambria Math"/>
            <w:sz w:val="20"/>
          </w:rPr>
          <m:t>z</m:t>
        </m:r>
        <m:r>
          <w:rPr>
            <w:rFonts w:ascii="Cambria Math" w:hAnsi="Book Antiqua"/>
            <w:sz w:val="20"/>
          </w:rPr>
          <m:t xml:space="preserve"> = 1.6</m:t>
        </m:r>
      </m:oMath>
      <w:r w:rsidR="00EC41E0" w:rsidRPr="00372C58">
        <w:rPr>
          <w:rFonts w:ascii="Book Antiqua" w:hAnsi="Book Antiqua"/>
          <w:sz w:val="20"/>
        </w:rPr>
        <w:t xml:space="preserve">. This is only one example of variability possible using the recombination and turbulence formula in Equation (14 A). For instance, when the exponent </w:t>
      </w:r>
      <m:oMath>
        <m:r>
          <w:rPr>
            <w:rFonts w:ascii="Cambria Math" w:hAnsi="Cambria Math"/>
            <w:sz w:val="20"/>
          </w:rPr>
          <m:t>b</m:t>
        </m:r>
        <m:r>
          <w:rPr>
            <w:rFonts w:ascii="Cambria Math" w:hAnsi="Book Antiqua"/>
            <w:sz w:val="20"/>
          </w:rPr>
          <m:t xml:space="preserve"> = 0.75</m:t>
        </m:r>
      </m:oMath>
      <w:r w:rsidR="00EC41E0" w:rsidRPr="00372C58">
        <w:rPr>
          <w:rFonts w:ascii="Book Antiqua" w:hAnsi="Book Antiqua"/>
          <w:i/>
          <w:sz w:val="20"/>
        </w:rPr>
        <w:t xml:space="preserve"> </w:t>
      </w:r>
      <w:r w:rsidR="00EC41E0" w:rsidRPr="00372C58">
        <w:rPr>
          <w:rFonts w:ascii="Book Antiqua" w:hAnsi="Book Antiqua"/>
          <w:sz w:val="20"/>
        </w:rPr>
        <w:t xml:space="preserve">as in Figure 5, but with the exponent </w:t>
      </w:r>
      <m:oMath>
        <m:r>
          <w:rPr>
            <w:rFonts w:ascii="Cambria Math" w:hAnsi="Cambria Math"/>
            <w:sz w:val="20"/>
          </w:rPr>
          <m:t>a</m:t>
        </m:r>
        <m:r>
          <w:rPr>
            <w:rFonts w:ascii="Cambria Math" w:hAnsi="Book Antiqua"/>
            <w:sz w:val="20"/>
          </w:rPr>
          <m:t xml:space="preserve"> = 0.25</m:t>
        </m:r>
      </m:oMath>
      <w:r w:rsidR="00EC41E0" w:rsidRPr="00372C58">
        <w:rPr>
          <w:rFonts w:ascii="Book Antiqua" w:hAnsi="Book Antiqua"/>
          <w:sz w:val="20"/>
        </w:rPr>
        <w:t xml:space="preserve">, the crossover point moves back to a redshift of </w:t>
      </w:r>
      <m:oMath>
        <m:r>
          <w:rPr>
            <w:rFonts w:ascii="Cambria Math" w:hAnsi="Cambria Math"/>
            <w:sz w:val="20"/>
          </w:rPr>
          <m:t>z</m:t>
        </m:r>
        <m:r>
          <w:rPr>
            <w:rFonts w:ascii="Cambria Math" w:hAnsi="Book Antiqua"/>
            <w:sz w:val="20"/>
          </w:rPr>
          <m:t xml:space="preserve"> = 0.65</m:t>
        </m:r>
      </m:oMath>
      <w:r w:rsidR="00EC41E0" w:rsidRPr="00372C58">
        <w:rPr>
          <w:rFonts w:ascii="Book Antiqua" w:hAnsi="Book Antiqua"/>
          <w:sz w:val="20"/>
        </w:rPr>
        <w:t>, a point closer to Earth and therefore more recent in time.</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3590925" cy="4324350"/>
            <wp:effectExtent l="19050" t="0" r="9525" b="0"/>
            <wp:docPr id="15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8:</w:t>
      </w:r>
      <w:r w:rsidRPr="004223A5">
        <w:rPr>
          <w:rFonts w:ascii="Book Antiqua" w:hAnsi="Book Antiqua"/>
          <w:i/>
          <w:sz w:val="18"/>
          <w:szCs w:val="18"/>
        </w:rPr>
        <w:t xml:space="preserve"> A graph of Y = (1 + z). The blue line has exponents which give the exact relativistic Doppler formula. The red line has different exponents which show objects with redshifts greater than z = 1.6 are closer than expected from the blue curve. Objects with redshifts less than z = 1.6 are further away than predicted by the blue curve. The red curve is more in accord with redshift data.</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problem faced by cosmologists is that their approach requires a curve </w:t>
      </w:r>
      <w:r w:rsidR="00550258">
        <w:rPr>
          <w:rFonts w:ascii="Book Antiqua" w:hAnsi="Book Antiqua"/>
          <w:sz w:val="20"/>
        </w:rPr>
        <w:t>describing</w:t>
      </w:r>
      <w:r w:rsidRPr="00372C58">
        <w:rPr>
          <w:rFonts w:ascii="Book Antiqua" w:hAnsi="Book Antiqua"/>
          <w:sz w:val="20"/>
        </w:rPr>
        <w:t xml:space="preserve"> (14A) but </w:t>
      </w:r>
      <w:r w:rsidR="00550258">
        <w:rPr>
          <w:rFonts w:ascii="Book Antiqua" w:hAnsi="Book Antiqua"/>
          <w:sz w:val="20"/>
        </w:rPr>
        <w:t>they insist</w:t>
      </w:r>
      <w:r w:rsidRPr="00372C58">
        <w:rPr>
          <w:rFonts w:ascii="Book Antiqua" w:hAnsi="Book Antiqua"/>
          <w:sz w:val="20"/>
        </w:rPr>
        <w:t xml:space="preserve"> on the exponents </w:t>
      </w:r>
      <m:oMath>
        <m:r>
          <w:rPr>
            <w:rFonts w:ascii="Cambria Math" w:hAnsi="Cambria Math"/>
            <w:sz w:val="20"/>
          </w:rPr>
          <m:t>a</m:t>
        </m:r>
        <m:r>
          <w:rPr>
            <w:rFonts w:ascii="Cambria Math" w:hAnsi="Book Antiqua"/>
            <w:sz w:val="20"/>
          </w:rPr>
          <m:t xml:space="preserve"> = 2</m:t>
        </m:r>
      </m:oMath>
      <w:r w:rsidRPr="00372C58">
        <w:rPr>
          <w:rFonts w:ascii="Book Antiqua" w:hAnsi="Book Antiqua"/>
          <w:sz w:val="20"/>
        </w:rPr>
        <w:t xml:space="preserve"> and </w:t>
      </w:r>
      <m:oMath>
        <m:r>
          <w:rPr>
            <w:rFonts w:ascii="Cambria Math" w:hAnsi="Cambria Math"/>
            <w:sz w:val="20"/>
          </w:rPr>
          <m:t>b</m:t>
        </m:r>
        <m:r>
          <w:rPr>
            <w:rFonts w:ascii="Cambria Math" w:hAnsi="Book Antiqua"/>
            <w:sz w:val="20"/>
          </w:rPr>
          <m:t xml:space="preserve"> = </m:t>
        </m:r>
        <m:r>
          <w:rPr>
            <w:rFonts w:ascii="Book Antiqua" w:hAnsi="Book Antiqua"/>
            <w:sz w:val="20"/>
          </w:rPr>
          <m:t>½</m:t>
        </m:r>
      </m:oMath>
      <w:r w:rsidRPr="00372C58">
        <w:rPr>
          <w:rFonts w:ascii="Book Antiqua" w:hAnsi="Book Antiqua"/>
          <w:sz w:val="20"/>
        </w:rPr>
        <w:t xml:space="preserve"> without any possibility of variation. But the problem of an accelerating or decelerating universe does not arise in a ZPE context since the exponents can be adjusted to obtain agreement with the data. A changing Zero Point Energy explains the discrepant data. In contrast, the standard model with the Doppler formula can only consider a cosmos which is decelerating after the origin of the cosmos (on the vertical part of the curve), and then </w:t>
      </w:r>
      <w:r w:rsidRPr="00372C58">
        <w:rPr>
          <w:rFonts w:ascii="Book Antiqua" w:hAnsi="Book Antiqua"/>
          <w:sz w:val="20"/>
        </w:rPr>
        <w:lastRenderedPageBreak/>
        <w:t>accelerating later (on the horizontal section) to attempt agreement with the data. They give no reason why the cosmological constant, “dark energy,” should kick in at that point.</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As mentioned in Chapter 1, the hydrogen clouds present more solid evidence against the idea of a currently expanding universe.  Studies have shown that the hydrogen clouds are evenly spaced through redshifts from our Local Group with a redshift of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out to at least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w:t>
      </w:r>
      <w:r w:rsidR="001551AB">
        <w:rPr>
          <w:rFonts w:ascii="Book Antiqua" w:hAnsi="Book Antiqua"/>
          <w:sz w:val="20"/>
        </w:rPr>
        <w:t>with a possible upper limit of</w:t>
      </w:r>
      <w:r w:rsidRPr="00372C58">
        <w:rPr>
          <w:rFonts w:ascii="Book Antiqua" w:hAnsi="Book Antiqua"/>
          <w:sz w:val="20"/>
        </w:rPr>
        <w:t xml:space="preserve">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This indicates that no accelerating expansion has occurred in this redshift range </w:t>
      </w:r>
      <w:r w:rsidRPr="00550258">
        <w:rPr>
          <w:rFonts w:ascii="Book Antiqua" w:hAnsi="Book Antiqua"/>
          <w:sz w:val="20"/>
        </w:rPr>
        <w:t>[17].</w:t>
      </w:r>
      <w:r w:rsidRPr="00372C58">
        <w:rPr>
          <w:rFonts w:ascii="Book Antiqua" w:hAnsi="Book Antiqua"/>
          <w:sz w:val="20"/>
        </w:rPr>
        <w:t xml:space="preserve"> Yet this is the very range where accelerating expansion has been used to account for the supernova Type Ia results.  If</w:t>
      </w:r>
      <w:r w:rsidR="001551AB">
        <w:rPr>
          <w:rFonts w:ascii="Book Antiqua" w:hAnsi="Book Antiqua"/>
          <w:sz w:val="20"/>
        </w:rPr>
        <w:t xml:space="preserve"> the hydrogen cloud data are valid, then the redshift </w:t>
      </w:r>
      <w:r w:rsidRPr="00372C58">
        <w:rPr>
          <w:rFonts w:ascii="Book Antiqua" w:hAnsi="Book Antiqua"/>
          <w:sz w:val="20"/>
        </w:rPr>
        <w:t>results are due to a different cause</w:t>
      </w:r>
      <w:r w:rsidR="001551AB">
        <w:rPr>
          <w:rFonts w:ascii="Book Antiqua" w:hAnsi="Book Antiqua"/>
          <w:sz w:val="20"/>
        </w:rPr>
        <w:t xml:space="preserve"> and</w:t>
      </w:r>
      <w:r w:rsidRPr="00372C58">
        <w:rPr>
          <w:rFonts w:ascii="Book Antiqua" w:hAnsi="Book Antiqua"/>
          <w:sz w:val="20"/>
        </w:rPr>
        <w:t xml:space="preserve"> there is</w:t>
      </w:r>
      <w:r w:rsidR="001551AB">
        <w:rPr>
          <w:rFonts w:ascii="Book Antiqua" w:hAnsi="Book Antiqua"/>
          <w:sz w:val="20"/>
        </w:rPr>
        <w:t xml:space="preserve"> then</w:t>
      </w:r>
      <w:r w:rsidRPr="00372C58">
        <w:rPr>
          <w:rFonts w:ascii="Book Antiqua" w:hAnsi="Book Antiqua"/>
          <w:sz w:val="20"/>
        </w:rPr>
        <w:t xml:space="preserve"> no reason to invoke exotic cosmological behavior.</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Hydrogen cloud data </w:t>
      </w:r>
      <w:r w:rsidR="00550258">
        <w:rPr>
          <w:rFonts w:ascii="Book Antiqua" w:hAnsi="Book Antiqua"/>
          <w:sz w:val="20"/>
        </w:rPr>
        <w:t xml:space="preserve">does </w:t>
      </w:r>
      <w:r w:rsidRPr="00372C58">
        <w:rPr>
          <w:rFonts w:ascii="Book Antiqua" w:hAnsi="Book Antiqua"/>
          <w:sz w:val="20"/>
        </w:rPr>
        <w:t xml:space="preserve">reveal that an initial expansion of the cosmos </w:t>
      </w:r>
      <w:r w:rsidR="00550258">
        <w:rPr>
          <w:rFonts w:ascii="Book Antiqua" w:hAnsi="Book Antiqua"/>
          <w:sz w:val="20"/>
        </w:rPr>
        <w:t>occurred</w:t>
      </w:r>
      <w:r w:rsidRPr="00372C58">
        <w:rPr>
          <w:rFonts w:ascii="Book Antiqua" w:hAnsi="Book Antiqua"/>
          <w:sz w:val="20"/>
        </w:rPr>
        <w:t xml:space="preserve">, as evidenced by the increasing separation of the hydrogen clouds from the highest redshifts down to about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Between redshifts of </w:t>
      </w:r>
      <m:oMath>
        <m:r>
          <w:rPr>
            <w:rFonts w:ascii="Cambria Math" w:hAnsi="Cambria Math"/>
            <w:sz w:val="20"/>
          </w:rPr>
          <m:t>z</m:t>
        </m:r>
        <m:r>
          <w:rPr>
            <w:rFonts w:ascii="Cambria Math" w:hAnsi="Book Antiqua"/>
            <w:sz w:val="20"/>
          </w:rPr>
          <m:t xml:space="preserve"> = 2.6</m:t>
        </m:r>
      </m:oMath>
      <w:r w:rsidRPr="00372C58">
        <w:rPr>
          <w:rFonts w:ascii="Book Antiqua" w:hAnsi="Book Antiqua"/>
          <w:sz w:val="20"/>
        </w:rPr>
        <w:t xml:space="preserve"> and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the expansion stopped. Then the universe became static from a redshift of about </w:t>
      </w:r>
      <m:oMath>
        <m:r>
          <w:rPr>
            <w:rFonts w:ascii="Cambria Math" w:hAnsi="Cambria Math"/>
            <w:sz w:val="20"/>
          </w:rPr>
          <m:t>z</m:t>
        </m:r>
        <m:r>
          <w:rPr>
            <w:rFonts w:ascii="Cambria Math" w:hAnsi="Book Antiqua"/>
            <w:sz w:val="20"/>
          </w:rPr>
          <m:t xml:space="preserve"> = 1.6</m:t>
        </m:r>
      </m:oMath>
      <w:r w:rsidRPr="00372C58">
        <w:rPr>
          <w:rFonts w:ascii="Book Antiqua" w:hAnsi="Book Antiqua"/>
          <w:sz w:val="20"/>
        </w:rPr>
        <w:t xml:space="preserve"> down to the present where </w:t>
      </w:r>
      <m:oMath>
        <m:r>
          <w:rPr>
            <w:rFonts w:ascii="Cambria Math" w:hAnsi="Cambria Math"/>
            <w:sz w:val="20"/>
          </w:rPr>
          <m:t>z</m:t>
        </m:r>
        <m:r>
          <w:rPr>
            <w:rFonts w:ascii="Cambria Math" w:hAnsi="Book Antiqua"/>
            <w:sz w:val="20"/>
          </w:rPr>
          <m:t xml:space="preserve"> = 0.0</m:t>
        </m:r>
      </m:oMath>
      <w:r w:rsidRPr="00372C58">
        <w:rPr>
          <w:rFonts w:ascii="Book Antiqua" w:hAnsi="Book Antiqua"/>
          <w:sz w:val="20"/>
        </w:rPr>
        <w:t xml:space="preserve"> [45, 46].   Thus the possibility that we live in a now static universe is certainly in accord with the</w:t>
      </w:r>
      <w:r w:rsidR="001551AB">
        <w:rPr>
          <w:rFonts w:ascii="Book Antiqua" w:hAnsi="Book Antiqua"/>
          <w:sz w:val="20"/>
        </w:rPr>
        <w:t>se</w:t>
      </w:r>
      <w:r w:rsidRPr="00372C58">
        <w:rPr>
          <w:rFonts w:ascii="Book Antiqua" w:hAnsi="Book Antiqua"/>
          <w:sz w:val="20"/>
        </w:rPr>
        <w:t xml:space="preserve"> data. </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jc w:val="both"/>
        <w:rPr>
          <w:rFonts w:ascii="Book Antiqua" w:hAnsi="Book Antiqua"/>
          <w:bCs/>
          <w:i/>
          <w:iCs/>
          <w:sz w:val="20"/>
        </w:rPr>
      </w:pPr>
      <w:r w:rsidRPr="00372C58">
        <w:rPr>
          <w:rFonts w:ascii="Book Antiqua" w:hAnsi="Book Antiqua"/>
          <w:bCs/>
          <w:i/>
          <w:iCs/>
          <w:color w:val="000000"/>
          <w:sz w:val="20"/>
        </w:rPr>
        <w:t>2</w:t>
      </w:r>
      <w:r w:rsidRPr="00372C58">
        <w:rPr>
          <w:rFonts w:ascii="Book Antiqua" w:hAnsi="Book Antiqua"/>
          <w:bCs/>
          <w:i/>
          <w:iCs/>
          <w:sz w:val="20"/>
        </w:rPr>
        <w:t>.2 A different option.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In 1993, Narliker and Arp demonstrated that a static, matter-filled universe was stable against gravitational collapse without the action of a cosmological constant, provided that atomic masses increase with time [47].</w:t>
      </w:r>
      <w:r w:rsidRPr="00372C58">
        <w:rPr>
          <w:rFonts w:ascii="Book Antiqua" w:hAnsi="Book Antiqua"/>
          <w:position w:val="10"/>
          <w:sz w:val="20"/>
          <w:vertAlign w:val="superscript"/>
        </w:rPr>
        <w:t xml:space="preserve"> </w:t>
      </w:r>
      <w:r w:rsidRPr="00372C58">
        <w:rPr>
          <w:rFonts w:ascii="Book Antiqua" w:hAnsi="Book Antiqua"/>
          <w:sz w:val="20"/>
        </w:rPr>
        <w:t>The increase in atomic masses with time has been documented [48]</w:t>
      </w:r>
      <w:r w:rsidRPr="00372C58">
        <w:rPr>
          <w:rFonts w:ascii="Book Antiqua" w:hAnsi="Book Antiqua"/>
          <w:position w:val="10"/>
          <w:sz w:val="20"/>
          <w:vertAlign w:val="superscript"/>
        </w:rPr>
        <w:t xml:space="preserve"> </w:t>
      </w:r>
      <w:r w:rsidRPr="00372C58">
        <w:rPr>
          <w:rFonts w:ascii="Book Antiqua" w:hAnsi="Book Antiqua"/>
          <w:sz w:val="20"/>
        </w:rPr>
        <w:t xml:space="preserve">and receives support from the increase in officially declared values of electron rest-masses graphed in Chapter 4, Figure 1. </w:t>
      </w:r>
    </w:p>
    <w:p w:rsidR="00DF31D2"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DF31D2">
      <w:pPr>
        <w:pStyle w:val="NoSpacing"/>
        <w:ind w:firstLine="720"/>
        <w:jc w:val="both"/>
        <w:rPr>
          <w:rFonts w:ascii="Book Antiqua" w:hAnsi="Book Antiqua"/>
          <w:sz w:val="20"/>
        </w:rPr>
      </w:pPr>
      <w:r w:rsidRPr="00372C58">
        <w:rPr>
          <w:rFonts w:ascii="Book Antiqua" w:hAnsi="Book Antiqua"/>
          <w:sz w:val="20"/>
        </w:rPr>
        <w:t xml:space="preserve">However, Narlikar and Arp are not the only ones considering a static universe. In similar scenarios offered by both Troitskii and Van Flandern, stability was maintained by variation in some associated atomic quantities. In these approaches, a static cosmos can be stable against collapse even without the action of the cosmological constant. If the cosmos is indeed static, then the standard explanation regarding the cause of the red shift is called into question.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Halton Arp (and some of his colleagues) initially called the standard explanation of the redshift into question in 1987 with his book “</w:t>
      </w:r>
      <w:r w:rsidRPr="00372C58">
        <w:rPr>
          <w:rFonts w:ascii="Book Antiqua" w:hAnsi="Book Antiqua"/>
          <w:i/>
          <w:sz w:val="20"/>
        </w:rPr>
        <w:t>Quasars, Redshifts and Controversies</w:t>
      </w:r>
      <w:r w:rsidRPr="00372C58">
        <w:rPr>
          <w:rFonts w:ascii="Book Antiqua" w:hAnsi="Book Antiqua"/>
          <w:sz w:val="20"/>
        </w:rPr>
        <w:t xml:space="preserve">” [51]. This was followed by an updated analysis in 1998 in his book </w:t>
      </w:r>
      <w:r w:rsidRPr="00372C58">
        <w:rPr>
          <w:rFonts w:ascii="Book Antiqua" w:hAnsi="Book Antiqua"/>
          <w:i/>
          <w:sz w:val="20"/>
        </w:rPr>
        <w:t>“Seeing Red: Redshifts, Cosmology and Academic Science”</w:t>
      </w:r>
      <w:r w:rsidRPr="00372C58">
        <w:rPr>
          <w:rFonts w:ascii="Book Antiqua" w:hAnsi="Book Antiqua"/>
          <w:sz w:val="20"/>
        </w:rPr>
        <w:t xml:space="preserve"> [61].</w:t>
      </w:r>
      <w:r w:rsidRPr="00372C58">
        <w:rPr>
          <w:rFonts w:ascii="Book Antiqua" w:hAnsi="Book Antiqua"/>
          <w:color w:val="FF0000"/>
          <w:sz w:val="20"/>
        </w:rPr>
        <w:t xml:space="preserve"> </w:t>
      </w:r>
      <w:r w:rsidRPr="00372C58">
        <w:rPr>
          <w:rFonts w:ascii="Book Antiqua" w:hAnsi="Book Antiqua"/>
          <w:sz w:val="20"/>
        </w:rPr>
        <w:t>Among other matters, Arp contended that the high redshifts of quasars must have some other explanation as he had noted that a number of quasars seemed to be associated with relatively nearby galaxies. He deduced this from the fact that some quasars seemed to be aligned with the axis of galaxies which happened to be in the same line of sight. He claimed the possibility of this happening by chance was very small. In addition, lines of equal light-intensity or radio-intensity, called isophotes, enveloped both the distant quasar and the nearby galaxy. This latter feature simply attests to the fact that the quasars are extremely bright. Arp pointed out that the problem this posed for power generation would disappear if they were comparatively nearby objects.</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However, the idea that quasars are relatively nearby is shown to be false by the fact that the light from nearly all quasars comes with a suite of spectral lines that make up the Lyman Alpha Forest. As outlined above, this "forest" comes from all the gas clouds the quasar light has passed through on its journey from the quasar to earth. Each gas cloud has its own redshift dependent upon its distance. In each case, the “forest” associated with the quasar is compatible with its high redshift, and great distance</w:t>
      </w:r>
      <w:r w:rsidR="00DF31D2">
        <w:rPr>
          <w:rFonts w:ascii="Book Antiqua" w:hAnsi="Book Antiqua"/>
          <w:color w:val="000000"/>
        </w:rPr>
        <w:t xml:space="preserve"> because of the huge numbers of clouds involved</w:t>
      </w:r>
      <w:r w:rsidRPr="00372C58">
        <w:rPr>
          <w:rFonts w:ascii="Book Antiqua" w:hAnsi="Book Antiqua"/>
          <w:color w:val="000000"/>
        </w:rPr>
        <w:t>. Therefore, the conclusion must be that the redshift of quasars is a genuine distance indicator. Indeed, the huge number of lines making up the “forest” itself testifies that the quasar light has passed through an enormous number of hydrogen clouds to get here. The way that Arp and his colleagues overcome this argument is to say that all those hydrogen clouds are associated with the expulsion of the quasar from the nearby galaxy. In view of the known distribution of hydrogen clouds throughout the universe, this seems rather unlikely. Rather, the hydrogen cloud data is prima facie evidence that the quasars really are at great distances.</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The second piece of evidence is also pertinent. In the telescope that is observing the quasar, an occulting bar can </w:t>
      </w:r>
      <w:r w:rsidRPr="00372C58">
        <w:rPr>
          <w:rFonts w:ascii="Book Antiqua" w:hAnsi="Book Antiqua"/>
          <w:color w:val="000000"/>
        </w:rPr>
        <w:lastRenderedPageBreak/>
        <w:t xml:space="preserve">be placed across the quasar itself, so that its light is blocked out. When this is done, the whole galaxy, whose nucleus holds the quasar, </w:t>
      </w:r>
      <w:r w:rsidR="00DF31D2">
        <w:rPr>
          <w:rFonts w:ascii="Book Antiqua" w:hAnsi="Book Antiqua"/>
          <w:color w:val="000000"/>
        </w:rPr>
        <w:t xml:space="preserve">usually </w:t>
      </w:r>
      <w:r w:rsidRPr="00372C58">
        <w:rPr>
          <w:rFonts w:ascii="Book Antiqua" w:hAnsi="Book Antiqua"/>
          <w:color w:val="000000"/>
        </w:rPr>
        <w:t xml:space="preserve">becomes visible. The quasar light is so strong that it swamps the light from the stars in its host galaxy. In other words, these quasars are at the centers of fully formed galaxies. If, as Arp claims, these objects were in our Local Group or nearby, we would see evidence of the presence of these full galaxies in the </w:t>
      </w:r>
      <w:r w:rsidR="00AE4BA6">
        <w:rPr>
          <w:rFonts w:ascii="Book Antiqua" w:hAnsi="Book Antiqua"/>
          <w:color w:val="000000"/>
        </w:rPr>
        <w:t xml:space="preserve">gravitationally controlled </w:t>
      </w:r>
      <w:r w:rsidRPr="00372C58">
        <w:rPr>
          <w:rFonts w:ascii="Book Antiqua" w:hAnsi="Book Antiqua"/>
          <w:color w:val="000000"/>
        </w:rPr>
        <w:t>motions of the remaining galaxies in the group. Generally, the evidence for the presence of these extra galaxies is lacking.</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The third piece of evidence is the fact that a number of distant quasars are gravitationally lensed by foreground galaxies or galaxy clusters. If the quasar was truly a part of the galaxy system which was in the foreground then it would not be gravitationally lensed by that system. Here is additional proof that the quasar is significantly further out than the system doing the lensing. Therefore, while the work of Arp in many other astronomical matters is considered excellent, in this instance the weight of evidence seems to be against him.</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F10019">
      <w:pPr>
        <w:shd w:val="clear" w:color="auto" w:fill="FFFFFF"/>
        <w:ind w:firstLine="720"/>
        <w:jc w:val="both"/>
        <w:rPr>
          <w:rFonts w:ascii="Book Antiqua" w:hAnsi="Book Antiqua"/>
          <w:color w:val="000000"/>
        </w:rPr>
      </w:pPr>
      <w:r w:rsidRPr="00372C58">
        <w:rPr>
          <w:rFonts w:ascii="Book Antiqua" w:hAnsi="Book Antiqua"/>
          <w:color w:val="000000"/>
        </w:rPr>
        <w:t xml:space="preserve">In order to boost the acceptability of his argument, Arp often gives figures for the chance alignments of a galaxy and quasar. Thus he might claim, for example, that a given quasar-galaxy alignment may only have one chance in 20,000 of occurring. The implication is that the alignment is not chance, but is an actual fact. However, Arp does not appear to give the basis for these statistics. What is needed is a count of the total number of galaxies compared with the total number of quasars and the chance of a given alignment then demonstrated. Arp does not appear to have done this. Therefore his argument on this basis may be somewhat arbitrary. Finally, the power generation problem does have an answer, which emerges from the physics in Chapter 6, and is mentioned just prior to Figure 7 there.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360"/>
        <w:jc w:val="both"/>
        <w:rPr>
          <w:rFonts w:ascii="Book Antiqua" w:hAnsi="Book Antiqua"/>
        </w:rPr>
      </w:pPr>
      <w:r w:rsidRPr="00372C58">
        <w:rPr>
          <w:rFonts w:ascii="Book Antiqua" w:hAnsi="Book Antiqua"/>
          <w:color w:val="000000"/>
        </w:rPr>
        <w:t xml:space="preserve">The conclusion that emerges from all these data is that the galaxy and quasar redshifts are genuine distance indicators. However, the data also indicate that the redshift is not caused by cosmic expansion. Rather, it seems that the universe is currently static. </w:t>
      </w:r>
      <w:r w:rsidRPr="00372C58">
        <w:rPr>
          <w:rFonts w:ascii="Book Antiqua" w:hAnsi="Book Antiqua"/>
        </w:rPr>
        <w:t>The option of a static universe, along with a different cause for the red shift, was brought sharply into focus by the work of William Tifft.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3.  The Quantized Redshift.</w:t>
      </w:r>
    </w:p>
    <w:p w:rsidR="00265840" w:rsidRPr="00372C58" w:rsidRDefault="00265840" w:rsidP="00265840">
      <w:pPr>
        <w:pStyle w:val="NoSpacing"/>
        <w:ind w:left="1080"/>
        <w:rPr>
          <w:rFonts w:ascii="Book Antiqua" w:hAnsi="Book Antiqua"/>
          <w:b/>
          <w:bCs/>
          <w:iCs/>
          <w:color w:val="000000"/>
          <w:sz w:val="20"/>
        </w:rPr>
      </w:pP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3.1. Introduction</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William Tifft was the astronomer at the Steward Observatory in Tucson, Arizona.  From 1976 onward, Tifft published several papers indicating that redshift differences between galaxies did not progress smoothly, but were ‘clumped,’ or grouped, and changed in jumps.  This became referred to as being quantized [49].  If the redshift were actually due to galaxies racing away from each other, as the Doppler shift interpretation requires, then these speeds of recession should be distributed like those of cars smoothly accelerating on a highway. That is to say, the overall redshift function should be a smooth curve. But the results that Tifft obtained indicated that the redshift measurements jump from one plateau to another like a set of steps. It was as if every car on the highway traveled only at speeds that were multiples of, say, 5 miles per hour, with nothing in between.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On either the Lemaitre or the Doppler model, it was difficult to see how any cosmological expansion of space-time or, alternatively, the recession of galaxies, could go in jumps. Even more puzzling was the fact that some jumps actually occurred within galaxies.  Furthermore, if the redshift was due to motion, then a redshift quantum jump going through a galaxy would mean different halves of the galaxy would be moving at different speeds. This would force the galaxy to disrupt. This is not occurring.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 relatively nearby Coma cluster exhibited this effect in such a way that bands of redshift ran through the whole cluster [50].</w:t>
      </w:r>
      <w:r w:rsidRPr="00372C58">
        <w:rPr>
          <w:rFonts w:ascii="Book Antiqua" w:hAnsi="Book Antiqua"/>
          <w:position w:val="10"/>
          <w:sz w:val="20"/>
          <w:vertAlign w:val="superscript"/>
        </w:rPr>
        <w:t xml:space="preserve"> </w:t>
      </w:r>
      <w:r w:rsidRPr="00372C58">
        <w:rPr>
          <w:rFonts w:ascii="Book Antiqua" w:hAnsi="Book Antiqua"/>
          <w:sz w:val="20"/>
        </w:rPr>
        <w:t xml:space="preserve">Shortly after, Tifft was presented with a list of accurate redshifts using radio measurements of hydrogen. Astronomer Halton Arp reports on the outcome of Tifft’s analysis of this data set by stating: </w:t>
      </w:r>
      <w:r w:rsidRPr="00372C58">
        <w:rPr>
          <w:rFonts w:ascii="Book Antiqua" w:hAnsi="Book Antiqua"/>
          <w:i/>
          <w:iCs/>
          <w:sz w:val="20"/>
        </w:rPr>
        <w:t>“Not only did the quantization appear in this independent set of very accurate double galaxy measurements, but it was the most clear cut, obviously significant demonstration of the effect yet seen. …The results were later reconfirmed by optical measures in the Southern Hemisphere.”</w:t>
      </w:r>
      <w:r w:rsidRPr="00372C58">
        <w:rPr>
          <w:rFonts w:ascii="Book Antiqua" w:hAnsi="Book Antiqua"/>
          <w:iCs/>
          <w:sz w:val="20"/>
        </w:rPr>
        <w:t>[51]</w:t>
      </w:r>
      <w:r w:rsidRPr="00372C58">
        <w:rPr>
          <w:rFonts w:ascii="Book Antiqua" w:hAnsi="Book Antiqua"/>
          <w:i/>
          <w:iCs/>
          <w:sz w:val="20"/>
        </w:rPr>
        <w:t xml:space="preserve"> </w:t>
      </w:r>
      <w:r w:rsidRPr="00372C58">
        <w:rPr>
          <w:rFonts w:ascii="Book Antiqua" w:hAnsi="Book Antiqua"/>
          <w:iCs/>
          <w:sz w:val="20"/>
        </w:rPr>
        <w:t>The quantizations were all about 72 km/s</w:t>
      </w:r>
      <w:r w:rsidRPr="00372C58">
        <w:rPr>
          <w:rFonts w:ascii="Book Antiqua" w:hAnsi="Book Antiqua"/>
          <w:i/>
          <w:iCs/>
          <w:sz w:val="20"/>
        </w:rPr>
        <w:t>.</w:t>
      </w:r>
      <w:r w:rsidRPr="00372C58">
        <w:rPr>
          <w:rFonts w:ascii="Book Antiqua" w:hAnsi="Book Antiqua"/>
          <w:position w:val="10"/>
          <w:sz w:val="20"/>
          <w:vertAlign w:val="superscript"/>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In 1981, the results of an extensive redshift survey by astronomers Fisher and Tully were published, but did not show any apparent quantization [52]. Then, in 1984, Tifft and Cocke published their analysis of the Fisher-Tully Catalogue. They noted that the motion of the Solar System through space imparted a genuine Doppler shift of its own to all measurements of redshift. When this Doppler shift was subtracted from the survey results, redshift quantization appeared globally across the whole sky [53].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position w:val="10"/>
          <w:sz w:val="20"/>
          <w:vertAlign w:val="superscript"/>
        </w:rPr>
      </w:pPr>
      <w:r w:rsidRPr="00372C58">
        <w:rPr>
          <w:rFonts w:ascii="Book Antiqua" w:hAnsi="Book Antiqua"/>
          <w:position w:val="10"/>
          <w:sz w:val="20"/>
          <w:vertAlign w:val="superscript"/>
        </w:rPr>
        <w:t xml:space="preserve"> </w:t>
      </w:r>
      <w:r w:rsidRPr="00372C58">
        <w:rPr>
          <w:rFonts w:ascii="Book Antiqua" w:hAnsi="Book Antiqua"/>
          <w:sz w:val="20"/>
        </w:rPr>
        <w:t xml:space="preserve">In 1985, there was an unexpected and independent confirmation of this quantization. Sulentic and Arp used radio-telescopes to accurately measure the redshifts of over 260 galaxies from more than 80 different groups for an entirely different purpose. </w:t>
      </w:r>
      <w:r w:rsidR="00B15A92">
        <w:rPr>
          <w:rFonts w:ascii="Book Antiqua" w:hAnsi="Book Antiqua"/>
          <w:sz w:val="20"/>
        </w:rPr>
        <w:t>T</w:t>
      </w:r>
      <w:r w:rsidRPr="00372C58">
        <w:rPr>
          <w:rFonts w:ascii="Book Antiqua" w:hAnsi="Book Antiqua"/>
          <w:sz w:val="20"/>
        </w:rPr>
        <w:t xml:space="preserve">hey were surprised to discover </w:t>
      </w:r>
      <w:r w:rsidR="00B15A92">
        <w:rPr>
          <w:rFonts w:ascii="Book Antiqua" w:hAnsi="Book Antiqua"/>
          <w:sz w:val="20"/>
        </w:rPr>
        <w:t xml:space="preserve">that </w:t>
      </w:r>
      <w:r w:rsidRPr="00372C58">
        <w:rPr>
          <w:rFonts w:ascii="Book Antiqua" w:hAnsi="Book Antiqua"/>
          <w:sz w:val="20"/>
        </w:rPr>
        <w:t xml:space="preserve">their </w:t>
      </w:r>
      <w:r w:rsidR="00B15A92">
        <w:rPr>
          <w:rFonts w:ascii="Book Antiqua" w:hAnsi="Book Antiqua"/>
          <w:sz w:val="20"/>
        </w:rPr>
        <w:t xml:space="preserve">analysis of the </w:t>
      </w:r>
      <w:r w:rsidRPr="00372C58">
        <w:rPr>
          <w:rFonts w:ascii="Book Antiqua" w:hAnsi="Book Antiqua"/>
          <w:sz w:val="20"/>
        </w:rPr>
        <w:t>data showed the same quantizations that Tifft and Cocke had discovered, with measurement errors only 1/9</w:t>
      </w:r>
      <w:r w:rsidRPr="00372C58">
        <w:rPr>
          <w:rFonts w:ascii="Book Antiqua" w:hAnsi="Book Antiqua"/>
          <w:position w:val="10"/>
          <w:sz w:val="20"/>
          <w:vertAlign w:val="superscript"/>
        </w:rPr>
        <w:t xml:space="preserve"> </w:t>
      </w:r>
      <w:r w:rsidRPr="00372C58">
        <w:rPr>
          <w:rFonts w:ascii="Book Antiqua" w:hAnsi="Book Antiqua"/>
          <w:sz w:val="20"/>
        </w:rPr>
        <w:t>of the size of the quantization [54-55].</w:t>
      </w:r>
      <w:r w:rsidRPr="00372C58">
        <w:rPr>
          <w:rFonts w:ascii="Book Antiqua" w:hAnsi="Book Antiqua"/>
          <w:position w:val="10"/>
          <w:sz w:val="20"/>
          <w:vertAlign w:val="superscript"/>
        </w:rPr>
        <w:t xml:space="preserve"> </w:t>
      </w:r>
    </w:p>
    <w:p w:rsidR="00AE4BA6" w:rsidRDefault="00AE4BA6" w:rsidP="00265840">
      <w:pPr>
        <w:pStyle w:val="NoSpacing"/>
        <w:ind w:firstLine="720"/>
        <w:jc w:val="both"/>
        <w:rPr>
          <w:rFonts w:ascii="Book Antiqua" w:hAnsi="Book Antiqua"/>
          <w:sz w:val="20"/>
        </w:rPr>
      </w:pPr>
    </w:p>
    <w:p w:rsidR="00265840" w:rsidRPr="00372C58" w:rsidRDefault="00AE4BA6" w:rsidP="00265840">
      <w:pPr>
        <w:pStyle w:val="NoSpacing"/>
        <w:ind w:firstLine="720"/>
        <w:jc w:val="both"/>
        <w:rPr>
          <w:rFonts w:ascii="Book Antiqua" w:hAnsi="Book Antiqua"/>
          <w:sz w:val="20"/>
        </w:rPr>
      </w:pPr>
      <w:r>
        <w:rPr>
          <w:rFonts w:ascii="Book Antiqua" w:hAnsi="Book Antiqua"/>
          <w:sz w:val="20"/>
        </w:rPr>
        <w:t>T</w:t>
      </w:r>
      <w:r w:rsidR="00265840" w:rsidRPr="00372C58">
        <w:rPr>
          <w:rFonts w:ascii="Book Antiqua" w:hAnsi="Book Antiqua"/>
          <w:sz w:val="20"/>
        </w:rPr>
        <w:t>hese results do not fit the concept of an expanding universe in any form. However, given the supposed openness of science to consider all relevant options, the resistance to accepting the data itself has been surprising, and a little disturbing.</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16"/>
        <w:gridCol w:w="3847"/>
        <w:gridCol w:w="3318"/>
      </w:tblGrid>
      <w:tr w:rsidR="00265840" w:rsidRPr="00372C58" w:rsidTr="00E32755">
        <w:trPr>
          <w:trHeight w:val="2054"/>
          <w:jc w:val="center"/>
        </w:trPr>
        <w:tc>
          <w:tcPr>
            <w:tcW w:w="233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076450" cy="2153398"/>
                  <wp:effectExtent l="19050" t="0" r="0" b="0"/>
                  <wp:docPr id="1529" name="il_fi" descr="http://www.robert-temple.com/images/general/fredHoyleConference/profBillTif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obert-temple.com/images/general/fredHoyleConference/profBillTifft.jpg"/>
                          <pic:cNvPicPr>
                            <a:picLocks noChangeAspect="1" noChangeArrowheads="1"/>
                          </pic:cNvPicPr>
                        </pic:nvPicPr>
                        <pic:blipFill>
                          <a:blip r:embed="rId179" cstate="print"/>
                          <a:srcRect l="25898" t="12462" r="23747" b="50601"/>
                          <a:stretch>
                            <a:fillRect/>
                          </a:stretch>
                        </pic:blipFill>
                        <pic:spPr bwMode="auto">
                          <a:xfrm>
                            <a:off x="0" y="0"/>
                            <a:ext cx="2106144" cy="2184192"/>
                          </a:xfrm>
                          <a:prstGeom prst="rect">
                            <a:avLst/>
                          </a:prstGeom>
                          <a:noFill/>
                          <a:ln w="9525">
                            <a:noFill/>
                            <a:miter lim="800000"/>
                            <a:headEnd/>
                            <a:tailEnd/>
                          </a:ln>
                        </pic:spPr>
                      </pic:pic>
                    </a:graphicData>
                  </a:graphic>
                </wp:inline>
              </w:drawing>
            </w:r>
          </w:p>
        </w:tc>
        <w:tc>
          <w:tcPr>
            <w:tcW w:w="2526"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286092" cy="2181225"/>
                  <wp:effectExtent l="19050" t="0" r="0" b="0"/>
                  <wp:docPr id="156" name="il_fi" descr="http://dev.holoscience.com/news/img/halton_a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ev.holoscience.com/news/img/halton_arp3.jpg"/>
                          <pic:cNvPicPr>
                            <a:picLocks noChangeAspect="1" noChangeArrowheads="1"/>
                          </pic:cNvPicPr>
                        </pic:nvPicPr>
                        <pic:blipFill>
                          <a:blip r:embed="rId180" cstate="print"/>
                          <a:srcRect/>
                          <a:stretch>
                            <a:fillRect/>
                          </a:stretch>
                        </pic:blipFill>
                        <pic:spPr bwMode="auto">
                          <a:xfrm>
                            <a:off x="0" y="0"/>
                            <a:ext cx="2292320" cy="2187168"/>
                          </a:xfrm>
                          <a:prstGeom prst="rect">
                            <a:avLst/>
                          </a:prstGeom>
                          <a:noFill/>
                          <a:ln w="9525">
                            <a:noFill/>
                            <a:miter lim="800000"/>
                            <a:headEnd/>
                            <a:tailEnd/>
                          </a:ln>
                        </pic:spPr>
                      </pic:pic>
                    </a:graphicData>
                  </a:graphic>
                </wp:inline>
              </w:drawing>
            </w:r>
          </w:p>
        </w:tc>
        <w:tc>
          <w:tcPr>
            <w:tcW w:w="2087"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950518" cy="2181225"/>
                  <wp:effectExtent l="19050" t="0" r="0" b="0"/>
                  <wp:docPr id="155" name="il_fi" descr="http://www.arm.ac.uk/staff/bill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m.ac.uk/staff/billn.gif"/>
                          <pic:cNvPicPr>
                            <a:picLocks noChangeAspect="1" noChangeArrowheads="1"/>
                          </pic:cNvPicPr>
                        </pic:nvPicPr>
                        <pic:blipFill>
                          <a:blip r:embed="rId181" cstate="print"/>
                          <a:srcRect/>
                          <a:stretch>
                            <a:fillRect/>
                          </a:stretch>
                        </pic:blipFill>
                        <pic:spPr bwMode="auto">
                          <a:xfrm>
                            <a:off x="0" y="0"/>
                            <a:ext cx="1952330" cy="2183251"/>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E32755">
      <w:pPr>
        <w:pStyle w:val="NoSpacing"/>
        <w:jc w:val="center"/>
        <w:rPr>
          <w:rFonts w:ascii="Book Antiqua" w:hAnsi="Book Antiqua"/>
          <w:i/>
          <w:sz w:val="18"/>
          <w:szCs w:val="18"/>
        </w:rPr>
      </w:pPr>
      <w:r w:rsidRPr="004223A5">
        <w:rPr>
          <w:rFonts w:ascii="Book Antiqua" w:hAnsi="Book Antiqua"/>
          <w:b/>
          <w:i/>
          <w:sz w:val="18"/>
          <w:szCs w:val="18"/>
        </w:rPr>
        <w:t>Figure 9:</w:t>
      </w:r>
      <w:r w:rsidRPr="004223A5">
        <w:rPr>
          <w:rFonts w:ascii="Book Antiqua" w:hAnsi="Book Antiqua"/>
          <w:i/>
          <w:sz w:val="18"/>
          <w:szCs w:val="18"/>
        </w:rPr>
        <w:t xml:space="preserve"> Astronomers </w:t>
      </w:r>
      <w:r w:rsidR="004223A5">
        <w:rPr>
          <w:rFonts w:ascii="Book Antiqua" w:hAnsi="Book Antiqua"/>
          <w:i/>
          <w:sz w:val="18"/>
          <w:szCs w:val="18"/>
        </w:rPr>
        <w:t>(</w:t>
      </w:r>
      <w:r w:rsidRPr="004223A5">
        <w:rPr>
          <w:rFonts w:ascii="Book Antiqua" w:hAnsi="Book Antiqua"/>
          <w:i/>
          <w:sz w:val="18"/>
          <w:szCs w:val="18"/>
        </w:rPr>
        <w:t>left to right</w:t>
      </w:r>
      <w:r w:rsidR="004223A5">
        <w:rPr>
          <w:rFonts w:ascii="Book Antiqua" w:hAnsi="Book Antiqua"/>
          <w:i/>
          <w:sz w:val="18"/>
          <w:szCs w:val="18"/>
        </w:rPr>
        <w:t>)</w:t>
      </w:r>
      <w:r w:rsidRPr="004223A5">
        <w:rPr>
          <w:rFonts w:ascii="Book Antiqua" w:hAnsi="Book Antiqua"/>
          <w:i/>
          <w:sz w:val="18"/>
          <w:szCs w:val="18"/>
        </w:rPr>
        <w:t xml:space="preserve">  William Tifft, Halton Arp, William Napier.</w:t>
      </w:r>
    </w:p>
    <w:p w:rsidR="007A7F0E" w:rsidRPr="00372C58" w:rsidRDefault="007A7F0E" w:rsidP="00265840">
      <w:pPr>
        <w:pStyle w:val="NoSpacing"/>
        <w:rPr>
          <w:rFonts w:ascii="Book Antiqua" w:hAnsi="Book Antiqua"/>
          <w:sz w:val="20"/>
        </w:rPr>
      </w:pPr>
    </w:p>
    <w:p w:rsidR="00265840" w:rsidRPr="00372C58" w:rsidRDefault="00265840" w:rsidP="00265840">
      <w:pPr>
        <w:pStyle w:val="NoSpacing"/>
        <w:jc w:val="both"/>
        <w:rPr>
          <w:rFonts w:ascii="Book Antiqua" w:hAnsi="Book Antiqua"/>
          <w:b/>
          <w:bCs/>
          <w:iCs/>
          <w:color w:val="000000"/>
          <w:sz w:val="20"/>
        </w:rPr>
      </w:pPr>
      <w:r w:rsidRPr="00CC121F">
        <w:rPr>
          <w:rFonts w:ascii="Book Antiqua" w:hAnsi="Book Antiqua"/>
          <w:bCs/>
          <w:i/>
          <w:iCs/>
          <w:color w:val="000000"/>
          <w:sz w:val="20"/>
        </w:rPr>
        <w:t>3.2. Attempting To Settle The Issue</w:t>
      </w:r>
      <w:r w:rsidRPr="00372C58">
        <w:rPr>
          <w:rFonts w:ascii="Book Antiqua" w:hAnsi="Book Antiqua"/>
          <w:b/>
          <w:bCs/>
          <w:iCs/>
          <w:color w:val="000000"/>
          <w:sz w:val="20"/>
        </w:rPr>
        <w:t>.</w:t>
      </w:r>
    </w:p>
    <w:p w:rsidR="00265840" w:rsidRPr="00372C58" w:rsidRDefault="00265840" w:rsidP="00265840">
      <w:pPr>
        <w:pStyle w:val="NoSpacing"/>
        <w:jc w:val="both"/>
        <w:rPr>
          <w:rFonts w:ascii="Book Antiqua" w:hAnsi="Book Antiqua"/>
          <w:sz w:val="20"/>
        </w:rPr>
      </w:pPr>
    </w:p>
    <w:p w:rsidR="00265840" w:rsidRDefault="00265840" w:rsidP="00265840">
      <w:pPr>
        <w:pStyle w:val="NoSpacing"/>
        <w:jc w:val="both"/>
        <w:rPr>
          <w:rFonts w:ascii="Book Antiqua" w:hAnsi="Book Antiqua"/>
          <w:sz w:val="20"/>
        </w:rPr>
      </w:pPr>
      <w:r w:rsidRPr="00372C58">
        <w:rPr>
          <w:rFonts w:ascii="Book Antiqua" w:hAnsi="Book Antiqua"/>
          <w:sz w:val="20"/>
        </w:rPr>
        <w:tab/>
      </w:r>
      <w:r w:rsidR="00A249A3" w:rsidRPr="00372C58">
        <w:rPr>
          <w:rFonts w:ascii="Book Antiqua" w:hAnsi="Book Antiqua"/>
          <w:sz w:val="20"/>
        </w:rPr>
        <w:t>In an attempt to prove Tifft – and quantization of the red shift -- wrong, Bruce Guthrie and William Napier of the Royal Observatory, Edinburgh, used the most accurate hydrogen line redshift data</w:t>
      </w:r>
      <w:r w:rsidR="00A249A3">
        <w:rPr>
          <w:rFonts w:ascii="Book Antiqua" w:hAnsi="Book Antiqua"/>
          <w:sz w:val="20"/>
        </w:rPr>
        <w:t xml:space="preserve"> available, as well as doing their own measurements</w:t>
      </w:r>
      <w:r w:rsidR="00A249A3" w:rsidRPr="00372C58">
        <w:rPr>
          <w:rFonts w:ascii="Book Antiqua" w:hAnsi="Book Antiqua"/>
          <w:sz w:val="20"/>
        </w:rPr>
        <w:t xml:space="preserve">. By 1990 and early 1991 they had developed and applied very rigorous statistical tests to galaxies in the direction of the Virgo cluster. The result is graphed in Figure 10.   </w:t>
      </w:r>
    </w:p>
    <w:p w:rsidR="00AE4BA6"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The horizontal axis in Figure 10 is “cz”; in other words the redshift as a “velocity.” </w:t>
      </w:r>
      <w:r>
        <w:rPr>
          <w:rFonts w:ascii="Book Antiqua" w:hAnsi="Book Antiqua"/>
          <w:sz w:val="20"/>
        </w:rPr>
        <w:t>There,</w:t>
      </w:r>
      <w:r w:rsidRPr="00574815">
        <w:rPr>
          <w:rFonts w:ascii="Book Antiqua" w:hAnsi="Book Antiqua"/>
          <w:sz w:val="20"/>
        </w:rPr>
        <w:t xml:space="preserve"> the velocity goes from 0 km/s (near our </w:t>
      </w:r>
      <w:r>
        <w:rPr>
          <w:rFonts w:ascii="Book Antiqua" w:hAnsi="Book Antiqua"/>
          <w:sz w:val="20"/>
        </w:rPr>
        <w:t>galaxy</w:t>
      </w:r>
      <w:r w:rsidRPr="00574815">
        <w:rPr>
          <w:rFonts w:ascii="Book Antiqua" w:hAnsi="Book Antiqua"/>
          <w:sz w:val="20"/>
        </w:rPr>
        <w:t>) up to 1136 km/s (</w:t>
      </w:r>
      <w:r>
        <w:rPr>
          <w:rFonts w:ascii="Book Antiqua" w:hAnsi="Book Antiqua"/>
          <w:sz w:val="20"/>
        </w:rPr>
        <w:t>towards</w:t>
      </w:r>
      <w:r w:rsidRPr="00574815">
        <w:rPr>
          <w:rFonts w:ascii="Book Antiqua" w:hAnsi="Book Antiqua"/>
          <w:sz w:val="20"/>
        </w:rPr>
        <w:t xml:space="preserve"> the Virgo cluster of galaxies). The vertical axis is “n” or the number of galaxies with a given velocity. The higher the peak, the larger the number of galaxies there is with that velocity. </w:t>
      </w:r>
    </w:p>
    <w:p w:rsidR="00AE4BA6" w:rsidRPr="00372C58" w:rsidRDefault="00AE4BA6" w:rsidP="00265840">
      <w:pPr>
        <w:pStyle w:val="NoSpacing"/>
        <w:jc w:val="both"/>
        <w:rPr>
          <w:rFonts w:ascii="Book Antiqua" w:hAnsi="Book Antiqua"/>
          <w:sz w:val="20"/>
        </w:rPr>
      </w:pP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t xml:space="preserve">As the graph shows, the velocity does not increase smoothly. If it did, there would be a random scatter about a straight line. Instead, it shows that the galaxies have preferred velocities. For example, many galaxies have preferred velocities of about </w:t>
      </w:r>
      <m:oMath>
        <m:r>
          <m:rPr>
            <m:sty m:val="p"/>
          </m:rPr>
          <w:rPr>
            <w:rFonts w:ascii="Cambria Math" w:hAnsi="Cambria Math"/>
            <w:sz w:val="20"/>
          </w:rPr>
          <m:t xml:space="preserve">142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(2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of about </w:t>
      </w:r>
      <m:oMath>
        <m:r>
          <m:rPr>
            <m:sty m:val="p"/>
          </m:rPr>
          <w:rPr>
            <w:rFonts w:ascii="Cambria Math" w:hAnsi="Cambria Math"/>
            <w:sz w:val="20"/>
          </w:rPr>
          <m:t xml:space="preserve">213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or </w:t>
      </w:r>
      <m:oMath>
        <m:r>
          <m:rPr>
            <m:sty m:val="p"/>
          </m:rPr>
          <w:rPr>
            <w:rFonts w:ascii="Cambria Math" w:hAnsi="Cambria Math"/>
            <w:sz w:val="20"/>
          </w:rPr>
          <m:t xml:space="preserve">(3 </m:t>
        </m:r>
        <m:r>
          <w:rPr>
            <w:rFonts w:ascii="Cambria Math" w:hAnsi="Cambria Math"/>
            <w:sz w:val="20"/>
          </w:rPr>
          <m:t>x</m:t>
        </m:r>
        <m:r>
          <m:rPr>
            <m:sty m:val="p"/>
          </m:rPr>
          <w:rPr>
            <w:rFonts w:ascii="Cambria Math" w:hAnsi="Cambria Math"/>
            <w:sz w:val="20"/>
          </w:rPr>
          <m:t xml:space="preserve"> 71</m:t>
        </m:r>
      </m:oMath>
      <w:r w:rsidRPr="00574815">
        <w:rPr>
          <w:rFonts w:ascii="Book Antiqua" w:hAnsi="Book Antiqua"/>
          <w:sz w:val="20"/>
        </w:rPr>
        <w:t xml:space="preserve"> </w:t>
      </w:r>
      <m:oMath>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r w:rsidRPr="00574815">
        <w:rPr>
          <w:rFonts w:ascii="Book Antiqua" w:hAnsi="Book Antiqua"/>
          <w:sz w:val="20"/>
        </w:rPr>
        <w:t xml:space="preserve"> or about </w:t>
      </w:r>
      <m:oMath>
        <m:r>
          <m:rPr>
            <m:sty m:val="p"/>
          </m:rPr>
          <w:rPr>
            <w:rFonts w:ascii="Cambria Math" w:hAnsi="Cambria Math"/>
            <w:sz w:val="20"/>
          </w:rPr>
          <m:t xml:space="preserve">284 </m:t>
        </m:r>
        <m:r>
          <w:rPr>
            <w:rFonts w:ascii="Cambria Math" w:hAnsi="Cambria Math"/>
            <w:sz w:val="20"/>
          </w:rPr>
          <m:t>km</m:t>
        </m:r>
        <m:r>
          <m:rPr>
            <m:sty m:val="p"/>
          </m:rPr>
          <w:rPr>
            <w:rFonts w:ascii="Cambria Math" w:hAnsi="Cambria Math"/>
            <w:sz w:val="20"/>
          </w:rPr>
          <m:t>/</m:t>
        </m:r>
        <m:r>
          <w:rPr>
            <w:rFonts w:ascii="Cambria Math" w:hAnsi="Cambria Math"/>
            <w:sz w:val="20"/>
          </w:rPr>
          <m:t>s</m:t>
        </m:r>
      </m:oMath>
      <w:r w:rsidRPr="00574815">
        <w:rPr>
          <w:rFonts w:ascii="Book Antiqua" w:hAnsi="Book Antiqua"/>
          <w:sz w:val="20"/>
        </w:rPr>
        <w:t xml:space="preserve"> </w:t>
      </w:r>
      <w:r>
        <w:rPr>
          <w:rFonts w:ascii="Book Antiqua" w:hAnsi="Book Antiqua"/>
          <w:sz w:val="20"/>
        </w:rPr>
        <w:t>or</w:t>
      </w:r>
      <w:r w:rsidRPr="00574815">
        <w:rPr>
          <w:rFonts w:ascii="Book Antiqua" w:hAnsi="Book Antiqua"/>
          <w:sz w:val="20"/>
        </w:rPr>
        <w:t xml:space="preserve"> </w:t>
      </w:r>
      <m:oMath>
        <m:d>
          <m:dPr>
            <m:ctrlPr>
              <w:rPr>
                <w:rFonts w:ascii="Cambria Math" w:hAnsi="Cambria Math"/>
                <w:sz w:val="20"/>
              </w:rPr>
            </m:ctrlPr>
          </m:dPr>
          <m:e>
            <m:r>
              <m:rPr>
                <m:sty m:val="p"/>
              </m:rPr>
              <w:rPr>
                <w:rFonts w:ascii="Cambria Math" w:hAnsi="Cambria Math"/>
                <w:sz w:val="20"/>
              </w:rPr>
              <m:t xml:space="preserve">4 </m:t>
            </m:r>
            <m:r>
              <w:rPr>
                <w:rFonts w:ascii="Cambria Math" w:hAnsi="Cambria Math"/>
                <w:sz w:val="20"/>
              </w:rPr>
              <m:t>x</m:t>
            </m:r>
            <m:r>
              <m:rPr>
                <m:sty m:val="p"/>
              </m:rPr>
              <w:rPr>
                <w:rFonts w:ascii="Cambria Math" w:hAnsi="Cambria Math"/>
                <w:sz w:val="20"/>
              </w:rPr>
              <m:t xml:space="preserve"> 71 </m:t>
            </m:r>
            <m:r>
              <w:rPr>
                <w:rFonts w:ascii="Cambria Math" w:hAnsi="Cambria Math"/>
                <w:sz w:val="20"/>
              </w:rPr>
              <m:t>km/s</m:t>
            </m:r>
          </m:e>
        </m:d>
      </m:oMath>
      <w:r w:rsidRPr="00574815">
        <w:rPr>
          <w:rFonts w:ascii="Book Antiqua" w:hAnsi="Book Antiqua"/>
          <w:sz w:val="20"/>
        </w:rPr>
        <w:t xml:space="preserve">. By comparison, relatively few galaxies occur with redshift “velocities” between these preferred “peaks”. Thus the conclusion cannot be avoided that the graph shows quantization was appearing in steps of about </w:t>
      </w:r>
      <m:oMath>
        <m:r>
          <m:rPr>
            <m:sty m:val="p"/>
          </m:rPr>
          <w:rPr>
            <w:rFonts w:ascii="Cambria Math" w:hAnsi="Cambria Math"/>
            <w:sz w:val="20"/>
          </w:rPr>
          <m:t xml:space="preserve">71.1 </m:t>
        </m:r>
        <m:r>
          <w:rPr>
            <w:rFonts w:ascii="Cambria Math" w:hAnsi="Cambria Math"/>
            <w:sz w:val="20"/>
          </w:rPr>
          <m:t>km</m:t>
        </m:r>
        <m:r>
          <m:rPr>
            <m:sty m:val="p"/>
          </m:rPr>
          <w:rPr>
            <w:rFonts w:ascii="Cambria Math" w:hAnsi="Cambria Math"/>
            <w:sz w:val="20"/>
          </w:rPr>
          <m:t>/</m:t>
        </m:r>
        <m:r>
          <w:rPr>
            <w:rFonts w:ascii="Cambria Math" w:hAnsi="Cambria Math"/>
            <w:sz w:val="20"/>
          </w:rPr>
          <m:t>s</m:t>
        </m:r>
        <m:r>
          <m:rPr>
            <m:sty m:val="p"/>
          </m:rPr>
          <w:rPr>
            <w:rFonts w:ascii="Cambria Math" w:hAnsi="Cambria Math"/>
            <w:sz w:val="20"/>
          </w:rPr>
          <m:t>.</m:t>
        </m:r>
      </m:oMath>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lastRenderedPageBreak/>
        <w:drawing>
          <wp:inline distT="0" distB="0" distL="0" distR="0">
            <wp:extent cx="5751659" cy="2368886"/>
            <wp:effectExtent l="19050" t="0" r="1441" b="0"/>
            <wp:docPr id="154" name="Picture 24" descr="GuthrieNapier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uthrieNapiergraph1"/>
                    <pic:cNvPicPr>
                      <a:picLocks noChangeAspect="1" noChangeArrowheads="1"/>
                    </pic:cNvPicPr>
                  </pic:nvPicPr>
                  <pic:blipFill>
                    <a:blip r:embed="rId182" cstate="print">
                      <a:lum/>
                    </a:blip>
                    <a:srcRect l="6471" r="4198" b="16466"/>
                    <a:stretch>
                      <a:fillRect/>
                    </a:stretch>
                  </pic:blipFill>
                  <pic:spPr bwMode="auto">
                    <a:xfrm>
                      <a:off x="0" y="0"/>
                      <a:ext cx="5767900" cy="2375575"/>
                    </a:xfrm>
                    <a:prstGeom prst="rect">
                      <a:avLst/>
                    </a:prstGeom>
                    <a:noFill/>
                    <a:ln w="9525">
                      <a:noFill/>
                      <a:miter lim="800000"/>
                      <a:headEnd/>
                      <a:tailEnd/>
                    </a:ln>
                  </pic:spPr>
                </pic:pic>
              </a:graphicData>
            </a:graphic>
          </wp:inline>
        </w:drawing>
      </w:r>
    </w:p>
    <w:p w:rsidR="00265840" w:rsidRPr="00372C58" w:rsidRDefault="00265840" w:rsidP="00265840">
      <w:pPr>
        <w:pStyle w:val="NoSpacing"/>
        <w:jc w:val="both"/>
        <w:rPr>
          <w:rFonts w:ascii="Book Antiqua" w:hAnsi="Book Antiqua"/>
          <w:b/>
          <w:i/>
          <w:iCs/>
          <w:sz w:val="20"/>
        </w:rPr>
      </w:pPr>
    </w:p>
    <w:p w:rsidR="00265840" w:rsidRPr="004223A5" w:rsidRDefault="00265840" w:rsidP="00265840">
      <w:pPr>
        <w:pStyle w:val="NoSpacing"/>
        <w:rPr>
          <w:rFonts w:ascii="Book Antiqua" w:hAnsi="Book Antiqua"/>
          <w:i/>
          <w:iCs/>
          <w:sz w:val="18"/>
          <w:szCs w:val="18"/>
        </w:rPr>
      </w:pPr>
      <w:r w:rsidRPr="004223A5">
        <w:rPr>
          <w:rFonts w:ascii="Book Antiqua" w:hAnsi="Book Antiqua"/>
          <w:b/>
          <w:i/>
          <w:iCs/>
          <w:sz w:val="18"/>
          <w:szCs w:val="18"/>
        </w:rPr>
        <w:t>Figure 10:</w:t>
      </w:r>
      <w:r w:rsidRPr="004223A5">
        <w:rPr>
          <w:rFonts w:ascii="Book Antiqua" w:hAnsi="Book Antiqua"/>
          <w:i/>
          <w:iCs/>
          <w:sz w:val="18"/>
          <w:szCs w:val="18"/>
        </w:rPr>
        <w:t xml:space="preserve"> Redshifts of spiral galaxies in the direction of the Virgo cluster compared with the center of our own galaxy. Dotted vertical lines represent the quantization of 71.1 km/s. [Guthrie &amp; Napier 1991].</w:t>
      </w:r>
    </w:p>
    <w:p w:rsidR="00265840" w:rsidRPr="00372C58" w:rsidRDefault="00265840" w:rsidP="00265840">
      <w:pPr>
        <w:pStyle w:val="NoSpacing"/>
        <w:jc w:val="both"/>
        <w:rPr>
          <w:rFonts w:ascii="Book Antiqua" w:hAnsi="Book Antiqua"/>
          <w:i/>
          <w:iCs/>
          <w:sz w:val="20"/>
        </w:rPr>
      </w:pPr>
    </w:p>
    <w:p w:rsidR="00C30C44" w:rsidRPr="00574815" w:rsidRDefault="00C30C44" w:rsidP="00A249A3">
      <w:pPr>
        <w:pStyle w:val="NoSpacing"/>
        <w:ind w:firstLine="720"/>
        <w:jc w:val="both"/>
        <w:rPr>
          <w:rFonts w:ascii="Book Antiqua" w:hAnsi="Book Antiqua"/>
          <w:iCs/>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5833450" cy="4210850"/>
            <wp:effectExtent l="19050" t="0" r="0" b="0"/>
            <wp:docPr id="1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5855629" cy="4226860"/>
                    </a:xfrm>
                    <a:prstGeom prst="rect">
                      <a:avLst/>
                    </a:prstGeom>
                    <a:noFill/>
                    <a:ln w="9525">
                      <a:noFill/>
                      <a:miter lim="800000"/>
                      <a:headEnd/>
                      <a:tailEnd/>
                    </a:ln>
                  </pic:spPr>
                </pic:pic>
              </a:graphicData>
            </a:graphic>
          </wp:inline>
        </w:drawing>
      </w:r>
    </w:p>
    <w:p w:rsidR="00265840" w:rsidRDefault="00265840" w:rsidP="00265840">
      <w:pPr>
        <w:pStyle w:val="NormalWeb"/>
        <w:rPr>
          <w:rFonts w:ascii="Book Antiqua" w:hAnsi="Book Antiqua"/>
          <w:i/>
          <w:sz w:val="18"/>
          <w:szCs w:val="18"/>
        </w:rPr>
      </w:pPr>
      <w:r w:rsidRPr="004223A5">
        <w:rPr>
          <w:rFonts w:ascii="Book Antiqua" w:hAnsi="Book Antiqua"/>
          <w:b/>
          <w:i/>
          <w:sz w:val="18"/>
          <w:szCs w:val="18"/>
        </w:rPr>
        <w:t>Figure 11:</w:t>
      </w:r>
      <w:r w:rsidRPr="004223A5">
        <w:rPr>
          <w:rFonts w:ascii="Book Antiqua" w:hAnsi="Book Antiqua"/>
          <w:i/>
          <w:sz w:val="18"/>
          <w:szCs w:val="18"/>
        </w:rPr>
        <w:t xml:space="preserve">  Guthrie and Napier's redshift quantization results for 1996 expressed as speeds of recession (</w:t>
      </w:r>
      <m:oMath>
        <m:r>
          <w:rPr>
            <w:rFonts w:ascii="Cambria Math" w:hAnsi="Book Antiqua"/>
            <w:sz w:val="18"/>
            <w:szCs w:val="18"/>
          </w:rPr>
          <m:t>cz</m:t>
        </m:r>
      </m:oMath>
      <w:r w:rsidRPr="004223A5">
        <w:rPr>
          <w:rFonts w:ascii="Book Antiqua" w:hAnsi="Book Antiqua"/>
          <w:i/>
          <w:sz w:val="18"/>
          <w:szCs w:val="18"/>
        </w:rPr>
        <w:t xml:space="preserve">) in km/sec. The peaks in the graph show where quantum steps occur in multiples of 37.5 km/sec. </w:t>
      </w:r>
    </w:p>
    <w:p w:rsidR="00AE4BA6" w:rsidRPr="00574815" w:rsidRDefault="00AE4BA6" w:rsidP="00AE4BA6">
      <w:pPr>
        <w:pStyle w:val="NoSpacing"/>
        <w:ind w:firstLine="720"/>
        <w:jc w:val="both"/>
        <w:rPr>
          <w:rFonts w:ascii="Book Antiqua" w:hAnsi="Book Antiqua"/>
          <w:sz w:val="20"/>
        </w:rPr>
      </w:pPr>
      <w:r w:rsidRPr="00574815">
        <w:rPr>
          <w:rFonts w:ascii="Book Antiqua" w:hAnsi="Book Antiqua"/>
          <w:sz w:val="20"/>
        </w:rPr>
        <w:lastRenderedPageBreak/>
        <w:t>By the end of 1991, Guthrie and Napier had studied 106 spiral galaxies, detecting a quantization of about 37.5 km/s, close to Tifft’s quantum multiple of 36.2 km/s [56].</w:t>
      </w:r>
      <w:r w:rsidRPr="00574815">
        <w:rPr>
          <w:rFonts w:ascii="Book Antiqua" w:hAnsi="Book Antiqua"/>
          <w:position w:val="10"/>
          <w:sz w:val="20"/>
          <w:vertAlign w:val="superscript"/>
        </w:rPr>
        <w:t xml:space="preserve"> </w:t>
      </w:r>
      <w:r w:rsidRPr="00574815">
        <w:rPr>
          <w:rFonts w:ascii="Book Antiqua" w:hAnsi="Book Antiqua"/>
          <w:sz w:val="20"/>
        </w:rPr>
        <w:t xml:space="preserve">By November 1992, a further 89 spiral galaxies had been examined and a quantization of 37.2 km/s emerged [57-58]. In 1995 they submitted a paper to </w:t>
      </w:r>
      <w:r w:rsidRPr="00AE4BA6">
        <w:rPr>
          <w:rFonts w:ascii="Book Antiqua" w:hAnsi="Book Antiqua"/>
          <w:i/>
          <w:sz w:val="20"/>
        </w:rPr>
        <w:t>Astronomy and Astrophysics</w:t>
      </w:r>
      <w:r w:rsidRPr="00574815">
        <w:rPr>
          <w:rFonts w:ascii="Book Antiqua" w:hAnsi="Book Antiqua"/>
          <w:sz w:val="20"/>
        </w:rPr>
        <w:t xml:space="preserve"> with the results from a further 97 spiral galaxies, showing a 37.5 km/s quantization [59]. One argument was that the quantization only appeared because the sample sizes were small – not enough galaxies had been studied.  So the referees asked them to repeat their analysis with another set of galaxies. This Guthrie and Napier did, this time with 117 additional galaxies. The same 37.5 km/s quantization was plainly in evidence in this 1996 data set, and the referees accepted the paper [60].</w:t>
      </w:r>
      <w:r w:rsidRPr="00574815">
        <w:rPr>
          <w:rFonts w:ascii="Book Antiqua" w:hAnsi="Book Antiqua"/>
          <w:color w:val="FF0000"/>
          <w:sz w:val="20"/>
        </w:rPr>
        <w:t xml:space="preserve"> </w:t>
      </w:r>
      <w:r w:rsidRPr="00574815">
        <w:rPr>
          <w:rFonts w:ascii="Book Antiqua" w:hAnsi="Book Antiqua"/>
          <w:sz w:val="20"/>
        </w:rPr>
        <w:t xml:space="preserve">Samples of their very extensive data are plotted in Figure 11.  </w:t>
      </w:r>
    </w:p>
    <w:p w:rsidR="00AE4BA6" w:rsidRPr="00574815" w:rsidRDefault="00AE4BA6" w:rsidP="00AE4BA6">
      <w:pPr>
        <w:pStyle w:val="NoSpacing"/>
        <w:ind w:firstLine="720"/>
        <w:jc w:val="both"/>
        <w:rPr>
          <w:rFonts w:ascii="Book Antiqua" w:hAnsi="Book Antiqua"/>
          <w:sz w:val="20"/>
        </w:rPr>
      </w:pPr>
    </w:p>
    <w:p w:rsidR="00AE4BA6" w:rsidRDefault="00AE4BA6" w:rsidP="00AE4BA6">
      <w:pPr>
        <w:pStyle w:val="NoSpacing"/>
        <w:ind w:firstLine="720"/>
        <w:jc w:val="both"/>
        <w:rPr>
          <w:rFonts w:ascii="Book Antiqua" w:hAnsi="Book Antiqua"/>
          <w:iCs/>
          <w:sz w:val="20"/>
        </w:rPr>
      </w:pPr>
      <w:r w:rsidRPr="00574815">
        <w:rPr>
          <w:rFonts w:ascii="Book Antiqua" w:hAnsi="Book Antiqua"/>
          <w:sz w:val="20"/>
        </w:rPr>
        <w:t xml:space="preserve">A Fourier analysis of all 399 data points showed a huge spike at 37.5 km/s with a significance of one in a million. That means the chance of this result being coincidence </w:t>
      </w:r>
      <w:r>
        <w:rPr>
          <w:rFonts w:ascii="Book Antiqua" w:hAnsi="Book Antiqua"/>
          <w:sz w:val="20"/>
        </w:rPr>
        <w:t>is</w:t>
      </w:r>
      <w:r w:rsidRPr="00574815">
        <w:rPr>
          <w:rFonts w:ascii="Book Antiqua" w:hAnsi="Book Antiqua"/>
          <w:sz w:val="20"/>
        </w:rPr>
        <w:t xml:space="preserve"> one in a million. The measurement error was about 1/10 the size of the quantization. One comment on the redshift quantization graphs in Figure 7 stated:</w:t>
      </w:r>
      <w:r w:rsidRPr="00574815">
        <w:rPr>
          <w:rFonts w:ascii="Book Antiqua" w:hAnsi="Book Antiqua"/>
          <w:i/>
          <w:iCs/>
          <w:sz w:val="20"/>
        </w:rPr>
        <w:t>“One can see at a glance how accurately the troughs and peaks of redshift march metronomically outward from 0 to over 2000 km/s.”</w:t>
      </w:r>
      <w:r w:rsidRPr="00574815">
        <w:rPr>
          <w:rFonts w:ascii="Book Antiqua" w:hAnsi="Book Antiqua"/>
          <w:iCs/>
          <w:sz w:val="20"/>
        </w:rPr>
        <w:t xml:space="preserve">[61] </w:t>
      </w:r>
    </w:p>
    <w:p w:rsidR="00AE4BA6" w:rsidRPr="004223A5" w:rsidRDefault="00AE4BA6" w:rsidP="00AE4BA6">
      <w:pPr>
        <w:pStyle w:val="NoSpacing"/>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3.3. Later Evidence.</w:t>
      </w:r>
    </w:p>
    <w:p w:rsidR="00265840" w:rsidRPr="00372C58" w:rsidRDefault="00265840" w:rsidP="00265840">
      <w:pPr>
        <w:pStyle w:val="NoSpacing"/>
        <w:jc w:val="both"/>
        <w:rPr>
          <w:rFonts w:ascii="Book Antiqua" w:hAnsi="Book Antiqua"/>
          <w:sz w:val="20"/>
        </w:rPr>
      </w:pPr>
    </w:p>
    <w:p w:rsidR="00C30C44" w:rsidRPr="00372C58" w:rsidRDefault="00265840" w:rsidP="00C30C44">
      <w:pPr>
        <w:pStyle w:val="NoSpacing"/>
        <w:jc w:val="both"/>
        <w:rPr>
          <w:rFonts w:ascii="Book Antiqua" w:hAnsi="Book Antiqua"/>
          <w:sz w:val="20"/>
        </w:rPr>
      </w:pPr>
      <w:r w:rsidRPr="00372C58">
        <w:rPr>
          <w:rFonts w:ascii="Book Antiqua" w:hAnsi="Book Antiqua"/>
          <w:sz w:val="20"/>
        </w:rPr>
        <w:tab/>
      </w:r>
      <w:r w:rsidR="00C30C44" w:rsidRPr="00372C58">
        <w:rPr>
          <w:rFonts w:ascii="Book Antiqua" w:hAnsi="Book Antiqua"/>
          <w:sz w:val="20"/>
        </w:rPr>
        <w:t>The outcome of more accurate studies by Tifft in 1991 indicate a possible basic redshift quantization of about 8/3 km/s [62] with a claim by Brian Murray Lewis that the redshift measurements used had an accuracy of 0.1 km/s at a high signal to noise ratio [63].</w:t>
      </w:r>
      <w:r w:rsidR="00C30C44" w:rsidRPr="00372C58">
        <w:rPr>
          <w:rFonts w:ascii="Book Antiqua" w:hAnsi="Book Antiqua"/>
          <w:position w:val="10"/>
          <w:sz w:val="20"/>
          <w:vertAlign w:val="superscript"/>
        </w:rPr>
        <w:t xml:space="preserve"> </w:t>
      </w:r>
      <w:r w:rsidR="00C30C44" w:rsidRPr="00372C58">
        <w:rPr>
          <w:rFonts w:ascii="Book Antiqua" w:hAnsi="Book Antiqua"/>
          <w:sz w:val="20"/>
        </w:rPr>
        <w:t xml:space="preserve">Tifft </w:t>
      </w:r>
      <w:r w:rsidR="00C30C44">
        <w:rPr>
          <w:rFonts w:ascii="Book Antiqua" w:hAnsi="Book Antiqua"/>
          <w:sz w:val="20"/>
        </w:rPr>
        <w:t xml:space="preserve">showed </w:t>
      </w:r>
      <w:r w:rsidR="00C30C44" w:rsidRPr="00372C58">
        <w:rPr>
          <w:rFonts w:ascii="Book Antiqua" w:hAnsi="Book Antiqua"/>
          <w:sz w:val="20"/>
        </w:rPr>
        <w:t xml:space="preserve">that higher redshift quantum values were simply multiples of this basic figure. </w:t>
      </w:r>
    </w:p>
    <w:p w:rsidR="00C30C44" w:rsidRPr="00372C58" w:rsidRDefault="00C30C44" w:rsidP="00C30C44">
      <w:pPr>
        <w:pStyle w:val="NoSpacing"/>
        <w:jc w:val="both"/>
        <w:rPr>
          <w:rFonts w:ascii="Book Antiqua" w:hAnsi="Book Antiqua"/>
          <w:sz w:val="20"/>
        </w:rPr>
      </w:pPr>
    </w:p>
    <w:p w:rsidR="00265840" w:rsidRPr="00372C58" w:rsidRDefault="00265840" w:rsidP="00C30C44">
      <w:pPr>
        <w:pStyle w:val="NoSpacing"/>
        <w:jc w:val="both"/>
        <w:rPr>
          <w:rFonts w:ascii="Book Antiqua" w:hAnsi="Book Antiqua"/>
          <w:sz w:val="20"/>
        </w:rPr>
      </w:pPr>
    </w:p>
    <w:tbl>
      <w:tblPr>
        <w:tblStyle w:val="TableGrid"/>
        <w:tblW w:w="0" w:type="auto"/>
        <w:jc w:val="center"/>
        <w:tblLook w:val="04A0"/>
      </w:tblPr>
      <w:tblGrid>
        <w:gridCol w:w="5359"/>
        <w:gridCol w:w="5346"/>
      </w:tblGrid>
      <w:tr w:rsidR="00265840" w:rsidRPr="00372C58" w:rsidTr="00E32755">
        <w:trPr>
          <w:jc w:val="center"/>
        </w:trPr>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3246518" cy="3095625"/>
                  <wp:effectExtent l="19050" t="0" r="0" b="0"/>
                  <wp:docPr id="1531"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a:off x="0" y="0"/>
                            <a:ext cx="3246518" cy="3095625"/>
                          </a:xfrm>
                          <a:prstGeom prst="rect">
                            <a:avLst/>
                          </a:prstGeom>
                          <a:noFill/>
                          <a:ln w="9525">
                            <a:noFill/>
                            <a:miter lim="800000"/>
                            <a:headEnd/>
                            <a:tailEnd/>
                          </a:ln>
                        </pic:spPr>
                      </pic:pic>
                    </a:graphicData>
                  </a:graphic>
                </wp:inline>
              </w:drawing>
            </w:r>
          </w:p>
        </w:tc>
        <w:tc>
          <w:tcPr>
            <w:tcW w:w="436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2996184" cy="3238854"/>
                  <wp:effectExtent l="133350" t="0" r="128016" b="0"/>
                  <wp:docPr id="1532" name="il_fi" descr="http://arijmaki.files.wordpress.com/2010/03/abell85_dist.gif?w=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ijmaki.files.wordpress.com/2010/03/abell85_dist.gif?w=400"/>
                          <pic:cNvPicPr>
                            <a:picLocks noChangeAspect="1" noChangeArrowheads="1"/>
                          </pic:cNvPicPr>
                        </pic:nvPicPr>
                        <pic:blipFill>
                          <a:blip r:embed="rId184" cstate="print">
                            <a:lum bright="-20000"/>
                          </a:blip>
                          <a:srcRect/>
                          <a:stretch>
                            <a:fillRect/>
                          </a:stretch>
                        </pic:blipFill>
                        <pic:spPr bwMode="auto">
                          <a:xfrm rot="5400000">
                            <a:off x="0" y="0"/>
                            <a:ext cx="2997271" cy="3240029"/>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12: (Left)</w:t>
      </w:r>
      <w:r w:rsidRPr="004223A5">
        <w:rPr>
          <w:rFonts w:ascii="Book Antiqua" w:hAnsi="Book Antiqua"/>
          <w:i/>
          <w:sz w:val="18"/>
          <w:szCs w:val="18"/>
        </w:rPr>
        <w:t xml:space="preserve"> Bands of redshift going through galaxy cluster Abell 85. The vertical axis gives the redshift in km/s, which is effectively going through the cluster from the closest objects (bottom) to the furthest (at the top).  The horizontal axis gives the lateral distance across the cluster in arc minutes [64]. The comments by Arp in 2010 at the URL for this figure are also pertinent here.</w:t>
      </w:r>
      <w:r w:rsidRPr="004223A5">
        <w:rPr>
          <w:rFonts w:ascii="Book Antiqua" w:hAnsi="Book Antiqua"/>
          <w:i/>
          <w:color w:val="FF0000"/>
          <w:sz w:val="18"/>
          <w:szCs w:val="18"/>
        </w:rPr>
        <w:t xml:space="preserve"> </w:t>
      </w:r>
      <w:r w:rsidRPr="004223A5">
        <w:rPr>
          <w:rFonts w:ascii="Book Antiqua" w:hAnsi="Book Antiqua"/>
          <w:i/>
          <w:sz w:val="18"/>
          <w:szCs w:val="18"/>
        </w:rPr>
        <w:t xml:space="preserve"> </w:t>
      </w:r>
      <w:r w:rsidRPr="004223A5">
        <w:rPr>
          <w:rFonts w:ascii="Book Antiqua" w:hAnsi="Book Antiqua"/>
          <w:b/>
          <w:i/>
          <w:sz w:val="18"/>
          <w:szCs w:val="18"/>
        </w:rPr>
        <w:t>(Right)</w:t>
      </w:r>
      <w:r w:rsidRPr="004223A5">
        <w:rPr>
          <w:rFonts w:ascii="Book Antiqua" w:hAnsi="Book Antiqua"/>
          <w:i/>
          <w:sz w:val="18"/>
          <w:szCs w:val="18"/>
        </w:rPr>
        <w:t xml:space="preserve"> </w:t>
      </w:r>
      <w:r w:rsidRPr="004223A5">
        <w:rPr>
          <w:rFonts w:ascii="Book Antiqua" w:hAnsi="Book Antiqua"/>
          <w:bCs/>
          <w:i/>
          <w:iCs/>
          <w:color w:val="000000"/>
          <w:sz w:val="18"/>
          <w:szCs w:val="18"/>
        </w:rPr>
        <w:t xml:space="preserve">A presentation of Figure 12 (left) </w:t>
      </w:r>
      <w:r w:rsidR="004223A5">
        <w:rPr>
          <w:rFonts w:ascii="Book Antiqua" w:hAnsi="Book Antiqua"/>
          <w:bCs/>
          <w:i/>
          <w:iCs/>
          <w:color w:val="000000"/>
          <w:sz w:val="18"/>
          <w:szCs w:val="18"/>
        </w:rPr>
        <w:t xml:space="preserve">which is rotated to make it </w:t>
      </w:r>
      <w:r w:rsidRPr="004223A5">
        <w:rPr>
          <w:rFonts w:ascii="Book Antiqua" w:hAnsi="Book Antiqua"/>
          <w:bCs/>
          <w:i/>
          <w:iCs/>
          <w:color w:val="000000"/>
          <w:sz w:val="18"/>
          <w:szCs w:val="18"/>
        </w:rPr>
        <w:t xml:space="preserve">similar to </w:t>
      </w:r>
      <w:r w:rsidR="004223A5">
        <w:rPr>
          <w:rFonts w:ascii="Book Antiqua" w:hAnsi="Book Antiqua"/>
          <w:bCs/>
          <w:i/>
          <w:iCs/>
          <w:color w:val="000000"/>
          <w:sz w:val="18"/>
          <w:szCs w:val="18"/>
        </w:rPr>
        <w:t xml:space="preserve">the presentation in </w:t>
      </w:r>
      <w:r w:rsidRPr="004223A5">
        <w:rPr>
          <w:rFonts w:ascii="Book Antiqua" w:hAnsi="Book Antiqua"/>
          <w:bCs/>
          <w:i/>
          <w:iCs/>
          <w:color w:val="000000"/>
          <w:sz w:val="18"/>
          <w:szCs w:val="18"/>
        </w:rPr>
        <w:t>Figures 10 and 11.</w:t>
      </w:r>
    </w:p>
    <w:p w:rsidR="00265840" w:rsidRPr="00372C58" w:rsidRDefault="00265840" w:rsidP="00265840">
      <w:pPr>
        <w:pStyle w:val="NoSpacing"/>
        <w:jc w:val="both"/>
        <w:rPr>
          <w:rFonts w:ascii="Book Antiqua" w:hAnsi="Book Antiqua"/>
          <w:i/>
          <w:sz w:val="20"/>
        </w:rPr>
      </w:pPr>
    </w:p>
    <w:p w:rsidR="00236B79" w:rsidRPr="00372C58" w:rsidRDefault="00236B79" w:rsidP="00236B79">
      <w:pPr>
        <w:pStyle w:val="NoSpacing"/>
        <w:ind w:firstLine="720"/>
        <w:jc w:val="both"/>
        <w:rPr>
          <w:rFonts w:ascii="Book Antiqua" w:hAnsi="Book Antiqua"/>
          <w:bCs/>
          <w:iCs/>
          <w:sz w:val="20"/>
        </w:rPr>
      </w:pPr>
      <w:r w:rsidRPr="00372C58">
        <w:rPr>
          <w:rFonts w:ascii="Book Antiqua" w:hAnsi="Book Antiqua"/>
          <w:bCs/>
          <w:iCs/>
          <w:sz w:val="20"/>
        </w:rPr>
        <w:t xml:space="preserve">In 1996, a study of the galaxy cluster Abell 85, by Durrett et al., revealed bands of redshift going through the cluster and beyond, similar to what Tifft had first seen in the Coma Cluster. Although </w:t>
      </w:r>
      <w:r>
        <w:rPr>
          <w:rFonts w:ascii="Book Antiqua" w:hAnsi="Book Antiqua"/>
          <w:bCs/>
          <w:iCs/>
          <w:sz w:val="20"/>
        </w:rPr>
        <w:t xml:space="preserve">Durrett et al. </w:t>
      </w:r>
      <w:r w:rsidRPr="00372C58">
        <w:rPr>
          <w:rFonts w:ascii="Book Antiqua" w:hAnsi="Book Antiqua"/>
          <w:bCs/>
          <w:iCs/>
          <w:sz w:val="20"/>
        </w:rPr>
        <w:t xml:space="preserve">attributed the banding </w:t>
      </w:r>
      <w:r w:rsidRPr="00372C58">
        <w:rPr>
          <w:rFonts w:ascii="Book Antiqua" w:hAnsi="Book Antiqua"/>
          <w:bCs/>
          <w:iCs/>
          <w:sz w:val="20"/>
        </w:rPr>
        <w:lastRenderedPageBreak/>
        <w:t>to other causes (causes which are invalid for the Coma Cluster), the basic data still stands, as shown in Figure 12</w:t>
      </w:r>
      <w:r>
        <w:rPr>
          <w:rFonts w:ascii="Book Antiqua" w:hAnsi="Book Antiqua"/>
          <w:bCs/>
          <w:iCs/>
          <w:sz w:val="20"/>
        </w:rPr>
        <w:t xml:space="preserve">. </w:t>
      </w:r>
      <w:r w:rsidRPr="00372C58">
        <w:rPr>
          <w:rFonts w:ascii="Book Antiqua" w:hAnsi="Book Antiqua"/>
          <w:bCs/>
          <w:iCs/>
          <w:sz w:val="20"/>
        </w:rPr>
        <w:t xml:space="preserve">Abell 85 is a cluster about 740 million light years away, and the graph shows bands of redshift with a quantization of around 5,000 km/s [64]. This period is appropriate for the distance involved; the further out we look, the greater the quantization steps. Tifft’s basic figure of 8/3 km/s was obtained from nearby objects. </w:t>
      </w:r>
    </w:p>
    <w:p w:rsidR="00236B79" w:rsidRDefault="00236B79" w:rsidP="00753C01">
      <w:pPr>
        <w:pStyle w:val="NoSpacing"/>
        <w:ind w:firstLine="720"/>
        <w:jc w:val="both"/>
        <w:rPr>
          <w:rFonts w:ascii="Book Antiqua" w:hAnsi="Book Antiqua"/>
          <w:sz w:val="20"/>
        </w:rPr>
      </w:pPr>
    </w:p>
    <w:p w:rsidR="00236B79" w:rsidRDefault="00236B79" w:rsidP="00753C01">
      <w:pPr>
        <w:pStyle w:val="NoSpacing"/>
        <w:ind w:firstLine="720"/>
        <w:jc w:val="both"/>
        <w:rPr>
          <w:rFonts w:ascii="Book Antiqua" w:hAnsi="Book Antiqua"/>
          <w:sz w:val="20"/>
        </w:rPr>
      </w:pPr>
      <w:r w:rsidRPr="00372C58">
        <w:rPr>
          <w:rFonts w:ascii="Book Antiqua" w:hAnsi="Book Antiqua"/>
          <w:sz w:val="20"/>
        </w:rPr>
        <w:t>This can be looked at in another way. If we take the plot of galaxies in Figure 12 (left) which show the bands of redshift going through the Abell 85 cluster and turn it on its right hand side, the result is as shown in Figure 12 (right).</w:t>
      </w:r>
    </w:p>
    <w:p w:rsidR="00236B79" w:rsidRDefault="00236B79" w:rsidP="00753C01">
      <w:pPr>
        <w:pStyle w:val="NoSpacing"/>
        <w:ind w:firstLine="720"/>
        <w:jc w:val="both"/>
        <w:rPr>
          <w:rFonts w:ascii="Book Antiqua" w:hAnsi="Book Antiqua"/>
          <w:sz w:val="20"/>
        </w:rPr>
      </w:pPr>
    </w:p>
    <w:p w:rsidR="00753C01" w:rsidRPr="00372C58" w:rsidRDefault="00753C01" w:rsidP="00753C01">
      <w:pPr>
        <w:pStyle w:val="NoSpacing"/>
        <w:ind w:firstLine="720"/>
        <w:jc w:val="both"/>
        <w:rPr>
          <w:rFonts w:ascii="Book Antiqua" w:hAnsi="Book Antiqua"/>
          <w:sz w:val="20"/>
        </w:rPr>
      </w:pPr>
      <w:r w:rsidRPr="00372C58">
        <w:rPr>
          <w:rFonts w:ascii="Book Antiqua" w:hAnsi="Book Antiqua"/>
          <w:sz w:val="20"/>
        </w:rPr>
        <w:t>In Figure 12 (right), we get the same as in Fi</w:t>
      </w:r>
      <w:r>
        <w:rPr>
          <w:rFonts w:ascii="Book Antiqua" w:hAnsi="Book Antiqua"/>
          <w:sz w:val="20"/>
        </w:rPr>
        <w:t>gures 10 and 11. In Figure 12 (right</w:t>
      </w:r>
      <w:r w:rsidRPr="00372C58">
        <w:rPr>
          <w:rFonts w:ascii="Book Antiqua" w:hAnsi="Book Antiqua"/>
          <w:sz w:val="20"/>
        </w:rPr>
        <w:t>), the horizontal axis becomes the redshift “velocity”</w:t>
      </w:r>
      <w:r>
        <w:rPr>
          <w:rFonts w:ascii="Book Antiqua" w:hAnsi="Book Antiqua"/>
          <w:sz w:val="20"/>
        </w:rPr>
        <w:t xml:space="preserve"> which increases from left to right.</w:t>
      </w:r>
      <w:r w:rsidRPr="00372C58">
        <w:rPr>
          <w:rFonts w:ascii="Book Antiqua" w:hAnsi="Book Antiqua"/>
          <w:sz w:val="20"/>
        </w:rPr>
        <w:t xml:space="preserve"> It can be seen that, again, the galaxies have preferred redshift “velocities.” The most obvious is the 5000 km/s interval between groups with the same velocity. In this case the number of galaxies at a given redshift is given by the vertical line of dots. The more dots, the more galaxies there are with that redshift. It can be seen that there are “peaks” and “valleys” or “gaps” in the galaxy redshifts in this figure the same as there was in Figure 10.</w:t>
      </w:r>
    </w:p>
    <w:p w:rsidR="00753C01" w:rsidRDefault="00753C01" w:rsidP="00753C01">
      <w:pPr>
        <w:pStyle w:val="NoSpacing"/>
        <w:ind w:firstLine="720"/>
        <w:jc w:val="both"/>
        <w:rPr>
          <w:rFonts w:ascii="Book Antiqua" w:hAnsi="Book Antiqua"/>
          <w:color w:val="000000"/>
          <w:sz w:val="20"/>
        </w:rPr>
      </w:pPr>
    </w:p>
    <w:p w:rsidR="00753C01" w:rsidRPr="00372C58" w:rsidRDefault="00753C01" w:rsidP="00753C01">
      <w:pPr>
        <w:pStyle w:val="NoSpacing"/>
        <w:ind w:firstLine="720"/>
        <w:jc w:val="both"/>
        <w:rPr>
          <w:rFonts w:ascii="Book Antiqua" w:hAnsi="Book Antiqua"/>
          <w:bCs/>
          <w:iCs/>
          <w:color w:val="000000"/>
          <w:sz w:val="20"/>
        </w:rPr>
      </w:pPr>
      <w:r w:rsidRPr="00372C58">
        <w:rPr>
          <w:rFonts w:ascii="Book Antiqua" w:hAnsi="Book Antiqua"/>
          <w:color w:val="000000"/>
          <w:sz w:val="20"/>
        </w:rPr>
        <w:t>Note that in Figure 12</w:t>
      </w:r>
      <w:r>
        <w:rPr>
          <w:rFonts w:ascii="Book Antiqua" w:hAnsi="Book Antiqua"/>
          <w:color w:val="000000"/>
          <w:sz w:val="20"/>
        </w:rPr>
        <w:t xml:space="preserve"> (right)</w:t>
      </w:r>
      <w:r w:rsidRPr="00372C58">
        <w:rPr>
          <w:rFonts w:ascii="Book Antiqua" w:hAnsi="Book Antiqua"/>
          <w:color w:val="000000"/>
          <w:sz w:val="20"/>
        </w:rPr>
        <w:t xml:space="preserve"> there are some galaxies which are recorded at intermediate “velocities” between the main quantum values. This happens in the centers of galaxy clusters, where, deep in the gravitational potential well, the motion of galaxies is high. </w:t>
      </w:r>
      <w:r>
        <w:rPr>
          <w:rFonts w:ascii="Book Antiqua" w:hAnsi="Book Antiqua"/>
          <w:color w:val="000000"/>
          <w:sz w:val="20"/>
        </w:rPr>
        <w:t xml:space="preserve">This produces a genuine Doppler component with smears out the straightforward quantization.  </w:t>
      </w:r>
      <w:r w:rsidRPr="00372C58">
        <w:rPr>
          <w:rFonts w:ascii="Book Antiqua" w:hAnsi="Book Antiqua"/>
          <w:color w:val="000000"/>
          <w:sz w:val="20"/>
        </w:rPr>
        <w:t>This is seen in the center of the Virgo cluster where the gravitational motion of the individual galaxies is so high that the quantization disappears. Thus we have an additional pointer to the fact that the quantized redshift is not due to motion because real motion, or real velocities, actually destroy the quantization. This is discussed further below.</w:t>
      </w:r>
    </w:p>
    <w:p w:rsidR="00753C01" w:rsidRPr="00372C58" w:rsidRDefault="00753C01" w:rsidP="00753C01">
      <w:pPr>
        <w:pStyle w:val="NoSpacing"/>
        <w:ind w:firstLine="720"/>
        <w:jc w:val="both"/>
        <w:rPr>
          <w:rFonts w:ascii="Book Antiqua" w:hAnsi="Book Antiqua"/>
          <w:bCs/>
          <w:iCs/>
          <w:color w:val="000000"/>
          <w:sz w:val="20"/>
        </w:rPr>
      </w:pPr>
    </w:p>
    <w:p w:rsidR="00753C01" w:rsidRPr="00372C58" w:rsidRDefault="00753C01" w:rsidP="00753C01">
      <w:pPr>
        <w:pStyle w:val="NoSpacing"/>
        <w:ind w:firstLine="720"/>
        <w:jc w:val="both"/>
        <w:rPr>
          <w:rFonts w:ascii="Book Antiqua" w:hAnsi="Book Antiqua"/>
          <w:i/>
          <w:iCs/>
          <w:sz w:val="20"/>
        </w:rPr>
      </w:pPr>
      <w:r w:rsidRPr="00372C58">
        <w:rPr>
          <w:rFonts w:ascii="Book Antiqua" w:hAnsi="Book Antiqua"/>
          <w:sz w:val="20"/>
        </w:rPr>
        <w:t xml:space="preserve">In a more recent development, on 5th and 7th May 2003, two Abstracts appeared in </w:t>
      </w:r>
      <w:r w:rsidRPr="00372C58">
        <w:rPr>
          <w:rFonts w:ascii="Book Antiqua" w:hAnsi="Book Antiqua"/>
          <w:i/>
          <w:iCs/>
          <w:sz w:val="20"/>
        </w:rPr>
        <w:t xml:space="preserve">Astrophysics </w:t>
      </w:r>
      <w:r w:rsidRPr="00372C58">
        <w:rPr>
          <w:rFonts w:ascii="Book Antiqua" w:hAnsi="Book Antiqua"/>
          <w:sz w:val="20"/>
        </w:rPr>
        <w:t xml:space="preserve">authored by Morley Bell. One Abstract read in part: </w:t>
      </w:r>
      <w:r w:rsidRPr="00372C58">
        <w:rPr>
          <w:rFonts w:ascii="Book Antiqua" w:hAnsi="Book Antiqua"/>
          <w:i/>
          <w:iCs/>
          <w:sz w:val="20"/>
        </w:rPr>
        <w:t>“Evidence was presented recently suggesting that [galaxy] clusters studied by the Hubble Key Project may contain quantized intrinsic redshift components that are related to those reported by Tifft. Here we report the results of a similar analysis using 55 spiral … and 36 Type Ia supernovae galaxies. We find that even when more objects are included in the sample there is still clear evidence that the same quantized intrinsic redshifts are present…”</w:t>
      </w:r>
    </w:p>
    <w:p w:rsidR="00753C01" w:rsidRPr="00372C58" w:rsidRDefault="00753C01" w:rsidP="00753C01">
      <w:pPr>
        <w:pStyle w:val="NoSpacing"/>
        <w:jc w:val="both"/>
        <w:rPr>
          <w:rFonts w:ascii="Book Antiqua" w:hAnsi="Book Antiqua"/>
          <w:sz w:val="20"/>
        </w:rPr>
      </w:pPr>
    </w:p>
    <w:p w:rsidR="00753C01" w:rsidRPr="00372C58" w:rsidRDefault="00753C01" w:rsidP="00753C01">
      <w:pPr>
        <w:pStyle w:val="NoSpacing"/>
        <w:ind w:firstLine="720"/>
        <w:jc w:val="both"/>
        <w:rPr>
          <w:rFonts w:ascii="Book Antiqua" w:hAnsi="Book Antiqua"/>
          <w:iCs/>
          <w:sz w:val="20"/>
        </w:rPr>
      </w:pPr>
      <w:r w:rsidRPr="00372C58">
        <w:rPr>
          <w:rFonts w:ascii="Book Antiqua" w:hAnsi="Book Antiqua"/>
          <w:iCs/>
          <w:sz w:val="20"/>
        </w:rPr>
        <w:t xml:space="preserve">Further developments occurred in September 2006.  It was reported that </w:t>
      </w:r>
      <w:r w:rsidRPr="00372C58">
        <w:rPr>
          <w:rFonts w:ascii="Book Antiqua" w:hAnsi="Book Antiqua"/>
          <w:i/>
          <w:sz w:val="20"/>
        </w:rPr>
        <w:t xml:space="preserve">“The redshift distribution of all 46,400 quasars in the Sloan Digital Sky Survey (SDSS) Quasar Catalog, Third Data Release (DR3), is examined. Six [quantization] peaks that fall within the redshift window below </w:t>
      </w:r>
      <m:oMath>
        <m:r>
          <w:rPr>
            <w:rFonts w:ascii="Cambria Math" w:hAnsi="Cambria Math"/>
            <w:sz w:val="20"/>
          </w:rPr>
          <m:t>z</m:t>
        </m:r>
        <m:r>
          <w:rPr>
            <w:rFonts w:ascii="Cambria Math" w:hAnsi="Book Antiqua"/>
            <w:sz w:val="20"/>
          </w:rPr>
          <m:t xml:space="preserve"> = 4</m:t>
        </m:r>
      </m:oMath>
      <w:r w:rsidRPr="00372C58">
        <w:rPr>
          <w:rFonts w:ascii="Book Antiqua" w:hAnsi="Book Antiqua"/>
          <w:i/>
          <w:sz w:val="20"/>
        </w:rPr>
        <w:t xml:space="preserve"> are visible. … A power spectrum analysis of the distribution of over 46,000 SDSS quasar redshifts has been found to show a single, distinct power peak … [which] corresponds to a redshift period of </w:t>
      </w:r>
      <m:oMath>
        <m:r>
          <w:rPr>
            <w:rFonts w:ascii="Cambria Math" w:hAnsi="Cambria Math"/>
            <w:sz w:val="20"/>
          </w:rPr>
          <m:t>Δ</m:t>
        </m:r>
        <m:r>
          <w:rPr>
            <w:rFonts w:ascii="Cambria Math" w:hAnsi="Book Antiqua"/>
            <w:sz w:val="20"/>
          </w:rPr>
          <m:t xml:space="preserve"> </m:t>
        </m:r>
        <m:r>
          <w:rPr>
            <w:rFonts w:ascii="Cambria Math" w:hAnsi="Cambria Math"/>
            <w:sz w:val="20"/>
          </w:rPr>
          <m:t>z</m:t>
        </m:r>
        <m:r>
          <w:rPr>
            <w:rFonts w:ascii="Cambria Math" w:hAnsi="Book Antiqua"/>
            <w:sz w:val="20"/>
          </w:rPr>
          <m:t xml:space="preserve"> </m:t>
        </m:r>
        <m:r>
          <w:rPr>
            <w:rFonts w:ascii="Cambria Math" w:hAnsi="Book Antiqua"/>
            <w:i/>
            <w:noProof/>
            <w:sz w:val="20"/>
          </w:rPr>
          <w:drawing>
            <wp:inline distT="0" distB="0" distL="0" distR="0">
              <wp:extent cx="104775" cy="38100"/>
              <wp:effectExtent l="19050" t="0" r="9525" b="0"/>
              <wp:docPr id="786"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85" cstate="print"/>
                      <a:srcRect/>
                      <a:stretch>
                        <a:fillRect/>
                      </a:stretch>
                    </pic:blipFill>
                    <pic:spPr bwMode="auto">
                      <a:xfrm>
                        <a:off x="0" y="0"/>
                        <a:ext cx="104775" cy="38100"/>
                      </a:xfrm>
                      <a:prstGeom prst="rect">
                        <a:avLst/>
                      </a:prstGeom>
                      <a:noFill/>
                      <a:ln w="9525">
                        <a:noFill/>
                        <a:miter lim="800000"/>
                        <a:headEnd/>
                        <a:tailEnd/>
                      </a:ln>
                    </pic:spPr>
                  </pic:pic>
                </a:graphicData>
              </a:graphic>
            </wp:inline>
          </w:drawing>
        </m:r>
        <m:r>
          <w:rPr>
            <w:rFonts w:ascii="Cambria Math" w:hAnsi="Book Antiqua"/>
            <w:sz w:val="20"/>
          </w:rPr>
          <m:t xml:space="preserve"> 0.70</m:t>
        </m:r>
      </m:oMath>
      <w:r w:rsidRPr="00372C58">
        <w:rPr>
          <w:rFonts w:ascii="Book Antiqua" w:hAnsi="Book Antiqua"/>
          <w:i/>
          <w:sz w:val="20"/>
        </w:rPr>
        <w:t>.”</w:t>
      </w:r>
      <w:r w:rsidRPr="00372C58">
        <w:rPr>
          <w:rFonts w:ascii="Book Antiqua" w:hAnsi="Book Antiqua"/>
          <w:iCs/>
          <w:sz w:val="20"/>
        </w:rPr>
        <w:t xml:space="preserve"> [65] Here </w:t>
      </w:r>
      <m:oMath>
        <m:r>
          <w:rPr>
            <w:rFonts w:ascii="Cambria Math" w:hAnsi="Cambria Math"/>
            <w:sz w:val="20"/>
          </w:rPr>
          <m:t>cΔz</m:t>
        </m:r>
        <m:r>
          <w:rPr>
            <w:rFonts w:ascii="Cambria Math" w:hAnsi="Book Antiqua"/>
            <w:sz w:val="20"/>
          </w:rPr>
          <m:t xml:space="preserve"> = 209,850</m:t>
        </m:r>
      </m:oMath>
      <w:r w:rsidRPr="00372C58">
        <w:rPr>
          <w:rFonts w:ascii="Book Antiqua" w:hAnsi="Book Antiqua"/>
          <w:iCs/>
          <w:sz w:val="20"/>
        </w:rPr>
        <w:t xml:space="preserve"> km/s.</w:t>
      </w:r>
      <w:r w:rsidR="00C740AD">
        <w:rPr>
          <w:rFonts w:ascii="Book Antiqua" w:hAnsi="Book Antiqua"/>
          <w:iCs/>
          <w:sz w:val="20"/>
        </w:rPr>
        <w:t xml:space="preserve"> Shortly after, a thorough review in 2007, Bajan et al said </w:t>
      </w:r>
      <w:r w:rsidR="00C740AD" w:rsidRPr="00C740AD">
        <w:rPr>
          <w:rFonts w:ascii="Book Antiqua" w:hAnsi="Book Antiqua"/>
          <w:i/>
          <w:iCs/>
          <w:sz w:val="20"/>
        </w:rPr>
        <w:t>“We conclude that galaxy redshift periodisation is an effect which can really exist.”</w:t>
      </w:r>
      <w:r w:rsidR="00C740AD">
        <w:rPr>
          <w:rFonts w:ascii="Book Antiqua" w:hAnsi="Book Antiqua"/>
          <w:iCs/>
          <w:sz w:val="20"/>
        </w:rPr>
        <w:t xml:space="preserve"> [</w:t>
      </w:r>
      <w:r w:rsidR="00C740AD" w:rsidRPr="00C740AD">
        <w:rPr>
          <w:rFonts w:ascii="Book Antiqua" w:hAnsi="Book Antiqua"/>
          <w:i/>
          <w:iCs/>
          <w:sz w:val="20"/>
        </w:rPr>
        <w:t>Phys. Part. Nuc.Lett.</w:t>
      </w:r>
      <w:r w:rsidR="00C740AD">
        <w:rPr>
          <w:rFonts w:ascii="Book Antiqua" w:hAnsi="Book Antiqua"/>
          <w:iCs/>
          <w:sz w:val="20"/>
        </w:rPr>
        <w:t xml:space="preserve"> </w:t>
      </w:r>
      <w:r w:rsidR="00C740AD" w:rsidRPr="00C740AD">
        <w:rPr>
          <w:rFonts w:ascii="Book Antiqua" w:hAnsi="Book Antiqua"/>
          <w:b/>
          <w:iCs/>
          <w:sz w:val="20"/>
        </w:rPr>
        <w:t>4:</w:t>
      </w:r>
      <w:r w:rsidR="00C740AD">
        <w:rPr>
          <w:rFonts w:ascii="Book Antiqua" w:hAnsi="Book Antiqua"/>
          <w:iCs/>
          <w:sz w:val="20"/>
        </w:rPr>
        <w:t xml:space="preserve">5-10, 2007 see: </w:t>
      </w:r>
      <w:r w:rsidR="00C740AD" w:rsidRPr="00C740AD">
        <w:rPr>
          <w:rFonts w:ascii="Book Antiqua" w:hAnsi="Book Antiqua"/>
          <w:i/>
          <w:iCs/>
          <w:sz w:val="20"/>
        </w:rPr>
        <w:t>arXiv:astro-ph/0606294v1</w:t>
      </w:r>
      <w:r w:rsidR="00C740AD">
        <w:rPr>
          <w:rFonts w:ascii="Book Antiqua" w:hAnsi="Book Antiqua"/>
          <w:iCs/>
          <w:sz w:val="20"/>
        </w:rPr>
        <w:t>].</w:t>
      </w:r>
    </w:p>
    <w:p w:rsidR="00753C01" w:rsidRPr="00372C58" w:rsidRDefault="00753C01" w:rsidP="00753C01">
      <w:pPr>
        <w:pStyle w:val="NoSpacing"/>
        <w:ind w:firstLine="720"/>
        <w:jc w:val="both"/>
        <w:rPr>
          <w:rFonts w:ascii="Book Antiqua" w:hAnsi="Book Antiqua"/>
          <w:iCs/>
          <w:sz w:val="20"/>
        </w:rPr>
      </w:pPr>
    </w:p>
    <w:p w:rsidR="00753C01" w:rsidRPr="00CA6987" w:rsidRDefault="00753C01" w:rsidP="00C740AD">
      <w:pPr>
        <w:pStyle w:val="NoSpacing"/>
        <w:ind w:firstLine="720"/>
        <w:rPr>
          <w:rFonts w:ascii="Book Antiqua" w:hAnsi="Book Antiqua"/>
          <w:sz w:val="20"/>
        </w:rPr>
      </w:pPr>
      <w:r w:rsidRPr="00CA6987">
        <w:rPr>
          <w:rFonts w:ascii="Book Antiqua" w:hAnsi="Book Antiqua"/>
          <w:iCs/>
          <w:sz w:val="20"/>
        </w:rPr>
        <w:t xml:space="preserve">Finally, Halton Arp and his colleagues noted in 2010 that </w:t>
      </w:r>
      <w:r w:rsidRPr="00CA6987">
        <w:rPr>
          <w:rFonts w:ascii="Book Antiqua" w:hAnsi="Book Antiqua"/>
          <w:sz w:val="20"/>
        </w:rPr>
        <w:t xml:space="preserve">if quasar clusters are examined and the central redshift is taken, then the redshift differences hover around the Karlsson Peak redshift values of z = 0.06; 0.30; 0.60; 0.96; 1.41; 1.96 and 2.64 with most at z = 1.96. See for example Arp et al's paper at: </w:t>
      </w:r>
    </w:p>
    <w:p w:rsidR="00753C01" w:rsidRPr="00CA6987" w:rsidRDefault="007B3EBC" w:rsidP="00753C01">
      <w:pPr>
        <w:pStyle w:val="NoSpacing"/>
        <w:rPr>
          <w:rFonts w:ascii="Book Antiqua" w:hAnsi="Book Antiqua"/>
          <w:i/>
          <w:sz w:val="20"/>
        </w:rPr>
      </w:pPr>
      <w:hyperlink r:id="rId186" w:tgtFrame="_blank" w:history="1">
        <w:r w:rsidR="00753C01" w:rsidRPr="00CA6987">
          <w:rPr>
            <w:rStyle w:val="Hyperlink"/>
            <w:rFonts w:ascii="Book Antiqua" w:eastAsiaTheme="majorEastAsia" w:hAnsi="Book Antiqua"/>
            <w:i/>
            <w:sz w:val="20"/>
          </w:rPr>
          <w:t>http://www.haltonarp.com/articles/intrinsic_redshifts_in_quasars_and_galaxies.pdf</w:t>
        </w:r>
      </w:hyperlink>
    </w:p>
    <w:p w:rsidR="00753C01" w:rsidRPr="00CA6987" w:rsidRDefault="00753C01" w:rsidP="00753C01">
      <w:pPr>
        <w:pStyle w:val="NoSpacing"/>
        <w:rPr>
          <w:rFonts w:ascii="Book Antiqua" w:hAnsi="Book Antiqua"/>
          <w:sz w:val="20"/>
        </w:rPr>
      </w:pPr>
    </w:p>
    <w:p w:rsidR="00753C01" w:rsidRPr="00CA6987" w:rsidRDefault="00753C01" w:rsidP="00753C01">
      <w:pPr>
        <w:pStyle w:val="NoSpacing"/>
        <w:ind w:firstLine="720"/>
        <w:jc w:val="both"/>
        <w:rPr>
          <w:rFonts w:ascii="Book Antiqua" w:hAnsi="Book Antiqua"/>
          <w:sz w:val="20"/>
        </w:rPr>
      </w:pPr>
      <w:r w:rsidRPr="00CA6987">
        <w:rPr>
          <w:rFonts w:ascii="Book Antiqua" w:hAnsi="Book Antiqua"/>
          <w:sz w:val="20"/>
        </w:rPr>
        <w:t xml:space="preserve">A search through recent literature reveals that quasar "clustering" at about the same redshifts is currently being openly discussed. </w:t>
      </w:r>
      <w:r>
        <w:rPr>
          <w:rFonts w:ascii="Book Antiqua" w:hAnsi="Book Antiqua"/>
          <w:sz w:val="20"/>
        </w:rPr>
        <w:t>This is basically the same as</w:t>
      </w:r>
      <w:r w:rsidRPr="00CA6987">
        <w:rPr>
          <w:rFonts w:ascii="Book Antiqua" w:hAnsi="Book Antiqua"/>
          <w:sz w:val="20"/>
        </w:rPr>
        <w:t xml:space="preserve"> saying that these objects have a preferred redshift, or, more bluntly, are quantized. This is apparent from articles such as </w:t>
      </w:r>
      <w:hyperlink r:id="rId187" w:tgtFrame="_blank" w:history="1">
        <w:r w:rsidRPr="00CA6987">
          <w:rPr>
            <w:rStyle w:val="Hyperlink"/>
            <w:rFonts w:ascii="Book Antiqua" w:eastAsiaTheme="majorEastAsia" w:hAnsi="Book Antiqua"/>
            <w:i/>
            <w:sz w:val="20"/>
          </w:rPr>
          <w:t>http://arxiv.org/pdf/astro-ph/0612191.pdf</w:t>
        </w:r>
      </w:hyperlink>
      <w:r w:rsidRPr="00CA6987">
        <w:rPr>
          <w:rFonts w:ascii="Book Antiqua" w:hAnsi="Book Antiqua"/>
          <w:i/>
          <w:sz w:val="20"/>
        </w:rPr>
        <w:t xml:space="preserve"> </w:t>
      </w:r>
      <w:r w:rsidRPr="00CA6987">
        <w:rPr>
          <w:rFonts w:ascii="Book Antiqua" w:hAnsi="Book Antiqua"/>
          <w:sz w:val="20"/>
        </w:rPr>
        <w:t xml:space="preserve">where this phenomenon is discussed. </w:t>
      </w:r>
      <w:r w:rsidR="00236B79">
        <w:rPr>
          <w:rFonts w:ascii="Book Antiqua" w:hAnsi="Book Antiqua"/>
          <w:sz w:val="20"/>
        </w:rPr>
        <w:t>It appears that</w:t>
      </w:r>
      <w:r w:rsidRPr="00CA6987">
        <w:rPr>
          <w:rFonts w:ascii="Book Antiqua" w:hAnsi="Book Antiqua"/>
          <w:sz w:val="20"/>
        </w:rPr>
        <w:t xml:space="preserve"> quasar quantization is alive and well. It is standard to try and explain many of these results to the action of "dark matter." Although this is discussed in Chapter 6, we merely note here that since it has never been found,</w:t>
      </w:r>
      <w:r w:rsidR="00D9275E">
        <w:rPr>
          <w:rFonts w:ascii="Book Antiqua" w:hAnsi="Book Antiqua"/>
          <w:sz w:val="20"/>
        </w:rPr>
        <w:t xml:space="preserve"> despite an extensive search,</w:t>
      </w:r>
      <w:r w:rsidRPr="00CA6987">
        <w:rPr>
          <w:rFonts w:ascii="Book Antiqua" w:hAnsi="Book Antiqua"/>
          <w:sz w:val="20"/>
        </w:rPr>
        <w:t xml:space="preserve"> that option is suspect. That leaves quantization as the </w:t>
      </w:r>
      <w:r w:rsidR="00D9275E">
        <w:rPr>
          <w:rFonts w:ascii="Book Antiqua" w:hAnsi="Book Antiqua"/>
          <w:sz w:val="20"/>
        </w:rPr>
        <w:t>m</w:t>
      </w:r>
      <w:r w:rsidRPr="00CA6987">
        <w:rPr>
          <w:rFonts w:ascii="Book Antiqua" w:hAnsi="Book Antiqua"/>
          <w:sz w:val="20"/>
        </w:rPr>
        <w:t>ost viable possibility.</w:t>
      </w:r>
    </w:p>
    <w:p w:rsidR="00265840" w:rsidRPr="00372C58" w:rsidRDefault="00265840" w:rsidP="00265840">
      <w:pPr>
        <w:jc w:val="both"/>
        <w:rPr>
          <w:rFonts w:ascii="Book Antiqua" w:hAnsi="Book Antiqua"/>
          <w:color w:val="000000"/>
        </w:rPr>
      </w:pPr>
    </w:p>
    <w:p w:rsidR="00265840" w:rsidRPr="00372C58" w:rsidRDefault="00265840" w:rsidP="00265840">
      <w:pPr>
        <w:jc w:val="both"/>
        <w:rPr>
          <w:rFonts w:ascii="Book Antiqua" w:hAnsi="Book Antiqua"/>
          <w:b/>
          <w:bCs/>
          <w:iCs/>
          <w:color w:val="000000"/>
        </w:rPr>
      </w:pPr>
      <w:r w:rsidRPr="00372C58">
        <w:rPr>
          <w:rFonts w:ascii="Book Antiqua" w:hAnsi="Book Antiqua"/>
          <w:b/>
          <w:bCs/>
          <w:iCs/>
          <w:color w:val="000000"/>
        </w:rPr>
        <w:t>4. Some conclusions.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Lemaitre model says the fabric of space itself is expanding, carrying the galaxies with it like pennies glued on to an expanding balloon.  The Einstein model sees space itself as static, with the galaxies racing through it from some </w:t>
      </w:r>
      <w:r w:rsidRPr="00372C58">
        <w:rPr>
          <w:rFonts w:ascii="Book Antiqua" w:hAnsi="Book Antiqua"/>
          <w:sz w:val="20"/>
        </w:rPr>
        <w:lastRenderedPageBreak/>
        <w:t>center, meaning the red shift is due to a Doppler effect.  The data discussed here invalidates both models.   If the fabric of space is expanding, as the Lemaitre model suggests, then it must be expanding in jumps. On the Einstein/Doppler model, the galaxies are themselves moving away through static space-time. But these data show it must be happening in such a way that their velocities have to vary in fixed steps. Both options are highly unlikely. And when it is considered that the quantum jumps in redshift values have been observed to go through the middle of individual galaxies, [49-50, 66]</w:t>
      </w:r>
      <w:r w:rsidRPr="00372C58">
        <w:rPr>
          <w:rFonts w:ascii="Book Antiqua" w:hAnsi="Book Antiqua"/>
          <w:position w:val="10"/>
          <w:sz w:val="20"/>
          <w:vertAlign w:val="superscript"/>
        </w:rPr>
        <w:t xml:space="preserve"> </w:t>
      </w:r>
      <w:r w:rsidRPr="00372C58">
        <w:rPr>
          <w:rFonts w:ascii="Book Antiqua" w:hAnsi="Book Antiqua"/>
          <w:sz w:val="20"/>
        </w:rPr>
        <w:t xml:space="preserve">it becomes apparent that the redshift can have little to do with either space-time expansion or galactic velocities through space.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Tifft, Arp and others have pointed out that the quantized redshift means that the actual velocities of galaxies in clusters are very low [50, 67]. </w:t>
      </w:r>
      <w:r w:rsidRPr="00372C58">
        <w:rPr>
          <w:rFonts w:ascii="Book Antiqua" w:hAnsi="Book Antiqua"/>
          <w:position w:val="10"/>
          <w:sz w:val="20"/>
          <w:vertAlign w:val="superscript"/>
        </w:rPr>
        <w:t xml:space="preserve"> </w:t>
      </w:r>
      <w:r w:rsidRPr="00372C58">
        <w:rPr>
          <w:rFonts w:ascii="Book Antiqua" w:hAnsi="Book Antiqua"/>
          <w:sz w:val="20"/>
        </w:rPr>
        <w:t xml:space="preserve">It is only at the very centers of clusters that high velocities would be expected. This was borne out by evidence mentioned at the Tucson conference on quantization in April 1996. Observations of the Virgo cluster have shown that in the innermost parts of the cluster </w:t>
      </w:r>
      <w:r w:rsidRPr="00372C58">
        <w:rPr>
          <w:rFonts w:ascii="Book Antiqua" w:hAnsi="Book Antiqua"/>
          <w:i/>
          <w:iCs/>
          <w:sz w:val="20"/>
        </w:rPr>
        <w:t>“deeper in the potential well, [galaxies] were moving fast enough to wash out the periodicity.”</w:t>
      </w:r>
      <w:r w:rsidRPr="00372C58">
        <w:rPr>
          <w:rFonts w:ascii="Book Antiqua" w:hAnsi="Book Antiqua"/>
          <w:iCs/>
          <w:sz w:val="20"/>
        </w:rPr>
        <w:t>[61]</w:t>
      </w:r>
      <w:r w:rsidRPr="00372C58">
        <w:rPr>
          <w:rFonts w:ascii="Book Antiqua" w:hAnsi="Book Antiqua"/>
          <w:position w:val="10"/>
          <w:sz w:val="20"/>
          <w:vertAlign w:val="superscript"/>
        </w:rPr>
        <w:t xml:space="preserve"> </w:t>
      </w:r>
      <w:r w:rsidRPr="00372C58">
        <w:rPr>
          <w:rFonts w:ascii="Book Antiqua" w:hAnsi="Book Antiqua"/>
          <w:sz w:val="20"/>
        </w:rPr>
        <w:t xml:space="preserve">Here, “periodicity” is the quantization by another name. In other words, if galaxies have a genuine, significant velocity, it actually smears out the quantization.  This means that, at the speeds attributed in the Einstein model to the farthest reaches of the universe, there should be a complete smearing out of the red shift values.  Instead, it is precisely there that we see the biggest jumps in the measurements. These quantization results reveal that redshifts cannot be due to galaxy motion at all, but must have some other primary cause, with Doppler effects from motion being secondary.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This conclusion is reinforced by the final piece of evidence. Tifft has noted that, in some cases, the redshift of a set of objects has reduced by one basic quantum jump over a period of about 15 years [62]. Thus light from this set of of galaxies has become bluer with time. Not only is this not possible on the standard redshift model, it also implies that that part of the universe had started contracting if the standard model is correct. This does not </w:t>
      </w:r>
      <w:r w:rsidR="00236B79">
        <w:rPr>
          <w:sz w:val="20"/>
        </w:rPr>
        <w:t>agree</w:t>
      </w:r>
      <w:r w:rsidRPr="00372C58">
        <w:rPr>
          <w:sz w:val="20"/>
        </w:rPr>
        <w:t xml:space="preserve"> with the concept of accelerating expansion, and so most ignore this observational evidence.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Apart from what is being presented here, only one other other viable model</w:t>
      </w:r>
      <w:r w:rsidR="00236B79">
        <w:rPr>
          <w:sz w:val="20"/>
        </w:rPr>
        <w:t>, “the New Tired Light Model,”</w:t>
      </w:r>
      <w:r w:rsidRPr="00372C58">
        <w:rPr>
          <w:sz w:val="20"/>
        </w:rPr>
        <w:t xml:space="preserve"> for the redshift exists, if the universe is static. In that model it is proposed that </w:t>
      </w:r>
      <w:r w:rsidRPr="00372C58">
        <w:rPr>
          <w:i/>
          <w:sz w:val="20"/>
        </w:rPr>
        <w:t xml:space="preserve">“photons of light from distant galaxies are absorbed and reemitted by electrons in the plasma of intergalactic space and on each interaction the electron recoils. Energy is lost to the recoiling electron (New Tired Light theory) and thus the reemitted photon has less energy, a reduced frequency and therefore an increased wavelength. It has been redshifted.” </w:t>
      </w:r>
      <w:r w:rsidRPr="00372C58">
        <w:rPr>
          <w:sz w:val="20"/>
        </w:rPr>
        <w:t>[17] However, this model has difficulty in accounting for redshift quantizations between pairs of galaxies. It also fails to account for the observational evidence that indicates some redshifts have dropped by one quantum number over time.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With galactic motion, space expansion and the New Tired Light theory being ruled out, there seems to be only one option left. This is the one first mentioned by John Gribbin in 1985 [68].  He suggested that the quantized redshift is due to the atomic emitters of light within the galaxies themselves. If this is the case, there is no need to consider a change in the wavelength of the light in transit. The wavelength would be fixed at the moment of emission. This is what we would expect to see if the Zero Point Energy had been changing. This also avoids a difficulty Hubble perceived in 1936, namely that </w:t>
      </w:r>
      <w:r w:rsidRPr="00372C58">
        <w:rPr>
          <w:rFonts w:ascii="Book Antiqua" w:hAnsi="Book Antiqua"/>
          <w:i/>
          <w:iCs/>
          <w:sz w:val="20"/>
        </w:rPr>
        <w:t>“… redshifts, by increasing wavelengths, must reduce the energy in the quanta. Any plausible interpretation of redshifts must account for the loss of energy.”</w:t>
      </w:r>
      <w:r w:rsidRPr="00372C58">
        <w:rPr>
          <w:rFonts w:ascii="Book Antiqua" w:hAnsi="Book Antiqua"/>
          <w:iCs/>
          <w:sz w:val="20"/>
        </w:rPr>
        <w:t>[6]</w:t>
      </w:r>
      <w:r w:rsidRPr="00372C58">
        <w:rPr>
          <w:rFonts w:ascii="Book Antiqua" w:hAnsi="Book Antiqua"/>
          <w:position w:val="10"/>
          <w:sz w:val="20"/>
          <w:vertAlign w:val="superscript"/>
        </w:rPr>
        <w:t xml:space="preserve"> </w:t>
      </w:r>
      <w:r w:rsidRPr="00372C58">
        <w:rPr>
          <w:rFonts w:ascii="Book Antiqua" w:hAnsi="Book Antiqua"/>
          <w:sz w:val="20"/>
        </w:rPr>
        <w:t>The conservation of energy of light photons (quanta) in transit had always been a problem for cosmologists; some have claimed that this is one case where energy is not conserved [69].</w:t>
      </w:r>
      <w:r w:rsidRPr="00372C58">
        <w:rPr>
          <w:rFonts w:ascii="Book Antiqua" w:hAnsi="Book Antiqua"/>
          <w:position w:val="10"/>
          <w:sz w:val="20"/>
          <w:vertAlign w:val="superscript"/>
        </w:rPr>
        <w:t xml:space="preserve"> </w:t>
      </w:r>
      <w:r w:rsidRPr="00372C58">
        <w:rPr>
          <w:rFonts w:ascii="Book Antiqua" w:hAnsi="Book Antiqua"/>
          <w:sz w:val="20"/>
        </w:rPr>
        <w:t xml:space="preserve">However, if the atomic emitters themselves are responsible, this changes the problem entirely -- energy conservation in transit is no longer an issue. The wavelength change has happened at the moment of emission, not during transit time.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Since the amount of red</w:t>
      </w:r>
      <w:r w:rsidR="00EE5D67">
        <w:rPr>
          <w:rFonts w:ascii="Book Antiqua" w:hAnsi="Book Antiqua"/>
          <w:sz w:val="20"/>
        </w:rPr>
        <w:t>-</w:t>
      </w:r>
      <w:r w:rsidRPr="00372C58">
        <w:rPr>
          <w:rFonts w:ascii="Book Antiqua" w:hAnsi="Book Antiqua"/>
          <w:sz w:val="20"/>
        </w:rPr>
        <w:t>shift</w:t>
      </w:r>
      <w:r w:rsidR="00EE5D67">
        <w:rPr>
          <w:rFonts w:ascii="Book Antiqua" w:hAnsi="Book Antiqua"/>
          <w:sz w:val="20"/>
        </w:rPr>
        <w:t>ing</w:t>
      </w:r>
      <w:r w:rsidRPr="00372C58">
        <w:rPr>
          <w:rFonts w:ascii="Book Antiqua" w:hAnsi="Book Antiqua"/>
          <w:sz w:val="20"/>
        </w:rPr>
        <w:t xml:space="preserve"> is</w:t>
      </w:r>
      <w:r w:rsidR="00EE5D67">
        <w:rPr>
          <w:rFonts w:ascii="Book Antiqua" w:hAnsi="Book Antiqua"/>
          <w:sz w:val="20"/>
        </w:rPr>
        <w:t xml:space="preserve"> universally</w:t>
      </w:r>
      <w:r w:rsidRPr="00372C58">
        <w:rPr>
          <w:rFonts w:ascii="Book Antiqua" w:hAnsi="Book Antiqua"/>
          <w:sz w:val="20"/>
        </w:rPr>
        <w:t xml:space="preserve"> considered </w:t>
      </w:r>
      <w:r w:rsidR="00EE5D67">
        <w:rPr>
          <w:rFonts w:ascii="Book Antiqua" w:hAnsi="Book Antiqua"/>
          <w:sz w:val="20"/>
        </w:rPr>
        <w:t xml:space="preserve">as </w:t>
      </w:r>
      <w:r w:rsidRPr="00372C58">
        <w:rPr>
          <w:rFonts w:ascii="Book Antiqua" w:hAnsi="Book Antiqua"/>
          <w:sz w:val="20"/>
        </w:rPr>
        <w:t>an indicator of distance</w:t>
      </w:r>
      <w:r w:rsidR="00EE5D67">
        <w:rPr>
          <w:rFonts w:ascii="Book Antiqua" w:hAnsi="Book Antiqua"/>
          <w:sz w:val="20"/>
        </w:rPr>
        <w:t>,</w:t>
      </w:r>
      <w:r w:rsidRPr="00372C58">
        <w:rPr>
          <w:rFonts w:ascii="Book Antiqua" w:hAnsi="Book Antiqua"/>
          <w:sz w:val="20"/>
        </w:rPr>
        <w:t xml:space="preserve"> the cause of the redshift must be universal as well, and not local.  With everything else eliminated</w:t>
      </w:r>
      <w:r w:rsidR="007D7B9B">
        <w:rPr>
          <w:rFonts w:ascii="Book Antiqua" w:hAnsi="Book Antiqua"/>
          <w:sz w:val="20"/>
        </w:rPr>
        <w:t xml:space="preserve"> except for the behavior of atoms, this means that whatever is affecting atomic emitters must </w:t>
      </w:r>
      <w:r w:rsidR="00EE5D67">
        <w:rPr>
          <w:rFonts w:ascii="Book Antiqua" w:hAnsi="Book Antiqua"/>
          <w:sz w:val="20"/>
        </w:rPr>
        <w:t xml:space="preserve">also </w:t>
      </w:r>
      <w:r w:rsidR="007D7B9B">
        <w:rPr>
          <w:rFonts w:ascii="Book Antiqua" w:hAnsi="Book Antiqua"/>
          <w:sz w:val="20"/>
        </w:rPr>
        <w:t>be universal</w:t>
      </w:r>
      <w:r w:rsidR="00EE5D67">
        <w:rPr>
          <w:rFonts w:ascii="Book Antiqua" w:hAnsi="Book Antiqua"/>
          <w:sz w:val="20"/>
        </w:rPr>
        <w:t>. The one overarching factor that might be implicated is the properties of the vacuum; and they are controlled by the Zero Point Energy.</w:t>
      </w: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lastRenderedPageBreak/>
        <w:t xml:space="preserve">5.  </w:t>
      </w:r>
      <w:r w:rsidRPr="001104EA">
        <w:rPr>
          <w:rFonts w:ascii="Book Antiqua" w:hAnsi="Book Antiqua"/>
          <w:b/>
          <w:bCs/>
          <w:iCs/>
          <w:color w:val="000000"/>
          <w:sz w:val="20"/>
        </w:rPr>
        <w:t>Atoms And Electron Orbits</w:t>
      </w:r>
      <w:r w:rsidRPr="00372C58">
        <w:rPr>
          <w:rFonts w:ascii="Book Antiqua" w:hAnsi="Book Antiqua"/>
          <w:b/>
          <w:bCs/>
          <w:iCs/>
          <w:color w:val="000000"/>
          <w:sz w:val="20"/>
        </w:rPr>
        <w:t xml:space="preserve">. </w:t>
      </w:r>
    </w:p>
    <w:p w:rsidR="00265840" w:rsidRPr="00372C58" w:rsidRDefault="00265840" w:rsidP="00265840">
      <w:pPr>
        <w:pStyle w:val="NoSpacing"/>
        <w:jc w:val="both"/>
        <w:rPr>
          <w:rFonts w:ascii="Book Antiqua" w:hAnsi="Book Antiqua"/>
          <w:b/>
          <w:bCs/>
          <w:iCs/>
          <w:color w:val="000000"/>
          <w:sz w:val="20"/>
        </w:rPr>
      </w:pPr>
    </w:p>
    <w:p w:rsidR="00265840" w:rsidRPr="00372C58" w:rsidRDefault="001104EA" w:rsidP="00265840">
      <w:pPr>
        <w:shd w:val="clear" w:color="auto" w:fill="FFFFFF"/>
        <w:ind w:firstLine="360"/>
        <w:jc w:val="both"/>
        <w:rPr>
          <w:rFonts w:ascii="Book Antiqua" w:hAnsi="Book Antiqua"/>
          <w:color w:val="000000"/>
        </w:rPr>
      </w:pPr>
      <w:r w:rsidRPr="001104EA">
        <w:rPr>
          <w:rFonts w:ascii="Book Antiqua" w:hAnsi="Book Antiqua"/>
          <w:color w:val="000000"/>
        </w:rPr>
        <w:t>The</w:t>
      </w:r>
      <w:r w:rsidR="00265840" w:rsidRPr="00372C58">
        <w:rPr>
          <w:rFonts w:ascii="Book Antiqua" w:hAnsi="Book Antiqua"/>
          <w:color w:val="000000"/>
        </w:rPr>
        <w:t xml:space="preserve"> evidence suggests that the ZPE strength changes uniformly and smoothly throughout the cosmos. It has been shown that this leads to wavelengths which remain constant from the point of emission to the point of observation. There is no refraction or bending or reddening in transit. If light is redder and the spectral lines are shifted to the red end of the spectrum, it can only be because it was like that at the point of emission from the atomic oscillators which produced the light. </w:t>
      </w:r>
      <w:r>
        <w:rPr>
          <w:rFonts w:ascii="Book Antiqua" w:hAnsi="Book Antiqua"/>
          <w:color w:val="000000"/>
        </w:rPr>
        <w:t>As mentioned, t</w:t>
      </w:r>
      <w:r w:rsidR="00265840" w:rsidRPr="00372C58">
        <w:rPr>
          <w:rFonts w:ascii="Book Antiqua" w:hAnsi="Book Antiqua"/>
          <w:color w:val="000000"/>
        </w:rPr>
        <w:t xml:space="preserve">his point was first made by </w:t>
      </w:r>
      <w:r w:rsidR="00265840" w:rsidRPr="001104EA">
        <w:rPr>
          <w:rFonts w:ascii="Book Antiqua" w:hAnsi="Book Antiqua"/>
          <w:color w:val="000000"/>
        </w:rPr>
        <w:t>John Gribbin</w:t>
      </w:r>
      <w:r w:rsidR="00265840" w:rsidRPr="00372C58">
        <w:rPr>
          <w:rFonts w:ascii="Book Antiqua" w:hAnsi="Book Antiqua"/>
          <w:color w:val="000000"/>
        </w:rPr>
        <w:t>.</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5.1  The ZPE And Atomic Orbits.</w:t>
      </w:r>
    </w:p>
    <w:p w:rsidR="00265840" w:rsidRPr="00372C58" w:rsidRDefault="00265840" w:rsidP="00265840">
      <w:pPr>
        <w:pStyle w:val="NoSpacing"/>
        <w:ind w:left="720"/>
        <w:rPr>
          <w:rFonts w:ascii="Book Antiqua" w:hAnsi="Book Antiqua"/>
          <w:sz w:val="20"/>
        </w:rPr>
      </w:pPr>
    </w:p>
    <w:p w:rsidR="00265840" w:rsidRDefault="00265840" w:rsidP="001104EA">
      <w:pPr>
        <w:pStyle w:val="NormPara"/>
        <w:ind w:firstLine="720"/>
        <w:rPr>
          <w:sz w:val="20"/>
        </w:rPr>
      </w:pPr>
      <w:r w:rsidRPr="00372C58">
        <w:rPr>
          <w:sz w:val="20"/>
        </w:rPr>
        <w:t xml:space="preserve">In order to understand how changes in the </w:t>
      </w:r>
      <w:r w:rsidR="001104EA">
        <w:rPr>
          <w:sz w:val="20"/>
        </w:rPr>
        <w:t>Zero Point Energy</w:t>
      </w:r>
      <w:r w:rsidRPr="00372C58">
        <w:rPr>
          <w:sz w:val="20"/>
        </w:rPr>
        <w:t xml:space="preserve"> would result in the quantization of the red shift measurements, it is necessary to see how atoms themselves react to changes in the ZPE.  </w:t>
      </w:r>
      <w:r w:rsidRPr="001104EA">
        <w:rPr>
          <w:sz w:val="20"/>
        </w:rPr>
        <w:t>A problem presented by classical physics is that an electron orbiting a proton will be radiating energy, and so must spiral into the nucleus. This does not happen</w:t>
      </w:r>
      <w:r w:rsidR="001104EA">
        <w:rPr>
          <w:sz w:val="20"/>
        </w:rPr>
        <w:t xml:space="preserve">. </w:t>
      </w:r>
      <w:r w:rsidRPr="001104EA">
        <w:rPr>
          <w:sz w:val="20"/>
        </w:rPr>
        <w:t>QED physics</w:t>
      </w:r>
      <w:r w:rsidR="001104EA">
        <w:rPr>
          <w:sz w:val="20"/>
        </w:rPr>
        <w:t xml:space="preserve"> answers this problem by</w:t>
      </w:r>
      <w:r w:rsidRPr="001104EA">
        <w:rPr>
          <w:sz w:val="20"/>
        </w:rPr>
        <w:t xml:space="preserve"> invok</w:t>
      </w:r>
      <w:r w:rsidR="001104EA">
        <w:rPr>
          <w:sz w:val="20"/>
        </w:rPr>
        <w:t>ing</w:t>
      </w:r>
      <w:r w:rsidRPr="001104EA">
        <w:rPr>
          <w:sz w:val="20"/>
        </w:rPr>
        <w:t xml:space="preserve"> quantum laws. </w:t>
      </w:r>
      <w:r w:rsidR="001104EA">
        <w:rPr>
          <w:sz w:val="20"/>
        </w:rPr>
        <w:t>Why these quantum laws exist is not answered.  Instead,</w:t>
      </w:r>
      <w:r w:rsidRPr="001104EA">
        <w:rPr>
          <w:sz w:val="20"/>
        </w:rPr>
        <w:t xml:space="preserve"> an actual physical explanation is needed.</w:t>
      </w:r>
      <w:r w:rsidRPr="00372C58">
        <w:rPr>
          <w:sz w:val="20"/>
        </w:rPr>
        <w:t xml:space="preserve"> </w:t>
      </w:r>
      <w:r w:rsidR="001104EA" w:rsidRPr="001104EA">
        <w:rPr>
          <w:sz w:val="20"/>
        </w:rPr>
        <w:t>As mentioned earlier, the all-pervasive ZPE ‘sea’ has been shown by SED physicists to maintain the stability of all atomic orbits.</w:t>
      </w:r>
      <w:r w:rsidR="001104EA">
        <w:rPr>
          <w:sz w:val="20"/>
        </w:rPr>
        <w:t>.</w:t>
      </w:r>
    </w:p>
    <w:p w:rsidR="001104EA" w:rsidRPr="00372C58" w:rsidRDefault="001104EA" w:rsidP="001104EA">
      <w:pPr>
        <w:pStyle w:val="NormPara"/>
        <w:ind w:firstLine="720"/>
        <w:rPr>
          <w:sz w:val="20"/>
        </w:rPr>
      </w:pPr>
    </w:p>
    <w:p w:rsidR="00265840" w:rsidRPr="00372C58" w:rsidRDefault="00265840" w:rsidP="00265840">
      <w:pPr>
        <w:pStyle w:val="NormPara"/>
        <w:ind w:firstLine="720"/>
        <w:rPr>
          <w:sz w:val="20"/>
        </w:rPr>
      </w:pPr>
      <w:r w:rsidRPr="00372C58">
        <w:rPr>
          <w:sz w:val="20"/>
        </w:rPr>
        <w:t>According to the SED approach, classical physics is correct in considering the electron to be radiating energy, but this must be coupled with the effects of the ZPE. The energy that electrons radiate as they orbit their protons can be calculated, along with the energy that these electrons absorb from the ZPE. Quantitative analyses were done, and the results were summarized by de la Pena who stated that “</w:t>
      </w:r>
      <w:r w:rsidRPr="00372C58">
        <w:rPr>
          <w:i/>
          <w:iCs/>
          <w:sz w:val="20"/>
        </w:rPr>
        <w:t xml:space="preserve">Boyer [70] and Claverie &amp; Diner [71]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 </w:t>
      </w:r>
      <w:r w:rsidRPr="00372C58">
        <w:rPr>
          <w:iCs/>
          <w:sz w:val="20"/>
        </w:rPr>
        <w:t>[72]</w:t>
      </w:r>
    </w:p>
    <w:p w:rsidR="00265840" w:rsidRPr="00372C58" w:rsidRDefault="00265840" w:rsidP="00265840">
      <w:pPr>
        <w:pStyle w:val="NormPara"/>
        <w:ind w:firstLine="270"/>
        <w:rPr>
          <w:sz w:val="20"/>
        </w:rPr>
      </w:pPr>
    </w:p>
    <w:p w:rsidR="004F39BE" w:rsidRPr="00372C58" w:rsidRDefault="00265840" w:rsidP="00265840">
      <w:pPr>
        <w:pStyle w:val="NormPara"/>
        <w:ind w:firstLine="270"/>
        <w:rPr>
          <w:sz w:val="20"/>
        </w:rPr>
      </w:pPr>
      <w:r w:rsidRPr="00372C58">
        <w:rPr>
          <w:sz w:val="20"/>
        </w:rPr>
        <w:tab/>
        <w:t xml:space="preserve">In 1987 Puthoff examined this further in an SED context. His conclusion carries unusual significance. It reads: </w:t>
      </w:r>
    </w:p>
    <w:p w:rsidR="004F39BE" w:rsidRPr="00372C58" w:rsidRDefault="004F39BE" w:rsidP="00265840">
      <w:pPr>
        <w:pStyle w:val="NormPara"/>
        <w:ind w:firstLine="270"/>
        <w:rPr>
          <w:sz w:val="20"/>
        </w:rPr>
      </w:pPr>
    </w:p>
    <w:p w:rsidR="004F39BE" w:rsidRPr="00372C58" w:rsidRDefault="00265840" w:rsidP="00265840">
      <w:pPr>
        <w:pStyle w:val="NormPara"/>
        <w:ind w:firstLine="270"/>
        <w:rPr>
          <w:sz w:val="20"/>
        </w:rPr>
      </w:pPr>
      <w:r w:rsidRPr="00372C58">
        <w:rPr>
          <w:i/>
          <w:sz w:val="20"/>
        </w:rPr>
        <w:t>“Finally, it is seen that a well-defined, precise quantitative argument can be made that the ground state of the hydrogen atom is defined by a dynamic equilibrium in which the collapse of the state is prevented by the presence of the zero-point fluctuations of the electromagnetic field. This carries with it the attendant implication that the stability of matter itself is largely mediated by ZPF phenomena in the manner described here, a concept that transcends the usual interpretation of the role and significance of zero-point fluctuations of the vacuum electromagnetic field”</w:t>
      </w:r>
      <w:r w:rsidRPr="00372C58">
        <w:rPr>
          <w:sz w:val="20"/>
        </w:rPr>
        <w:t xml:space="preserve"> [73].</w:t>
      </w:r>
    </w:p>
    <w:p w:rsidR="004F39BE" w:rsidRPr="00372C58" w:rsidRDefault="004F39BE" w:rsidP="00265840">
      <w:pPr>
        <w:pStyle w:val="NormPara"/>
        <w:ind w:firstLine="270"/>
        <w:rPr>
          <w:sz w:val="20"/>
        </w:rPr>
      </w:pPr>
    </w:p>
    <w:p w:rsidR="00265840" w:rsidRPr="00372C58" w:rsidRDefault="00265840" w:rsidP="00265840">
      <w:pPr>
        <w:pStyle w:val="NormPara"/>
        <w:ind w:firstLine="270"/>
        <w:rPr>
          <w:color w:val="000000"/>
          <w:sz w:val="20"/>
        </w:rPr>
      </w:pPr>
      <w:r w:rsidRPr="00372C58">
        <w:rPr>
          <w:sz w:val="20"/>
        </w:rPr>
        <w:t xml:space="preserve"> Thus the very existence of atomic structures depends on this ZPE sea. Without it, all matter in the cosmos collapses. New Scientist discussed this in July 1987 and July 1990 under the heading </w:t>
      </w:r>
      <w:r w:rsidRPr="00372C58">
        <w:rPr>
          <w:i/>
          <w:iCs/>
          <w:sz w:val="20"/>
        </w:rPr>
        <w:t xml:space="preserve">“Why atoms don’t collapse.” </w:t>
      </w:r>
    </w:p>
    <w:p w:rsidR="00265840" w:rsidRPr="00372C58" w:rsidRDefault="00265840" w:rsidP="00265840">
      <w:pPr>
        <w:pStyle w:val="NoSpacing"/>
        <w:rPr>
          <w:rFonts w:ascii="Book Antiqua" w:hAnsi="Book Antiqua"/>
          <w:bCs/>
          <w:i/>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5.2  Atomic Orbits With Varying ZPE.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rmPara"/>
        <w:ind w:firstLine="270"/>
        <w:rPr>
          <w:sz w:val="20"/>
        </w:rPr>
      </w:pPr>
      <w:r w:rsidRPr="00372C58">
        <w:rPr>
          <w:sz w:val="20"/>
        </w:rPr>
        <w:t xml:space="preserve">Atomic orbit energies are therefore sustained by the ZPE. The ‘ground state’ of the orbiting electrons refers to the innermost orbit.  The energy in this ground state is determined by Planck’s </w:t>
      </w:r>
      <w:r w:rsidRPr="001104EA">
        <w:rPr>
          <w:sz w:val="20"/>
        </w:rPr>
        <w:t xml:space="preserve">constant, </w:t>
      </w:r>
      <m:oMath>
        <m:r>
          <w:rPr>
            <w:rFonts w:ascii="Cambria Math" w:hAnsi="Cambria Math"/>
            <w:sz w:val="20"/>
          </w:rPr>
          <m:t>h</m:t>
        </m:r>
      </m:oMath>
      <w:r w:rsidR="001104EA">
        <w:rPr>
          <w:sz w:val="20"/>
        </w:rPr>
        <w:t>.</w:t>
      </w:r>
      <w:r w:rsidRPr="001104EA">
        <w:rPr>
          <w:sz w:val="20"/>
        </w:rPr>
        <w:t xml:space="preserve"> </w:t>
      </w:r>
      <w:r w:rsidR="001104EA">
        <w:rPr>
          <w:sz w:val="20"/>
        </w:rPr>
        <w:t xml:space="preserve"> All</w:t>
      </w:r>
      <w:r w:rsidRPr="00372C58">
        <w:rPr>
          <w:sz w:val="20"/>
        </w:rPr>
        <w:t xml:space="preserve"> other orbits further out are integer multiples of this.  If the ground state orbit of any atom has an energy change, all other orbits will scale their energies proportionally. This also means that wavelengths of emitted light will be scaled in proportion to the energy of the ground state orbit of any given element. Thus, any universal changes in ZPE strength will necessarily result in simultaneous changes in the energy states of all atoms throughout the cosmos. </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Therefore, if the ZPE increased over time, as the data indicates it did, light emitted from atomic transitions would become bluer. This means that as we look back into the past, the light emitted would be redder.  This is true even in a static universe, such as that proposed by Narlikar and Arp </w:t>
      </w:r>
      <w:r w:rsidRPr="00A14F9D">
        <w:rPr>
          <w:sz w:val="20"/>
        </w:rPr>
        <w:t>[47]</w:t>
      </w:r>
      <w:r w:rsidRPr="00372C58">
        <w:rPr>
          <w:sz w:val="20"/>
        </w:rPr>
        <w:t>. Progressively more distant galaxies would have their spectral lines shifted further to the red end of the spectrum [74]. This is precisely the effect we see with an increasing redshift of light from progressively more distant galaxies.</w:t>
      </w:r>
    </w:p>
    <w:p w:rsidR="00A14F9D" w:rsidRPr="00372C58" w:rsidRDefault="00A14F9D" w:rsidP="00265840">
      <w:pPr>
        <w:pStyle w:val="NormPara"/>
        <w:ind w:firstLine="270"/>
        <w:rPr>
          <w:sz w:val="20"/>
        </w:rPr>
      </w:pPr>
    </w:p>
    <w:p w:rsidR="00265840" w:rsidRPr="00372C58" w:rsidRDefault="00265840" w:rsidP="002172B3">
      <w:pPr>
        <w:pStyle w:val="NormPara"/>
        <w:ind w:firstLine="270"/>
        <w:rPr>
          <w:sz w:val="20"/>
        </w:rPr>
      </w:pPr>
      <w:r w:rsidRPr="00372C58">
        <w:rPr>
          <w:sz w:val="20"/>
        </w:rPr>
        <w:lastRenderedPageBreak/>
        <w:t xml:space="preserve">As the ZPE strength increased with time, Planck’s Constant, </w:t>
      </w:r>
      <w:r w:rsidRPr="00372C58">
        <w:rPr>
          <w:i/>
          <w:sz w:val="20"/>
        </w:rPr>
        <w:t>h,</w:t>
      </w:r>
      <w:r w:rsidRPr="00372C58">
        <w:rPr>
          <w:sz w:val="20"/>
        </w:rPr>
        <w:t xml:space="preserve"> also increased, since it is a measure of the strength of the ZPE. Bohr also linked the angular momenta of the atomic orbits to </w:t>
      </w:r>
      <w:r w:rsidRPr="00372C58">
        <w:rPr>
          <w:i/>
          <w:sz w:val="20"/>
        </w:rPr>
        <w:t>h</w:t>
      </w:r>
      <w:r w:rsidRPr="00372C58">
        <w:rPr>
          <w:sz w:val="20"/>
        </w:rPr>
        <w:t xml:space="preserve">.  Since </w:t>
      </w:r>
      <w:r w:rsidRPr="00372C58">
        <w:rPr>
          <w:i/>
          <w:sz w:val="20"/>
        </w:rPr>
        <w:t>h</w:t>
      </w:r>
      <w:r w:rsidRPr="00372C58">
        <w:rPr>
          <w:sz w:val="20"/>
        </w:rPr>
        <w:t xml:space="preserve"> has been measured as increasing, we then have further evidence of the increasing energy of the atomic orbits.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 xml:space="preserve">5.3. Considering An Electron's Path. </w:t>
      </w:r>
    </w:p>
    <w:p w:rsidR="00265840" w:rsidRPr="00372C58" w:rsidRDefault="00265840" w:rsidP="00265840">
      <w:pPr>
        <w:pStyle w:val="NoSpacing"/>
        <w:rPr>
          <w:rFonts w:ascii="Book Antiqua" w:hAnsi="Book Antiqua"/>
          <w:b/>
          <w:bCs/>
          <w:iCs/>
          <w:color w:val="000000"/>
          <w:sz w:val="20"/>
        </w:rPr>
      </w:pPr>
    </w:p>
    <w:p w:rsidR="007E2015" w:rsidRPr="00372C58" w:rsidRDefault="00265840" w:rsidP="00265840">
      <w:pPr>
        <w:pStyle w:val="NormPara"/>
        <w:ind w:firstLine="720"/>
        <w:rPr>
          <w:sz w:val="20"/>
        </w:rPr>
      </w:pPr>
      <w:r w:rsidRPr="00372C58">
        <w:rPr>
          <w:sz w:val="20"/>
        </w:rPr>
        <w:t xml:space="preserve">In the spring of 2006, a conference discussing the role of SED physics in explaining quantum phenomena was held.  In this conference, the origin of all quantum uncertainty was traced to an actual physical </w:t>
      </w:r>
      <w:r w:rsidRPr="001104EA">
        <w:rPr>
          <w:sz w:val="20"/>
        </w:rPr>
        <w:t>cause, the</w:t>
      </w:r>
      <w:r w:rsidRPr="00372C58">
        <w:rPr>
          <w:sz w:val="20"/>
        </w:rPr>
        <w:t xml:space="preserve"> Zero Point Energy.  (In contrast, QED physics, or Quantum Electro-Dynamics, suggests that quantum uncertainty is a property inherent in the very nature of matter itself.)</w:t>
      </w:r>
      <w:r w:rsidR="007E2015" w:rsidRPr="00372C58">
        <w:rPr>
          <w:sz w:val="20"/>
        </w:rPr>
        <w:t xml:space="preserve">. </w:t>
      </w:r>
      <w:r w:rsidRPr="00372C58">
        <w:rPr>
          <w:sz w:val="20"/>
        </w:rPr>
        <w:t>In that conference presentation, on page 264, Spicka et al. state</w:t>
      </w:r>
    </w:p>
    <w:p w:rsidR="007E2015" w:rsidRPr="00372C58" w:rsidRDefault="007E2015" w:rsidP="00265840">
      <w:pPr>
        <w:pStyle w:val="NormPara"/>
        <w:ind w:firstLine="720"/>
        <w:rPr>
          <w:sz w:val="20"/>
        </w:rPr>
      </w:pPr>
    </w:p>
    <w:p w:rsidR="00265840" w:rsidRPr="00372C58" w:rsidRDefault="00265840" w:rsidP="00265840">
      <w:pPr>
        <w:pStyle w:val="NormPara"/>
        <w:ind w:firstLine="720"/>
        <w:rPr>
          <w:sz w:val="20"/>
        </w:rPr>
      </w:pPr>
      <w:r w:rsidRPr="00372C58">
        <w:rPr>
          <w:sz w:val="20"/>
        </w:rPr>
        <w:t xml:space="preserve"> </w:t>
      </w:r>
      <w:r w:rsidRPr="00372C58">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 In quantum mechanics, the stationary states being defined as solutions ... of Schroedinger's equation may be mathematically represented by a stationary wave-function pattern. Such a pattern is, speaking more physically, a result of constructive interference of electron waves which is compatible with boundary conditions characterizing a given system. The essential features of the just mentioned duality between SED and QED approach to stationary states (ZPR-recoil radiation equilibrium in SED versus constructive interference in QED) may be illustrated by the following simple model of an electron trapped on a closed orbit."</w:t>
      </w:r>
      <w:r w:rsidRPr="00372C58">
        <w:rPr>
          <w:sz w:val="20"/>
        </w:rPr>
        <w:t xml:space="preserve"> [75]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 scenario which Spicka et al. then go on to illustrate is that of an electron moving in an orbit around a proton under the influence of its electrostatic attraction. </w:t>
      </w:r>
      <w:r w:rsidRPr="001104EA">
        <w:rPr>
          <w:sz w:val="20"/>
        </w:rPr>
        <w:t>As it does so,</w:t>
      </w:r>
      <w:r w:rsidRPr="00372C58">
        <w:rPr>
          <w:sz w:val="20"/>
        </w:rPr>
        <w:t xml:space="preserve"> the electron undergoes a series of elastic collisions with the impacting waves of the ZPE which perturb this orbit</w:t>
      </w:r>
      <w:r w:rsidR="0028271E">
        <w:rPr>
          <w:sz w:val="20"/>
        </w:rPr>
        <w:t xml:space="preserve"> (see Figure 13)</w:t>
      </w:r>
      <w:r w:rsidRPr="00372C58">
        <w:rPr>
          <w:sz w:val="20"/>
        </w:rPr>
        <w:t xml:space="preserve">. These impacting waves force the electron to change direction. </w:t>
      </w:r>
      <w:r w:rsidRPr="001104EA">
        <w:rPr>
          <w:sz w:val="20"/>
        </w:rPr>
        <w:t xml:space="preserve">When </w:t>
      </w:r>
      <w:r w:rsidR="001104EA">
        <w:rPr>
          <w:sz w:val="20"/>
        </w:rPr>
        <w:t>this happens</w:t>
      </w:r>
      <w:r w:rsidRPr="00372C58">
        <w:rPr>
          <w:sz w:val="20"/>
        </w:rPr>
        <w:t xml:space="preserve">, the electron emits recoil radiation, just as classical physics explains. </w:t>
      </w:r>
    </w:p>
    <w:p w:rsidR="00265840" w:rsidRPr="00372C58" w:rsidRDefault="00265840" w:rsidP="00265840">
      <w:pPr>
        <w:pStyle w:val="NormPara"/>
        <w:ind w:firstLine="270"/>
        <w:rPr>
          <w:sz w:val="20"/>
        </w:rPr>
      </w:pPr>
    </w:p>
    <w:p w:rsidR="0028271E" w:rsidRDefault="003324C1" w:rsidP="0028271E">
      <w:pPr>
        <w:pStyle w:val="NormPara"/>
        <w:ind w:firstLine="405"/>
        <w:jc w:val="center"/>
        <w:rPr>
          <w:sz w:val="20"/>
        </w:rPr>
      </w:pPr>
      <w:r w:rsidRPr="00A14F9D">
        <w:rPr>
          <w:sz w:val="20"/>
        </w:rPr>
        <w:object w:dxaOrig="7191" w:dyaOrig="5390">
          <v:shape id="_x0000_i1030" type="#_x0000_t75" style="width:384.8pt;height:232.35pt" o:ole="">
            <v:imagedata r:id="rId188" o:title=""/>
          </v:shape>
          <o:OLEObject Type="Embed" ProgID="PowerPoint.Slide.12" ShapeID="_x0000_i1030" DrawAspect="Content" ObjectID="_1433920182" r:id="rId189"/>
        </w:object>
      </w:r>
    </w:p>
    <w:p w:rsidR="0028271E" w:rsidRPr="004223A5" w:rsidRDefault="0028271E" w:rsidP="004E3FBF">
      <w:pPr>
        <w:pStyle w:val="NormPara"/>
        <w:ind w:firstLine="0"/>
        <w:rPr>
          <w:i/>
          <w:szCs w:val="18"/>
        </w:rPr>
      </w:pPr>
      <w:r w:rsidRPr="001104EA">
        <w:rPr>
          <w:b/>
          <w:i/>
          <w:szCs w:val="18"/>
        </w:rPr>
        <w:t>Figure 13:</w:t>
      </w:r>
      <w:r w:rsidRPr="001104EA">
        <w:rPr>
          <w:i/>
          <w:szCs w:val="18"/>
        </w:rPr>
        <w:t xml:space="preserve"> </w:t>
      </w:r>
      <w:r w:rsidR="00DC557A">
        <w:rPr>
          <w:i/>
          <w:szCs w:val="18"/>
        </w:rPr>
        <w:t>A</w:t>
      </w:r>
      <w:r w:rsidR="004E3FBF">
        <w:rPr>
          <w:i/>
          <w:szCs w:val="18"/>
        </w:rPr>
        <w:t>n electron orbit with a</w:t>
      </w:r>
      <w:r w:rsidR="00DC557A">
        <w:rPr>
          <w:i/>
          <w:szCs w:val="18"/>
        </w:rPr>
        <w:t xml:space="preserve"> portion </w:t>
      </w:r>
      <w:r w:rsidRPr="001104EA">
        <w:rPr>
          <w:i/>
          <w:szCs w:val="18"/>
        </w:rPr>
        <w:t xml:space="preserve">magnified to show the effects of the </w:t>
      </w:r>
      <w:r w:rsidR="00BB2C27">
        <w:rPr>
          <w:i/>
          <w:szCs w:val="18"/>
        </w:rPr>
        <w:t xml:space="preserve">impacts of </w:t>
      </w:r>
      <w:r w:rsidRPr="001104EA">
        <w:rPr>
          <w:i/>
          <w:szCs w:val="18"/>
        </w:rPr>
        <w:t>ZPE waves</w:t>
      </w:r>
      <w:r w:rsidR="00BB2C27">
        <w:rPr>
          <w:i/>
          <w:szCs w:val="18"/>
        </w:rPr>
        <w:t xml:space="preserve"> on the path of the electron </w:t>
      </w:r>
      <w:r w:rsidRPr="001104EA">
        <w:rPr>
          <w:i/>
          <w:szCs w:val="18"/>
        </w:rPr>
        <w:t xml:space="preserve">causing </w:t>
      </w:r>
      <w:r w:rsidR="00BB2C27">
        <w:rPr>
          <w:i/>
          <w:szCs w:val="18"/>
        </w:rPr>
        <w:t>a “fuzzy”orbit</w:t>
      </w:r>
      <w:r w:rsidR="00DC557A">
        <w:rPr>
          <w:i/>
          <w:szCs w:val="18"/>
        </w:rPr>
        <w:t>.</w:t>
      </w:r>
      <w:r w:rsidR="00BB2C27">
        <w:rPr>
          <w:i/>
          <w:szCs w:val="18"/>
        </w:rPr>
        <w:t xml:space="preserve"> </w:t>
      </w:r>
      <w:r w:rsidR="00DC557A">
        <w:rPr>
          <w:i/>
          <w:szCs w:val="18"/>
        </w:rPr>
        <w:t>This fuzziness is q</w:t>
      </w:r>
      <w:r w:rsidRPr="001104EA">
        <w:rPr>
          <w:i/>
          <w:szCs w:val="18"/>
        </w:rPr>
        <w:t>uantum uncertainty.</w:t>
      </w:r>
      <w:r w:rsidR="00BB2C27">
        <w:rPr>
          <w:i/>
          <w:szCs w:val="18"/>
        </w:rPr>
        <w:t xml:space="preserve"> When viewed in this fashion, the whole orbit is composed of a series of straight-line segments between ZPE wave “hits.”</w:t>
      </w:r>
      <w:r w:rsidR="00DC557A">
        <w:rPr>
          <w:i/>
          <w:szCs w:val="18"/>
        </w:rPr>
        <w:t>The length of these straight line segments is</w:t>
      </w:r>
      <w:r w:rsidR="00BB2C27">
        <w:rPr>
          <w:i/>
          <w:szCs w:val="18"/>
        </w:rPr>
        <w:t xml:space="preserve"> the mean free path. With every “hit,” the electron emits recoil radiation. As the ZPE builds up, there are more hits per unit time, so more recoil radiation is emitted</w:t>
      </w:r>
      <w:r w:rsidR="00DC557A">
        <w:rPr>
          <w:i/>
          <w:szCs w:val="18"/>
        </w:rPr>
        <w:t>,</w:t>
      </w:r>
      <w:r w:rsidR="00BB2C27">
        <w:rPr>
          <w:i/>
          <w:szCs w:val="18"/>
        </w:rPr>
        <w:t xml:space="preserve"> and the straight line segments get shorter until eventually an orbit of smaller radius is adopted.</w:t>
      </w:r>
    </w:p>
    <w:p w:rsidR="0028271E" w:rsidRDefault="0028271E" w:rsidP="00265840">
      <w:pPr>
        <w:pStyle w:val="NormPara"/>
        <w:ind w:firstLine="405"/>
        <w:rPr>
          <w:sz w:val="20"/>
        </w:rPr>
      </w:pPr>
    </w:p>
    <w:p w:rsidR="00265840" w:rsidRPr="00372C58" w:rsidRDefault="00265840" w:rsidP="00265840">
      <w:pPr>
        <w:pStyle w:val="NormPara"/>
        <w:ind w:firstLine="405"/>
        <w:rPr>
          <w:sz w:val="20"/>
        </w:rPr>
      </w:pPr>
      <w:r w:rsidRPr="00372C58">
        <w:rPr>
          <w:sz w:val="20"/>
        </w:rPr>
        <w:lastRenderedPageBreak/>
        <w:t>The electron’s whole 'orbit' then becomes composed of a series of essentially straight line segments whose direction is continually being changed by the impact of the ZPE waves. With every change in direction, recoil radiation is emitted by the electron. Calculations reveal that the electron may receive over 18,700 hits from the ZPE waves for every orbit around the proton. This is obtained by dividing the frequency of the first Bohr orbit by the Compton frequency. According to the SED approach, the Compton frequency gives the number of hits per second by the ZPE waves on the electron (about 10</w:t>
      </w:r>
      <w:r w:rsidRPr="00372C58">
        <w:rPr>
          <w:sz w:val="20"/>
          <w:vertAlign w:val="superscript"/>
        </w:rPr>
        <w:t>20</w:t>
      </w:r>
      <w:r w:rsidRPr="00372C58">
        <w:rPr>
          <w:sz w:val="20"/>
        </w:rPr>
        <w:t>).  In this explanation as well, the link between the Zero Point Energy and</w:t>
      </w:r>
      <w:r w:rsidR="000D4C16">
        <w:rPr>
          <w:sz w:val="20"/>
        </w:rPr>
        <w:t xml:space="preserve"> atomic orbit</w:t>
      </w:r>
      <w:r w:rsidRPr="00372C58">
        <w:rPr>
          <w:sz w:val="20"/>
        </w:rPr>
        <w:t xml:space="preserve"> energy is established.</w:t>
      </w:r>
    </w:p>
    <w:p w:rsidR="00265840" w:rsidRPr="00372C58" w:rsidRDefault="00265840" w:rsidP="00265840">
      <w:pPr>
        <w:pStyle w:val="NormPara"/>
        <w:ind w:firstLine="0"/>
        <w:rPr>
          <w:sz w:val="20"/>
        </w:rPr>
      </w:pPr>
    </w:p>
    <w:p w:rsidR="00265840" w:rsidRPr="00372C58" w:rsidRDefault="00265840" w:rsidP="00265840">
      <w:pPr>
        <w:pStyle w:val="NoSpacing"/>
        <w:numPr>
          <w:ilvl w:val="1"/>
          <w:numId w:val="30"/>
        </w:numPr>
        <w:rPr>
          <w:rFonts w:ascii="Book Antiqua" w:hAnsi="Book Antiqua"/>
          <w:bCs/>
          <w:i/>
          <w:iCs/>
          <w:color w:val="000000"/>
          <w:sz w:val="20"/>
        </w:rPr>
      </w:pPr>
      <w:r w:rsidRPr="00372C58">
        <w:rPr>
          <w:rFonts w:ascii="Book Antiqua" w:hAnsi="Book Antiqua"/>
          <w:bCs/>
          <w:i/>
          <w:iCs/>
          <w:color w:val="000000"/>
          <w:sz w:val="20"/>
        </w:rPr>
        <w:t>Electron Recoil Radiation And The ZPE.</w:t>
      </w:r>
    </w:p>
    <w:p w:rsidR="00265840" w:rsidRPr="00372C58" w:rsidRDefault="00265840" w:rsidP="00265840">
      <w:pPr>
        <w:pStyle w:val="NoSpacing"/>
        <w:ind w:left="405"/>
        <w:rPr>
          <w:rFonts w:ascii="Book Antiqua" w:hAnsi="Book Antiqua"/>
          <w:b/>
          <w:bCs/>
          <w:iCs/>
          <w:color w:val="000000"/>
          <w:sz w:val="20"/>
        </w:rPr>
      </w:pPr>
    </w:p>
    <w:p w:rsidR="00265840" w:rsidRPr="00372C58" w:rsidRDefault="00265840" w:rsidP="00265840">
      <w:pPr>
        <w:pStyle w:val="NormPara"/>
        <w:ind w:firstLine="0"/>
        <w:rPr>
          <w:color w:val="FF0000"/>
          <w:sz w:val="20"/>
        </w:rPr>
      </w:pPr>
      <w:r w:rsidRPr="00372C58">
        <w:rPr>
          <w:sz w:val="20"/>
        </w:rPr>
        <w:t xml:space="preserve"> </w:t>
      </w:r>
      <w:r w:rsidRPr="00372C58">
        <w:rPr>
          <w:sz w:val="20"/>
        </w:rPr>
        <w:tab/>
        <w:t>The impacting ZPE waves, bring about uncertainty in both the position of the electron and its actual orbit around the proton</w:t>
      </w:r>
      <w:r w:rsidR="000D4C16">
        <w:rPr>
          <w:sz w:val="20"/>
        </w:rPr>
        <w:t xml:space="preserve"> </w:t>
      </w:r>
      <w:r w:rsidRPr="00372C58">
        <w:rPr>
          <w:sz w:val="20"/>
        </w:rPr>
        <w:t>(</w:t>
      </w:r>
      <w:r w:rsidR="000D4C16">
        <w:rPr>
          <w:sz w:val="20"/>
        </w:rPr>
        <w:t>s</w:t>
      </w:r>
      <w:r w:rsidRPr="00372C58">
        <w:rPr>
          <w:sz w:val="20"/>
        </w:rPr>
        <w:t>ee Figure 13).</w:t>
      </w:r>
      <w:r w:rsidR="0028271E">
        <w:rPr>
          <w:sz w:val="20"/>
        </w:rPr>
        <w:t xml:space="preserve"> </w:t>
      </w:r>
      <w:r w:rsidRPr="00372C58">
        <w:rPr>
          <w:sz w:val="20"/>
        </w:rPr>
        <w:t xml:space="preserve">For a stable orbit, the power absorbed by the electron from the ZPE wave collision,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A</m:t>
            </m:r>
          </m:sub>
        </m:sSub>
      </m:oMath>
      <w:r w:rsidRPr="00372C58">
        <w:rPr>
          <w:sz w:val="20"/>
        </w:rPr>
        <w:t xml:space="preserve">, is then equal to the power emitted by the electron's recoil radiation,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sz w:val="20"/>
        </w:rPr>
        <w:t>. Spicka et al. state that "</w:t>
      </w:r>
      <w:r w:rsidRPr="00372C58">
        <w:rPr>
          <w:i/>
          <w:sz w:val="20"/>
        </w:rPr>
        <w:t xml:space="preserve">Because of changes in its direction of movement, an electron moving in an environment where it suffers only elastic collisions has to emit recoil radiation of power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E</m:t>
            </m:r>
          </m:sub>
        </m:sSub>
      </m:oMath>
      <w:r w:rsidRPr="00372C58">
        <w:rPr>
          <w:i/>
          <w:sz w:val="20"/>
        </w:rPr>
        <w:t xml:space="preserve"> given by Larmor's formula.</w:t>
      </w:r>
      <w:r w:rsidRPr="00372C58">
        <w:rPr>
          <w:sz w:val="20"/>
        </w:rPr>
        <w:t xml:space="preserve"> [75]</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1899" w:dyaOrig="420">
          <v:shape id="_x0000_i1031" type="#_x0000_t75" style="width:94.4pt;height:21.2pt" o:ole="">
            <v:imagedata r:id="rId190" o:title=""/>
          </v:shape>
          <o:OLEObject Type="Embed" ProgID="Equation.DSMT4" ShapeID="_x0000_i1031" DrawAspect="Content" ObjectID="_1433920183" r:id="rId191"/>
        </w:object>
      </w:r>
      <w:r w:rsidRPr="00372C58">
        <w:rPr>
          <w:rFonts w:ascii="Book Antiqua" w:hAnsi="Book Antiqua" w:cs="Times New Roman"/>
          <w:sz w:val="20"/>
          <w:szCs w:val="20"/>
        </w:rPr>
        <w:t xml:space="preserve">     </w:t>
      </w:r>
      <w:proofErr w:type="gramStart"/>
      <w:r w:rsidRPr="00372C58">
        <w:rPr>
          <w:rFonts w:ascii="Book Antiqua" w:hAnsi="Book Antiqua" w:cs="Times New Roman"/>
          <w:sz w:val="20"/>
          <w:szCs w:val="20"/>
        </w:rPr>
        <w:t>where</w:t>
      </w:r>
      <w:proofErr w:type="gramEnd"/>
      <w:r w:rsidRPr="00372C58">
        <w:rPr>
          <w:rFonts w:ascii="Book Antiqua" w:hAnsi="Book Antiqua" w:cs="Times New Roman"/>
          <w:sz w:val="20"/>
          <w:szCs w:val="20"/>
        </w:rPr>
        <w:t xml:space="preserve">     </w:t>
      </w:r>
      <w:r w:rsidRPr="00372C58">
        <w:rPr>
          <w:rFonts w:ascii="Book Antiqua" w:hAnsi="Book Antiqua" w:cs="Times New Roman"/>
          <w:position w:val="-12"/>
          <w:sz w:val="20"/>
          <w:szCs w:val="20"/>
        </w:rPr>
        <w:object w:dxaOrig="1060" w:dyaOrig="320">
          <v:shape id="_x0000_i1032" type="#_x0000_t75" style="width:52.65pt;height:15.75pt" o:ole="">
            <v:imagedata r:id="rId192" o:title=""/>
          </v:shape>
          <o:OLEObject Type="Embed" ProgID="Equation.DSMT4" ShapeID="_x0000_i1032" DrawAspect="Content" ObjectID="_1433920184" r:id="rId19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(15)</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Here, </w:t>
      </w:r>
      <m:oMath>
        <m:r>
          <w:rPr>
            <w:rFonts w:ascii="Cambria Math" w:hAnsi="Cambria Math"/>
            <w:sz w:val="20"/>
          </w:rPr>
          <m:t>e</m:t>
        </m:r>
      </m:oMath>
      <w:r w:rsidRPr="00372C58">
        <w:rPr>
          <w:sz w:val="20"/>
        </w:rPr>
        <w:t xml:space="preserve"> is the charge on the electron, </w:t>
      </w:r>
      <m:oMath>
        <m:r>
          <w:rPr>
            <w:rFonts w:ascii="Cambria Math" w:hAnsi="Cambria Math"/>
            <w:sz w:val="20"/>
          </w:rPr>
          <m:t>v</m:t>
        </m:r>
      </m:oMath>
      <w:r w:rsidRPr="00372C58">
        <w:rPr>
          <w:sz w:val="20"/>
        </w:rPr>
        <w:t xml:space="preserve"> is its velocity in a straight line between impacts (not the actual orbit velocity), </w:t>
      </w:r>
      <m:oMath>
        <m:r>
          <w:rPr>
            <w:rFonts w:ascii="Cambria Math" w:hAnsi="Cambria Math"/>
            <w:sz w:val="20"/>
          </w:rPr>
          <m:t>ε</m:t>
        </m:r>
      </m:oMath>
      <w:r w:rsidRPr="00372C58">
        <w:rPr>
          <w:sz w:val="20"/>
        </w:rPr>
        <w:t xml:space="preserve"> is the permittivity of free space, </w:t>
      </w:r>
      <m:oMath>
        <m:r>
          <w:rPr>
            <w:rFonts w:ascii="Cambria Math" w:hAnsi="Cambria Math"/>
            <w:sz w:val="20"/>
          </w:rPr>
          <m:t>c</m:t>
        </m:r>
      </m:oMath>
      <w:r w:rsidRPr="00372C58">
        <w:rPr>
          <w:sz w:val="20"/>
        </w:rPr>
        <w:t xml:space="preserve"> is the speed of light, and </w:t>
      </w:r>
      <w:r w:rsidRPr="00372C58">
        <w:rPr>
          <w:position w:val="-4"/>
          <w:sz w:val="20"/>
        </w:rPr>
        <w:object w:dxaOrig="220" w:dyaOrig="220">
          <v:shape id="_x0000_i1033" type="#_x0000_t75" style="width:11.5pt;height:11.5pt" o:ole="">
            <v:imagedata r:id="rId194" o:title=""/>
          </v:shape>
          <o:OLEObject Type="Embed" ProgID="Equation.DSMT4" ShapeID="_x0000_i1033" DrawAspect="Content" ObjectID="_1433920185" r:id="rId195"/>
        </w:object>
      </w:r>
      <w:r w:rsidRPr="00372C58">
        <w:rPr>
          <w:sz w:val="20"/>
        </w:rPr>
        <w:t xml:space="preserve"> is the angular frequency. Spicka et al. show that this latter quantity can be replaced by the other terms as shown in (15) where </w:t>
      </w:r>
      <w:r w:rsidRPr="00372C58">
        <w:rPr>
          <w:i/>
          <w:sz w:val="20"/>
        </w:rPr>
        <w:t>v</w:t>
      </w:r>
      <w:r w:rsidRPr="00372C58">
        <w:rPr>
          <w:sz w:val="20"/>
        </w:rPr>
        <w:t xml:space="preserve"> is the electron’s straight line velocity between impacts, </w:t>
      </w:r>
      <m:oMath>
        <m:r>
          <w:rPr>
            <w:rFonts w:ascii="Cambria Math" w:hAnsi="Cambria Math"/>
            <w:sz w:val="20"/>
          </w:rPr>
          <m:t>λ</m:t>
        </m:r>
      </m:oMath>
      <w:r w:rsidRPr="00372C58">
        <w:rPr>
          <w:sz w:val="20"/>
        </w:rPr>
        <w:t xml:space="preserve"> is the length of the mean free path between collisions, and </w:t>
      </w:r>
      <m:oMath>
        <m:r>
          <w:rPr>
            <w:rFonts w:ascii="Cambria Math" w:hAnsi="Cambria Math"/>
            <w:sz w:val="20"/>
          </w:rPr>
          <m:t>θ</m:t>
        </m:r>
      </m:oMath>
      <w:r w:rsidRPr="00372C58">
        <w:rPr>
          <w:sz w:val="20"/>
        </w:rPr>
        <w:t xml:space="preserve"> is the angle subtended by length of the mean free path at the center of the orbit.</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Spicka et al. then point out that the power absorbed by the electron is given by</w:t>
      </w:r>
    </w:p>
    <w:p w:rsidR="00265840" w:rsidRPr="00372C58" w:rsidRDefault="00265840" w:rsidP="00265840">
      <w:pPr>
        <w:pStyle w:val="NormPara"/>
        <w:ind w:firstLine="72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179" w:dyaOrig="420">
          <v:shape id="_x0000_i1034" type="#_x0000_t75" style="width:108.9pt;height:21.2pt" o:ole="">
            <v:imagedata r:id="rId196" o:title=""/>
          </v:shape>
          <o:OLEObject Type="Embed" ProgID="Equation.DSMT4" ShapeID="_x0000_i1034" DrawAspect="Content" ObjectID="_1433920186" r:id="rId19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(16)</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0"/>
        <w:rPr>
          <w:sz w:val="20"/>
        </w:rPr>
      </w:pPr>
      <w:r w:rsidRPr="00372C58">
        <w:rPr>
          <w:sz w:val="20"/>
        </w:rPr>
        <w:t xml:space="preserve">where </w:t>
      </w:r>
      <m:oMath>
        <m:r>
          <w:rPr>
            <w:rFonts w:hAnsi="Cambria Math"/>
            <w:sz w:val="20"/>
          </w:rPr>
          <m:t>h</m:t>
        </m:r>
      </m:oMath>
      <w:r w:rsidRPr="00372C58">
        <w:rPr>
          <w:sz w:val="20"/>
        </w:rPr>
        <w:t xml:space="preserve"> is Planck's constant,</w:t>
      </w:r>
      <m:oMath>
        <m:r>
          <w:rPr>
            <w:rFonts w:ascii="Cambria Math"/>
            <w:sz w:val="20"/>
          </w:rPr>
          <m:t xml:space="preserve"> </m:t>
        </m:r>
        <m:r>
          <w:rPr>
            <w:rFonts w:ascii="Cambria Math" w:hAnsi="Cambria Math"/>
            <w:sz w:val="20"/>
          </w:rPr>
          <m:t>m</m:t>
        </m:r>
        <m:r>
          <w:rPr>
            <w:rFonts w:ascii="Cambria Math"/>
            <w:sz w:val="20"/>
          </w:rPr>
          <m:t xml:space="preserve"> </m:t>
        </m:r>
      </m:oMath>
      <w:r w:rsidRPr="00372C58">
        <w:rPr>
          <w:sz w:val="20"/>
        </w:rPr>
        <w:t xml:space="preserve">is the atomic mass of the electron, while </w:t>
      </w:r>
      <m:oMath>
        <m:r>
          <w:rPr>
            <w:rFonts w:ascii="Cambria Math" w:hAnsi="Cambria Math"/>
            <w:sz w:val="20"/>
          </w:rPr>
          <m:t>λ</m:t>
        </m:r>
        <m:r>
          <w:rPr>
            <w:rFonts w:ascii="Cambria Math"/>
            <w:sz w:val="20"/>
          </w:rPr>
          <m:t xml:space="preserve"> </m:t>
        </m:r>
      </m:oMath>
      <w:r w:rsidRPr="00372C58">
        <w:rPr>
          <w:sz w:val="20"/>
        </w:rPr>
        <w:t>is the mean free path between collisions. For a stable orbit, power absorbed equals power radiated.  This then gives us: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4140" w:dyaOrig="420">
          <v:shape id="_x0000_i1035" type="#_x0000_t75" style="width:206.9pt;height:21.2pt" o:ole="">
            <v:imagedata r:id="rId198" o:title=""/>
          </v:shape>
          <o:OLEObject Type="Embed" ProgID="Equation.DSMT4" ShapeID="_x0000_i1035" DrawAspect="Content" ObjectID="_1433920187" r:id="rId19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(17)</w:t>
      </w:r>
    </w:p>
    <w:p w:rsidR="00265840" w:rsidRPr="00372C58" w:rsidRDefault="00265840" w:rsidP="00265840">
      <w:pPr>
        <w:pStyle w:val="NormPara"/>
        <w:ind w:firstLine="720"/>
        <w:rPr>
          <w:sz w:val="20"/>
        </w:rPr>
      </w:pPr>
    </w:p>
    <w:p w:rsidR="00265840" w:rsidRPr="00372C58" w:rsidRDefault="00265840" w:rsidP="00265840">
      <w:pPr>
        <w:pStyle w:val="NormPara"/>
        <w:ind w:firstLine="720"/>
        <w:rPr>
          <w:sz w:val="20"/>
        </w:rPr>
      </w:pPr>
      <w:r w:rsidRPr="00372C58">
        <w:rPr>
          <w:sz w:val="20"/>
        </w:rPr>
        <w:t>When dealing with a changing ZPE, the quantity (</w:t>
      </w:r>
      <w:r w:rsidRPr="00372C58">
        <w:rPr>
          <w:position w:val="-10"/>
          <w:sz w:val="20"/>
        </w:rPr>
        <w:object w:dxaOrig="419" w:dyaOrig="340">
          <v:shape id="_x0000_i1036" type="#_x0000_t75" style="width:21.2pt;height:17.55pt" o:ole="">
            <v:imagedata r:id="rId200" o:title=""/>
          </v:shape>
          <o:OLEObject Type="Embed" ProgID="Equation.DSMT4" ShapeID="_x0000_i1036" DrawAspect="Content" ObjectID="_1433920188" r:id="rId201"/>
        </w:object>
      </w:r>
      <w:r w:rsidRPr="00372C58">
        <w:rPr>
          <w:sz w:val="20"/>
        </w:rPr>
        <w:t>) has been shown to be constant experimentally [76-80]. Astronomical observations have also shown it to be constant out to the furthest reaches of the cosmos [79]. If we isolate that quantity, we obtain:</w:t>
      </w:r>
      <w:r w:rsidRPr="00372C58">
        <w:rPr>
          <w:sz w:val="20"/>
        </w:rPr>
        <w:tab/>
      </w:r>
    </w:p>
    <w:p w:rsidR="00265840" w:rsidRPr="00372C58" w:rsidRDefault="00265840" w:rsidP="00265840">
      <w:pPr>
        <w:pStyle w:val="NormPara"/>
        <w:ind w:firstLine="27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3019" w:dyaOrig="420">
          <v:shape id="_x0000_i1037" type="#_x0000_t75" style="width:150.65pt;height:21.2pt" o:ole="">
            <v:imagedata r:id="rId202" o:title=""/>
          </v:shape>
          <o:OLEObject Type="Embed" ProgID="Equation.DSMT4" ShapeID="_x0000_i1037" DrawAspect="Content" ObjectID="_1433920189" r:id="rId20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(18)</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We then substitute for </w:t>
      </w:r>
      <m:oMath>
        <m:r>
          <w:rPr>
            <w:sz w:val="20"/>
          </w:rPr>
          <m:t>Ω</m:t>
        </m:r>
      </m:oMath>
      <w:r w:rsidRPr="00372C58">
        <w:rPr>
          <w:sz w:val="20"/>
        </w:rPr>
        <w:t xml:space="preserve"> from (15) we obtain</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22"/>
          <w:sz w:val="20"/>
          <w:szCs w:val="20"/>
        </w:rPr>
        <w:object w:dxaOrig="2800" w:dyaOrig="520">
          <v:shape id="_x0000_i1038" type="#_x0000_t75" style="width:139.15pt;height:24.8pt" o:ole="">
            <v:imagedata r:id="rId204" o:title=""/>
          </v:shape>
          <o:OLEObject Type="Embed" ProgID="Equation.DSMT4" ShapeID="_x0000_i1038" DrawAspect="Content" ObjectID="_1433920190" r:id="rId20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(19)</w:t>
      </w:r>
    </w:p>
    <w:p w:rsidR="00265840" w:rsidRPr="00372C58" w:rsidRDefault="00265840" w:rsidP="00265840">
      <w:pPr>
        <w:pStyle w:val="NormPara"/>
        <w:ind w:firstLine="0"/>
        <w:rPr>
          <w:sz w:val="20"/>
        </w:rPr>
      </w:pPr>
      <w:r w:rsidRPr="00372C58">
        <w:rPr>
          <w:sz w:val="20"/>
        </w:rPr>
        <w:t>When this is simplified, it then becomes</w:t>
      </w:r>
    </w:p>
    <w:p w:rsidR="00265840" w:rsidRPr="00372C58" w:rsidRDefault="00265840" w:rsidP="00265840">
      <w:pPr>
        <w:pStyle w:val="NormPara"/>
        <w:ind w:firstLine="0"/>
        <w:rPr>
          <w:sz w:val="20"/>
        </w:rPr>
      </w:pP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sz w:val="20"/>
          <w:szCs w:val="20"/>
        </w:rPr>
      </w:pPr>
      <w:r w:rsidRPr="00372C58">
        <w:rPr>
          <w:rFonts w:ascii="Book Antiqua" w:hAnsi="Book Antiqua" w:cs="Times New Roman"/>
          <w:sz w:val="20"/>
          <w:szCs w:val="20"/>
        </w:rPr>
        <w:lastRenderedPageBreak/>
        <w:tab/>
      </w:r>
      <w:r w:rsidRPr="00372C58">
        <w:rPr>
          <w:rFonts w:ascii="Book Antiqua" w:hAnsi="Book Antiqua" w:cs="Times New Roman"/>
          <w:position w:val="-16"/>
          <w:sz w:val="20"/>
          <w:szCs w:val="20"/>
        </w:rPr>
        <w:object w:dxaOrig="2799" w:dyaOrig="420">
          <v:shape id="_x0000_i1039" type="#_x0000_t75" style="width:139.75pt;height:21.2pt" o:ole="">
            <v:imagedata r:id="rId206" o:title=""/>
          </v:shape>
          <o:OLEObject Type="Embed" ProgID="Equation.DSMT4" ShapeID="_x0000_i1039" DrawAspect="Content" ObjectID="_1433920191" r:id="rId20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(20)</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As mentioned above, when the ZPE varies</w:t>
      </w:r>
      <w:r w:rsidR="00A14F9D">
        <w:rPr>
          <w:sz w:val="20"/>
        </w:rPr>
        <w:t>,</w:t>
      </w:r>
      <w:r w:rsidRPr="00372C58">
        <w:rPr>
          <w:sz w:val="20"/>
        </w:rPr>
        <w:t xml:space="preserve"> </w:t>
      </w:r>
      <m:oMath>
        <m:r>
          <w:rPr>
            <w:rFonts w:ascii="Cambria Math" w:hAnsi="Cambria Math"/>
            <w:sz w:val="20"/>
          </w:rPr>
          <m:t>m</m:t>
        </m:r>
        <m:r>
          <w:rPr>
            <w:rFonts w:ascii="Cambria Math"/>
            <w:sz w:val="20"/>
          </w:rPr>
          <m:t xml:space="preserve"> </m:t>
        </m:r>
      </m:oMath>
      <w:r w:rsidRPr="00372C58">
        <w:rPr>
          <w:sz w:val="20"/>
        </w:rPr>
        <w:t xml:space="preserve">is proportional to </w:t>
      </w:r>
      <m:oMath>
        <m:sSup>
          <m:sSupPr>
            <m:ctrlPr>
              <w:rPr>
                <w:rFonts w:ascii="Cambria Math" w:hAnsi="Cambria Math"/>
                <w:i/>
                <w:sz w:val="20"/>
              </w:rPr>
            </m:ctrlPr>
          </m:sSupPr>
          <m:e>
            <m:r>
              <w:rPr>
                <w:rFonts w:hAnsi="Cambria Math"/>
                <w:sz w:val="20"/>
              </w:rPr>
              <m:t>h</m:t>
            </m:r>
          </m:e>
          <m:sup>
            <m:r>
              <w:rPr>
                <w:rFonts w:ascii="Cambria Math"/>
                <w:sz w:val="20"/>
              </w:rPr>
              <m:t>2</m:t>
            </m:r>
          </m:sup>
        </m:sSup>
      </m:oMath>
      <w:r w:rsidRPr="00372C58">
        <w:rPr>
          <w:sz w:val="20"/>
        </w:rPr>
        <w:t xml:space="preserve">. This then means in (20) that </w:t>
      </w:r>
      <m:oMath>
        <m:r>
          <w:rPr>
            <w:rFonts w:ascii="Cambria Math"/>
            <w:sz w:val="20"/>
          </w:rPr>
          <m:t>(</m:t>
        </m:r>
        <m:sSup>
          <m:sSupPr>
            <m:ctrlPr>
              <w:rPr>
                <w:rFonts w:ascii="Cambria Math" w:hAnsi="Cambria Math"/>
                <w:i/>
                <w:sz w:val="20"/>
              </w:rPr>
            </m:ctrlPr>
          </m:sSupPr>
          <m:e>
            <m:r>
              <w:rPr>
                <w:rFonts w:hAnsi="Cambria Math"/>
                <w:sz w:val="20"/>
              </w:rPr>
              <m:t>h</m:t>
            </m:r>
          </m:e>
          <m:sup>
            <m:r>
              <w:rPr>
                <w:rFonts w:ascii="Cambria Math"/>
                <w:sz w:val="20"/>
              </w:rPr>
              <m:t>2</m:t>
            </m:r>
          </m:sup>
        </m:sSup>
        <m:r>
          <w:rPr>
            <w:rFonts w:ascii="Cambria Math"/>
            <w:sz w:val="20"/>
          </w:rPr>
          <m:t>/</m:t>
        </m:r>
        <m:r>
          <w:rPr>
            <w:rFonts w:ascii="Cambria Math" w:hAnsi="Cambria Math"/>
            <w:sz w:val="20"/>
          </w:rPr>
          <m:t>m</m:t>
        </m:r>
        <m:r>
          <w:rPr>
            <w:rFonts w:ascii="Cambria Math"/>
            <w:sz w:val="20"/>
          </w:rPr>
          <m:t>)</m:t>
        </m:r>
      </m:oMath>
      <w:r w:rsidRPr="00372C58">
        <w:rPr>
          <w:sz w:val="20"/>
        </w:rPr>
        <w:t xml:space="preserve"> is constant. </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This further requires that (</w:t>
      </w:r>
      <m:oMath>
        <m:sSup>
          <m:sSupPr>
            <m:ctrlPr>
              <w:rPr>
                <w:rFonts w:ascii="Cambria Math" w:hAnsi="Cambria Math"/>
                <w:i/>
                <w:sz w:val="20"/>
              </w:rPr>
            </m:ctrlPr>
          </m:sSupPr>
          <m:e>
            <m:r>
              <w:rPr>
                <w:rFonts w:ascii="Cambria Math" w:hAnsi="Cambria Math"/>
                <w:sz w:val="20"/>
              </w:rPr>
              <m:t>θ</m:t>
            </m:r>
          </m:e>
          <m:sup>
            <m:r>
              <w:rPr>
                <w:rFonts w:ascii="Cambria Math"/>
                <w:sz w:val="20"/>
              </w:rPr>
              <m:t>2</m:t>
            </m:r>
          </m:sup>
        </m:sSup>
        <m:r>
          <w:rPr>
            <w:rFonts w:ascii="Cambria Math"/>
            <w:sz w:val="20"/>
          </w:rPr>
          <m:t xml:space="preserve"> / </m:t>
        </m:r>
        <m:r>
          <w:rPr>
            <w:rFonts w:ascii="Cambria Math" w:hAnsi="Cambria Math"/>
            <w:sz w:val="20"/>
          </w:rPr>
          <m:t>λ</m:t>
        </m:r>
      </m:oMath>
      <w:r w:rsidRPr="00372C58">
        <w:rPr>
          <w:sz w:val="20"/>
        </w:rPr>
        <w:t xml:space="preserve">) must also be a constant with varying ZPE. The symbol </w:t>
      </w:r>
      <m:oMath>
        <m:r>
          <w:rPr>
            <w:rFonts w:ascii="Cambria Math" w:hAnsi="Cambria Math"/>
            <w:sz w:val="20"/>
          </w:rPr>
          <m:t>θ</m:t>
        </m:r>
      </m:oMath>
      <w:r w:rsidRPr="00372C58">
        <w:rPr>
          <w:sz w:val="20"/>
        </w:rPr>
        <w:t xml:space="preserve"> is the angle subtended at the center of the orbit by the length of the mean free path, </w:t>
      </w:r>
      <m:oMath>
        <m:r>
          <w:rPr>
            <w:rFonts w:ascii="Cambria Math" w:hAnsi="Cambria Math"/>
            <w:sz w:val="20"/>
          </w:rPr>
          <m:t>λ</m:t>
        </m:r>
      </m:oMath>
      <w:r w:rsidRPr="00372C58">
        <w:rPr>
          <w:sz w:val="20"/>
        </w:rPr>
        <w:t xml:space="preserve">. Furthermore, the angle, </w:t>
      </w:r>
      <m:oMath>
        <m:r>
          <w:rPr>
            <w:rFonts w:ascii="Cambria Math" w:hAnsi="Cambria Math"/>
            <w:sz w:val="20"/>
          </w:rPr>
          <m:t>θ</m:t>
        </m:r>
      </m:oMath>
      <w:r w:rsidRPr="00372C58">
        <w:rPr>
          <w:sz w:val="20"/>
        </w:rPr>
        <w:t xml:space="preserve">, in radians is given by the length of the arc divided by the radius. Here the length of the arc is </w:t>
      </w:r>
      <m:oMath>
        <m:r>
          <w:rPr>
            <w:rFonts w:ascii="Cambria Math" w:hAnsi="Cambria Math"/>
            <w:sz w:val="20"/>
          </w:rPr>
          <m:t>λ</m:t>
        </m:r>
      </m:oMath>
      <w:r w:rsidRPr="00372C58">
        <w:rPr>
          <w:sz w:val="20"/>
        </w:rPr>
        <w:t xml:space="preserve">, and the radius involved is the radius of the electron orbit, </w:t>
      </w:r>
      <m:oMath>
        <m:r>
          <w:rPr>
            <w:rFonts w:ascii="Cambria Math" w:hAnsi="Cambria Math"/>
            <w:sz w:val="20"/>
          </w:rPr>
          <m:t>r</m:t>
        </m:r>
      </m:oMath>
      <w:r w:rsidRPr="00372C58">
        <w:rPr>
          <w:sz w:val="20"/>
        </w:rPr>
        <w:t xml:space="preserve">. Substituting </w:t>
      </w:r>
      <m:oMath>
        <m:r>
          <w:rPr>
            <w:rFonts w:ascii="Cambria Math"/>
            <w:sz w:val="20"/>
          </w:rPr>
          <m:t>(</m:t>
        </m:r>
        <m:r>
          <w:rPr>
            <w:rFonts w:ascii="Cambria Math" w:hAnsi="Cambria Math"/>
            <w:sz w:val="20"/>
          </w:rPr>
          <m:t>λ</m:t>
        </m:r>
        <m:r>
          <w:rPr>
            <w:rFonts w:ascii="Cambria Math"/>
            <w:sz w:val="20"/>
          </w:rPr>
          <m:t xml:space="preserve"> / </m:t>
        </m:r>
        <m:r>
          <w:rPr>
            <w:rFonts w:ascii="Cambria Math" w:hAnsi="Cambria Math"/>
            <w:sz w:val="20"/>
          </w:rPr>
          <m:t>r</m:t>
        </m:r>
        <m:r>
          <w:rPr>
            <w:rFonts w:ascii="Cambria Math"/>
            <w:sz w:val="20"/>
          </w:rPr>
          <m:t>)</m:t>
        </m:r>
      </m:oMath>
      <w:r w:rsidRPr="00372C58">
        <w:rPr>
          <w:sz w:val="20"/>
        </w:rPr>
        <w:t xml:space="preserve"> for </w:t>
      </w:r>
      <m:oMath>
        <m:r>
          <w:rPr>
            <w:rFonts w:ascii="Cambria Math" w:hAnsi="Cambria Math"/>
            <w:sz w:val="20"/>
          </w:rPr>
          <m:t>θ</m:t>
        </m:r>
      </m:oMath>
      <w:r w:rsidRPr="00372C58">
        <w:rPr>
          <w:sz w:val="20"/>
        </w:rPr>
        <w:t xml:space="preserve"> then gives us the result</w:t>
      </w:r>
      <w:r w:rsidRPr="00372C58">
        <w:rPr>
          <w:sz w:val="20"/>
        </w:rPr>
        <w:tab/>
      </w:r>
    </w:p>
    <w:p w:rsidR="00265840" w:rsidRPr="00372C58" w:rsidRDefault="00265840" w:rsidP="00265840">
      <w:pPr>
        <w:pStyle w:val="Equationparagraph"/>
        <w:tabs>
          <w:tab w:val="center" w:pos="2610"/>
          <w:tab w:val="right" w:pos="5040"/>
        </w:tabs>
        <w:spacing w:before="80" w:after="80"/>
        <w:jc w:val="center"/>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859" w:dyaOrig="420">
          <v:shape id="_x0000_i1040" type="#_x0000_t75" style="width:143.4pt;height:21.2pt" o:ole="">
            <v:imagedata r:id="rId208" o:title=""/>
          </v:shape>
          <o:OLEObject Type="Embed" ProgID="Equation.DSMT4" ShapeID="_x0000_i1040" DrawAspect="Content" ObjectID="_1433920192" r:id="rId209"/>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(21)</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Therefore we can write</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Kr</m:t>
        </m:r>
      </m:oMath>
      <w:r w:rsidRPr="00372C58">
        <w:rPr>
          <w:rFonts w:ascii="Book Antiqua" w:hAnsi="Book Antiqua"/>
          <w:i/>
          <w:sz w:val="20"/>
        </w:rPr>
        <w:t xml:space="preserve">   or alternately  </w:t>
      </w:r>
      <m:oMath>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(22)</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equation (22) has some important consequences. When the ZPE is stronger, there are more ZPE waves per unit volume and so there are more hits per second on the electron. This means that the electron is now emitting more recoil radiation, and so has a tendency to move towards the nucleus, as the above quote from de la Pena points out [72]. The direct consequence of an increasing number of hits is that the mean free path, </w:t>
      </w:r>
      <m:oMath>
        <m:r>
          <w:rPr>
            <w:rFonts w:ascii="Cambria Math" w:hAnsi="Cambria Math"/>
            <w:sz w:val="20"/>
          </w:rPr>
          <m:t>λ</m:t>
        </m:r>
      </m:oMath>
      <w:r w:rsidRPr="00372C58">
        <w:rPr>
          <w:sz w:val="20"/>
        </w:rPr>
        <w:t xml:space="preserve">, is smaller. Equations (21) and (22) then indicate that, as a result, the orbit radius, </w:t>
      </w:r>
      <m:oMath>
        <m:r>
          <w:rPr>
            <w:rFonts w:ascii="Cambria Math" w:hAnsi="Cambria Math"/>
            <w:sz w:val="20"/>
          </w:rPr>
          <m:t>r</m:t>
        </m:r>
      </m:oMath>
      <w:r w:rsidRPr="00372C58">
        <w:rPr>
          <w:sz w:val="20"/>
        </w:rPr>
        <w:t>, will tend to decrease. But the quantized redshift gives evidence that there are constraints on atomic orbit radii changes. So we must examine the behavior of</w:t>
      </w:r>
      <m:oMath>
        <m:r>
          <w:rPr>
            <w:rFonts w:ascii="Cambria Math"/>
            <w:sz w:val="20"/>
          </w:rPr>
          <m:t xml:space="preserve"> </m:t>
        </m:r>
        <m:r>
          <w:rPr>
            <w:rFonts w:ascii="Cambria Math" w:hAnsi="Cambria Math"/>
            <w:sz w:val="20"/>
          </w:rPr>
          <m:t>λ</m:t>
        </m:r>
      </m:oMath>
      <w:r w:rsidRPr="00372C58">
        <w:rPr>
          <w:sz w:val="20"/>
        </w:rPr>
        <w:t xml:space="preserve"> and </w:t>
      </w:r>
      <m:oMath>
        <m:r>
          <w:rPr>
            <w:rFonts w:ascii="Cambria Math" w:hAnsi="Cambria Math"/>
            <w:sz w:val="20"/>
          </w:rPr>
          <m:t>r</m:t>
        </m:r>
        <m:r>
          <w:rPr>
            <w:rFonts w:ascii="Cambria Math"/>
            <w:sz w:val="20"/>
          </w:rPr>
          <m:t xml:space="preserve"> </m:t>
        </m:r>
      </m:oMath>
      <w:r w:rsidRPr="00372C58">
        <w:rPr>
          <w:sz w:val="20"/>
        </w:rPr>
        <w:t>with a changing ZPE and</w:t>
      </w:r>
      <w:r w:rsidR="000D4C16">
        <w:rPr>
          <w:sz w:val="20"/>
        </w:rPr>
        <w:t xml:space="preserve"> find out</w:t>
      </w:r>
      <w:r w:rsidRPr="00372C58">
        <w:rPr>
          <w:sz w:val="20"/>
        </w:rPr>
        <w:t xml:space="preserve"> how these factors affect the light that atoms emit.</w:t>
      </w:r>
    </w:p>
    <w:p w:rsidR="00265840" w:rsidRPr="00372C58" w:rsidRDefault="00265840" w:rsidP="00265840">
      <w:pPr>
        <w:pStyle w:val="NormPara"/>
        <w:ind w:firstLine="270"/>
        <w:rPr>
          <w:sz w:val="20"/>
        </w:rPr>
      </w:pPr>
    </w:p>
    <w:p w:rsidR="00265840" w:rsidRPr="00372C58" w:rsidRDefault="00265840" w:rsidP="00265840">
      <w:pPr>
        <w:pStyle w:val="NormPara"/>
        <w:ind w:firstLine="0"/>
        <w:rPr>
          <w:i/>
          <w:sz w:val="20"/>
        </w:rPr>
      </w:pPr>
      <w:r w:rsidRPr="00372C58">
        <w:rPr>
          <w:bCs/>
          <w:i/>
          <w:iCs/>
          <w:color w:val="000000"/>
          <w:sz w:val="20"/>
        </w:rPr>
        <w:t>5.5. Considering The Orbit Radius.</w:t>
      </w:r>
    </w:p>
    <w:p w:rsidR="00265840" w:rsidRPr="00372C58" w:rsidRDefault="00265840" w:rsidP="00265840">
      <w:pPr>
        <w:pStyle w:val="NormPara"/>
        <w:ind w:firstLine="270"/>
        <w:rPr>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wavelength (color) of light which an atom emits depends on the radius of the electron orbit involved. The mathematical dependence in a changing ZPE scenario may be discerned by the following approach. The energy of a given spectral line is given by:</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m:t>
        </m:r>
        <m:r>
          <w:rPr>
            <w:rFonts w:ascii="Cambria Math" w:hAnsi="Cambria Math"/>
            <w:sz w:val="20"/>
          </w:rPr>
          <m:t>W</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(23)</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W</m:t>
        </m:r>
      </m:oMath>
      <w:r w:rsidRPr="00372C58">
        <w:rPr>
          <w:rFonts w:ascii="Book Antiqua" w:hAnsi="Book Antiqua"/>
          <w:sz w:val="20"/>
        </w:rPr>
        <w:t xml:space="preserve"> is the wavelength of the emitted photon. However, as A.P. French points out in </w:t>
      </w:r>
      <w:r w:rsidRPr="00372C58">
        <w:rPr>
          <w:rFonts w:ascii="Book Antiqua" w:hAnsi="Book Antiqua"/>
          <w:i/>
          <w:sz w:val="20"/>
        </w:rPr>
        <w:t>Principles of Modern Physics</w:t>
      </w:r>
      <w:r w:rsidRPr="00372C58">
        <w:rPr>
          <w:rFonts w:ascii="Book Antiqua" w:hAnsi="Book Antiqua"/>
          <w:sz w:val="20"/>
        </w:rPr>
        <w:t xml:space="preserve">, this can be written in the following terms where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the Rydberg constant for the so-called infinite nucleus [81]: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Book Antiqua" w:hAnsi="Cambria Math"/>
            <w:sz w:val="20"/>
          </w:rPr>
          <m:t>h</m:t>
        </m:r>
        <m:r>
          <w:rPr>
            <w:rFonts w:ascii="Cambria Math" w:hAnsi="Cambria Math"/>
            <w:sz w:val="20"/>
          </w:rPr>
          <m:t>c</m:t>
        </m:r>
        <m:r>
          <w:rPr>
            <w:rFonts w:ascii="Cambria Math" w:hAnsi="Book Antiqua"/>
            <w:sz w:val="20"/>
          </w:rPr>
          <m:t xml:space="preserve"> (</m:t>
        </m:r>
        <m:r>
          <w:rPr>
            <w:rFonts w:ascii="Cambria Math" w:hAnsi="Cambria Math"/>
            <w:sz w:val="20"/>
          </w:rPr>
          <m:t>R</m:t>
        </m:r>
        <m:r>
          <w:rPr>
            <w:rFonts w:ascii="Book Antiqua" w:hAnsi="Book Antiqua"/>
            <w:sz w:val="20"/>
          </w:rPr>
          <m:t>∞</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sz w:val="20"/>
        </w:rPr>
        <w:tab/>
      </w:r>
      <w:r w:rsidRPr="00372C58">
        <w:rPr>
          <w:rFonts w:ascii="Book Antiqua" w:hAnsi="Book Antiqua"/>
          <w:i/>
          <w:sz w:val="20"/>
        </w:rPr>
        <w:t>(24)</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(24), the quantity, </w:t>
      </w:r>
      <m:oMath>
        <m:r>
          <w:rPr>
            <w:rFonts w:ascii="Cambria Math" w:hAnsi="Cambria Math"/>
            <w:sz w:val="20"/>
          </w:rPr>
          <m:t>n</m:t>
        </m:r>
      </m:oMath>
      <w:r w:rsidRPr="00372C58">
        <w:rPr>
          <w:rFonts w:ascii="Book Antiqua" w:hAnsi="Book Antiqua"/>
          <w:sz w:val="20"/>
        </w:rPr>
        <w:t>, is the Bohr quantum number. Therefore a comparison of (23) and (24) shows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R</m:t>
        </m:r>
        <m:r>
          <w:rPr>
            <w:rFonts w:ascii="Book Antiqua" w:hAnsi="Book Antiqua"/>
            <w:sz w:val="20"/>
          </w:rPr>
          <m:t>∞</m:t>
        </m:r>
      </m:oMath>
      <w:r w:rsidRPr="00372C58">
        <w:rPr>
          <w:rFonts w:ascii="Book Antiqua" w:hAnsi="Book Antiqua"/>
          <w:i/>
          <w:sz w:val="20"/>
        </w:rPr>
        <w:t xml:space="preserve"> .</w:t>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(25)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Now the definition of </w:t>
      </w:r>
      <m:oMath>
        <m:r>
          <w:rPr>
            <w:rFonts w:ascii="Cambria Math" w:hAnsi="Cambria Math"/>
            <w:sz w:val="20"/>
          </w:rPr>
          <m:t>R</m:t>
        </m:r>
        <m:r>
          <w:rPr>
            <w:rFonts w:ascii="Book Antiqua" w:hAnsi="Book Antiqua"/>
            <w:sz w:val="20"/>
          </w:rPr>
          <m:t>∞</m:t>
        </m:r>
      </m:oMath>
      <w:r w:rsidRPr="00372C58">
        <w:rPr>
          <w:rFonts w:ascii="Book Antiqua" w:hAnsi="Book Antiqua"/>
          <w:sz w:val="20"/>
        </w:rPr>
        <w:t xml:space="preserve"> is give by French (op. cit.)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Book Antiqua" w:hAnsi="Book Antiqua"/>
            <w:sz w:val="20"/>
          </w:rPr>
          <m:t>∞</m:t>
        </m:r>
        <m:r>
          <w:rPr>
            <w:rFonts w:ascii="Cambria Math" w:hAnsi="Book Antiqua"/>
            <w:sz w:val="20"/>
          </w:rPr>
          <m:t xml:space="preserve"> =  (2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Cambria Math"/>
            <w:sz w:val="20"/>
          </w:rPr>
          <m:t>m</m:t>
        </m:r>
        <m:r>
          <w:rPr>
            <w:rFonts w:ascii="Cambria Math" w:hAnsi="Book Antiqua"/>
            <w:sz w:val="20"/>
          </w:rPr>
          <m:t>)/(</m:t>
        </m:r>
        <m:r>
          <w:rPr>
            <w:rFonts w:ascii="Cambria Math" w:hAnsi="Cambria Math"/>
            <w:sz w:val="20"/>
          </w:rPr>
          <m:t>εc</m:t>
        </m:r>
        <m:sSup>
          <m:sSupPr>
            <m:ctrlPr>
              <w:rPr>
                <w:rFonts w:ascii="Cambria Math" w:hAnsi="Book Antiqua"/>
                <w:i/>
                <w:sz w:val="20"/>
              </w:rPr>
            </m:ctrlPr>
          </m:sSupPr>
          <m:e>
            <m:r>
              <w:rPr>
                <w:rFonts w:ascii="Book Antiqua" w:hAnsi="Cambria Math"/>
                <w:sz w:val="20"/>
              </w:rPr>
              <m:t>h</m:t>
            </m:r>
          </m:e>
          <m:sup>
            <m:r>
              <w:rPr>
                <w:rFonts w:ascii="Cambria Math" w:hAnsi="Book Antiqua"/>
                <w:sz w:val="20"/>
              </w:rPr>
              <m:t>3</m:t>
            </m:r>
          </m:sup>
        </m:sSup>
        <m:r>
          <w:rPr>
            <w:rFonts w:ascii="Cambria Math" w:hAnsi="Book Antiqua"/>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Substituting this in (25) then gives us the wavelength of the emitted photon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ε</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4</m:t>
            </m:r>
          </m:sup>
        </m:sSup>
        <m:r>
          <w:rPr>
            <w:rFonts w:ascii="Cambria Math" w:hAnsi="Book Antiqua"/>
            <w:sz w:val="20"/>
          </w:rPr>
          <m:t>)(1/2</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 .</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But French points out that atomic orbit radius</w:t>
      </w:r>
      <m:oMath>
        <m:r>
          <w:rPr>
            <w:rFonts w:ascii="Cambria Math" w:hAnsi="Book Antiqua"/>
            <w:sz w:val="20"/>
          </w:rPr>
          <m:t xml:space="preserve"> </m:t>
        </m:r>
        <m:r>
          <w:rPr>
            <w:rFonts w:ascii="Cambria Math" w:hAnsi="Cambria Math"/>
            <w:sz w:val="20"/>
          </w:rPr>
          <m:t>r</m:t>
        </m:r>
      </m:oMath>
      <w:r w:rsidRPr="00372C58">
        <w:rPr>
          <w:rFonts w:ascii="Book Antiqua" w:hAnsi="Book Antiqua"/>
          <w:sz w:val="20"/>
        </w:rPr>
        <w:t xml:space="preserve"> is given by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r</m:t>
        </m:r>
        <m:r>
          <w:rPr>
            <w:rFonts w:ascii="Cambria Math" w:hAnsi="Book Antiqua"/>
            <w:sz w:val="20"/>
          </w:rPr>
          <m:t xml:space="preserve">  =  (1/4</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sSup>
          <m:sSupPr>
            <m:ctrlPr>
              <w:rPr>
                <w:rFonts w:ascii="Cambria Math" w:hAnsi="Book Antiqua"/>
                <w:i/>
                <w:sz w:val="20"/>
              </w:rPr>
            </m:ctrlPr>
          </m:sSupPr>
          <m:e>
            <m:r>
              <w:rPr>
                <w:rFonts w:ascii="Book Antiqua" w:hAnsi="Cambria Math"/>
                <w:sz w:val="20"/>
              </w:rPr>
              <m:t>h</m:t>
            </m:r>
          </m:e>
          <m:sup>
            <m:r>
              <w:rPr>
                <w:rFonts w:ascii="Cambria Math" w:hAnsi="Book Antiqua"/>
                <w:sz w:val="20"/>
              </w:rPr>
              <m:t>2</m:t>
            </m:r>
          </m:sup>
        </m:sSup>
        <m:r>
          <w:rPr>
            <w:rFonts w:ascii="Cambria Math" w:hAnsi="Book Antiqua"/>
            <w:sz w:val="20"/>
          </w:rPr>
          <m:t>/</m:t>
        </m:r>
        <m:r>
          <w:rPr>
            <w:rFonts w:ascii="Cambria Math" w:hAnsi="Cambria Math"/>
            <w:sz w:val="20"/>
          </w:rPr>
          <m:t>m</m:t>
        </m:r>
        <m:r>
          <w:rPr>
            <w:rFonts w:ascii="Cambria Math" w:hAnsi="Book Antiqua"/>
            <w:sz w:val="20"/>
          </w:rPr>
          <m:t>)(</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(28)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Substitution of (28) in (27) then gives us the dependence of </w:t>
      </w:r>
      <m:oMath>
        <m:r>
          <w:rPr>
            <w:rFonts w:ascii="Cambria Math" w:hAnsi="Cambria Math"/>
            <w:sz w:val="20"/>
          </w:rPr>
          <m:t>W</m:t>
        </m:r>
      </m:oMath>
      <w:r w:rsidRPr="00372C58">
        <w:rPr>
          <w:rFonts w:ascii="Book Antiqua" w:hAnsi="Book Antiqua"/>
          <w:sz w:val="20"/>
        </w:rPr>
        <w:t xml:space="preserve"> on orbit radius </w:t>
      </w:r>
      <m:oMath>
        <m:r>
          <w:rPr>
            <w:rFonts w:ascii="Cambria Math" w:hAnsi="Cambria Math"/>
            <w:sz w:val="20"/>
          </w:rPr>
          <m:t>r</m:t>
        </m:r>
      </m:oMath>
      <w:r w:rsidRPr="00372C58">
        <w:rPr>
          <w:rFonts w:ascii="Book Antiqua" w:hAnsi="Book Antiqua"/>
          <w:sz w:val="20"/>
        </w:rPr>
        <w:t xml:space="preserve"> as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W</m:t>
        </m:r>
        <m:r>
          <w:rPr>
            <w:rFonts w:ascii="Cambria Math" w:hAnsi="Book Antiqua"/>
            <w:sz w:val="20"/>
          </w:rPr>
          <m:t xml:space="preserve">  =  (1/2)( </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/1)(</m:t>
        </m:r>
        <m:r>
          <w:rPr>
            <w:rFonts w:ascii="Cambria Math" w:hAnsi="Cambria Math"/>
            <w:sz w:val="20"/>
          </w:rPr>
          <m:t>r</m:t>
        </m:r>
        <m:r>
          <w:rPr>
            <w:rFonts w:ascii="Cambria Math" w:hAnsi="Book Antiqua"/>
            <w:sz w:val="20"/>
          </w:rPr>
          <m:t>/1)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(29)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However, we have seen that both </w:t>
      </w:r>
      <m:oMath>
        <m:r>
          <w:rPr>
            <w:rFonts w:ascii="Cambria Math" w:hAnsi="Book Antiqua"/>
            <w:sz w:val="20"/>
          </w:rPr>
          <m:t>(</m:t>
        </m:r>
        <m:r>
          <w:rPr>
            <w:rFonts w:ascii="Cambria Math" w:hAnsi="Cambria Math"/>
            <w:sz w:val="20"/>
          </w:rPr>
          <m:t>ε</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oMath>
      <w:r w:rsidRPr="00372C58">
        <w:rPr>
          <w:rFonts w:ascii="Book Antiqua" w:hAnsi="Book Antiqua"/>
          <w:sz w:val="20"/>
        </w:rPr>
        <w:t xml:space="preserve"> and </w:t>
      </w:r>
      <m:oMath>
        <m:r>
          <w:rPr>
            <w:rFonts w:ascii="Cambria Math" w:hAnsi="Book Antiqua"/>
            <w:sz w:val="20"/>
          </w:rPr>
          <m:t>(</m:t>
        </m:r>
        <m:r>
          <w:rPr>
            <w:rFonts w:ascii="Book Antiqua" w:hAnsi="Cambria Math"/>
            <w:sz w:val="20"/>
          </w:rPr>
          <m:t>h</m:t>
        </m:r>
        <m:r>
          <w:rPr>
            <w:rFonts w:ascii="Cambria Math" w:hAnsi="Cambria Math"/>
            <w:sz w:val="20"/>
          </w:rPr>
          <m:t>c</m:t>
        </m:r>
        <m:r>
          <w:rPr>
            <w:rFonts w:ascii="Cambria Math" w:hAnsi="Book Antiqua"/>
            <w:sz w:val="20"/>
          </w:rPr>
          <m:t>)</m:t>
        </m:r>
      </m:oMath>
      <w:r w:rsidRPr="00372C58">
        <w:rPr>
          <w:rFonts w:ascii="Book Antiqua" w:hAnsi="Book Antiqua"/>
          <w:sz w:val="20"/>
        </w:rPr>
        <w:t xml:space="preserve"> are invariant with increasing ZPE strength, </w:t>
      </w:r>
      <m:oMath>
        <m:r>
          <w:rPr>
            <w:rFonts w:ascii="Cambria Math" w:hAnsi="Cambria Math"/>
            <w:sz w:val="20"/>
          </w:rPr>
          <m:t>U</m:t>
        </m:r>
      </m:oMath>
      <w:r w:rsidRPr="00372C58">
        <w:rPr>
          <w:rFonts w:ascii="Book Antiqua" w:hAnsi="Book Antiqua"/>
          <w:sz w:val="20"/>
        </w:rPr>
        <w:t xml:space="preserve">. Therefore, from (29) it becomes apparent that emitted wavelengths are directly proportional to orbit radius, </w:t>
      </w:r>
      <m:oMath>
        <m:r>
          <w:rPr>
            <w:rFonts w:ascii="Cambria Math" w:hAnsi="Cambria Math"/>
            <w:sz w:val="20"/>
          </w:rPr>
          <m:t>r</m:t>
        </m:r>
      </m:oMath>
      <w:r w:rsidRPr="00372C58">
        <w:rPr>
          <w:rFonts w:ascii="Book Antiqua" w:hAnsi="Book Antiqua"/>
          <w:sz w:val="20"/>
        </w:rPr>
        <w:t>,. So applying equation (22) to this result we can write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r</m:t>
        </m:r>
        <m:r>
          <w:rPr>
            <w:rFonts w:ascii="Cambria Math" w:hAnsi="Book Antiqua"/>
            <w:sz w:val="20"/>
          </w:rPr>
          <m:t xml:space="preserve"> ~ </m:t>
        </m:r>
        <m:r>
          <w:rPr>
            <w:rFonts w:ascii="Cambria Math"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 </m:t>
        </m:r>
        <m:r>
          <w:rPr>
            <w:rFonts w:ascii="Cambria Math" w:hAnsi="Cambria Math"/>
            <w:sz w:val="20"/>
          </w:rPr>
          <m:t>K</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(30)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Recall that the symbol (</w:t>
      </w:r>
      <m:oMath>
        <m:r>
          <w:rPr>
            <w:rFonts w:ascii="Cambria Math" w:hAnsi="Book Antiqua"/>
            <w:sz w:val="20"/>
          </w:rPr>
          <m:t>~</m:t>
        </m:r>
      </m:oMath>
      <w:r w:rsidRPr="00372C58">
        <w:rPr>
          <w:rFonts w:ascii="Book Antiqua" w:hAnsi="Book Antiqua"/>
          <w:sz w:val="20"/>
        </w:rPr>
        <w:t xml:space="preserve">) means </w:t>
      </w:r>
      <w:r w:rsidRPr="00372C58">
        <w:rPr>
          <w:rFonts w:ascii="Book Antiqua" w:hAnsi="Book Antiqua"/>
          <w:i/>
          <w:sz w:val="20"/>
        </w:rPr>
        <w:t xml:space="preserve">"is proportional to." </w:t>
      </w:r>
      <w:r w:rsidRPr="00372C58">
        <w:rPr>
          <w:rFonts w:ascii="Book Antiqua" w:hAnsi="Book Antiqua"/>
          <w:sz w:val="20"/>
        </w:rPr>
        <w:t>Therefore we have</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(31)</w:t>
      </w:r>
    </w:p>
    <w:p w:rsidR="009947A6" w:rsidRDefault="009947A6" w:rsidP="00265840">
      <w:pPr>
        <w:pStyle w:val="NoSpacing"/>
        <w:jc w:val="both"/>
        <w:rPr>
          <w:rFonts w:ascii="Book Antiqua" w:hAnsi="Book Antiqua"/>
          <w:sz w:val="20"/>
        </w:rPr>
      </w:pPr>
    </w:p>
    <w:p w:rsidR="00265840" w:rsidRPr="00372C58" w:rsidRDefault="009947A6" w:rsidP="009947A6">
      <w:pPr>
        <w:pStyle w:val="NoSpacing"/>
        <w:jc w:val="both"/>
        <w:rPr>
          <w:rFonts w:ascii="Book Antiqua" w:hAnsi="Book Antiqua"/>
          <w:sz w:val="20"/>
        </w:rPr>
      </w:pPr>
      <w:r>
        <w:rPr>
          <w:rFonts w:ascii="Book Antiqua" w:hAnsi="Book Antiqua"/>
          <w:sz w:val="20"/>
        </w:rPr>
        <w:t xml:space="preserve">In (31),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is the laboratory standard wavelength of a spectral line and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00265840" w:rsidRPr="00372C58">
        <w:rPr>
          <w:rFonts w:ascii="Book Antiqua" w:hAnsi="Book Antiqua"/>
          <w:sz w:val="20"/>
        </w:rPr>
        <w:t xml:space="preserve"> is the wavelength of the same spectral line emitted from a distant galaxy. Then, by definition in (5), we have </w:t>
      </w:r>
      <m:oMath>
        <m:r>
          <w:rPr>
            <w:rFonts w:ascii="Cambria Math" w:hAnsi="Book Antiqua"/>
            <w:sz w:val="20"/>
          </w:rPr>
          <m:t>(</m:t>
        </m:r>
        <m:r>
          <w:rPr>
            <w:rFonts w:ascii="Cambria Math" w:hAnsi="Cambria Math"/>
            <w:sz w:val="20"/>
          </w:rPr>
          <m:t>z</m:t>
        </m:r>
        <m:r>
          <w:rPr>
            <w:rFonts w:ascii="Cambria Math" w:hAnsi="Book Antiqua"/>
            <w:sz w:val="20"/>
          </w:rPr>
          <m:t xml:space="preserve"> + 1)</m:t>
        </m:r>
      </m:oMath>
      <w:r w:rsidR="00265840" w:rsidRPr="00372C58">
        <w:rPr>
          <w:rFonts w:ascii="Book Antiqua" w:hAnsi="Book Antiqua"/>
          <w:sz w:val="20"/>
        </w:rPr>
        <w:t xml:space="preserve"> being the redshift of light from that galaxy since it is given by the quantity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00265840" w:rsidRPr="00372C58">
        <w:rPr>
          <w:rFonts w:ascii="Book Antiqua" w:hAnsi="Book Antiqua"/>
          <w:sz w:val="20"/>
        </w:rPr>
        <w:t xml:space="preserve"> From (30) and (31) it can be seen that this is also the definition of the change in orbit radius, so we can write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center"/>
        <w:rPr>
          <w:rFonts w:ascii="Book Antiqua" w:hAnsi="Book Antiqua"/>
          <w:i/>
          <w:sz w:val="20"/>
        </w:rPr>
      </w:pPr>
      <w:r w:rsidRPr="00372C58">
        <w:rPr>
          <w:rFonts w:ascii="Book Antiqua" w:hAnsi="Book Antiqua"/>
          <w:i/>
          <w:sz w:val="20"/>
        </w:rPr>
        <w:t>.</w:t>
      </w:r>
      <w:r w:rsidRPr="00372C58">
        <w:rPr>
          <w:rFonts w:ascii="Book Antiqua" w:hAnsi="Book Antiqua"/>
          <w:sz w:val="20"/>
        </w:rPr>
        <w:tab/>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sSub>
          <m:sSubPr>
            <m:ctrlPr>
              <w:rPr>
                <w:rFonts w:ascii="Cambria Math" w:hAnsi="Book Antiqua"/>
                <w:i/>
                <w:sz w:val="20"/>
              </w:rPr>
            </m:ctrlPr>
          </m:sSubPr>
          <m:e>
            <m:r>
              <w:rPr>
                <w:rFonts w:ascii="Cambria Math" w:hAnsi="Book Antiqua"/>
                <w:sz w:val="20"/>
              </w:rPr>
              <m:t>/</m:t>
            </m:r>
            <m:r>
              <w:rPr>
                <w:rFonts w:ascii="Cambria Math" w:hAnsi="Cambria Math"/>
                <w:sz w:val="20"/>
              </w:rPr>
              <m:t>W</m:t>
            </m:r>
          </m:e>
          <m:sub>
            <m:r>
              <w:rPr>
                <w:rFonts w:ascii="Cambria Math" w:hAnsi="Cambria Math"/>
                <w:sz w:val="20"/>
              </w:rPr>
              <m:t>a</m:t>
            </m:r>
          </m:sub>
        </m:sSub>
        <m:r>
          <w:rPr>
            <w:rFonts w:ascii="Cambria Math" w:hAnsi="Book Antiqua"/>
            <w:sz w:val="20"/>
          </w:rPr>
          <m:t xml:space="preserve">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oMath>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(32)</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 fact, (32) is a special case. We can more generally state that</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m:rPr>
            <m:sty m:val="p"/>
          </m:rPr>
          <w:rPr>
            <w:rFonts w:ascii="Cambria Math" w:hAnsi="Book Antiqua"/>
            <w:sz w:val="20"/>
          </w:rPr>
          <m:t xml:space="preserve"> </m:t>
        </m:r>
        <m:r>
          <w:rPr>
            <w:rFonts w:ascii="Cambria Math" w:hAnsi="Book Antiqua"/>
            <w:sz w:val="20"/>
          </w:rPr>
          <m:t xml:space="preserve">=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m:t>
        </m:r>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+ 1)</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(33)</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oMath>
      <w:r w:rsidRPr="00372C58">
        <w:rPr>
          <w:rFonts w:ascii="Book Antiqua" w:hAnsi="Book Antiqua"/>
          <w:sz w:val="20"/>
        </w:rPr>
        <w:t xml:space="preserve"> is the redshift of the object emitting wavelength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 is the redshift of an object closer to us whose emitted wavelength is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In the particular case where the measurements are being made here on earth,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m:t>
        </m:r>
      </m:oMath>
      <w:r w:rsidRPr="00372C58">
        <w:rPr>
          <w:rFonts w:ascii="Book Antiqua" w:hAnsi="Book Antiqua"/>
          <w:sz w:val="20"/>
        </w:rPr>
        <w:t xml:space="preserve">is the standard wavelength which has a redshift </w:t>
      </w:r>
      <w:r w:rsidRPr="00372C58">
        <w:rPr>
          <w:rFonts w:ascii="Book Antiqua" w:hAnsi="Book Antiqua"/>
          <w:i/>
          <w:sz w:val="20"/>
        </w:rPr>
        <w:t>(</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oMath>
      <w:r w:rsidRPr="00372C58">
        <w:rPr>
          <w:rFonts w:ascii="Book Antiqua" w:hAnsi="Book Antiqua"/>
          <w:i/>
          <w:sz w:val="20"/>
        </w:rPr>
        <w:t xml:space="preserve"> = 0). </w:t>
      </w:r>
      <w:r w:rsidRPr="00372C58">
        <w:rPr>
          <w:rFonts w:ascii="Book Antiqua" w:hAnsi="Book Antiqua"/>
          <w:sz w:val="20"/>
        </w:rPr>
        <w:t>Therefore, when our current wavelength standards are used, (33) becomes</w:t>
      </w:r>
    </w:p>
    <w:p w:rsidR="00265840" w:rsidRPr="00372C58" w:rsidRDefault="00265840" w:rsidP="00265840">
      <w:pPr>
        <w:pStyle w:val="NoSpacing"/>
        <w:jc w:val="both"/>
        <w:rPr>
          <w:rFonts w:ascii="Book Antiqua" w:hAnsi="Book Antiqua"/>
          <w:i/>
          <w:sz w:val="20"/>
        </w:rPr>
      </w:pPr>
    </w:p>
    <w:p w:rsidR="00265840" w:rsidRPr="00372C58" w:rsidRDefault="007B3EBC" w:rsidP="00265840">
      <w:pPr>
        <w:pStyle w:val="NoSpacing"/>
        <w:ind w:firstLine="720"/>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(34)</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is what we have in (32). If we now make </w:t>
      </w:r>
      <m:oMath>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oMath>
      <w:r w:rsidRPr="00372C5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our standard wavelength and orbit radius and so make them equal to unity we can write from (30) that</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oMath/>
          <w:rFonts w:ascii="Cambria Math" w:hAnsi="Book Antiqua"/>
          <w:sz w:val="20"/>
        </w:rPr>
      </w:pPr>
      <m:oMath>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r</m:t>
            </m:r>
          </m:e>
          <m:sub>
            <m:r>
              <w:rPr>
                <w:rFonts w:ascii="Cambria Math" w:hAnsi="Cambria Math"/>
                <w:sz w:val="20"/>
              </w:rPr>
              <m:t>b</m:t>
            </m:r>
          </m:sub>
        </m:sSub>
        <m:r>
          <w:rPr>
            <w:rFonts w:ascii="Cambria Math" w:hAnsi="Book Antiqua"/>
            <w:sz w:val="20"/>
          </w:rPr>
          <m:t xml:space="preserve">/1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+ 1)</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(35)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The conclusion from equations (30) to (35) is that if the orbit radius,</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decreases as the ZPE strength increases with time, then the emitted wavelengths of light, </w:t>
      </w:r>
      <m:oMath>
        <m:r>
          <w:rPr>
            <w:rFonts w:ascii="Cambria Math" w:hAnsi="Cambria Math"/>
            <w:sz w:val="20"/>
          </w:rPr>
          <m:t>W</m:t>
        </m:r>
      </m:oMath>
      <w:r w:rsidRPr="00372C58">
        <w:rPr>
          <w:rFonts w:ascii="Book Antiqua" w:hAnsi="Book Antiqua"/>
          <w:sz w:val="20"/>
        </w:rPr>
        <w:t>, will also decrease in proportion. This gives more energetic</w:t>
      </w:r>
      <w:r w:rsidR="00FF15CA">
        <w:rPr>
          <w:rFonts w:ascii="Book Antiqua" w:hAnsi="Book Antiqua"/>
          <w:sz w:val="20"/>
        </w:rPr>
        <w:t>,</w:t>
      </w:r>
      <w:r w:rsidRPr="00372C58">
        <w:rPr>
          <w:rFonts w:ascii="Book Antiqua" w:hAnsi="Book Antiqua"/>
          <w:sz w:val="20"/>
        </w:rPr>
        <w:t xml:space="preserve"> or bluer</w:t>
      </w:r>
      <w:r w:rsidR="00FF15CA">
        <w:rPr>
          <w:rFonts w:ascii="Book Antiqua" w:hAnsi="Book Antiqua"/>
          <w:sz w:val="20"/>
        </w:rPr>
        <w:t>,</w:t>
      </w:r>
      <w:r w:rsidRPr="00372C58">
        <w:rPr>
          <w:rFonts w:ascii="Book Antiqua" w:hAnsi="Book Antiqua"/>
          <w:sz w:val="20"/>
        </w:rPr>
        <w:t xml:space="preserve"> light. Thus as we look back in time to more distant galaxies we see less energetic light which therefore has a redshift, </w:t>
      </w:r>
      <m:oMath>
        <m:r>
          <w:rPr>
            <w:rFonts w:ascii="Cambria Math" w:hAnsi="Cambria Math"/>
            <w:sz w:val="20"/>
          </w:rPr>
          <m:t>z</m:t>
        </m:r>
      </m:oMath>
      <w:r w:rsidRPr="00372C58">
        <w:rPr>
          <w:rFonts w:ascii="Book Antiqua" w:hAnsi="Book Antiqua"/>
          <w:sz w:val="20"/>
        </w:rPr>
        <w:t xml:space="preserve">, given by these equations.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Another approach shows this same result. The ‘bar codes,’ or spectral lines given by light from any atom have as their limit the outermost orbit possible for electrons of that atom.  These outer orbits are defined as being in a zero energy position.  Since this spectral line limit depends on the quantity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372C58">
        <w:rPr>
          <w:rFonts w:ascii="Book Antiqua" w:hAnsi="Book Antiqua"/>
          <w:sz w:val="20"/>
        </w:rPr>
        <w:t xml:space="preserve">, which is unchanging, then the outermost, or zero energy, orbit for any given atom is fixed. However, when the ZPE strength increases, the lowest orbit radius becomes </w:t>
      </w:r>
      <w:r w:rsidRPr="00372C58">
        <w:rPr>
          <w:rFonts w:ascii="Book Antiqua" w:hAnsi="Book Antiqua"/>
          <w:sz w:val="20"/>
        </w:rPr>
        <w:lastRenderedPageBreak/>
        <w:t xml:space="preserve">smaller, or gets closer to the nucleus.  Since all other orbits are scaled in proportion, this should mean all other orbit radii will change proportionally. There is one exception:  the outermost orbit remains the </w:t>
      </w:r>
      <w:r w:rsidRPr="001104EA">
        <w:rPr>
          <w:rFonts w:ascii="Book Antiqua" w:hAnsi="Book Antiqua"/>
          <w:sz w:val="20"/>
        </w:rPr>
        <w:t>same</w:t>
      </w:r>
      <w:r w:rsidR="001104EA">
        <w:rPr>
          <w:rFonts w:ascii="Book Antiqua" w:hAnsi="Book Antiqua"/>
          <w:sz w:val="20"/>
        </w:rPr>
        <w:t>,</w:t>
      </w:r>
      <w:r w:rsidR="009947A6" w:rsidRPr="001104EA">
        <w:rPr>
          <w:rFonts w:ascii="Book Antiqua" w:hAnsi="Book Antiqua"/>
          <w:sz w:val="20"/>
        </w:rPr>
        <w:t xml:space="preserve"> as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009947A6" w:rsidRPr="001104EA">
        <w:rPr>
          <w:rFonts w:ascii="Book Antiqua" w:hAnsi="Book Antiqua"/>
          <w:sz w:val="20"/>
        </w:rPr>
        <w:t xml:space="preserve"> remains fixed</w:t>
      </w:r>
      <w:r w:rsidRPr="001104EA">
        <w:rPr>
          <w:rFonts w:ascii="Book Antiqua" w:hAnsi="Book Antiqua"/>
          <w:sz w:val="20"/>
        </w:rPr>
        <w:t>.</w:t>
      </w:r>
      <w:r w:rsidRPr="00372C58">
        <w:rPr>
          <w:rFonts w:ascii="Book Antiqua" w:hAnsi="Book Antiqua"/>
          <w:sz w:val="20"/>
        </w:rPr>
        <w:t xml:space="preserve"> </w:t>
      </w:r>
      <w:r w:rsidR="00A26D20">
        <w:rPr>
          <w:rFonts w:ascii="Book Antiqua" w:hAnsi="Book Antiqua"/>
          <w:sz w:val="20"/>
        </w:rPr>
        <w:t>The outermost orbit exists at the point beyond which the electrostatic attraction to</w:t>
      </w:r>
      <w:r w:rsidRPr="00372C58">
        <w:rPr>
          <w:rFonts w:ascii="Book Antiqua" w:hAnsi="Book Antiqua"/>
          <w:sz w:val="20"/>
        </w:rPr>
        <w:t xml:space="preserve"> </w:t>
      </w:r>
      <w:r w:rsidR="00A26D20">
        <w:rPr>
          <w:rFonts w:ascii="Book Antiqua" w:hAnsi="Book Antiqua"/>
          <w:sz w:val="20"/>
        </w:rPr>
        <w:t>the nucleus ceases.  Initially</w:t>
      </w:r>
      <w:r w:rsidRPr="00372C58">
        <w:rPr>
          <w:rFonts w:ascii="Book Antiqua" w:hAnsi="Book Antiqua"/>
          <w:sz w:val="20"/>
        </w:rPr>
        <w:t>, all orbits were crowded nearer to the outermost orbit. At this point, the orbits were actually fairly close together.  Then, as the ZPE strength increased, the inner orbits moved closer to the nucleus, increasing their distance from the outermost orbit.  In the process, they also increased their distance from each other.</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This increase in separation between orbits means there is a greater energy difference between </w:t>
      </w:r>
      <w:r w:rsidRPr="00A26D20">
        <w:rPr>
          <w:sz w:val="20"/>
        </w:rPr>
        <w:t xml:space="preserve">the orbits. </w:t>
      </w:r>
      <w:r w:rsidR="00A26D20" w:rsidRPr="00A26D20">
        <w:rPr>
          <w:sz w:val="20"/>
        </w:rPr>
        <w:t xml:space="preserve"> </w:t>
      </w:r>
      <w:r w:rsidR="00A26D20">
        <w:rPr>
          <w:sz w:val="20"/>
        </w:rPr>
        <w:t>S</w:t>
      </w:r>
      <w:r w:rsidR="00A26D20" w:rsidRPr="00A26D20">
        <w:rPr>
          <w:sz w:val="20"/>
        </w:rPr>
        <w:t>ince the orbit energy depends on the distance from the nucleus</w:t>
      </w:r>
      <w:r w:rsidR="00A26D20">
        <w:rPr>
          <w:sz w:val="20"/>
        </w:rPr>
        <w:t>,</w:t>
      </w:r>
      <w:r w:rsidRPr="00372C58">
        <w:rPr>
          <w:sz w:val="20"/>
        </w:rPr>
        <w:t xml:space="preserve"> this means that electron transitions between orbits will </w:t>
      </w:r>
      <w:r w:rsidR="00A26D20">
        <w:rPr>
          <w:sz w:val="20"/>
        </w:rPr>
        <w:t>result in electrons emitting</w:t>
      </w:r>
      <w:r w:rsidRPr="00372C58">
        <w:rPr>
          <w:sz w:val="20"/>
        </w:rPr>
        <w:t xml:space="preserve"> more energy. The outcome is that an atom's characteristic spectral lines will all be shifted proportionally towards the more energetic, or blue end of the spectrum as the ZPE strength increases. </w:t>
      </w:r>
      <w:r w:rsidRPr="00A26D20">
        <w:rPr>
          <w:sz w:val="20"/>
        </w:rPr>
        <w:t xml:space="preserve">As a consequence, when we look back into the past (farther out in space), </w:t>
      </w:r>
      <w:r w:rsidR="00A26D20">
        <w:rPr>
          <w:sz w:val="20"/>
        </w:rPr>
        <w:t xml:space="preserve">the lower ZPE would mean </w:t>
      </w:r>
      <w:r w:rsidRPr="00A26D20">
        <w:rPr>
          <w:sz w:val="20"/>
        </w:rPr>
        <w:t>atoms would emit less energetic, or redder, light</w:t>
      </w:r>
      <w:r w:rsidR="00A26D20">
        <w:rPr>
          <w:sz w:val="20"/>
        </w:rPr>
        <w:t>.</w:t>
      </w:r>
      <w:r w:rsidRPr="00A26D20">
        <w:rPr>
          <w:sz w:val="20"/>
        </w:rPr>
        <w:t xml:space="preserve"> </w:t>
      </w:r>
      <w:r w:rsidRPr="00372C58">
        <w:rPr>
          <w:sz w:val="20"/>
        </w:rPr>
        <w:t xml:space="preserve">This gives us the redshift as in equation (32). </w:t>
      </w:r>
      <w:r w:rsidRPr="00A26D20">
        <w:rPr>
          <w:sz w:val="20"/>
        </w:rPr>
        <w:t>Thus</w:t>
      </w:r>
      <w:r w:rsidRPr="00372C58">
        <w:rPr>
          <w:sz w:val="20"/>
        </w:rPr>
        <w:t xml:space="preserve"> the redshift and atomic orbit radii are directly linked to changes in the ZPE.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The changes in orbit radii may be either smooth, as the ZPE varies smoothly, or go in jumps once the ZPE change has built up to a specific threshold level. A quantized redshift suggests the latter. All atomic orbits have specific energy values that go in jumps of a basic value, or are quantized. In addition, the orbit positions do not change smoothly but jump from one specific orbit distance to another. It might be suspected that any changes in orbit energy and/or position might similarly go in jumps. If so, then </w:t>
      </w:r>
      <w:r w:rsidRPr="00A26D20">
        <w:rPr>
          <w:rFonts w:ascii="Book Antiqua" w:hAnsi="Book Antiqua"/>
          <w:sz w:val="20"/>
        </w:rPr>
        <w:t>the changes</w:t>
      </w:r>
      <w:r w:rsidRPr="00372C58">
        <w:rPr>
          <w:rFonts w:ascii="Book Antiqua" w:hAnsi="Book Antiqua"/>
          <w:sz w:val="20"/>
        </w:rPr>
        <w:t xml:space="preserve"> in the Zero Point Energy </w:t>
      </w:r>
      <w:r w:rsidR="00A26D20">
        <w:rPr>
          <w:rFonts w:ascii="Book Antiqua" w:hAnsi="Book Antiqua"/>
          <w:sz w:val="20"/>
        </w:rPr>
        <w:t>have</w:t>
      </w:r>
      <w:r w:rsidRPr="00372C58">
        <w:rPr>
          <w:rFonts w:ascii="Book Antiqua" w:hAnsi="Book Antiqua"/>
          <w:sz w:val="20"/>
        </w:rPr>
        <w:t xml:space="preserve"> to reach a threshold amount to force the responding change in atomic orbit energies and positions.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During this ‘lag’ time between jumps, orbit energies and positions will remain fixed following which the responding jump will produce the quantized measurements for the red shift.  Orbits stay the same, throughout the universe, until the energy they are receiving has built up sufficiently to allow a simultaneous change</w:t>
      </w:r>
      <w:r w:rsidR="00A26D20">
        <w:rPr>
          <w:rFonts w:ascii="Book Antiqua" w:hAnsi="Book Antiqua"/>
          <w:sz w:val="20"/>
        </w:rPr>
        <w:t>.</w:t>
      </w:r>
      <w:r w:rsidRPr="00372C58">
        <w:rPr>
          <w:rFonts w:ascii="Book Antiqua" w:hAnsi="Book Antiqua"/>
          <w:sz w:val="20"/>
        </w:rPr>
        <w:t xml:space="preserve">  So we see red shift measurements in ‘clumps’ or groups and then a sudden shift to a new set of measu</w:t>
      </w:r>
      <w:r w:rsidR="00A26D20">
        <w:rPr>
          <w:rFonts w:ascii="Book Antiqua" w:hAnsi="Book Antiqua"/>
          <w:sz w:val="20"/>
        </w:rPr>
        <w:t>rements, with nothing in between.</w:t>
      </w:r>
      <w:r w:rsidRPr="00FF15CA">
        <w:rPr>
          <w:rFonts w:ascii="Book Antiqua" w:hAnsi="Book Antiqua"/>
          <w:sz w:val="20"/>
          <w:highlight w:val="yellow"/>
        </w:rPr>
        <w:t xml:space="preserve"> </w:t>
      </w:r>
      <w:r w:rsidRPr="00A26D20">
        <w:rPr>
          <w:rFonts w:ascii="Book Antiqua" w:hAnsi="Book Antiqua"/>
          <w:sz w:val="20"/>
        </w:rPr>
        <w:t>Quantized red shifts are thus the result of quantized orbit radii changes.</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i/>
          <w:sz w:val="20"/>
        </w:rPr>
      </w:pPr>
      <w:r w:rsidRPr="00372C58">
        <w:rPr>
          <w:rFonts w:ascii="Book Antiqua" w:hAnsi="Book Antiqua"/>
          <w:bCs/>
          <w:i/>
          <w:iCs/>
          <w:color w:val="000000"/>
          <w:sz w:val="20"/>
        </w:rPr>
        <w:t>5.6. Considering The Mean Free Path.</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 </w:t>
      </w: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Equations (21) and (22) involve the atomic radius and the </w:t>
      </w:r>
      <w:r w:rsidRPr="00A26D20">
        <w:rPr>
          <w:rFonts w:ascii="Book Antiqua" w:hAnsi="Book Antiqua"/>
          <w:sz w:val="20"/>
        </w:rPr>
        <w:t>mean free path</w:t>
      </w:r>
      <w:r w:rsidR="00A26D20">
        <w:rPr>
          <w:rFonts w:ascii="Book Antiqua" w:hAnsi="Book Antiqua"/>
          <w:sz w:val="20"/>
        </w:rPr>
        <w:t xml:space="preserve"> (the average distance an electron will travel between collisions of any kind)</w:t>
      </w:r>
      <w:r w:rsidRPr="00372C58">
        <w:rPr>
          <w:rFonts w:ascii="Book Antiqua" w:hAnsi="Book Antiqua"/>
          <w:sz w:val="20"/>
        </w:rPr>
        <w:t>.  We have just discussed the orbit radius, its relationship to emitted wavelengths, the mean free path, and the redshift as in (34) and (35).  The next step is to find the value of the quantity K, which is related to the mean free path..</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t xml:space="preserve">When the electron is moving, the number of hits per unit time can be shown by standard physics to be equal to the velocity of the traveling object divided by the mean free path, </w:t>
      </w:r>
      <m:oMath>
        <m:r>
          <w:rPr>
            <w:rFonts w:ascii="Cambria Math" w:hAnsi="Cambria Math"/>
            <w:sz w:val="20"/>
          </w:rPr>
          <m:t>λ</m:t>
        </m:r>
      </m:oMath>
      <w:r w:rsidRPr="00372C58">
        <w:rPr>
          <w:sz w:val="20"/>
        </w:rPr>
        <w:t>.  Thus we can write that the mean free path</w:t>
      </w:r>
    </w:p>
    <w:p w:rsidR="00265840" w:rsidRPr="00372C58" w:rsidRDefault="00265840" w:rsidP="00265840">
      <w:pPr>
        <w:pStyle w:val="Equationparagraph"/>
        <w:tabs>
          <w:tab w:val="center" w:pos="2610"/>
          <w:tab w:val="right" w:pos="5040"/>
        </w:tabs>
        <w:spacing w:before="80" w:after="80"/>
        <w:jc w:val="right"/>
        <w:rPr>
          <w:rFonts w:ascii="Book Antiqua" w:hAnsi="Book Antiqua"/>
          <w:i/>
          <w:sz w:val="20"/>
          <w:szCs w:val="20"/>
        </w:rPr>
      </w:pPr>
      <w:r w:rsidRPr="00372C58">
        <w:rPr>
          <w:rFonts w:ascii="Book Antiqua" w:hAnsi="Book Antiqua" w:cs="Times New Roman"/>
          <w:sz w:val="20"/>
          <w:szCs w:val="20"/>
        </w:rPr>
        <w:tab/>
      </w:r>
      <m:oMath>
        <m:r>
          <w:rPr>
            <w:rFonts w:ascii="Cambria Math" w:hAnsi="Book Antiqua" w:cs="Times New Roman"/>
            <w:i/>
            <w:position w:val="-12"/>
            <w:sz w:val="20"/>
            <w:szCs w:val="20"/>
          </w:rPr>
          <w:object w:dxaOrig="3019" w:dyaOrig="320">
            <v:shape id="_x0000_i1041" type="#_x0000_t75" style="width:150.65pt;height:15.75pt" o:ole="">
              <v:imagedata r:id="rId210" o:title=""/>
            </v:shape>
            <o:OLEObject Type="Embed" ProgID="Equation.DSMT4" ShapeID="_x0000_i1041" DrawAspect="Content" ObjectID="_1433920193" r:id="rId211"/>
          </w:object>
        </m:r>
        <m:r>
          <w:rPr>
            <w:rFonts w:ascii="Cambria Math" w:hAnsi="Book Antiqua" w:cs="Times New Roman"/>
            <w:sz w:val="20"/>
            <w:szCs w:val="20"/>
          </w:rPr>
          <m:t xml:space="preserve"> = </m:t>
        </m:r>
        <m:r>
          <w:rPr>
            <w:rFonts w:ascii="Cambria Math" w:hAnsi="Cambria Math" w:cs="Times New Roman"/>
            <w:sz w:val="20"/>
            <w:szCs w:val="20"/>
          </w:rPr>
          <m:t>v</m:t>
        </m:r>
        <m:r>
          <w:rPr>
            <w:rFonts w:ascii="Cambria Math" w:hAnsi="Book Antiqua" w:cs="Times New Roman"/>
            <w:sz w:val="20"/>
            <w:szCs w:val="20"/>
          </w:rPr>
          <m:t>/</m:t>
        </m:r>
        <m:r>
          <w:rPr>
            <w:rFonts w:ascii="Cambria Math" w:hAnsi="Cambria Math" w:cs="Times New Roman"/>
            <w:sz w:val="20"/>
            <w:szCs w:val="20"/>
          </w:rPr>
          <m:t>H</m:t>
        </m:r>
      </m:oMath>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i/>
          <w:sz w:val="20"/>
          <w:szCs w:val="20"/>
        </w:rPr>
        <w:t>(36)</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But the velocity, </w:t>
      </w:r>
      <m:oMath>
        <m:r>
          <w:rPr>
            <w:rFonts w:ascii="Cambria Math" w:hAnsi="Cambria Math"/>
            <w:sz w:val="20"/>
          </w:rPr>
          <m:t>v</m:t>
        </m:r>
      </m:oMath>
      <w:r w:rsidRPr="00372C58">
        <w:rPr>
          <w:sz w:val="20"/>
        </w:rPr>
        <w:t xml:space="preserve">, of the electron in this path is inversely proportional to </w:t>
      </w:r>
      <m:oMath>
        <m:r>
          <w:rPr>
            <w:rFonts w:ascii="Cambria Math" w:hAnsi="Cambria Math"/>
            <w:sz w:val="20"/>
          </w:rPr>
          <m:t>U</m:t>
        </m:r>
      </m:oMath>
      <w:r w:rsidRPr="00372C58">
        <w:rPr>
          <w:sz w:val="20"/>
        </w:rPr>
        <w:t xml:space="preserve">, the strength of the ZPE. This follows since the kinetic energy, </w:t>
      </w:r>
      <m:oMath>
        <m:f>
          <m:fPr>
            <m:ctrlPr>
              <w:rPr>
                <w:rFonts w:ascii="Cambria Math" w:hAnsi="Cambria Math"/>
                <w:i/>
                <w:sz w:val="20"/>
              </w:rPr>
            </m:ctrlPr>
          </m:fPr>
          <m:num>
            <m:r>
              <w:rPr>
                <w:rFonts w:ascii="Cambria Math"/>
                <w:sz w:val="20"/>
              </w:rPr>
              <m:t>1</m:t>
            </m:r>
          </m:num>
          <m:den>
            <m:r>
              <w:rPr>
                <w:rFonts w:ascii="Cambria Math"/>
                <w:sz w:val="20"/>
              </w:rPr>
              <m:t>2</m:t>
            </m:r>
          </m:den>
        </m:f>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372C58">
        <w:rPr>
          <w:sz w:val="20"/>
        </w:rPr>
        <w:t>, of the electron is conserved as the ZPE changes, where</w:t>
      </w:r>
      <w:r w:rsidRPr="00372C58">
        <w:rPr>
          <w:i/>
          <w:sz w:val="20"/>
        </w:rPr>
        <w:t xml:space="preserve"> </w:t>
      </w:r>
      <m:oMath>
        <m:r>
          <w:rPr>
            <w:rFonts w:ascii="Cambria Math" w:hAnsi="Cambria Math"/>
            <w:sz w:val="20"/>
          </w:rPr>
          <m:t>m</m:t>
        </m:r>
      </m:oMath>
      <w:r w:rsidRPr="00372C58">
        <w:rPr>
          <w:sz w:val="20"/>
        </w:rPr>
        <w:t xml:space="preserve"> is the atomic mass. Since it was shown above that</w:t>
      </w:r>
    </w:p>
    <w:p w:rsidR="00265840" w:rsidRPr="00372C58" w:rsidRDefault="00265840" w:rsidP="00265840">
      <w:pPr>
        <w:pStyle w:val="Equationparagraph"/>
        <w:tabs>
          <w:tab w:val="center" w:pos="2610"/>
          <w:tab w:val="right" w:pos="5040"/>
        </w:tabs>
        <w:spacing w:after="80"/>
        <w:jc w:val="center"/>
        <w:rPr>
          <w:rFonts w:ascii="Book Antiqua" w:eastAsia="Times New Roman" w:hAnsi="Book Antiqua" w:cs="Times New Roman"/>
          <w:i/>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i/>
          <w:sz w:val="20"/>
          <w:szCs w:val="20"/>
        </w:rPr>
      </w:pPr>
      <m:oMath>
        <m:r>
          <w:rPr>
            <w:rFonts w:ascii="Cambria Math" w:hAnsi="Cambria Math" w:cs="Times New Roman"/>
            <w:sz w:val="20"/>
            <w:szCs w:val="20"/>
          </w:rPr>
          <m:t>m</m:t>
        </m:r>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Cambria Math" w:hAnsi="Cambria Math" w:cs="Times New Roman"/>
                <w:sz w:val="20"/>
                <w:szCs w:val="20"/>
              </w:rPr>
              <m:t>U</m:t>
            </m:r>
          </m:e>
          <m:sup>
            <m:r>
              <w:rPr>
                <w:rFonts w:ascii="Cambria Math" w:hAnsi="Book Antiqua" w:cs="Times New Roman"/>
                <w:sz w:val="20"/>
                <w:szCs w:val="20"/>
              </w:rPr>
              <m:t>2</m:t>
            </m:r>
          </m:sup>
        </m:sSup>
        <m:r>
          <w:rPr>
            <w:rFonts w:ascii="Cambria Math" w:hAnsi="Book Antiqua" w:cs="Times New Roman"/>
            <w:sz w:val="20"/>
            <w:szCs w:val="20"/>
          </w:rPr>
          <m:t xml:space="preserve">  ~  </m:t>
        </m:r>
        <m:sSup>
          <m:sSupPr>
            <m:ctrlPr>
              <w:rPr>
                <w:rFonts w:ascii="Cambria Math" w:hAnsi="Book Antiqua" w:cs="Times New Roman"/>
                <w:i/>
                <w:sz w:val="20"/>
                <w:szCs w:val="20"/>
              </w:rPr>
            </m:ctrlPr>
          </m:sSupPr>
          <m:e>
            <m:r>
              <w:rPr>
                <w:rFonts w:ascii="Book Antiqua" w:hAnsi="Cambria Math" w:cs="Times New Roman"/>
                <w:sz w:val="20"/>
                <w:szCs w:val="20"/>
              </w:rPr>
              <m:t>h</m:t>
            </m:r>
          </m:e>
          <m:sup>
            <m:r>
              <w:rPr>
                <w:rFonts w:ascii="Cambria Math" w:hAnsi="Book Antiqua" w:cs="Times New Roman"/>
                <w:sz w:val="20"/>
                <w:szCs w:val="20"/>
              </w:rPr>
              <m:t>2</m:t>
            </m:r>
          </m:sup>
        </m:sSup>
      </m:oMath>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vertAlign w:val="superscript"/>
        </w:rPr>
        <w:tab/>
      </w:r>
      <w:r w:rsidRPr="00372C58">
        <w:rPr>
          <w:rFonts w:ascii="Book Antiqua" w:hAnsi="Book Antiqua" w:cs="Times New Roman"/>
          <w:i/>
          <w:sz w:val="20"/>
          <w:szCs w:val="20"/>
        </w:rPr>
        <w:t>(37)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then conservation requires that</w:t>
      </w:r>
    </w:p>
    <w:p w:rsidR="00265840" w:rsidRPr="00372C58" w:rsidRDefault="00265840" w:rsidP="00265840">
      <w:pPr>
        <w:pStyle w:val="Equationparagraph"/>
        <w:tabs>
          <w:tab w:val="center" w:pos="2610"/>
          <w:tab w:val="right" w:pos="5040"/>
        </w:tabs>
        <w:spacing w:before="80" w:after="80"/>
        <w:jc w:val="right"/>
        <w:rPr>
          <w:rFonts w:ascii="Book Antiqua" w:hAnsi="Book Antiqua" w:cs="Times New Roman"/>
          <w:i/>
          <w:sz w:val="20"/>
          <w:szCs w:val="20"/>
        </w:rPr>
      </w:pPr>
      <w:r w:rsidRPr="00372C58">
        <w:rPr>
          <w:rFonts w:ascii="Book Antiqua" w:hAnsi="Book Antiqua" w:cs="Times New Roman"/>
          <w:sz w:val="20"/>
          <w:szCs w:val="20"/>
        </w:rPr>
        <w:tab/>
      </w:r>
      <w:r w:rsidRPr="00372C58">
        <w:rPr>
          <w:rFonts w:ascii="Book Antiqua" w:hAnsi="Book Antiqua" w:cs="Times New Roman"/>
          <w:position w:val="-8"/>
          <w:sz w:val="20"/>
          <w:szCs w:val="20"/>
        </w:rPr>
        <w:object w:dxaOrig="920" w:dyaOrig="320">
          <v:shape id="_x0000_i1042" type="#_x0000_t75" style="width:46.6pt;height:15.75pt" o:ole="">
            <v:imagedata r:id="rId212" o:title=""/>
          </v:shape>
          <o:OLEObject Type="Embed" ProgID="Equation.DSMT4" ShapeID="_x0000_i1042" DrawAspect="Content" ObjectID="_1433920194" r:id="rId213"/>
        </w:object>
      </w:r>
      <w:r w:rsidRPr="00372C58">
        <w:rPr>
          <w:rFonts w:ascii="Book Antiqua" w:hAnsi="Book Antiqua" w:cs="Times New Roman"/>
          <w:sz w:val="20"/>
          <w:szCs w:val="20"/>
        </w:rPr>
        <w:t xml:space="preserve">     </w:t>
      </w:r>
      <w:proofErr w:type="gramStart"/>
      <w:r w:rsidRPr="00372C58">
        <w:rPr>
          <w:rFonts w:ascii="Book Antiqua" w:hAnsi="Book Antiqua" w:cs="Times New Roman"/>
          <w:b/>
          <w:i/>
          <w:sz w:val="20"/>
          <w:szCs w:val="20"/>
        </w:rPr>
        <w:t>so</w:t>
      </w:r>
      <w:proofErr w:type="gramEnd"/>
      <w:r w:rsidRPr="00372C58">
        <w:rPr>
          <w:rFonts w:ascii="Book Antiqua" w:hAnsi="Book Antiqua" w:cs="Times New Roman"/>
          <w:b/>
          <w:i/>
          <w:sz w:val="20"/>
          <w:szCs w:val="20"/>
        </w:rPr>
        <w:t xml:space="preserve"> that</w:t>
      </w:r>
      <w:r w:rsidRPr="00372C58">
        <w:rPr>
          <w:rFonts w:ascii="Book Antiqua" w:hAnsi="Book Antiqua" w:cs="Times New Roman"/>
          <w:sz w:val="20"/>
          <w:szCs w:val="20"/>
        </w:rPr>
        <w:t xml:space="preserve">      </w:t>
      </w:r>
      <w:r w:rsidRPr="00372C58">
        <w:rPr>
          <w:rFonts w:ascii="Book Antiqua" w:hAnsi="Book Antiqua" w:cs="Times New Roman"/>
          <w:position w:val="-8"/>
          <w:sz w:val="20"/>
          <w:szCs w:val="20"/>
        </w:rPr>
        <w:object w:dxaOrig="740" w:dyaOrig="260">
          <v:shape id="_x0000_i1043" type="#_x0000_t75" style="width:36.9pt;height:12.7pt" o:ole="">
            <v:imagedata r:id="rId214" o:title=""/>
          </v:shape>
          <o:OLEObject Type="Embed" ProgID="Equation.DSMT4" ShapeID="_x0000_i1043" DrawAspect="Content" ObjectID="_1433920195" r:id="rId215"/>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(38)</w:t>
      </w:r>
    </w:p>
    <w:p w:rsidR="00265840" w:rsidRPr="00372C58" w:rsidRDefault="00265840" w:rsidP="00265840">
      <w:pPr>
        <w:pStyle w:val="Default"/>
        <w:rPr>
          <w:rFonts w:ascii="Book Antiqua" w:hAnsi="Book Antiqua"/>
          <w:sz w:val="20"/>
          <w:szCs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In addition to the electron mean free path velocity, </w:t>
      </w:r>
      <m:oMath>
        <m:r>
          <w:rPr>
            <w:rFonts w:ascii="Cambria Math" w:hAnsi="Cambria Math"/>
            <w:sz w:val="20"/>
          </w:rPr>
          <m:t>v</m:t>
        </m:r>
      </m:oMath>
      <w:r w:rsidRPr="00D81480">
        <w:rPr>
          <w:rFonts w:ascii="Book Antiqua" w:hAnsi="Book Antiqua"/>
          <w:sz w:val="20"/>
        </w:rPr>
        <w:t xml:space="preserve">, being inversely proportional to </w:t>
      </w:r>
      <m:oMath>
        <m:r>
          <w:rPr>
            <w:rFonts w:ascii="Cambria Math" w:hAnsi="Cambria Math"/>
            <w:sz w:val="20"/>
          </w:rPr>
          <m:t>U</m:t>
        </m:r>
      </m:oMath>
      <w:r w:rsidRPr="00D81480">
        <w:rPr>
          <w:rFonts w:ascii="Book Antiqua" w:hAnsi="Book Antiqua"/>
          <w:sz w:val="20"/>
        </w:rPr>
        <w:t xml:space="preserve"> in equation (38), the number of hits per unit time is also proportional to </w:t>
      </w:r>
      <m:oMath>
        <m:r>
          <w:rPr>
            <w:rFonts w:ascii="Cambria Math" w:hAnsi="Cambria Math"/>
            <w:sz w:val="20"/>
          </w:rPr>
          <m:t>U</m:t>
        </m:r>
      </m:oMath>
      <w:r w:rsidRPr="00D81480">
        <w:rPr>
          <w:rFonts w:ascii="Book Antiqua" w:hAnsi="Book Antiqua"/>
          <w:sz w:val="20"/>
        </w:rPr>
        <w:t xml:space="preserve">, which is the strength of the Zero Point Energy. This is the case since an electron has a finite radius.   The electron itself is also a finite structure and thus can be hit by the ZPE waves.  The stronger the ZPE, the more waves it has and therefore the more often the electron will be hit.  This means that the number of hits per unit time by these waves is proportional to </w:t>
      </w:r>
      <m:oMath>
        <m:r>
          <w:rPr>
            <w:rFonts w:ascii="Cambria Math" w:hAnsi="Cambria Math"/>
            <w:sz w:val="20"/>
          </w:rPr>
          <m:t>U</m:t>
        </m:r>
      </m:oMath>
      <w:r w:rsidRPr="00D81480">
        <w:rPr>
          <w:rFonts w:ascii="Book Antiqua" w:hAnsi="Book Antiqua"/>
          <w:sz w:val="20"/>
        </w:rPr>
        <w:t xml:space="preserve">. Inserting this result, as well as the result from (38), into equation (35) we obtain the outcome that </w:t>
      </w:r>
    </w:p>
    <w:p w:rsidR="00D81480" w:rsidRPr="00D81480" w:rsidRDefault="00D81480" w:rsidP="00D81480">
      <w:pPr>
        <w:pStyle w:val="NoSpacing"/>
        <w:jc w:val="both"/>
        <w:rPr>
          <w:rFonts w:ascii="Book Antiqua" w:hAnsi="Book Antiqua"/>
          <w:sz w:val="20"/>
        </w:rPr>
      </w:pPr>
      <w:r w:rsidRPr="00D81480">
        <w:rPr>
          <w:rFonts w:ascii="Book Antiqua" w:hAnsi="Book Antiqua"/>
          <w:sz w:val="20"/>
        </w:rPr>
        <w:tab/>
      </w:r>
    </w:p>
    <w:p w:rsidR="00D81480" w:rsidRPr="00D81480" w:rsidRDefault="00D81480" w:rsidP="00D81480">
      <w:pPr>
        <w:pStyle w:val="NoSpacing"/>
        <w:ind w:firstLine="720"/>
        <w:jc w:val="right"/>
        <w:rPr>
          <w:rFonts w:ascii="Book Antiqua" w:hAnsi="Book Antiqua"/>
          <w:sz w:val="20"/>
        </w:rPr>
      </w:pPr>
      <w:r w:rsidRPr="00D81480">
        <w:rPr>
          <w:rFonts w:ascii="Book Antiqua" w:hAnsi="Book Antiqua"/>
          <w:i/>
          <w:sz w:val="20"/>
        </w:rPr>
        <w:t xml:space="preserve"> </w:t>
      </w:r>
      <m:oMath>
        <m:r>
          <w:rPr>
            <w:rFonts w:ascii="Cambria Math" w:hAnsi="Cambria Math"/>
            <w:sz w:val="20"/>
          </w:rPr>
          <m:t>U</m:t>
        </m:r>
        <m:r>
          <w:rPr>
            <w:rFonts w:ascii="Cambria Math" w:hAnsi="Book Antiqua"/>
            <w:sz w:val="20"/>
          </w:rPr>
          <m:t xml:space="preserve"> ~ 1/(</m:t>
        </m:r>
        <m:r>
          <w:rPr>
            <w:rFonts w:ascii="Book Antiqua" w:hAnsi="Book Antiqua"/>
            <w:sz w:val="20"/>
          </w:rPr>
          <m:t>√</m:t>
        </m:r>
        <m:r>
          <w:rPr>
            <w:rFonts w:ascii="Cambria Math" w:hAnsi="Book Antiqua"/>
            <w:sz w:val="20"/>
          </w:rPr>
          <m:t xml:space="preserve"> </m:t>
        </m:r>
        <m:r>
          <w:rPr>
            <w:rFonts w:ascii="Cambria Math" w:hAnsi="Cambria Math"/>
            <w:sz w:val="20"/>
          </w:rPr>
          <m:t>λ</m:t>
        </m:r>
        <m:r>
          <w:rPr>
            <w:rFonts w:ascii="Cambria Math" w:hAnsi="Book Antiqua"/>
            <w:sz w:val="20"/>
          </w:rPr>
          <m:t xml:space="preserve">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(39)</w:t>
      </w:r>
    </w:p>
    <w:p w:rsidR="00D81480" w:rsidRPr="00D81480" w:rsidRDefault="00D81480" w:rsidP="00D81480">
      <w:pPr>
        <w:pStyle w:val="NormPara"/>
        <w:ind w:firstLine="0"/>
        <w:rPr>
          <w:sz w:val="20"/>
        </w:rPr>
      </w:pPr>
    </w:p>
    <w:p w:rsidR="00D81480" w:rsidRPr="00D81480" w:rsidRDefault="00AA3C47" w:rsidP="00D81480">
      <w:pPr>
        <w:pStyle w:val="NormPara"/>
        <w:ind w:firstLine="0"/>
        <w:rPr>
          <w:sz w:val="20"/>
        </w:rPr>
      </w:pPr>
      <w:r>
        <w:rPr>
          <w:sz w:val="20"/>
        </w:rPr>
        <w:t>It</w:t>
      </w:r>
      <w:r w:rsidR="00D81480" w:rsidRPr="00D81480">
        <w:rPr>
          <w:sz w:val="20"/>
        </w:rPr>
        <w:t xml:space="preserve"> can therefore </w:t>
      </w:r>
      <w:r>
        <w:rPr>
          <w:sz w:val="20"/>
        </w:rPr>
        <w:t xml:space="preserve">be </w:t>
      </w:r>
      <w:r w:rsidR="00D81480" w:rsidRPr="00D81480">
        <w:rPr>
          <w:sz w:val="20"/>
        </w:rPr>
        <w:t>writ</w:t>
      </w:r>
      <w:r>
        <w:rPr>
          <w:sz w:val="20"/>
        </w:rPr>
        <w:t>ten</w:t>
      </w:r>
      <w:r w:rsidR="00D81480" w:rsidRPr="00D81480">
        <w:rPr>
          <w:sz w:val="20"/>
        </w:rPr>
        <w:t xml:space="preserve"> that</w:t>
      </w:r>
    </w:p>
    <w:p w:rsidR="00D81480" w:rsidRPr="00D81480" w:rsidRDefault="00D81480" w:rsidP="00D81480">
      <w:pPr>
        <w:pStyle w:val="NormPara"/>
        <w:ind w:firstLine="0"/>
        <w:rPr>
          <w:sz w:val="20"/>
        </w:rPr>
      </w:pPr>
    </w:p>
    <w:p w:rsidR="00D81480" w:rsidRPr="00D81480" w:rsidRDefault="007B3EBC" w:rsidP="00D81480">
      <w:pPr>
        <w:pStyle w:val="NormPara"/>
        <w:ind w:firstLine="720"/>
        <w:jc w:val="right"/>
        <w:rPr>
          <w:sz w:val="20"/>
        </w:rPr>
      </w:pPr>
      <m:oMath>
        <m:sSub>
          <m:sSubPr>
            <m:ctrlPr>
              <w:rPr>
                <w:rFonts w:ascii="Cambria Math" w:hAnsi="Cambria Math"/>
                <w:i/>
                <w:sz w:val="20"/>
              </w:rPr>
            </m:ctrlPr>
          </m:sSubPr>
          <m:e>
            <m:r>
              <w:rPr>
                <w:rFonts w:ascii="Cambria Math" w:hAnsi="Cambria Math"/>
                <w:sz w:val="20"/>
              </w:rPr>
              <m:t>U</m:t>
            </m:r>
          </m:e>
          <m:sub>
            <m:r>
              <w:rPr>
                <w:rFonts w:ascii="Cambria Math" w:hAnsi="Cambria Math"/>
                <w:sz w:val="20"/>
              </w:rPr>
              <m:t>a</m:t>
            </m:r>
          </m:sub>
        </m:sSub>
        <m:r>
          <w:rPr>
            <w:rFonts w:ascii="Cambria Math"/>
            <w:sz w:val="20"/>
          </w:rPr>
          <m:t>/</m:t>
        </m:r>
        <m:sSub>
          <m:sSubPr>
            <m:ctrlPr>
              <w:rPr>
                <w:rFonts w:ascii="Cambria Math" w:hAnsi="Cambria Math"/>
                <w:i/>
                <w:sz w:val="20"/>
              </w:rPr>
            </m:ctrlPr>
          </m:sSubPr>
          <m:e>
            <m:r>
              <w:rPr>
                <w:rFonts w:ascii="Cambria Math" w:hAnsi="Cambria Math"/>
                <w:sz w:val="20"/>
              </w:rPr>
              <m:t>U</m:t>
            </m:r>
          </m:e>
          <m:sub>
            <m:r>
              <w:rPr>
                <w:rFonts w:ascii="Cambria Math" w:hAnsi="Cambria Math"/>
                <w:sz w:val="20"/>
              </w:rPr>
              <m:t>b</m:t>
            </m:r>
          </m:sub>
        </m:sSub>
        <m:r>
          <w:rPr>
            <w:rFonts w:ascii="Cambria Math"/>
            <w:sz w:val="20"/>
          </w:rPr>
          <m:t xml:space="preserve"> =  </m:t>
        </m:r>
        <m:r>
          <w:rPr>
            <w:sz w:val="20"/>
          </w:rPr>
          <m:t>√</m:t>
        </m:r>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sz w:val="20"/>
          </w:rPr>
          <m:t>)]</m:t>
        </m:r>
      </m:oMath>
      <w:r w:rsidR="00D81480" w:rsidRPr="00D81480">
        <w:rPr>
          <w:sz w:val="20"/>
        </w:rPr>
        <w:t xml:space="preserve"> .</w:t>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sz w:val="20"/>
        </w:rPr>
        <w:tab/>
      </w:r>
      <w:r w:rsidR="00D81480" w:rsidRPr="00D81480">
        <w:rPr>
          <w:i/>
          <w:sz w:val="20"/>
        </w:rPr>
        <w:t>(40)</w:t>
      </w:r>
    </w:p>
    <w:p w:rsidR="00D81480" w:rsidRPr="00D81480" w:rsidRDefault="00D81480" w:rsidP="00D81480">
      <w:pPr>
        <w:pStyle w:val="NormPara"/>
        <w:ind w:firstLine="0"/>
        <w:rPr>
          <w:sz w:val="20"/>
        </w:rPr>
      </w:pPr>
    </w:p>
    <w:p w:rsidR="00D81480" w:rsidRPr="00D81480" w:rsidRDefault="00D81480" w:rsidP="00B305C3">
      <w:pPr>
        <w:pStyle w:val="NormPara"/>
        <w:ind w:firstLine="720"/>
        <w:rPr>
          <w:rFonts w:cs="Arial"/>
          <w:szCs w:val="18"/>
        </w:rPr>
      </w:pPr>
      <w:r w:rsidRPr="00D81480">
        <w:rPr>
          <w:sz w:val="20"/>
        </w:rPr>
        <w:t>In (40) the subscript “</w:t>
      </w:r>
      <w:r w:rsidRPr="00D81480">
        <w:rPr>
          <w:i/>
          <w:sz w:val="20"/>
        </w:rPr>
        <w:t>a</w:t>
      </w:r>
      <w:r w:rsidRPr="00D81480">
        <w:rPr>
          <w:sz w:val="20"/>
        </w:rPr>
        <w:t>” refers to the conditions that exist now while the subscript “</w:t>
      </w:r>
      <w:r w:rsidRPr="00D81480">
        <w:rPr>
          <w:i/>
          <w:sz w:val="20"/>
        </w:rPr>
        <w:t>b</w:t>
      </w:r>
      <w:r w:rsidRPr="00D81480">
        <w:rPr>
          <w:sz w:val="20"/>
        </w:rPr>
        <w:t xml:space="preserve">” refers to some distant galaxy where the ZPE strength was lower and the speed of light was higher. In English, equation (40) is stating that the strength of the ZPE now, divided by its strength at a given time and place in the past, is the same as the square root of the mean free path then divided by the mean free path now.  These are direct proportions.  This explains that changes in the mean free path are related to the ZPE. The second part of the discussion is now how these changes in the mean fee path are related to </w:t>
      </w:r>
      <m:oMath>
        <m:r>
          <w:rPr>
            <w:rFonts w:ascii="Cambria Math" w:hAnsi="Cambria Math"/>
            <w:sz w:val="20"/>
          </w:rPr>
          <m:t>K</m:t>
        </m:r>
      </m:oMath>
      <w:r w:rsidRPr="00D81480">
        <w:rPr>
          <w:sz w:val="20"/>
        </w:rPr>
        <w:t xml:space="preserve"> and  </w:t>
      </w:r>
      <m:oMath>
        <m:r>
          <w:rPr>
            <w:rFonts w:ascii="Cambria Math" w:hAnsi="Cambria Math"/>
            <w:sz w:val="20"/>
          </w:rPr>
          <m:t>r</m:t>
        </m:r>
        <m:r>
          <w:rPr>
            <w:rFonts w:ascii="Cambria Math"/>
            <w:sz w:val="20"/>
          </w:rPr>
          <m:t>.</m:t>
        </m:r>
      </m:oMath>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rPr>
          <w:rFonts w:ascii="Book Antiqua" w:hAnsi="Book Antiqua"/>
          <w:i/>
          <w:sz w:val="20"/>
        </w:rPr>
      </w:pPr>
      <w:r w:rsidRPr="00D81480">
        <w:rPr>
          <w:rFonts w:ascii="Book Antiqua" w:hAnsi="Book Antiqua"/>
          <w:bCs/>
          <w:i/>
          <w:iCs/>
          <w:color w:val="000000"/>
          <w:sz w:val="20"/>
        </w:rPr>
        <w:t>5.7. The Link Between Mean Free Path And Orbit Radii</w:t>
      </w:r>
    </w:p>
    <w:p w:rsidR="00D81480" w:rsidRPr="00D81480" w:rsidRDefault="00D81480" w:rsidP="00D81480">
      <w:pPr>
        <w:pStyle w:val="NormPara"/>
        <w:ind w:firstLine="0"/>
        <w:rPr>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 As mentioned, the Zero Point Energy keeps electrons in their orbits.  </w:t>
      </w:r>
      <w:r w:rsidR="006334BD">
        <w:rPr>
          <w:rFonts w:ascii="Book Antiqua" w:hAnsi="Book Antiqua"/>
          <w:sz w:val="20"/>
        </w:rPr>
        <w:t>When</w:t>
      </w:r>
      <w:r w:rsidRPr="00D81480">
        <w:rPr>
          <w:rFonts w:ascii="Book Antiqua" w:hAnsi="Book Antiqua"/>
          <w:sz w:val="20"/>
        </w:rPr>
        <w:t xml:space="preserve"> the ZPE was zero, at the beginning, atomic structure was impossible.  As the ZPE built up, </w:t>
      </w:r>
      <w:r w:rsidR="006334BD">
        <w:rPr>
          <w:rFonts w:ascii="Book Antiqua" w:hAnsi="Book Antiqua"/>
          <w:sz w:val="20"/>
        </w:rPr>
        <w:t>finally</w:t>
      </w:r>
      <w:r w:rsidRPr="00D81480">
        <w:rPr>
          <w:rFonts w:ascii="Book Antiqua" w:hAnsi="Book Antiqua"/>
          <w:sz w:val="20"/>
        </w:rPr>
        <w:t xml:space="preserve"> sufficient impacts from ZPE waves </w:t>
      </w:r>
      <w:r w:rsidR="006334BD">
        <w:rPr>
          <w:rFonts w:ascii="Book Antiqua" w:hAnsi="Book Antiqua"/>
          <w:sz w:val="20"/>
        </w:rPr>
        <w:t xml:space="preserve">occurred </w:t>
      </w:r>
      <w:r w:rsidRPr="00D81480">
        <w:rPr>
          <w:rFonts w:ascii="Book Antiqua" w:hAnsi="Book Antiqua"/>
          <w:sz w:val="20"/>
        </w:rPr>
        <w:t>to obtain</w:t>
      </w:r>
      <w:r w:rsidR="006334BD">
        <w:rPr>
          <w:rFonts w:ascii="Book Antiqua" w:hAnsi="Book Antiqua"/>
          <w:sz w:val="20"/>
        </w:rPr>
        <w:t xml:space="preserve"> and sustain</w:t>
      </w:r>
      <w:r w:rsidRPr="00D81480">
        <w:rPr>
          <w:rFonts w:ascii="Book Antiqua" w:hAnsi="Book Antiqua"/>
          <w:sz w:val="20"/>
        </w:rPr>
        <w:t xml:space="preserve"> the first stable atomic orbits. This allowed the first neutral atoms to form. </w:t>
      </w:r>
      <w:r w:rsidR="006334BD">
        <w:rPr>
          <w:rFonts w:ascii="Book Antiqua" w:hAnsi="Book Antiqua"/>
          <w:sz w:val="20"/>
        </w:rPr>
        <w:t>All cosmology models agree that it required t</w:t>
      </w:r>
      <w:r w:rsidRPr="006334BD">
        <w:rPr>
          <w:rFonts w:ascii="Book Antiqua" w:hAnsi="Book Antiqua"/>
          <w:sz w:val="20"/>
        </w:rPr>
        <w:t xml:space="preserve">hese neutral atoms </w:t>
      </w:r>
      <w:r w:rsidR="006334BD">
        <w:rPr>
          <w:rFonts w:ascii="Book Antiqua" w:hAnsi="Book Antiqua"/>
          <w:sz w:val="20"/>
        </w:rPr>
        <w:t xml:space="preserve"> to </w:t>
      </w:r>
      <w:r w:rsidRPr="006334BD">
        <w:rPr>
          <w:rFonts w:ascii="Book Antiqua" w:hAnsi="Book Antiqua"/>
          <w:sz w:val="20"/>
        </w:rPr>
        <w:t>allow</w:t>
      </w:r>
      <w:r w:rsidRPr="00D81480">
        <w:rPr>
          <w:rFonts w:ascii="Book Antiqua" w:hAnsi="Book Antiqua"/>
          <w:sz w:val="20"/>
        </w:rPr>
        <w:t xml:space="preserve"> light to escape through the primordial plasma, forming the Cosmic Microwave Background Radiation (CMBR). The commonly quoted redshift of this event is about </w:t>
      </w:r>
      <m:oMath>
        <m:r>
          <w:rPr>
            <w:rFonts w:ascii="Cambria Math" w:hAnsi="Cambria Math"/>
            <w:sz w:val="20"/>
          </w:rPr>
          <m:t>z</m:t>
        </m:r>
        <m:r>
          <w:rPr>
            <w:rFonts w:ascii="Cambria Math" w:hAnsi="Book Antiqua"/>
            <w:sz w:val="20"/>
          </w:rPr>
          <m:t xml:space="preserve"> =1100</m:t>
        </m:r>
      </m:oMath>
      <w:r w:rsidRPr="00D81480">
        <w:rPr>
          <w:rFonts w:ascii="Book Antiqua" w:hAnsi="Book Antiqua"/>
          <w:sz w:val="20"/>
        </w:rPr>
        <w:t>. However, it is explicitly stated that the mean CMBR Gaussian peak does not occur precisely at</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1100</m:t>
        </m:r>
      </m:oMath>
      <w:r w:rsidRPr="00D81480">
        <w:rPr>
          <w:rFonts w:ascii="Book Antiqua" w:hAnsi="Book Antiqua"/>
          <w:sz w:val="20"/>
        </w:rPr>
        <w:t xml:space="preserve"> but rather occurs at </w:t>
      </w:r>
      <m:oMath>
        <m:r>
          <w:rPr>
            <w:rFonts w:ascii="Cambria Math" w:hAnsi="Cambria Math"/>
            <w:sz w:val="20"/>
          </w:rPr>
          <m:t>z</m:t>
        </m:r>
        <m:r>
          <w:rPr>
            <w:rFonts w:ascii="Cambria Math" w:hAnsi="Book Antiqua"/>
            <w:sz w:val="20"/>
          </w:rPr>
          <m:t xml:space="preserve"> = 1089 </m:t>
        </m:r>
        <m:r>
          <w:rPr>
            <w:rFonts w:ascii="Book Antiqua" w:hAnsi="Book Antiqua"/>
            <w:sz w:val="20"/>
          </w:rPr>
          <m:t>±</m:t>
        </m:r>
        <m:r>
          <w:rPr>
            <w:rFonts w:ascii="Cambria Math" w:hAnsi="Book Antiqua"/>
            <w:sz w:val="20"/>
          </w:rPr>
          <m:t xml:space="preserve"> 97</m:t>
        </m:r>
      </m:oMath>
      <w:r w:rsidRPr="00D81480">
        <w:rPr>
          <w:rFonts w:ascii="Book Antiqua" w:hAnsi="Book Antiqua"/>
          <w:sz w:val="20"/>
        </w:rPr>
        <w:t xml:space="preserve"> according to the WMAP satellite data [82]. Let us take the maximum value given by these data, namely </w:t>
      </w:r>
      <m:oMath>
        <m:r>
          <w:rPr>
            <w:rFonts w:ascii="Cambria Math" w:hAnsi="Book Antiqua"/>
            <w:sz w:val="20"/>
          </w:rPr>
          <m:t xml:space="preserve"> </m:t>
        </m:r>
        <m:r>
          <w:rPr>
            <w:rFonts w:ascii="Cambria Math" w:hAnsi="Cambria Math"/>
            <w:sz w:val="20"/>
          </w:rPr>
          <m:t>z</m:t>
        </m:r>
        <m:r>
          <w:rPr>
            <w:rFonts w:ascii="Cambria Math" w:hAnsi="Book Antiqua"/>
            <w:sz w:val="20"/>
          </w:rPr>
          <m:t xml:space="preserve"> = 1186</m:t>
        </m:r>
      </m:oMath>
      <w:r w:rsidRPr="00D81480">
        <w:rPr>
          <w:rFonts w:ascii="Book Antiqua" w:hAnsi="Book Antiqua"/>
          <w:sz w:val="20"/>
        </w:rPr>
        <w:t>, even though evidence is produced later that the redshift at the earliest time when neutral atom formation began may have been somewhat higher. These early redshifts represent the time that the ZPE had commenced to support atomic structures.</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ZPE then built up to its present strength</w:t>
      </w:r>
      <w:r w:rsidR="006334BD">
        <w:rPr>
          <w:rFonts w:ascii="Book Antiqua" w:hAnsi="Book Antiqua"/>
          <w:sz w:val="20"/>
        </w:rPr>
        <w:t>,</w:t>
      </w:r>
      <w:r w:rsidRPr="00D81480">
        <w:rPr>
          <w:rFonts w:ascii="Book Antiqua" w:hAnsi="Book Antiqua"/>
          <w:sz w:val="20"/>
        </w:rPr>
        <w:t xml:space="preserve"> </w:t>
      </w:r>
      <w:r w:rsidR="006334BD">
        <w:rPr>
          <w:rFonts w:ascii="Book Antiqua" w:hAnsi="Book Antiqua"/>
          <w:sz w:val="20"/>
        </w:rPr>
        <w:t>at which</w:t>
      </w:r>
      <w:r w:rsidRPr="006334BD">
        <w:rPr>
          <w:rFonts w:ascii="Book Antiqua" w:hAnsi="Book Antiqua"/>
          <w:sz w:val="20"/>
        </w:rPr>
        <w:t xml:space="preserve"> the electron is</w:t>
      </w:r>
      <w:r w:rsidRPr="00D81480">
        <w:rPr>
          <w:rFonts w:ascii="Book Antiqua" w:hAnsi="Book Antiqua"/>
          <w:sz w:val="20"/>
        </w:rPr>
        <w:t xml:space="preserve"> oscillating at an angular frequency of </w:t>
      </w:r>
      <m:oMath>
        <m:r>
          <w:rPr>
            <w:rFonts w:ascii="Cambria Math" w:hAnsi="Book Antiqua"/>
            <w:sz w:val="20"/>
          </w:rPr>
          <m:t xml:space="preserve">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D81480">
        <w:rPr>
          <w:rFonts w:ascii="Book Antiqua" w:hAnsi="Book Antiqua"/>
          <w:sz w:val="20"/>
        </w:rPr>
        <w:t xml:space="preserve"> resonant hits per second. This is determined by the linear Compton frequency of </w:t>
      </w:r>
      <m:oMath>
        <m:r>
          <w:rPr>
            <w:rFonts w:ascii="Cambria Math" w:hAnsi="Book Antiqua"/>
            <w:sz w:val="20"/>
          </w:rPr>
          <m:t xml:space="preserve">1.235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sSup>
          <m:sSupPr>
            <m:ctrlPr>
              <w:rPr>
                <w:rFonts w:ascii="Cambria Math" w:hAnsi="Book Antiqua"/>
                <w:i/>
                <w:sz w:val="20"/>
              </w:rPr>
            </m:ctrlPr>
          </m:sSupPr>
          <m:e>
            <m:r>
              <w:rPr>
                <w:rFonts w:ascii="Cambria Math" w:hAnsi="Cambria Math"/>
                <w:sz w:val="20"/>
              </w:rPr>
              <m:t>sec</m:t>
            </m:r>
          </m:e>
          <m:sup>
            <m:r>
              <w:rPr>
                <w:rFonts w:ascii="Cambria Math" w:hAnsi="Book Antiqua"/>
                <w:sz w:val="20"/>
              </w:rPr>
              <m:t>-</m:t>
            </m:r>
            <m:r>
              <w:rPr>
                <w:rFonts w:ascii="Cambria Math" w:hAnsi="Book Antiqua"/>
                <w:sz w:val="20"/>
              </w:rPr>
              <m:t>1</m:t>
            </m:r>
          </m:sup>
        </m:sSup>
      </m:oMath>
      <w:r w:rsidRPr="00D81480">
        <w:rPr>
          <w:rFonts w:ascii="Book Antiqua" w:hAnsi="Book Antiqua"/>
          <w:sz w:val="20"/>
        </w:rPr>
        <w:t xml:space="preserve"> multiplied by </w:t>
      </w:r>
      <m:oMath>
        <m:r>
          <w:rPr>
            <w:rFonts w:ascii="Cambria Math" w:hAnsi="Book Antiqua"/>
            <w:sz w:val="20"/>
          </w:rPr>
          <m:t>2</m:t>
        </m:r>
        <m:r>
          <w:rPr>
            <w:rFonts w:ascii="Cambria Math" w:hAnsi="Cambria Math"/>
            <w:sz w:val="20"/>
          </w:rPr>
          <m:t>π</m:t>
        </m:r>
      </m:oMath>
      <w:r w:rsidRPr="00D81480">
        <w:rPr>
          <w:rFonts w:ascii="Book Antiqua" w:hAnsi="Book Antiqua"/>
          <w:sz w:val="20"/>
        </w:rPr>
        <w:t xml:space="preserve">. There is thus some factor, </w:t>
      </w:r>
      <m:oMath>
        <m:r>
          <w:rPr>
            <w:rFonts w:ascii="Cambria Math" w:hAnsi="Cambria Math"/>
            <w:sz w:val="20"/>
          </w:rPr>
          <m:t>K</m:t>
        </m:r>
      </m:oMath>
      <w:r w:rsidRPr="00D81480">
        <w:rPr>
          <w:rFonts w:ascii="Book Antiqua" w:hAnsi="Book Antiqua"/>
          <w:sz w:val="20"/>
        </w:rPr>
        <w:t xml:space="preserve">, related to atomic orbits which require a threshold to be passed in the number of impacts on the electron before its initial orbit was attained.  In a similar fashion this </w:t>
      </w:r>
      <m:oMath>
        <m:r>
          <w:rPr>
            <w:rFonts w:ascii="Cambria Math" w:hAnsi="Cambria Math"/>
            <w:sz w:val="20"/>
          </w:rPr>
          <m:t>K</m:t>
        </m:r>
      </m:oMath>
      <w:r w:rsidRPr="00D81480">
        <w:rPr>
          <w:rFonts w:ascii="Book Antiqua" w:hAnsi="Book Antiqua"/>
          <w:sz w:val="20"/>
        </w:rPr>
        <w:t xml:space="preserve"> must be reached before a new orbit will be adopted. This is relevant for</w:t>
      </w:r>
      <w:r w:rsidRPr="00D81480">
        <w:rPr>
          <w:rFonts w:ascii="Book Antiqua" w:hAnsi="Book Antiqua"/>
          <w:i/>
          <w:sz w:val="20"/>
        </w:rPr>
        <w:t xml:space="preserve"> </w:t>
      </w: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oMath>
      <w:r w:rsidRPr="00D81480">
        <w:rPr>
          <w:rFonts w:ascii="Book Antiqua" w:hAnsi="Book Antiqua"/>
          <w:sz w:val="20"/>
        </w:rPr>
        <w:t xml:space="preserve"> (the current mean free path) which we now must use as the standard of measurement.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if the current standards are used, all the other quantities must be expressed in terms of those standards. We can thus write </w:t>
      </w:r>
      <m:oMath>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1; </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1</m:t>
        </m:r>
      </m:oMath>
      <w:r w:rsidRPr="00D81480">
        <w:rPr>
          <w:rFonts w:ascii="Book Antiqua" w:hAnsi="Book Antiqua"/>
          <w:sz w:val="20"/>
        </w:rPr>
        <w:t xml:space="preserve"> and all other quantities must be adjusted to be in accord with these standards. In line with this we also put </w:t>
      </w:r>
      <m:oMath>
        <m:sSub>
          <m:sSubPr>
            <m:ctrlPr>
              <w:rPr>
                <w:rFonts w:ascii="Cambria Math" w:hAnsi="Book Antiqua"/>
                <w:i/>
                <w:sz w:val="20"/>
              </w:rPr>
            </m:ctrlPr>
          </m:sSubPr>
          <m:e>
            <m:r>
              <w:rPr>
                <w:rFonts w:ascii="Cambria Math" w:hAnsi="Cambria Math"/>
                <w:sz w:val="20"/>
              </w:rPr>
              <m:t>z</m:t>
            </m:r>
          </m:e>
          <m:sub>
            <m:r>
              <w:rPr>
                <w:rFonts w:ascii="Cambria Math" w:hAnsi="Cambria Math"/>
                <w:sz w:val="20"/>
              </w:rPr>
              <m:t>a</m:t>
            </m:r>
          </m:sub>
        </m:sSub>
        <m:r>
          <w:rPr>
            <w:rFonts w:ascii="Cambria Math" w:hAnsi="Book Antiqua"/>
            <w:sz w:val="20"/>
            <w:vertAlign w:val="subscript"/>
          </w:rPr>
          <m:t xml:space="preserve"> </m:t>
        </m:r>
        <m:r>
          <w:rPr>
            <w:rFonts w:ascii="Cambria Math" w:hAnsi="Book Antiqua"/>
            <w:sz w:val="20"/>
          </w:rPr>
          <m:t>= 0</m:t>
        </m:r>
      </m:oMath>
      <w:r w:rsidRPr="00D81480">
        <w:rPr>
          <w:rFonts w:ascii="Book Antiqua" w:hAnsi="Book Antiqua"/>
          <w:sz w:val="20"/>
        </w:rPr>
        <w:t>. This means that, from (22), (33), (34), (35) and (39) we have</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right"/>
        <w:rPr>
          <w:oMath/>
          <w:rFonts w:ascii="Cambria Math" w:hAnsi="Book Antiqua"/>
          <w:sz w:val="20"/>
        </w:rPr>
      </w:pPr>
      <m:oMath>
        <m:r>
          <w:rPr>
            <w:rFonts w:ascii="Cambria Math" w:hAnsi="Book Antiqua"/>
            <w:sz w:val="20"/>
          </w:rPr>
          <m:t>1/</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W</m:t>
            </m:r>
          </m:e>
          <m:sub>
            <m:r>
              <w:rPr>
                <w:rFonts w:ascii="Cambria Math" w:hAnsi="Cambria Math"/>
                <w:sz w:val="20"/>
              </w:rPr>
              <m:t>b</m:t>
            </m:r>
          </m:sub>
        </m:sSub>
        <m:r>
          <w:rPr>
            <w:rFonts w:ascii="Cambria Math" w:hAnsi="Book Antiqua"/>
            <w:sz w:val="20"/>
          </w:rPr>
          <m:t xml:space="preserve">/1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/1  ~  (</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r>
          <w:rPr>
            <w:rFonts w:ascii="Cambria Math" w:hAnsi="Cambria Math"/>
            <w:sz w:val="20"/>
          </w:rPr>
          <m:t>K</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 </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t>(41)</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We can now use the behavior of the mean free path, </w:t>
      </w:r>
      <m:oMath>
        <m:r>
          <w:rPr>
            <w:rFonts w:ascii="Cambria Math" w:hAnsi="Cambria Math"/>
            <w:sz w:val="20"/>
          </w:rPr>
          <m:t>λ</m:t>
        </m:r>
      </m:oMath>
      <w:r w:rsidRPr="00D81480">
        <w:rPr>
          <w:rFonts w:ascii="Book Antiqua" w:hAnsi="Book Antiqua"/>
          <w:sz w:val="20"/>
        </w:rPr>
        <w:t xml:space="preserve">, and the redshift to determine the value of </w:t>
      </w:r>
      <m:oMath>
        <m:r>
          <w:rPr>
            <w:rFonts w:ascii="Cambria Math" w:hAnsi="Cambria Math"/>
            <w:sz w:val="20"/>
          </w:rPr>
          <m:t>K</m:t>
        </m:r>
      </m:oMath>
      <w:r w:rsidRPr="00D81480">
        <w:rPr>
          <w:rFonts w:ascii="Book Antiqua" w:hAnsi="Book Antiqua"/>
          <w:sz w:val="20"/>
        </w:rPr>
        <w:t xml:space="preserve"> .  In order to do so we add the information from (34) to (41) and obtain:</w:t>
      </w:r>
    </w:p>
    <w:p w:rsidR="00D81480" w:rsidRPr="00D81480" w:rsidRDefault="00D81480" w:rsidP="00D81480">
      <w:pPr>
        <w:pStyle w:val="NoSpacing"/>
        <w:ind w:firstLine="720"/>
        <w:jc w:val="both"/>
        <w:rPr>
          <w:rFonts w:ascii="Book Antiqua" w:hAnsi="Book Antiqua"/>
          <w:sz w:val="20"/>
        </w:rPr>
      </w:pPr>
    </w:p>
    <w:p w:rsidR="00D81480" w:rsidRPr="00D81480" w:rsidRDefault="007B3EBC" w:rsidP="00D81480">
      <w:pPr>
        <w:pStyle w:val="NoSpacing"/>
        <w:ind w:firstLine="720"/>
        <w:jc w:val="right"/>
        <w:rPr>
          <w:rFonts w:ascii="Book Antiqua" w:hAnsi="Book Antiqua"/>
          <w:i/>
          <w:sz w:val="20"/>
        </w:rPr>
      </w:pPr>
      <m:oMath>
        <m:sSub>
          <m:sSubPr>
            <m:ctrlPr>
              <w:rPr>
                <w:rFonts w:ascii="Cambria Math" w:hAnsi="Book Antiqua"/>
                <w:i/>
                <w:sz w:val="20"/>
              </w:rPr>
            </m:ctrlPr>
          </m:sSubPr>
          <m:e>
            <m:sSub>
              <m:sSubPr>
                <m:ctrlPr>
                  <w:rPr>
                    <w:rFonts w:ascii="Cambria Math" w:hAnsi="Book Antiqua"/>
                    <w:i/>
                    <w:sz w:val="20"/>
                  </w:rPr>
                </m:ctrlPr>
              </m:sSubPr>
              <m:e>
                <m:r>
                  <w:rPr>
                    <w:rFonts w:ascii="Cambria Math" w:hAnsi="Cambria Math"/>
                    <w:sz w:val="20"/>
                  </w:rPr>
                  <m:t>U</m:t>
                </m:r>
              </m:e>
              <m:sub>
                <m:r>
                  <w:rPr>
                    <w:rFonts w:ascii="Cambria Math" w:hAnsi="Cambria Math"/>
                    <w:sz w:val="20"/>
                  </w:rPr>
                  <m:t>a</m:t>
                </m:r>
              </m:sub>
            </m:sSub>
            <m:r>
              <w:rPr>
                <w:rFonts w:ascii="Cambria Math" w:hAnsi="Book Antiqua"/>
                <w:sz w:val="20"/>
              </w:rPr>
              <m:t>/</m:t>
            </m:r>
            <m:sSub>
              <m:sSubPr>
                <m:ctrlPr>
                  <w:rPr>
                    <w:rFonts w:ascii="Cambria Math" w:hAnsi="Book Antiqua"/>
                    <w:i/>
                    <w:sz w:val="20"/>
                  </w:rPr>
                </m:ctrlPr>
              </m:sSubPr>
              <m:e>
                <m:r>
                  <w:rPr>
                    <w:rFonts w:ascii="Cambria Math" w:hAnsi="Cambria Math"/>
                    <w:sz w:val="20"/>
                  </w:rPr>
                  <m:t>U</m:t>
                </m:r>
              </m:e>
              <m:sub>
                <m:r>
                  <w:rPr>
                    <w:rFonts w:ascii="Cambria Math" w:hAnsi="Cambria Math"/>
                    <w:sz w:val="20"/>
                  </w:rPr>
                  <m:t>b</m:t>
                </m:r>
              </m:sub>
            </m:sSub>
            <m:r>
              <w:rPr>
                <w:rFonts w:ascii="Cambria Math" w:hAnsi="Book Antiqua"/>
                <w:sz w:val="20"/>
              </w:rPr>
              <m:t xml:space="preserve"> =</m:t>
            </m:r>
            <m:r>
              <w:rPr>
                <w:rFonts w:ascii="Cambria Math" w:hAnsi="Cambria Math"/>
                <w:sz w:val="20"/>
              </w:rPr>
              <m:t>W</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W</m:t>
            </m:r>
          </m:e>
          <m:sub>
            <m:r>
              <w:rPr>
                <w:rFonts w:ascii="Cambria Math" w:hAnsi="Cambria Math"/>
                <w:sz w:val="20"/>
              </w:rPr>
              <m:t>a</m:t>
            </m:r>
          </m:sub>
        </m:sSub>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r</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r</m:t>
            </m:r>
          </m:e>
          <m:sub>
            <m:r>
              <w:rPr>
                <w:rFonts w:ascii="Cambria Math" w:hAnsi="Cambria Math"/>
                <w:sz w:val="20"/>
              </w:rPr>
              <m:t>a</m:t>
            </m:r>
          </m:sub>
        </m:sSub>
        <m:r>
          <w:rPr>
            <w:rFonts w:ascii="Cambria Math" w:hAnsi="Book Antiqua"/>
            <w:sz w:val="20"/>
          </w:rPr>
          <m:t xml:space="preserve"> = </m:t>
        </m:r>
        <m:r>
          <w:rPr>
            <w:rFonts w:ascii="Cambria Math"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m:t>
        </m:r>
        <m:sSub>
          <m:sSubPr>
            <m:ctrlPr>
              <w:rPr>
                <w:rFonts w:ascii="Cambria Math" w:hAnsi="Book Antiqua"/>
                <w:i/>
                <w:sz w:val="20"/>
              </w:rPr>
            </m:ctrlPr>
          </m:sSubPr>
          <m:e>
            <m:r>
              <w:rPr>
                <w:rFonts w:ascii="Cambria Math" w:hAnsi="Cambria Math"/>
                <w:sz w:val="20"/>
              </w:rPr>
              <m:t>z</m:t>
            </m:r>
          </m:e>
          <m:sub>
            <m:r>
              <w:rPr>
                <w:rFonts w:ascii="Cambria Math" w:hAnsi="Cambria Math"/>
                <w:sz w:val="20"/>
              </w:rPr>
              <m:t>b</m:t>
            </m:r>
          </m:sub>
        </m:sSub>
        <m:r>
          <w:rPr>
            <w:rFonts w:ascii="Cambria Math" w:hAnsi="Book Antiqua"/>
            <w:sz w:val="20"/>
          </w:rPr>
          <m:t xml:space="preserve"> + 1)/1</m:t>
        </m:r>
      </m:oMath>
      <w:r w:rsidR="00D81480" w:rsidRPr="00D81480">
        <w:rPr>
          <w:rFonts w:ascii="Book Antiqua" w:hAnsi="Book Antiqua"/>
          <w:i/>
          <w:sz w:val="20"/>
        </w:rPr>
        <w:t xml:space="preserve"> .</w:t>
      </w:r>
      <w:r w:rsidR="00D81480" w:rsidRPr="00D81480">
        <w:rPr>
          <w:rFonts w:ascii="Book Antiqua" w:hAnsi="Book Antiqua"/>
          <w:i/>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(42)</w:t>
      </w: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w:t>
      </w:r>
    </w:p>
    <w:p w:rsidR="00D81480" w:rsidRPr="00D81480" w:rsidRDefault="00D81480" w:rsidP="00D81480">
      <w:pPr>
        <w:pStyle w:val="NoSpacing"/>
        <w:ind w:firstLine="720"/>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We note that equation (36) shows that there are two factors which govern the behavior of the mean free path, </w:t>
      </w:r>
      <m:oMath>
        <m:r>
          <w:rPr>
            <w:rFonts w:ascii="Cambria Math" w:hAnsi="Cambria Math"/>
            <w:sz w:val="20"/>
          </w:rPr>
          <m:t>λ</m:t>
        </m:r>
      </m:oMath>
      <w:r w:rsidRPr="00D81480">
        <w:rPr>
          <w:rFonts w:ascii="Book Antiqua" w:hAnsi="Book Antiqua"/>
          <w:sz w:val="20"/>
        </w:rPr>
        <w:t xml:space="preserve">. The first of these is the number of hits per second, </w:t>
      </w:r>
      <m:oMath>
        <m:r>
          <w:rPr>
            <w:rFonts w:ascii="Cambria Math" w:hAnsi="Cambria Math"/>
            <w:sz w:val="20"/>
          </w:rPr>
          <m:t>H</m:t>
        </m:r>
      </m:oMath>
      <w:r w:rsidRPr="00D81480">
        <w:rPr>
          <w:rFonts w:ascii="Book Antiqua" w:hAnsi="Book Antiqua"/>
          <w:sz w:val="20"/>
        </w:rPr>
        <w:t xml:space="preserve">, being received by the electron as it travels. The second is the velocity of the electron, </w:t>
      </w:r>
      <m:oMath>
        <m:r>
          <w:rPr>
            <w:rFonts w:ascii="Cambria Math" w:hAnsi="Cambria Math"/>
            <w:sz w:val="20"/>
          </w:rPr>
          <m:t>v</m:t>
        </m:r>
      </m:oMath>
      <w:r w:rsidRPr="00D81480">
        <w:rPr>
          <w:rFonts w:ascii="Book Antiqua" w:hAnsi="Book Antiqua"/>
          <w:sz w:val="20"/>
        </w:rPr>
        <w:t xml:space="preserve">, as shown in (35). With this in mind, we can write </w:t>
      </w:r>
    </w:p>
    <w:p w:rsidR="00D81480" w:rsidRPr="00D81480" w:rsidRDefault="00D81480" w:rsidP="00D81480">
      <w:pPr>
        <w:pStyle w:val="NoSpacing"/>
        <w:jc w:val="both"/>
        <w:rPr>
          <w:rFonts w:ascii="Book Antiqua" w:hAnsi="Book Antiqua"/>
          <w:sz w:val="20"/>
        </w:rPr>
      </w:pPr>
    </w:p>
    <w:p w:rsidR="00D81480" w:rsidRPr="00D81480" w:rsidRDefault="007B3EBC" w:rsidP="00D81480">
      <w:pPr>
        <w:pStyle w:val="NoSpacing"/>
        <w:ind w:firstLine="720"/>
        <w:jc w:val="right"/>
        <w:rPr>
          <w:rFonts w:ascii="Book Antiqua" w:hAnsi="Book Antiqua"/>
          <w:sz w:val="20"/>
        </w:rPr>
      </w:pPr>
      <m:oMath>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H</m:t>
        </m:r>
      </m:oMath>
      <w:r w:rsidR="00D81480" w:rsidRPr="00D81480">
        <w:rPr>
          <w:rFonts w:ascii="Book Antiqua" w:hAnsi="Book Antiqua"/>
          <w:sz w:val="20"/>
        </w:rPr>
        <w:t xml:space="preserve"> .</w:t>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sz w:val="20"/>
        </w:rPr>
        <w:tab/>
      </w:r>
      <w:r w:rsidR="00D81480" w:rsidRPr="00D81480">
        <w:rPr>
          <w:rFonts w:ascii="Book Antiqua" w:hAnsi="Book Antiqua"/>
          <w:i/>
          <w:sz w:val="20"/>
        </w:rPr>
        <w:t>(43)</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Therefore (43) becomes:</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hAnsi="Book Antiqua"/>
            <w:sz w:val="20"/>
          </w:rPr>
          <m:t>√</m:t>
        </m:r>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b</m:t>
            </m:r>
          </m:sub>
        </m:sSub>
        <m:r>
          <w:rPr>
            <w:rFonts w:ascii="Cambria Math" w:hAnsi="Book Antiqua"/>
            <w:sz w:val="20"/>
          </w:rPr>
          <m:t>)/(</m:t>
        </m:r>
        <m:sSub>
          <m:sSubPr>
            <m:ctrlPr>
              <w:rPr>
                <w:rFonts w:ascii="Cambria Math" w:hAnsi="Book Antiqua"/>
                <w:i/>
                <w:sz w:val="20"/>
              </w:rPr>
            </m:ctrlPr>
          </m:sSubPr>
          <m:e>
            <m:r>
              <w:rPr>
                <w:rFonts w:ascii="Cambria Math" w:hAnsi="Cambria Math"/>
                <w:sz w:val="20"/>
              </w:rPr>
              <m:t>λ</m:t>
            </m:r>
          </m:e>
          <m:sub>
            <m:r>
              <w:rPr>
                <w:rFonts w:ascii="Cambria Math" w:hAnsi="Cambria Math"/>
                <w:sz w:val="20"/>
              </w:rPr>
              <m:t>a</m:t>
            </m:r>
          </m:sub>
        </m:sSub>
        <m:r>
          <w:rPr>
            <w:rFonts w:ascii="Cambria Math" w:hAnsi="Book Antiqua"/>
            <w:sz w:val="20"/>
          </w:rPr>
          <m:t xml:space="preserve">)]= </m:t>
        </m:r>
        <m:r>
          <w:rPr>
            <w:rFonts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λ</m:t>
            </m:r>
            <m:r>
              <w:rPr>
                <w:rFonts w:ascii="Cambria Math" w:hAnsi="Book Antiqua"/>
                <w:sz w:val="20"/>
              </w:rPr>
              <m:t xml:space="preserve"> </m:t>
            </m:r>
          </m:e>
          <m:sub>
            <m:r>
              <w:rPr>
                <w:rFonts w:ascii="Cambria Math" w:hAnsi="Cambria Math"/>
                <w:sz w:val="20"/>
              </w:rPr>
              <m:t>b</m:t>
            </m:r>
          </m:sub>
        </m:sSub>
        <m:r>
          <w:rPr>
            <w:rFonts w:ascii="Cambria Math" w:hAnsi="Book Antiqua"/>
            <w:sz w:val="20"/>
          </w:rPr>
          <m:t>/1)/(</m:t>
        </m:r>
        <m:r>
          <w:rPr>
            <w:rFonts w:ascii="Cambria Math" w:hAnsi="Cambria Math"/>
            <w:sz w:val="20"/>
          </w:rPr>
          <m:t>v</m:t>
        </m:r>
        <m:r>
          <w:rPr>
            <w:rFonts w:ascii="Cambria Math" w:hAnsi="Book Antiqua"/>
            <w:sz w:val="20"/>
          </w:rPr>
          <m:t>/</m:t>
        </m:r>
        <m:r>
          <w:rPr>
            <w:rFonts w:ascii="Cambria Math" w:hAnsi="Cambria Math"/>
            <w:sz w:val="20"/>
          </w:rPr>
          <m:t>H</m:t>
        </m:r>
        <m:r>
          <w:rPr>
            <w:rFonts w:ascii="Cambria Math" w:hAnsi="Book Antiqua"/>
            <w:sz w:val="20"/>
          </w:rPr>
          <m:t xml:space="preserve">)]  </m:t>
        </m:r>
      </m:oMath>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r>
      <w:r w:rsidRPr="00D81480">
        <w:rPr>
          <w:rFonts w:ascii="Book Antiqua" w:hAnsi="Book Antiqua"/>
          <w:i/>
          <w:sz w:val="20"/>
        </w:rPr>
        <w:tab/>
        <w:t>(44)</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both"/>
        <w:rPr>
          <w:rFonts w:ascii="Book Antiqua" w:hAnsi="Book Antiqua"/>
          <w:sz w:val="20"/>
        </w:rPr>
      </w:pPr>
      <w:r w:rsidRPr="00D81480">
        <w:rPr>
          <w:rFonts w:ascii="Book Antiqua" w:hAnsi="Book Antiqua"/>
          <w:sz w:val="20"/>
        </w:rPr>
        <w:t xml:space="preserve">The number of resonant hits per second today gives an angular frequency of oscillation for the electron of </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7.759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sec</m:t>
            </m:r>
          </m:e>
          <m:sup>
            <m:r>
              <w:rPr>
                <w:rFonts w:hAnsi="Book Antiqua"/>
                <w:sz w:val="20"/>
              </w:rPr>
              <m:t>-</m:t>
            </m:r>
            <m:r>
              <w:rPr>
                <w:rFonts w:ascii="Cambria Math" w:hAnsi="Book Antiqua"/>
                <w:sz w:val="20"/>
              </w:rPr>
              <m:t>1</m:t>
            </m:r>
          </m:sup>
        </m:sSup>
      </m:oMath>
      <w:r w:rsidRPr="00D81480">
        <w:rPr>
          <w:rFonts w:ascii="Book Antiqua" w:hAnsi="Book Antiqua"/>
          <w:sz w:val="20"/>
        </w:rPr>
        <w:t>.</w:t>
      </w:r>
      <w:r w:rsidRPr="00D81480">
        <w:rPr>
          <w:rFonts w:ascii="Book Antiqua" w:hAnsi="Book Antiqua"/>
          <w:sz w:val="20"/>
          <w:vertAlign w:val="superscript"/>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(45)</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The next item to be considered is the magnitude of the velocity (</w:t>
      </w:r>
      <m:oMath>
        <m:r>
          <w:rPr>
            <w:rFonts w:ascii="Cambria Math" w:hAnsi="Cambria Math"/>
            <w:sz w:val="20"/>
          </w:rPr>
          <m:t>v</m:t>
        </m:r>
      </m:oMath>
      <w:r w:rsidRPr="00D81480">
        <w:rPr>
          <w:rFonts w:ascii="Book Antiqua" w:hAnsi="Book Antiqua"/>
          <w:sz w:val="20"/>
        </w:rPr>
        <w:t>) in equations (43) and (44).  The actual orbit velocity is related to this straight line velocity of the electron between impacts. What is relevant here is the change in velocity due to the change in orbit radii. The equation which links velocity and radius in atomic orbits is the standard</w:t>
      </w:r>
    </w:p>
    <w:p w:rsidR="00D81480" w:rsidRPr="00D81480" w:rsidRDefault="00D81480" w:rsidP="00D81480">
      <w:pPr>
        <w:pStyle w:val="NoSpacing"/>
        <w:jc w:val="both"/>
        <w:rPr>
          <w:rFonts w:ascii="Book Antiqua" w:hAnsi="Book Antiqua"/>
          <w:sz w:val="20"/>
        </w:rPr>
      </w:pPr>
    </w:p>
    <w:p w:rsidR="00D81480" w:rsidRPr="00D81480" w:rsidRDefault="00D81480" w:rsidP="00D81480">
      <w:pPr>
        <w:pStyle w:val="NoSpacing"/>
        <w:ind w:firstLine="720"/>
        <w:jc w:val="right"/>
        <w:rPr>
          <w:rFonts w:ascii="Book Antiqua" w:hAnsi="Book Antiqua"/>
          <w:i/>
          <w:sz w:val="20"/>
        </w:rPr>
      </w:pPr>
      <m:oMath>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r>
          <w:rPr>
            <w:rFonts w:ascii="Cambria Math" w:hAnsi="Cambria Math"/>
            <w:sz w:val="20"/>
          </w:rPr>
          <m:t>r</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oMath>
      <w:r w:rsidRPr="00D81480">
        <w:rPr>
          <w:rFonts w:ascii="Book Antiqua" w:hAnsi="Book Antiqua"/>
          <w:sz w:val="20"/>
        </w:rPr>
        <w:t xml:space="preserve"> .</w:t>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sz w:val="20"/>
        </w:rPr>
        <w:tab/>
      </w:r>
      <w:r w:rsidRPr="00D81480">
        <w:rPr>
          <w:rFonts w:ascii="Book Antiqua" w:hAnsi="Book Antiqua"/>
          <w:i/>
          <w:sz w:val="20"/>
        </w:rPr>
        <w:t xml:space="preserve"> (46)</w:t>
      </w:r>
    </w:p>
    <w:p w:rsidR="00D81480" w:rsidRPr="00D81480" w:rsidRDefault="00D81480" w:rsidP="00D81480">
      <w:pPr>
        <w:pStyle w:val="NoSpacing"/>
        <w:jc w:val="both"/>
        <w:rPr>
          <w:rFonts w:ascii="Book Antiqua" w:hAnsi="Book Antiqua"/>
          <w:i/>
          <w:sz w:val="20"/>
        </w:rPr>
      </w:pPr>
    </w:p>
    <w:p w:rsidR="00D81480" w:rsidRPr="00D81480" w:rsidRDefault="00D81480" w:rsidP="00D81480">
      <w:pPr>
        <w:pStyle w:val="NoSpacing"/>
        <w:ind w:firstLine="720"/>
        <w:jc w:val="both"/>
        <w:rPr>
          <w:rFonts w:ascii="Book Antiqua" w:hAnsi="Book Antiqua"/>
          <w:sz w:val="20"/>
        </w:rPr>
      </w:pPr>
      <w:r w:rsidRPr="00D81480">
        <w:rPr>
          <w:rFonts w:ascii="Book Antiqua" w:hAnsi="Book Antiqua"/>
          <w:sz w:val="20"/>
        </w:rPr>
        <w:t xml:space="preserve">However, we are only concerned with the effects that a change in orbit radius has on velocity. At that change, and at all quantum changes, </w:t>
      </w:r>
      <m:oMath>
        <m:r>
          <w:rPr>
            <w:rFonts w:ascii="Cambria Math" w:hAnsi="Cambria Math"/>
            <w:sz w:val="20"/>
          </w:rPr>
          <m:t>m</m:t>
        </m:r>
      </m:oMath>
      <w:r w:rsidRPr="00D81480">
        <w:rPr>
          <w:rFonts w:ascii="Book Antiqua" w:hAnsi="Book Antiqua"/>
          <w:sz w:val="20"/>
        </w:rPr>
        <w:t xml:space="preserve"> is constant, since there is only an infinitesimally small change in </w:t>
      </w:r>
      <m:oMath>
        <m:r>
          <w:rPr>
            <w:rFonts w:ascii="Cambria Math" w:hAnsi="Cambria Math"/>
            <w:sz w:val="20"/>
          </w:rPr>
          <m:t>U</m:t>
        </m:r>
      </m:oMath>
      <w:r w:rsidRPr="00D81480">
        <w:rPr>
          <w:rFonts w:ascii="Book Antiqua" w:hAnsi="Book Antiqua"/>
          <w:sz w:val="20"/>
        </w:rPr>
        <w:t xml:space="preserve">. Equation (46) then shows us that any change in orbit radius, </w:t>
      </w:r>
      <m:oMath>
        <m:r>
          <w:rPr>
            <w:rFonts w:ascii="Cambria Math" w:hAnsi="Cambria Math"/>
            <w:sz w:val="20"/>
          </w:rPr>
          <m:t>r</m:t>
        </m:r>
      </m:oMath>
      <w:r w:rsidRPr="00D81480">
        <w:rPr>
          <w:rFonts w:ascii="Book Antiqua" w:hAnsi="Book Antiqua"/>
          <w:sz w:val="20"/>
        </w:rPr>
        <w:t>, will produce a change in electron velocity,</w:t>
      </w:r>
      <w:r w:rsidRPr="00D81480">
        <w:rPr>
          <w:rFonts w:ascii="Book Antiqua" w:hAnsi="Book Antiqua"/>
          <w:i/>
          <w:sz w:val="20"/>
        </w:rPr>
        <w:t xml:space="preserve"> </w:t>
      </w:r>
      <m:oMath>
        <m:r>
          <w:rPr>
            <w:rFonts w:ascii="Cambria Math" w:hAnsi="Cambria Math"/>
            <w:sz w:val="20"/>
          </w:rPr>
          <m:t>v</m:t>
        </m:r>
      </m:oMath>
      <w:r w:rsidRPr="00D81480">
        <w:rPr>
          <w:rFonts w:ascii="Book Antiqua" w:hAnsi="Book Antiqua"/>
          <w:sz w:val="20"/>
        </w:rPr>
        <w:t>, such that</w:t>
      </w:r>
    </w:p>
    <w:p w:rsidR="00D81480" w:rsidRPr="00355340" w:rsidRDefault="00D81480" w:rsidP="00D81480">
      <w:pPr>
        <w:pStyle w:val="NoSpacing"/>
        <w:jc w:val="both"/>
        <w:rPr>
          <w:sz w:val="20"/>
        </w:rPr>
      </w:pPr>
    </w:p>
    <w:p w:rsidR="00D81480" w:rsidRDefault="00D81480" w:rsidP="00265840">
      <w:pPr>
        <w:pStyle w:val="NoSpacing"/>
        <w:ind w:firstLine="720"/>
        <w:jc w:val="both"/>
        <w:rPr>
          <w:rFonts w:ascii="Book Antiqua" w:hAnsi="Book Antiqua"/>
          <w:sz w:val="20"/>
        </w:rPr>
      </w:pPr>
    </w:p>
    <w:p w:rsidR="00D81480" w:rsidRDefault="00D81480" w:rsidP="00265840">
      <w:pPr>
        <w:pStyle w:val="NoSpacing"/>
        <w:ind w:firstLine="720"/>
        <w:jc w:val="both"/>
        <w:rPr>
          <w:rFonts w:ascii="Book Antiqua" w:hAnsi="Book Antiqua"/>
          <w:sz w:val="20"/>
        </w:rPr>
      </w:pPr>
    </w:p>
    <w:p w:rsidR="00265840" w:rsidRPr="00372C58" w:rsidRDefault="007B3EBC" w:rsidP="00265840">
      <w:pPr>
        <w:pStyle w:val="NoSpacing"/>
        <w:ind w:firstLine="720"/>
        <w:jc w:val="right"/>
        <w:rPr>
          <w:rFonts w:ascii="Book Antiqua" w:hAnsi="Book Antiqua"/>
          <w:i/>
          <w:sz w:val="20"/>
        </w:rPr>
      </w:pPr>
      <m:oMath>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  ~ 1/r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(47)</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v  ~  √(1/r)</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(48)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From (42) we also have the relationship between the redshift and orbit radii which shows that orbit radii,</w:t>
      </w:r>
      <w:r w:rsidRPr="00372C58">
        <w:rPr>
          <w:rFonts w:ascii="Book Antiqua" w:hAnsi="Book Antiqua"/>
          <w:i/>
          <w:sz w:val="20"/>
        </w:rPr>
        <w:t xml:space="preserve"> </w:t>
      </w:r>
      <m:oMath>
        <m:r>
          <w:rPr>
            <w:rFonts w:ascii="Cambria Math" w:hAnsi="Cambria Math"/>
            <w:sz w:val="20"/>
          </w:rPr>
          <m:t>r</m:t>
        </m:r>
      </m:oMath>
      <w:r w:rsidRPr="00372C58">
        <w:rPr>
          <w:rFonts w:ascii="Book Antiqua" w:hAnsi="Book Antiqua"/>
          <w:sz w:val="20"/>
        </w:rPr>
        <w:t xml:space="preserve">, are proportional to </w:t>
      </w:r>
      <m:oMath>
        <m:r>
          <w:rPr>
            <w:rFonts w:ascii="Cambria Math" w:hAnsi="Cambria Math"/>
            <w:sz w:val="20"/>
          </w:rPr>
          <m:t>(z + 1)</m:t>
        </m:r>
      </m:oMath>
      <w:r w:rsidRPr="00372C58">
        <w:rPr>
          <w:rFonts w:ascii="Book Antiqua" w:hAnsi="Book Antiqua"/>
          <w:sz w:val="20"/>
        </w:rPr>
        <w:t xml:space="preserve">. Thus we have </w:t>
      </w:r>
      <m:oMath>
        <m:r>
          <w:rPr>
            <w:rFonts w:ascii="Cambria Math" w:hAnsi="Cambria Math"/>
            <w:sz w:val="20"/>
          </w:rPr>
          <m:t>(z + 1) = 1187</m:t>
        </m:r>
      </m:oMath>
      <w:r w:rsidRPr="00372C58">
        <w:rPr>
          <w:rFonts w:ascii="Book Antiqua" w:hAnsi="Book Antiqua"/>
          <w:sz w:val="20"/>
        </w:rPr>
        <w:t xml:space="preserve"> as the generally accepted time of the beginning of the CMBR formation.  As a result, we then get that </w:t>
      </w:r>
    </w:p>
    <w:p w:rsidR="00265840" w:rsidRPr="00372C58" w:rsidRDefault="00265840" w:rsidP="00265840">
      <w:pPr>
        <w:pStyle w:val="NoSpacing"/>
        <w:ind w:firstLine="720"/>
        <w:jc w:val="both"/>
        <w:rPr>
          <w:rFonts w:ascii="Book Antiqua" w:hAnsi="Book Antiqua"/>
          <w:sz w:val="20"/>
        </w:rPr>
      </w:pPr>
    </w:p>
    <w:p w:rsidR="00265840" w:rsidRPr="00372C58" w:rsidRDefault="007B3EB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+1)/1 = 1187</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(49)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leads to the proportionality that</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/1187</m:t>
        </m:r>
      </m:oMath>
      <w:r w:rsidR="00265840" w:rsidRPr="00372C58">
        <w:rPr>
          <w:rFonts w:ascii="Book Antiqua" w:hAnsi="Book Antiqua"/>
          <w:i/>
          <w:sz w:val="20"/>
        </w:rPr>
        <w:t xml:space="preserve"> .</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Thus, the orbit radius now,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rFonts w:ascii="Book Antiqua" w:hAnsi="Book Antiqua"/>
          <w:sz w:val="20"/>
        </w:rPr>
        <w:t xml:space="preserve">, is </w:t>
      </w:r>
      <w:r w:rsidRPr="00372C58">
        <w:rPr>
          <w:rFonts w:ascii="Book Antiqua" w:hAnsi="Book Antiqua"/>
          <w:i/>
          <w:sz w:val="20"/>
        </w:rPr>
        <w:t>(1/1187)</w:t>
      </w:r>
      <w:r w:rsidRPr="00372C58">
        <w:rPr>
          <w:rFonts w:ascii="Book Antiqua" w:hAnsi="Book Antiqua"/>
          <w:sz w:val="20"/>
        </w:rPr>
        <w:t xml:space="preserve"> of what it was at the time of the formation of the CMBR. This helps us find the change in velocity due to orbit radii changes since, from (48) we find that</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ind w:firstLine="720"/>
        <w:jc w:val="right"/>
        <w:rPr>
          <w:rFonts w:ascii="Book Antiqua" w:hAnsi="Book Antiqua"/>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r>
          <w:rPr>
            <w:rFonts w:ascii="Cambria Math" w:hAnsi="Cambria Math"/>
            <w:sz w:val="20"/>
          </w:rPr>
          <m:t>)</m:t>
        </m:r>
      </m:oMath>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(51)</w:t>
      </w:r>
    </w:p>
    <w:p w:rsidR="00265840" w:rsidRPr="00372C58" w:rsidRDefault="00265840" w:rsidP="00265840">
      <w:pPr>
        <w:pStyle w:val="NoSpacing"/>
        <w:ind w:firstLine="720"/>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Therefore, from (50) and (51) we get</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ind w:firstLine="720"/>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a</m:t>
            </m:r>
          </m:sub>
        </m:sSub>
        <m:r>
          <w:rPr>
            <w:rFonts w:ascii="Cambria Math" w:hAnsi="Cambria Math"/>
            <w:sz w:val="20"/>
          </w:rPr>
          <m:t xml:space="preserve">  ~  √[1/(1/1187)] = √1187 = 34.45= v </m:t>
        </m:r>
      </m:oMath>
      <w:r w:rsidR="00265840" w:rsidRPr="00372C58">
        <w:rPr>
          <w:rFonts w:ascii="Book Antiqua" w:hAnsi="Book Antiqua"/>
          <w:i/>
          <w:sz w:val="20"/>
        </w:rPr>
        <w:t>.</w:t>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r>
      <w:r w:rsidR="00265840" w:rsidRPr="00372C58">
        <w:rPr>
          <w:rFonts w:ascii="Book Antiqua" w:hAnsi="Book Antiqua"/>
          <w:i/>
          <w:sz w:val="20"/>
        </w:rPr>
        <w:tab/>
        <w:t xml:space="preserve">     (52)</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Inserting this result plus the value of</w:t>
      </w:r>
      <m:oMath>
        <m:r>
          <w:rPr>
            <w:rFonts w:ascii="Cambria Math" w:hAnsi="Cambria Math"/>
            <w:sz w:val="20"/>
          </w:rPr>
          <m:t xml:space="preserve"> H</m:t>
        </m:r>
      </m:oMath>
      <w:r w:rsidRPr="00372C58">
        <w:rPr>
          <w:rFonts w:ascii="Book Antiqua" w:hAnsi="Book Antiqua"/>
          <w:sz w:val="20"/>
        </w:rPr>
        <w:t xml:space="preserve"> into (43) we get </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rFonts w:ascii="Book Antiqua" w:hAnsi="Book Antiqua"/>
          <w:i/>
          <w:sz w:val="20"/>
        </w:rPr>
      </w:pPr>
      <m:oMath>
        <m:sSub>
          <m:sSubPr>
            <m:ctrlPr>
              <w:rPr>
                <w:rFonts w:ascii="Cambria Math" w:hAnsi="Cambria Math"/>
                <w:i/>
                <w:sz w:val="20"/>
              </w:rPr>
            </m:ctrlPr>
          </m:sSubPr>
          <m:e>
            <m:r>
              <w:rPr>
                <w:rFonts w:ascii="Cambria Math" w:hAnsi="Cambria Math"/>
                <w:sz w:val="20"/>
              </w:rPr>
              <m:t xml:space="preserve">λ </m:t>
            </m:r>
          </m:e>
          <m:sub>
            <m:r>
              <w:rPr>
                <w:rFonts w:ascii="Cambria Math" w:hAnsi="Cambria Math"/>
                <w:sz w:val="20"/>
              </w:rPr>
              <m:t>a</m:t>
            </m:r>
          </m:sub>
        </m:sSub>
        <m:r>
          <w:rPr>
            <w:rFonts w:ascii="Cambria Math" w:hAnsi="Cambria Math"/>
            <w:sz w:val="20"/>
          </w:rPr>
          <m:t xml:space="preserve"> =  v/H = 34.45/(7.759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vertAlign w:val="superscript"/>
          </w:rPr>
          <m:t xml:space="preserve"> </m:t>
        </m:r>
        <m:r>
          <w:rPr>
            <w:rFonts w:ascii="Cambria Math" w:hAnsi="Cambria Math"/>
            <w:sz w:val="20"/>
          </w:rPr>
          <m:t xml:space="preserve">) = 4.440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m:t>
        </m:r>
      </m:oMath>
      <w:r w:rsidR="00265840" w:rsidRPr="00372C58">
        <w:rPr>
          <w:rFonts w:ascii="Book Antiqua" w:hAnsi="Book Antiqua"/>
          <w:sz w:val="20"/>
        </w:rPr>
        <w:t>.</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(53)</w:t>
      </w:r>
    </w:p>
    <w:p w:rsidR="00265840" w:rsidRPr="00372C58" w:rsidRDefault="00265840" w:rsidP="00265840">
      <w:pPr>
        <w:pStyle w:val="NoSpacing"/>
        <w:jc w:val="both"/>
        <w:rPr>
          <w:rFonts w:ascii="Book Antiqua" w:hAnsi="Book Antiqua"/>
          <w:i/>
          <w:sz w:val="20"/>
        </w:rPr>
      </w:pPr>
    </w:p>
    <w:p w:rsidR="00265840" w:rsidRPr="00372C58" w:rsidRDefault="006334BD" w:rsidP="00265840">
      <w:pPr>
        <w:pStyle w:val="NoSpacing"/>
        <w:jc w:val="both"/>
        <w:rPr>
          <w:rFonts w:ascii="Book Antiqua" w:hAnsi="Book Antiqua"/>
          <w:sz w:val="20"/>
        </w:rPr>
      </w:pPr>
      <w:r>
        <w:rPr>
          <w:rFonts w:ascii="Book Antiqua" w:hAnsi="Book Antiqua"/>
          <w:sz w:val="20"/>
        </w:rPr>
        <w:t>T</w:t>
      </w:r>
      <w:r w:rsidR="00265840" w:rsidRPr="006334BD">
        <w:rPr>
          <w:rFonts w:ascii="Book Antiqua" w:hAnsi="Book Antiqua"/>
          <w:sz w:val="20"/>
        </w:rPr>
        <w: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(54)</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it is required that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oMath>
      <w:r w:rsidRPr="00372C58">
        <w:rPr>
          <w:rFonts w:ascii="Book Antiqua" w:hAnsi="Book Antiqua"/>
          <w:sz w:val="20"/>
        </w:rPr>
        <w:t xml:space="preserve"> to be equal to unity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1</m:t>
        </m:r>
      </m:oMath>
      <w:r w:rsidRPr="00372C58">
        <w:rPr>
          <w:rFonts w:ascii="Book Antiqua" w:hAnsi="Book Antiqua"/>
          <w:sz w:val="20"/>
        </w:rPr>
        <w:t xml:space="preserve">] so that it is in accord with the standard in (41). To achieve this we multiply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by (</w:t>
      </w:r>
      <m:oMath>
        <m:r>
          <w:rPr>
            <w:rFonts w:ascii="Cambria Math" w:hAnsi="Cambria Math"/>
            <w:sz w:val="20"/>
          </w:rPr>
          <m:t xml:space="preserve">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oMath>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][ 4.44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-20</m:t>
            </m:r>
          </m:sup>
        </m:sSup>
        <m:r>
          <w:rPr>
            <w:rFonts w:ascii="Cambria Math" w:hAnsi="Cambria Math"/>
            <w:sz w:val="20"/>
          </w:rPr>
          <m:t xml:space="preserve">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(55)</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But we had from (41) and (42) it can be deduced that </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oMath/>
          <w:rFonts w:ascii="Cambria Math" w:hAnsi="Cambria Math"/>
          <w:sz w:val="20"/>
        </w:rPr>
      </w:pPr>
      <m:oMath>
        <m:rad>
          <m:radPr>
            <m:degHide m:val="on"/>
            <m:ctrlPr>
              <w:rPr>
                <w:rFonts w:ascii="Cambria Math" w:hAnsi="Cambria Math"/>
                <w:i/>
                <w:sz w:val="20"/>
              </w:rPr>
            </m:ctrlPr>
          </m:radPr>
          <m:deg/>
          <m:e>
            <m:d>
              <m:dPr>
                <m:begChr m:val="["/>
                <m:endChr m:val="]"/>
                <m:ctrlPr>
                  <w:rPr>
                    <w:rFonts w:ascii="Cambria Math" w:hAnsi="Cambria Math"/>
                    <w:i/>
                    <w:sz w:val="20"/>
                  </w:rPr>
                </m:ctrlPr>
              </m:dPr>
              <m:e>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num>
                  <m:den>
                    <m:sSub>
                      <m:sSubPr>
                        <m:ctrlPr>
                          <w:rPr>
                            <w:rFonts w:ascii="Cambria Math" w:hAnsi="Cambria Math"/>
                            <w:i/>
                            <w:sz w:val="20"/>
                          </w:rPr>
                        </m:ctrlPr>
                      </m:sSubPr>
                      <m:e>
                        <m:r>
                          <w:rPr>
                            <w:rFonts w:ascii="Cambria Math" w:hAnsi="Cambria Math"/>
                            <w:sz w:val="20"/>
                          </w:rPr>
                          <m:t>λ</m:t>
                        </m:r>
                      </m:e>
                      <m:sub>
                        <m:r>
                          <w:rPr>
                            <w:rFonts w:ascii="Cambria Math" w:hAnsi="Cambria Math"/>
                            <w:sz w:val="20"/>
                          </w:rPr>
                          <m:t>a</m:t>
                        </m:r>
                      </m:sub>
                    </m:sSub>
                  </m:den>
                </m:f>
              </m:e>
            </m:d>
          </m:e>
        </m:rad>
        <m:r>
          <w:rPr>
            <w:rFonts w:ascii="Cambria Math" w:hAnsi="Cambria Math"/>
            <w:sz w:val="20"/>
          </w:rPr>
          <m:t>~  K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r>
          <m:rPr>
            <m:sty m:val="p"/>
          </m:rPr>
          <w:rPr>
            <w:rFonts w:ascii="Cambria Math" w:hAnsi="Cambria Math"/>
            <w:sz w:val="20"/>
          </w:rPr>
          <m:t>.</m:t>
        </m:r>
      </m:oMath>
      <w:r w:rsidR="00265840" w:rsidRPr="00372C58">
        <w:rPr>
          <w:rFonts w:ascii="Book Antiqua" w:hAnsi="Book Antiqua"/>
          <w:sz w:val="20"/>
        </w:rPr>
        <w:t xml:space="preserve">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ab/>
        <w:t>(56)</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that from (55) and (56) it can be written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 xml:space="preserve">(2.107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K[(</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(57)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therefore</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/1) ~ [1/(2.107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-10</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(58)</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then becomes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sz w:val="20"/>
        </w:rPr>
      </w:pPr>
      <m:oMath>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(59)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gives the information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right"/>
        <w:rPr>
          <w:rFonts w:ascii="Book Antiqua" w:hAnsi="Book Antiqua"/>
          <w:i/>
          <w:sz w:val="20"/>
        </w:rPr>
      </w:pP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ab/>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(60)</w:t>
      </w:r>
    </w:p>
    <w:p w:rsidR="00265840" w:rsidRPr="00372C58" w:rsidRDefault="00265840" w:rsidP="00265840">
      <w:pPr>
        <w:pStyle w:val="NoSpacing"/>
        <w:ind w:firstLine="720"/>
        <w:jc w:val="both"/>
        <w:rPr>
          <w:rFonts w:ascii="Book Antiqua" w:hAnsi="Book Antiqua"/>
          <w:i/>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This conclusion will be supported by a different line of evidence in a moment. We now have the relationships between the redshift and the mean free path. When equation (61) is combined with the standard red shift – distance relationship [equation (14)] and with the equations from Chapter 2, which linked the speed of light with Planck’s Constant and the strength of the ZPE, we obtain the following equation, which describes the behavior of all these factors along with atomic frequencies and mass:  </w:t>
      </w:r>
    </w:p>
    <w:p w:rsidR="00265840" w:rsidRPr="00372C58" w:rsidRDefault="00265840" w:rsidP="00265840">
      <w:pPr>
        <w:pStyle w:val="NoSpacing"/>
        <w:jc w:val="both"/>
        <w:rPr>
          <w:rFonts w:ascii="Book Antiqua" w:hAnsi="Book Antiqua"/>
          <w:sz w:val="20"/>
        </w:rPr>
      </w:pPr>
    </w:p>
    <w:p w:rsidR="00265840" w:rsidRPr="00372C58" w:rsidRDefault="007B3EBC" w:rsidP="00265840">
      <w:pPr>
        <w:pStyle w:val="NoSpacing"/>
        <w:jc w:val="right"/>
        <w:rPr>
          <w:rFonts w:ascii="Book Antiqua" w:hAnsi="Book Antiqua"/>
          <w:i/>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 xml:space="preserve"> ~ K[(1+x) / √(1–</m:t>
        </m:r>
        <m:sSup>
          <m:sSupPr>
            <m:ctrlPr>
              <w:rPr>
                <w:rFonts w:ascii="Cambria Math" w:hAnsi="Cambria Math"/>
                <w:i/>
                <w:sz w:val="20"/>
              </w:rPr>
            </m:ctrlPr>
          </m:sSupPr>
          <m:e>
            <m:r>
              <w:rPr>
                <w:rFonts w:ascii="Cambria Math" w:hAnsi="Cambria Math"/>
                <w:sz w:val="20"/>
              </w:rPr>
              <m:t>x</m:t>
            </m:r>
          </m:e>
          <m:sup>
            <m:r>
              <w:rPr>
                <w:rFonts w:ascii="Cambria Math" w:hAnsi="Cambria Math"/>
                <w:sz w:val="20"/>
              </w:rPr>
              <m:t>2</m:t>
            </m:r>
          </m:sup>
        </m:sSup>
        <m:r>
          <w:rPr>
            <w:rFonts w:ascii="Cambria Math" w:hAnsi="Cambria Math"/>
            <w:sz w:val="20"/>
          </w:rPr>
          <m:t>)]</m:t>
        </m:r>
      </m:oMath>
      <w:r w:rsidR="00265840" w:rsidRPr="00372C58">
        <w:rPr>
          <w:rFonts w:ascii="Book Antiqua" w:hAnsi="Book Antiqua"/>
          <w:sz w:val="20"/>
        </w:rPr>
        <w:t xml:space="preserve"> .  </w:t>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sz w:val="20"/>
        </w:rPr>
        <w:tab/>
      </w:r>
      <w:r w:rsidR="00265840" w:rsidRPr="00372C58">
        <w:rPr>
          <w:rFonts w:ascii="Book Antiqua" w:hAnsi="Book Antiqua"/>
          <w:i/>
          <w:sz w:val="20"/>
        </w:rPr>
        <w:t xml:space="preserve">  (61)</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rmPara"/>
        <w:ind w:firstLine="720"/>
        <w:rPr>
          <w:sz w:val="20"/>
        </w:rPr>
      </w:pPr>
      <w:r w:rsidRPr="00372C58">
        <w:rPr>
          <w:sz w:val="20"/>
        </w:rPr>
        <w:lastRenderedPageBreak/>
        <w:t xml:space="preserve">In (61), the distance </w:t>
      </w:r>
      <m:oMath>
        <m:r>
          <w:rPr>
            <w:rFonts w:ascii="Cambria Math" w:hAnsi="Cambria Math"/>
            <w:sz w:val="20"/>
          </w:rPr>
          <m:t>x</m:t>
        </m:r>
      </m:oMath>
      <w:r w:rsidRPr="00372C58">
        <w:rPr>
          <w:sz w:val="20"/>
        </w:rPr>
        <w:t xml:space="preserve"> is a fraction so that </w:t>
      </w:r>
      <m:oMath>
        <m:r>
          <w:rPr>
            <w:rFonts w:ascii="Cambria Math" w:hAnsi="Cambria Math"/>
            <w:sz w:val="20"/>
          </w:rPr>
          <m:t>x = 0</m:t>
        </m:r>
      </m:oMath>
      <w:r w:rsidRPr="00372C58">
        <w:rPr>
          <w:sz w:val="20"/>
        </w:rPr>
        <w:t xml:space="preserve"> where the redshift function ends, and </w:t>
      </w:r>
      <m:oMath>
        <m:r>
          <w:rPr>
            <w:rFonts w:ascii="Cambria Math" w:hAnsi="Cambria Math"/>
            <w:sz w:val="20"/>
          </w:rPr>
          <m:t>x = 1</m:t>
        </m:r>
      </m:oMath>
      <w:r w:rsidRPr="00372C58">
        <w:rPr>
          <w:sz w:val="20"/>
        </w:rPr>
        <w:t xml:space="preserve"> at the distance that corresponds with the inception of the cosmos. Since looking out into space at progressively more distant galaxies is equivalent to looking further back in actual orbital time,</w:t>
      </w:r>
      <m:oMath>
        <m:r>
          <w:rPr>
            <w:rFonts w:ascii="Cambria Math" w:hAnsi="Cambria Math"/>
            <w:sz w:val="20"/>
          </w:rPr>
          <m:t xml:space="preserve"> T</m:t>
        </m:r>
      </m:oMath>
      <w:r w:rsidRPr="00372C58">
        <w:rPr>
          <w:sz w:val="20"/>
        </w:rPr>
        <w:t xml:space="preserve">. Since we take orbital time as passing in a linear fashion, and since distance is also a linear quantity, we can substitute orbital time </w:t>
      </w:r>
      <m:oMath>
        <m:r>
          <w:rPr>
            <w:rFonts w:ascii="Cambria Math" w:hAnsi="Cambria Math"/>
            <w:sz w:val="20"/>
          </w:rPr>
          <m:t>T</m:t>
        </m:r>
      </m:oMath>
      <w:r w:rsidRPr="00372C58">
        <w:rPr>
          <w:sz w:val="20"/>
        </w:rPr>
        <w:t xml:space="preserve"> for distance </w:t>
      </w:r>
      <w:r w:rsidRPr="00372C58">
        <w:rPr>
          <w:i/>
          <w:sz w:val="20"/>
        </w:rPr>
        <w:t>x</w:t>
      </w:r>
      <w:r w:rsidRPr="00372C58">
        <w:rPr>
          <w:sz w:val="20"/>
        </w:rPr>
        <w:t xml:space="preserve"> so that we have</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80"/>
        <w:jc w:val="right"/>
        <w:rPr>
          <w:rFonts w:ascii="Book Antiqua" w:hAnsi="Book Antiqua" w:cs="Times New Roman"/>
          <w:sz w:val="20"/>
          <w:szCs w:val="20"/>
        </w:rPr>
      </w:pPr>
      <m:oMath>
        <m:r>
          <w:rPr>
            <w:rFonts w:ascii="Cambria Math" w:hAnsi="Cambria Math" w:cs="Times New Roman"/>
            <w:sz w:val="20"/>
            <w:szCs w:val="20"/>
          </w:rPr>
          <m:t xml:space="preserve">(1 +  z) = (1 + T)/ √(1 - </m:t>
        </m:r>
        <m:sSup>
          <m:sSupPr>
            <m:ctrlPr>
              <w:rPr>
                <w:rFonts w:ascii="Cambria Math" w:hAnsi="Cambria Math" w:cs="Times New Roman"/>
                <w:i/>
                <w:sz w:val="20"/>
                <w:szCs w:val="20"/>
              </w:rPr>
            </m:ctrlPr>
          </m:sSupPr>
          <m:e>
            <m:r>
              <w:rPr>
                <w:rFonts w:ascii="Cambria Math" w:hAnsi="Cambria Math" w:cs="Times New Roman"/>
                <w:sz w:val="20"/>
                <w:szCs w:val="20"/>
              </w:rPr>
              <m:t>T</m:t>
            </m:r>
          </m:e>
          <m:sup>
            <m:r>
              <w:rPr>
                <w:rFonts w:ascii="Cambria Math" w:hAnsi="Cambria Math" w:cs="Times New Roman"/>
                <w:sz w:val="20"/>
                <w:szCs w:val="20"/>
              </w:rPr>
              <m:t>2</m:t>
            </m:r>
          </m:sup>
        </m:sSup>
        <m:r>
          <w:rPr>
            <w:rFonts w:ascii="Cambria Math" w:hAnsi="Cambria Math" w:cs="Times New Roman"/>
            <w:sz w:val="20"/>
            <w:szCs w:val="20"/>
          </w:rPr>
          <m:t>)</m:t>
        </m:r>
      </m:oMath>
      <w:r w:rsidRPr="00372C58">
        <w:rPr>
          <w:rFonts w:ascii="Book Antiqua" w:hAnsi="Book Antiqua" w:cs="Times New Roman"/>
          <w:i/>
          <w:sz w:val="20"/>
          <w:szCs w:val="20"/>
        </w:rPr>
        <w:t xml:space="preserve">.          </w:t>
      </w:r>
      <w:r w:rsidRPr="00372C58">
        <w:rPr>
          <w:rFonts w:ascii="Book Antiqua" w:hAnsi="Book Antiqua" w:cs="Times New Roman"/>
          <w:i/>
          <w:sz w:val="20"/>
          <w:szCs w:val="20"/>
        </w:rPr>
        <w:tab/>
      </w:r>
      <w:r w:rsidRPr="00372C58">
        <w:rPr>
          <w:rFonts w:ascii="Book Antiqua" w:hAnsi="Book Antiqua" w:cs="Times New Roman"/>
          <w:i/>
          <w:sz w:val="20"/>
          <w:szCs w:val="20"/>
        </w:rPr>
        <w:tab/>
      </w:r>
      <w:r w:rsidRPr="00372C58">
        <w:rPr>
          <w:rFonts w:ascii="Book Antiqua" w:hAnsi="Book Antiqua" w:cs="Times New Roman"/>
          <w:i/>
          <w:sz w:val="20"/>
          <w:szCs w:val="20"/>
        </w:rPr>
        <w:tab/>
        <w:t xml:space="preserve">   </w:t>
      </w:r>
      <w:r w:rsidRPr="00372C58">
        <w:rPr>
          <w:rFonts w:ascii="Book Antiqua" w:hAnsi="Book Antiqua" w:cs="Times New Roman"/>
          <w:i/>
          <w:sz w:val="20"/>
          <w:szCs w:val="20"/>
        </w:rPr>
        <w:tab/>
      </w:r>
      <w:r w:rsidRPr="00372C58">
        <w:rPr>
          <w:rFonts w:ascii="Book Antiqua" w:hAnsi="Book Antiqua" w:cs="Times New Roman"/>
          <w:sz w:val="20"/>
          <w:szCs w:val="20"/>
        </w:rPr>
        <w:t xml:space="preserve">         (62)</w:t>
      </w:r>
    </w:p>
    <w:p w:rsidR="00265840" w:rsidRPr="00372C58" w:rsidRDefault="00265840" w:rsidP="00265840">
      <w:pPr>
        <w:pStyle w:val="Default"/>
        <w:rPr>
          <w:rFonts w:ascii="Book Antiqua" w:hAnsi="Book Antiqua"/>
          <w:sz w:val="20"/>
          <w:szCs w:val="20"/>
        </w:rPr>
      </w:pPr>
    </w:p>
    <w:p w:rsidR="00265840" w:rsidRPr="00372C58" w:rsidRDefault="00265840" w:rsidP="00265840">
      <w:pPr>
        <w:pStyle w:val="NormPara"/>
        <w:ind w:firstLine="720"/>
        <w:rPr>
          <w:sz w:val="20"/>
        </w:rPr>
      </w:pPr>
      <w:r w:rsidRPr="00372C58">
        <w:rPr>
          <w:sz w:val="20"/>
        </w:rPr>
        <w:t>In equation (6</w:t>
      </w:r>
      <w:r w:rsidR="00B036AA">
        <w:rPr>
          <w:sz w:val="20"/>
        </w:rPr>
        <w:t>2</w:t>
      </w:r>
      <w:r w:rsidRPr="00372C58">
        <w:rPr>
          <w:sz w:val="20"/>
        </w:rPr>
        <w:t xml:space="preserve">), </w:t>
      </w:r>
      <m:oMath>
        <m:r>
          <w:rPr>
            <w:rFonts w:ascii="Cambria Math" w:hAnsi="Cambria Math"/>
            <w:sz w:val="20"/>
          </w:rPr>
          <m:t>T</m:t>
        </m:r>
      </m:oMath>
      <w:r w:rsidRPr="00372C58">
        <w:rPr>
          <w:sz w:val="20"/>
        </w:rPr>
        <w:t xml:space="preserve"> is in orbital time such that, as with </w:t>
      </w:r>
      <m:oMath>
        <m:r>
          <w:rPr>
            <w:rFonts w:ascii="Cambria Math" w:hAnsi="Cambria Math"/>
            <w:sz w:val="20"/>
          </w:rPr>
          <m:t>x</m:t>
        </m:r>
      </m:oMath>
      <w:r w:rsidRPr="00372C58">
        <w:rPr>
          <w:sz w:val="20"/>
        </w:rPr>
        <w:t xml:space="preserve">, </w:t>
      </w:r>
      <m:oMath>
        <m:r>
          <w:rPr>
            <w:rFonts w:ascii="Cambria Math" w:hAnsi="Cambria Math"/>
            <w:sz w:val="20"/>
          </w:rPr>
          <m:t>T = 1</m:t>
        </m:r>
      </m:oMath>
      <w:r w:rsidRPr="00372C58">
        <w:rPr>
          <w:sz w:val="20"/>
        </w:rPr>
        <w:t xml:space="preserve"> at the origin of the cosmos and </w:t>
      </w:r>
      <m:oMath>
        <m:r>
          <w:rPr>
            <w:rFonts w:ascii="Cambria Math" w:hAnsi="Cambria Math"/>
            <w:sz w:val="20"/>
          </w:rPr>
          <m:t xml:space="preserve">T = 0 </m:t>
        </m:r>
      </m:oMath>
      <w:r w:rsidRPr="00372C58">
        <w:rPr>
          <w:sz w:val="20"/>
        </w:rPr>
        <w:t xml:space="preserve">when the redshift function ceases in, or near, our galaxy. If, alternately, </w:t>
      </w:r>
      <m:oMath>
        <m:r>
          <w:rPr>
            <w:rFonts w:ascii="Cambria Math" w:hAnsi="Cambria Math"/>
            <w:sz w:val="20"/>
          </w:rPr>
          <m:t>T</m:t>
        </m:r>
      </m:oMath>
      <w:r w:rsidRPr="00372C58">
        <w:rPr>
          <w:sz w:val="20"/>
        </w:rPr>
        <w:t xml:space="preserve"> is required in terms of redshift,</w:t>
      </w:r>
      <m:oMath>
        <m:r>
          <w:rPr>
            <w:rFonts w:ascii="Cambria Math" w:hAnsi="Cambria Math"/>
            <w:sz w:val="20"/>
          </w:rPr>
          <m:t xml:space="preserve"> z</m:t>
        </m:r>
      </m:oMath>
      <w:r w:rsidRPr="00372C58">
        <w:rPr>
          <w:sz w:val="20"/>
        </w:rPr>
        <w:t>, then the relationship is given by:</w:t>
      </w:r>
    </w:p>
    <w:p w:rsidR="00265840" w:rsidRPr="00372C58" w:rsidRDefault="00265840" w:rsidP="00265840">
      <w:pPr>
        <w:pStyle w:val="NormPara"/>
        <w:ind w:firstLine="0"/>
        <w:rPr>
          <w:sz w:val="20"/>
        </w:rPr>
      </w:pPr>
    </w:p>
    <w:p w:rsidR="00265840" w:rsidRPr="00372C58" w:rsidRDefault="00265840" w:rsidP="00265840">
      <w:pPr>
        <w:pStyle w:val="NormPara"/>
        <w:ind w:firstLine="0"/>
        <w:jc w:val="right"/>
        <w:rPr>
          <w:i/>
          <w:sz w:val="20"/>
        </w:rPr>
      </w:pPr>
      <m:oMath>
        <m:r>
          <w:rPr>
            <w:rFonts w:ascii="Cambria Math" w:hAnsi="Cambria Math"/>
            <w:sz w:val="20"/>
          </w:rPr>
          <m:t>T = z(z+2)/(</m:t>
        </m:r>
        <m:sSup>
          <m:sSupPr>
            <m:ctrlPr>
              <w:rPr>
                <w:rFonts w:ascii="Cambria Math" w:hAnsi="Cambria Math"/>
                <w:i/>
                <w:sz w:val="20"/>
              </w:rPr>
            </m:ctrlPr>
          </m:sSupPr>
          <m:e>
            <m:r>
              <w:rPr>
                <w:rFonts w:ascii="Cambria Math" w:hAnsi="Cambria Math"/>
                <w:sz w:val="20"/>
              </w:rPr>
              <m:t>z</m:t>
            </m:r>
          </m:e>
          <m:sup>
            <m:r>
              <w:rPr>
                <w:rFonts w:ascii="Cambria Math" w:hAnsi="Cambria Math"/>
                <w:sz w:val="20"/>
              </w:rPr>
              <m:t>2</m:t>
            </m:r>
          </m:sup>
        </m:sSup>
        <m:r>
          <w:rPr>
            <w:rFonts w:ascii="Cambria Math" w:hAnsi="Cambria Math"/>
            <w:sz w:val="20"/>
          </w:rPr>
          <m:t xml:space="preserve"> + 2z + 2)</m:t>
        </m:r>
      </m:oMath>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(63)</w:t>
      </w:r>
    </w:p>
    <w:p w:rsidR="00265840" w:rsidRPr="00372C58" w:rsidRDefault="00265840"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 Thus the behavior through time of the ZPE-dependent quantities discussed in Chapters 1-4 follows from the proportionalities in (61) so that</w:t>
      </w:r>
    </w:p>
    <w:p w:rsidR="00265840" w:rsidRPr="00372C58" w:rsidRDefault="00265840" w:rsidP="00265840">
      <w:pPr>
        <w:pStyle w:val="NormPara"/>
        <w:ind w:firstLine="0"/>
        <w:rPr>
          <w:sz w:val="20"/>
        </w:rPr>
      </w:pPr>
    </w:p>
    <w:p w:rsidR="00265840" w:rsidRPr="00372C58" w:rsidRDefault="007B3EBC" w:rsidP="00265840">
      <w:pPr>
        <w:pStyle w:val="NormPara"/>
        <w:ind w:firstLine="0"/>
        <w:jc w:val="right"/>
        <w:rPr>
          <w:sz w:val="20"/>
        </w:rPr>
      </w:pPr>
      <m:oMath>
        <m:f>
          <m:fPr>
            <m:ctrlPr>
              <w:rPr>
                <w:rFonts w:ascii="Cambria Math" w:hAnsi="Cambria Math"/>
                <w:i/>
                <w:sz w:val="20"/>
              </w:rPr>
            </m:ctrlPr>
          </m:fPr>
          <m:num>
            <m:r>
              <w:rPr>
                <w:rFonts w:ascii="Cambria Math" w:hAnsi="Cambria Math"/>
                <w:sz w:val="20"/>
              </w:rPr>
              <m:t>1</m:t>
            </m:r>
          </m:num>
          <m:den>
            <m:r>
              <w:rPr>
                <w:rFonts w:ascii="Cambria Math" w:hAnsi="Cambria Math"/>
                <w:sz w:val="20"/>
              </w:rPr>
              <m:t>U</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
              <w:rPr>
                <w:rFonts w:ascii="Cambria Math" w:hAnsi="Cambria Math"/>
                <w:sz w:val="20"/>
              </w:rPr>
              <m:t>h</m:t>
            </m:r>
          </m:den>
        </m:f>
        <m:r>
          <w:rPr>
            <w:rFonts w:ascii="Cambria Math" w:hAnsi="Cambria Math"/>
            <w:sz w:val="20"/>
          </w:rPr>
          <m:t>~</m:t>
        </m:r>
        <m:f>
          <m:fPr>
            <m:ctrlPr>
              <w:rPr>
                <w:rFonts w:ascii="Cambria Math" w:hAnsi="Cambria Math"/>
                <w:i/>
                <w:sz w:val="20"/>
              </w:rPr>
            </m:ctrlPr>
          </m:fPr>
          <m:num>
            <m:r>
              <w:rPr>
                <w:rFonts w:ascii="Cambria Math" w:hAnsi="Cambria Math"/>
                <w:sz w:val="20"/>
              </w:rPr>
              <m:t>c</m:t>
            </m:r>
          </m:num>
          <m:den>
            <m:r>
              <w:rPr>
                <w:rFonts w:ascii="Cambria Math" w:hAnsi="Cambria Math"/>
                <w:sz w:val="20"/>
              </w:rPr>
              <m:t>1</m:t>
            </m:r>
          </m:den>
        </m:f>
        <m:r>
          <w:rPr>
            <w:rFonts w:ascii="Cambria Math" w:hAnsi="Cambria Math"/>
            <w:sz w:val="20"/>
          </w:rPr>
          <m:t>~ f ~</m:t>
        </m:r>
        <m:f>
          <m:fPr>
            <m:ctrlPr>
              <w:rPr>
                <w:rFonts w:ascii="Cambria Math" w:hAnsi="Cambria Math"/>
                <w:i/>
                <w:sz w:val="20"/>
              </w:rPr>
            </m:ctrlPr>
          </m:fPr>
          <m:num>
            <m:r>
              <w:rPr>
                <w:rFonts w:ascii="Cambria Math" w:hAnsi="Cambria Math"/>
                <w:sz w:val="20"/>
              </w:rPr>
              <m:t>1</m:t>
            </m:r>
          </m:num>
          <m:den>
            <m:r>
              <w:rPr>
                <w:rFonts w:ascii="Cambria Math" w:hAnsi="Cambria Math"/>
                <w:sz w:val="20"/>
              </w:rPr>
              <m:t>t</m:t>
            </m:r>
          </m:den>
        </m:f>
        <m:r>
          <w:rPr>
            <w:rFonts w:ascii="Cambria Math" w:hAnsi="Cambria Math"/>
            <w:sz w:val="20"/>
          </w:rPr>
          <m:t>~</m:t>
        </m:r>
        <m:f>
          <m:fPr>
            <m:ctrlPr>
              <w:rPr>
                <w:rFonts w:ascii="Cambria Math" w:hAnsi="Cambria Math"/>
                <w:i/>
                <w:sz w:val="20"/>
              </w:rPr>
            </m:ctrlPr>
          </m:fPr>
          <m:num>
            <m:r>
              <w:rPr>
                <w:rFonts w:ascii="Cambria Math" w:hAnsi="Cambria Math"/>
                <w:sz w:val="20"/>
              </w:rPr>
              <m:t>1</m:t>
            </m:r>
          </m:num>
          <m:den>
            <m:rad>
              <m:radPr>
                <m:degHide m:val="on"/>
                <m:ctrlPr>
                  <w:rPr>
                    <w:rFonts w:ascii="Cambria Math" w:hAnsi="Cambria Math"/>
                    <w:i/>
                    <w:sz w:val="20"/>
                  </w:rPr>
                </m:ctrlPr>
              </m:radPr>
              <m:deg/>
              <m:e>
                <m:r>
                  <w:rPr>
                    <w:rFonts w:ascii="Cambria Math" w:hAnsi="Cambria Math"/>
                    <w:sz w:val="20"/>
                  </w:rPr>
                  <m:t>m</m:t>
                </m:r>
              </m:e>
            </m:rad>
          </m:den>
        </m:f>
        <m:r>
          <w:rPr>
            <w:rFonts w:ascii="Cambria Math" w:hAnsi="Cambria Math"/>
            <w:sz w:val="20"/>
          </w:rPr>
          <m:t>~ K</m:t>
        </m:r>
        <m:d>
          <m:dPr>
            <m:begChr m:val="["/>
            <m:endChr m:val="]"/>
            <m:ctrlPr>
              <w:rPr>
                <w:rFonts w:ascii="Cambria Math" w:hAnsi="Cambria Math"/>
                <w:i/>
                <w:sz w:val="20"/>
              </w:rPr>
            </m:ctrlPr>
          </m:dPr>
          <m:e>
            <m:f>
              <m:fPr>
                <m:ctrlPr>
                  <w:rPr>
                    <w:rFonts w:ascii="Cambria Math" w:hAnsi="Cambria Math"/>
                    <w:i/>
                    <w:sz w:val="20"/>
                  </w:rPr>
                </m:ctrlPr>
              </m:fPr>
              <m:num>
                <m:d>
                  <m:dPr>
                    <m:ctrlPr>
                      <w:rPr>
                        <w:rFonts w:ascii="Cambria Math" w:hAnsi="Cambria Math"/>
                        <w:i/>
                        <w:sz w:val="20"/>
                      </w:rPr>
                    </m:ctrlPr>
                  </m:dPr>
                  <m:e>
                    <m:r>
                      <w:rPr>
                        <w:rFonts w:ascii="Cambria Math" w:hAnsi="Cambria Math"/>
                        <w:sz w:val="20"/>
                      </w:rPr>
                      <m:t>1+T</m:t>
                    </m:r>
                  </m:e>
                </m:d>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 K</m:t>
        </m:r>
        <m:d>
          <m:dPr>
            <m:ctrlPr>
              <w:rPr>
                <w:rFonts w:ascii="Cambria Math" w:hAnsi="Cambria Math"/>
                <w:i/>
                <w:sz w:val="20"/>
              </w:rPr>
            </m:ctrlPr>
          </m:dPr>
          <m:e>
            <m:r>
              <w:rPr>
                <w:rFonts w:ascii="Cambria Math" w:hAnsi="Cambria Math"/>
                <w:sz w:val="20"/>
              </w:rPr>
              <m:t>1 + z</m:t>
            </m:r>
          </m:e>
        </m:d>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 xml:space="preserve">    (64)</w:t>
      </w:r>
    </w:p>
    <w:p w:rsidR="00265840" w:rsidRPr="00372C58" w:rsidRDefault="00265840" w:rsidP="00265840">
      <w:pPr>
        <w:pStyle w:val="NoSpacing"/>
        <w:jc w:val="both"/>
        <w:rPr>
          <w:rFonts w:ascii="Book Antiqua" w:hAnsi="Book Antiqua"/>
          <w:sz w:val="20"/>
        </w:rPr>
      </w:pPr>
    </w:p>
    <w:p w:rsidR="007C0564" w:rsidRPr="00372C58" w:rsidRDefault="007C0564" w:rsidP="00265840">
      <w:pPr>
        <w:pStyle w:val="NoSpacing"/>
        <w:jc w:val="right"/>
        <w:rPr>
          <w:rFonts w:ascii="Book Antiqua" w:hAnsi="Book Antiqua"/>
          <w:sz w:val="20"/>
        </w:rPr>
      </w:pPr>
    </w:p>
    <w:p w:rsidR="00265840" w:rsidRPr="00372C58" w:rsidRDefault="00265840" w:rsidP="00265840">
      <w:pPr>
        <w:jc w:val="center"/>
        <w:rPr>
          <w:rFonts w:ascii="Book Antiqua" w:hAnsi="Book Antiqua"/>
        </w:rPr>
      </w:pPr>
      <w:r w:rsidRPr="00372C58">
        <w:rPr>
          <w:rFonts w:ascii="Book Antiqua" w:hAnsi="Book Antiqua"/>
          <w:noProof/>
          <w:lang w:val="en-US"/>
        </w:rPr>
        <w:drawing>
          <wp:inline distT="0" distB="0" distL="0" distR="0">
            <wp:extent cx="4104928" cy="3434763"/>
            <wp:effectExtent l="19050" t="0" r="9872" b="0"/>
            <wp:docPr id="15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265840" w:rsidRPr="00372C58" w:rsidRDefault="00265840" w:rsidP="00265840">
      <w:pPr>
        <w:pStyle w:val="NoSpacing"/>
        <w:jc w:val="both"/>
        <w:rPr>
          <w:rFonts w:ascii="Book Antiqua" w:hAnsi="Book Antiqua"/>
          <w:b/>
          <w:i/>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4</w:t>
      </w:r>
      <w:r w:rsidRPr="004223A5">
        <w:rPr>
          <w:rFonts w:ascii="Book Antiqua" w:hAnsi="Book Antiqua"/>
          <w:b/>
          <w:i/>
          <w:sz w:val="18"/>
          <w:szCs w:val="18"/>
        </w:rPr>
        <w:t>:</w:t>
      </w:r>
      <w:r w:rsidRPr="004223A5">
        <w:rPr>
          <w:rFonts w:ascii="Book Antiqua" w:hAnsi="Book Antiqua"/>
          <w:i/>
          <w:sz w:val="18"/>
          <w:szCs w:val="18"/>
        </w:rPr>
        <w:t xml:space="preserve"> In the above graph, the horizontal axis is distance, x, which is the same as time, T.  The vertical axis is the red shift measurement at that time/distance. </w:t>
      </w:r>
      <w:r w:rsidR="00E51DB1" w:rsidRPr="004223A5">
        <w:rPr>
          <w:rFonts w:ascii="Book Antiqua" w:hAnsi="Book Antiqua"/>
          <w:i/>
          <w:sz w:val="18"/>
          <w:szCs w:val="18"/>
        </w:rPr>
        <w:t xml:space="preserve">On the horizontal axis </w:t>
      </w:r>
      <w:r w:rsidRPr="004223A5">
        <w:rPr>
          <w:rFonts w:ascii="Book Antiqua" w:hAnsi="Book Antiqua"/>
          <w:i/>
          <w:sz w:val="18"/>
          <w:szCs w:val="18"/>
        </w:rPr>
        <w:t xml:space="preserve">“0” is </w:t>
      </w:r>
      <w:r w:rsidR="00E51DB1" w:rsidRPr="004223A5">
        <w:rPr>
          <w:rFonts w:ascii="Book Antiqua" w:hAnsi="Book Antiqua"/>
          <w:i/>
          <w:sz w:val="18"/>
          <w:szCs w:val="18"/>
        </w:rPr>
        <w:t>the time when the time when the redshift function ceased. This is close to us astronomically, and is discussed in detail at the close of this Chapter. A</w:t>
      </w:r>
      <w:r w:rsidRPr="004223A5">
        <w:rPr>
          <w:rFonts w:ascii="Book Antiqua" w:hAnsi="Book Antiqua"/>
          <w:i/>
          <w:sz w:val="18"/>
          <w:szCs w:val="18"/>
        </w:rPr>
        <w:t>s we go to the right</w:t>
      </w:r>
      <w:r w:rsidR="00E51DB1" w:rsidRPr="004223A5">
        <w:rPr>
          <w:rFonts w:ascii="Book Antiqua" w:hAnsi="Book Antiqua"/>
          <w:i/>
          <w:sz w:val="18"/>
          <w:szCs w:val="18"/>
        </w:rPr>
        <w:t xml:space="preserve"> from this point on the horizontal axis,</w:t>
      </w:r>
      <w:r w:rsidRPr="004223A5">
        <w:rPr>
          <w:rFonts w:ascii="Book Antiqua" w:hAnsi="Book Antiqua"/>
          <w:i/>
          <w:sz w:val="18"/>
          <w:szCs w:val="18"/>
        </w:rPr>
        <w:t xml:space="preserve"> we are looking further and further out in space, where “1” </w:t>
      </w:r>
      <w:r w:rsidR="00E51DB1" w:rsidRPr="004223A5">
        <w:rPr>
          <w:rFonts w:ascii="Book Antiqua" w:hAnsi="Book Antiqua"/>
          <w:i/>
          <w:sz w:val="18"/>
          <w:szCs w:val="18"/>
        </w:rPr>
        <w:t>is</w:t>
      </w:r>
      <w:r w:rsidRPr="004223A5">
        <w:rPr>
          <w:rFonts w:ascii="Book Antiqua" w:hAnsi="Book Antiqua"/>
          <w:i/>
          <w:sz w:val="18"/>
          <w:szCs w:val="18"/>
        </w:rPr>
        <w:t xml:space="preserve"> the origin of the cosmos.</w:t>
      </w:r>
    </w:p>
    <w:p w:rsidR="00265840" w:rsidRPr="00372C58" w:rsidRDefault="00265840" w:rsidP="00265840">
      <w:pPr>
        <w:pStyle w:val="NoSpacing"/>
        <w:jc w:val="both"/>
        <w:rPr>
          <w:rFonts w:ascii="Book Antiqua" w:hAnsi="Book Antiqua"/>
          <w:i/>
          <w:sz w:val="20"/>
        </w:rPr>
      </w:pPr>
    </w:p>
    <w:p w:rsidR="003324C1" w:rsidRDefault="003324C1" w:rsidP="003324C1">
      <w:pPr>
        <w:pStyle w:val="NoSpacing"/>
        <w:ind w:firstLine="720"/>
        <w:jc w:val="both"/>
        <w:rPr>
          <w:rFonts w:ascii="Book Antiqua" w:hAnsi="Book Antiqua"/>
          <w:sz w:val="20"/>
        </w:rPr>
      </w:pPr>
      <w:r w:rsidRPr="00372C58">
        <w:rPr>
          <w:rFonts w:ascii="Book Antiqua" w:hAnsi="Book Antiqua"/>
          <w:sz w:val="20"/>
        </w:rPr>
        <w:lastRenderedPageBreak/>
        <w:t xml:space="preserve">In (64) </w:t>
      </w:r>
      <m:oMath>
        <m:r>
          <w:rPr>
            <w:rFonts w:ascii="Cambria Math" w:hAnsi="Cambria Math"/>
            <w:sz w:val="20"/>
          </w:rPr>
          <m:t>U</m:t>
        </m:r>
      </m:oMath>
      <w:r w:rsidRPr="00372C58">
        <w:rPr>
          <w:rFonts w:ascii="Book Antiqua" w:hAnsi="Book Antiqua"/>
          <w:sz w:val="20"/>
        </w:rPr>
        <w:t xml:space="preserve"> is the ZPE strength, </w:t>
      </w:r>
      <m:oMath>
        <m:r>
          <w:rPr>
            <w:rFonts w:ascii="Cambria Math" w:hAnsi="Cambria Math"/>
            <w:sz w:val="20"/>
          </w:rPr>
          <m:t xml:space="preserve">h </m:t>
        </m:r>
      </m:oMath>
      <w:r w:rsidRPr="00372C58">
        <w:rPr>
          <w:rFonts w:ascii="Book Antiqua" w:hAnsi="Book Antiqua"/>
          <w:sz w:val="20"/>
        </w:rPr>
        <w:t xml:space="preserve">is Planck’s constant, </w:t>
      </w:r>
      <m:oMath>
        <m:r>
          <w:rPr>
            <w:rFonts w:ascii="Cambria Math" w:hAnsi="Cambria Math"/>
            <w:sz w:val="20"/>
          </w:rPr>
          <m:t>c</m:t>
        </m:r>
      </m:oMath>
      <w:r w:rsidRPr="00372C58">
        <w:rPr>
          <w:rFonts w:ascii="Book Antiqua" w:hAnsi="Book Antiqua"/>
          <w:sz w:val="20"/>
        </w:rPr>
        <w:t xml:space="preserve"> is light-speed,</w:t>
      </w:r>
      <m:oMath>
        <m:r>
          <w:rPr>
            <w:rFonts w:ascii="Cambria Math" w:hAnsi="Cambria Math"/>
            <w:sz w:val="20"/>
          </w:rPr>
          <m:t xml:space="preserve"> f</m:t>
        </m:r>
      </m:oMath>
      <w:r w:rsidRPr="00372C58">
        <w:rPr>
          <w:rFonts w:ascii="Book Antiqua" w:hAnsi="Book Antiqua"/>
          <w:sz w:val="20"/>
        </w:rPr>
        <w:t xml:space="preserve"> is atomic frequencies including the rate of ticking of atomic clocks, </w:t>
      </w:r>
      <m:oMath>
        <m:r>
          <w:rPr>
            <w:rFonts w:ascii="Cambria Math" w:hAnsi="Cambria Math"/>
            <w:sz w:val="20"/>
          </w:rPr>
          <m:t>t</m:t>
        </m:r>
      </m:oMath>
      <w:r w:rsidRPr="00372C58">
        <w:rPr>
          <w:rFonts w:ascii="Book Antiqua" w:hAnsi="Book Antiqua"/>
          <w:sz w:val="20"/>
        </w:rPr>
        <w:t xml:space="preserve"> is atomic time intervals, </w:t>
      </w:r>
      <m:oMath>
        <m:r>
          <w:rPr>
            <w:rFonts w:ascii="Cambria Math" w:hAnsi="Cambria Math"/>
            <w:sz w:val="20"/>
          </w:rPr>
          <m:t>m</m:t>
        </m:r>
      </m:oMath>
      <w:r w:rsidRPr="00372C58">
        <w:rPr>
          <w:rFonts w:ascii="Book Antiqua" w:hAnsi="Book Antiqua"/>
          <w:sz w:val="20"/>
        </w:rPr>
        <w:t xml:space="preserve"> is atomic masses, </w:t>
      </w:r>
      <m:oMath>
        <m:r>
          <w:rPr>
            <w:rFonts w:ascii="Cambria Math" w:hAnsi="Cambria Math"/>
            <w:sz w:val="20"/>
          </w:rPr>
          <m:t>z</m:t>
        </m:r>
      </m:oMath>
      <w:r w:rsidRPr="00372C58">
        <w:rPr>
          <w:rFonts w:ascii="Book Antiqua" w:hAnsi="Book Antiqua"/>
          <w:sz w:val="20"/>
        </w:rPr>
        <w:t xml:space="preserve"> is the redshift, and</w:t>
      </w:r>
      <m:oMath>
        <m:r>
          <w:rPr>
            <w:rFonts w:ascii="Cambria Math" w:hAnsi="Cambria Math"/>
            <w:sz w:val="20"/>
          </w:rPr>
          <m:t xml:space="preserve"> T</m:t>
        </m:r>
      </m:oMath>
      <w:r w:rsidRPr="00372C58">
        <w:rPr>
          <w:rFonts w:ascii="Book Antiqua" w:hAnsi="Book Antiqua"/>
          <w:sz w:val="20"/>
        </w:rPr>
        <w:t xml:space="preserve"> is orbital time. Equation (64) also gives us the form of function </w:t>
      </w:r>
      <m:oMath>
        <m:r>
          <w:rPr>
            <w:rFonts w:ascii="Cambria Math" w:hAnsi="Cambria Math"/>
            <w:sz w:val="20"/>
          </w:rPr>
          <m:t>Y</m:t>
        </m:r>
      </m:oMath>
      <w:r w:rsidRPr="00372C58">
        <w:rPr>
          <w:rFonts w:ascii="Book Antiqua" w:hAnsi="Book Antiqua"/>
          <w:sz w:val="20"/>
        </w:rPr>
        <w:t>, mentioned at the close of Chapter 1, which describes the behavior of the ZPE as it built up. Figure 1</w:t>
      </w:r>
      <w:r>
        <w:rPr>
          <w:rFonts w:ascii="Book Antiqua" w:hAnsi="Book Antiqua"/>
          <w:sz w:val="20"/>
        </w:rPr>
        <w:t>4</w:t>
      </w:r>
      <w:r w:rsidRPr="00372C58">
        <w:rPr>
          <w:rFonts w:ascii="Book Antiqua" w:hAnsi="Book Antiqua"/>
          <w:sz w:val="20"/>
        </w:rPr>
        <w:t xml:space="preserve"> shows (64) in terms of </w:t>
      </w:r>
      <m:oMath>
        <m:r>
          <w:rPr>
            <w:rFonts w:ascii="Cambria Math" w:hAnsi="Cambria Math"/>
            <w:sz w:val="20"/>
          </w:rPr>
          <m:t xml:space="preserve">(1+z) </m:t>
        </m:r>
      </m:oMath>
      <w:r w:rsidRPr="00372C58">
        <w:rPr>
          <w:rFonts w:ascii="Book Antiqua" w:hAnsi="Book Antiqua"/>
          <w:sz w:val="20"/>
        </w:rPr>
        <w:t xml:space="preserve"> going back in time from now. </w:t>
      </w:r>
    </w:p>
    <w:p w:rsidR="003324C1" w:rsidRPr="00372C58" w:rsidRDefault="003324C1" w:rsidP="003324C1">
      <w:pPr>
        <w:pStyle w:val="NoSpacing"/>
        <w:ind w:firstLine="720"/>
        <w:jc w:val="both"/>
        <w:rPr>
          <w:rFonts w:ascii="Book Antiqua" w:hAnsi="Book Antiqua"/>
          <w:sz w:val="20"/>
        </w:rPr>
      </w:pPr>
    </w:p>
    <w:p w:rsidR="00DB51B9" w:rsidRDefault="00DB51B9" w:rsidP="00DB51B9">
      <w:pPr>
        <w:pStyle w:val="NormPara"/>
        <w:ind w:firstLine="720"/>
        <w:rPr>
          <w:sz w:val="20"/>
        </w:rPr>
      </w:pPr>
      <w:r w:rsidRPr="00372C58">
        <w:rPr>
          <w:noProof/>
          <w:sz w:val="20"/>
        </w:rPr>
        <w:t>As shown in equation (64), t</w:t>
      </w:r>
      <w:r w:rsidRPr="00372C58">
        <w:rPr>
          <w:sz w:val="20"/>
        </w:rPr>
        <w:t xml:space="preserve">he speed of light, </w:t>
      </w:r>
      <m:oMath>
        <m:r>
          <w:rPr>
            <w:rFonts w:ascii="Cambria Math" w:hAnsi="Cambria Math"/>
            <w:sz w:val="20"/>
          </w:rPr>
          <m:t>c</m:t>
        </m:r>
      </m:oMath>
      <w:r w:rsidRPr="00372C58">
        <w:rPr>
          <w:i/>
          <w:sz w:val="20"/>
        </w:rPr>
        <w:t>,</w:t>
      </w:r>
      <w:r w:rsidRPr="00372C58">
        <w:rPr>
          <w:sz w:val="20"/>
        </w:rPr>
        <w:t xml:space="preserve"> atomic frequencies, </w:t>
      </w:r>
      <m:oMath>
        <m:r>
          <w:rPr>
            <w:rFonts w:ascii="Cambria Math" w:hAnsi="Cambria Math"/>
            <w:sz w:val="20"/>
          </w:rPr>
          <m:t>f</m:t>
        </m:r>
      </m:oMath>
      <w:r w:rsidRPr="00372C58">
        <w:rPr>
          <w:sz w:val="20"/>
        </w:rPr>
        <w:t xml:space="preserve">, and the rate of ticking of atomic clocks follow the same curve with a constant of proportionality, which is different from </w:t>
      </w:r>
      <m:oMath>
        <m:r>
          <w:rPr>
            <w:rFonts w:ascii="Cambria Math" w:hAnsi="Cambria Math"/>
            <w:sz w:val="20"/>
          </w:rPr>
          <m:t>K,</m:t>
        </m:r>
      </m:oMath>
      <w:r w:rsidRPr="00372C58">
        <w:rPr>
          <w:sz w:val="20"/>
        </w:rPr>
        <w:t xml:space="preserve"> as the multiplier of the vertical scale.  </w:t>
      </w:r>
      <w:r w:rsidRPr="00372C58">
        <w:rPr>
          <w:noProof/>
          <w:sz w:val="20"/>
        </w:rPr>
        <w:t>The total distance traveled in light years and/or the total time elapsed on the atomic clock is given by equation (65) below.</w:t>
      </w:r>
      <w:r w:rsidRPr="00372C58">
        <w:rPr>
          <w:sz w:val="20"/>
        </w:rPr>
        <w:t xml:space="preserve"> </w:t>
      </w:r>
    </w:p>
    <w:p w:rsidR="00DB51B9" w:rsidRDefault="00DB51B9" w:rsidP="00DB51B9">
      <w:pPr>
        <w:pStyle w:val="NormPara"/>
        <w:ind w:firstLine="720"/>
        <w:rPr>
          <w:sz w:val="20"/>
        </w:rPr>
      </w:pPr>
    </w:p>
    <w:p w:rsidR="00DB51B9" w:rsidRDefault="00DB51B9" w:rsidP="00DB51B9">
      <w:pPr>
        <w:pStyle w:val="NormPara"/>
        <w:ind w:firstLine="720"/>
        <w:rPr>
          <w:sz w:val="20"/>
        </w:rPr>
      </w:pPr>
      <w:r w:rsidRPr="00372C58">
        <w:rPr>
          <w:sz w:val="20"/>
        </w:rPr>
        <w:t xml:space="preserve"> The point marked ‘0’ on the graph in Figure 1</w:t>
      </w:r>
      <w:r w:rsidR="003D33FE">
        <w:rPr>
          <w:sz w:val="20"/>
        </w:rPr>
        <w:t>4</w:t>
      </w:r>
      <w:r w:rsidRPr="00372C58">
        <w:rPr>
          <w:sz w:val="20"/>
        </w:rPr>
        <w:t xml:space="preserve"> is not our time now</w:t>
      </w:r>
      <w:r>
        <w:rPr>
          <w:sz w:val="20"/>
        </w:rPr>
        <w:t xml:space="preserve">. </w:t>
      </w:r>
      <w:r w:rsidR="006334BD">
        <w:rPr>
          <w:sz w:val="20"/>
        </w:rPr>
        <w:t>It</w:t>
      </w:r>
      <w:r>
        <w:rPr>
          <w:sz w:val="20"/>
        </w:rPr>
        <w:t xml:space="preserve"> is the point at which the redshift function ceased, namely when </w:t>
      </w:r>
      <m:oMath>
        <m:r>
          <w:rPr>
            <w:rFonts w:ascii="Cambria Math" w:hAnsi="Cambria Math"/>
            <w:sz w:val="20"/>
          </w:rPr>
          <m:t>z = 0</m:t>
        </m:r>
      </m:oMath>
      <w:r>
        <w:rPr>
          <w:sz w:val="20"/>
        </w:rPr>
        <w:t xml:space="preserve"> and so </w:t>
      </w:r>
      <m:oMath>
        <m:r>
          <w:rPr>
            <w:rFonts w:ascii="Cambria Math" w:hAnsi="Cambria Math"/>
            <w:sz w:val="20"/>
          </w:rPr>
          <m:t>T = 0</m:t>
        </m:r>
      </m:oMath>
      <w:r>
        <w:rPr>
          <w:sz w:val="20"/>
        </w:rPr>
        <w:t xml:space="preserve"> also. </w:t>
      </w:r>
      <w:r w:rsidRPr="00372C58">
        <w:rPr>
          <w:sz w:val="20"/>
        </w:rPr>
        <w:t xml:space="preserve">Since that time, </w:t>
      </w:r>
      <w:r>
        <w:rPr>
          <w:sz w:val="20"/>
        </w:rPr>
        <w:t xml:space="preserve">other events have occurred, including </w:t>
      </w:r>
      <w:r w:rsidRPr="00372C58">
        <w:rPr>
          <w:sz w:val="20"/>
        </w:rPr>
        <w:t>a slight oscillation in the size of the cosmos, which has been picked up in a number of atomic measurements.</w:t>
      </w:r>
      <w:r>
        <w:rPr>
          <w:sz w:val="20"/>
        </w:rPr>
        <w:t xml:space="preserve"> The behavior of the ZPE since that time of </w:t>
      </w:r>
      <m:oMath>
        <m:r>
          <w:rPr>
            <w:rFonts w:ascii="Cambria Math" w:hAnsi="Cambria Math"/>
            <w:sz w:val="20"/>
          </w:rPr>
          <m:t>T = 0</m:t>
        </m:r>
      </m:oMath>
      <w:r>
        <w:rPr>
          <w:sz w:val="20"/>
        </w:rPr>
        <w:t xml:space="preserve"> is discussed in more detail at the close of this chapter. </w:t>
      </w:r>
    </w:p>
    <w:p w:rsidR="00DB51B9" w:rsidRPr="00372C58" w:rsidRDefault="00DB51B9" w:rsidP="00DB51B9">
      <w:pPr>
        <w:pStyle w:val="NormPara"/>
        <w:ind w:firstLine="720"/>
        <w:rPr>
          <w:sz w:val="20"/>
        </w:rPr>
      </w:pPr>
    </w:p>
    <w:p w:rsidR="00DB51B9" w:rsidRPr="00372C58" w:rsidRDefault="00DB51B9" w:rsidP="00DB51B9">
      <w:pPr>
        <w:pStyle w:val="NoSpacing"/>
        <w:ind w:firstLine="720"/>
        <w:jc w:val="both"/>
        <w:rPr>
          <w:rFonts w:ascii="Book Antiqua" w:hAnsi="Book Antiqua"/>
          <w:sz w:val="20"/>
        </w:rPr>
      </w:pPr>
      <w:r w:rsidRPr="00372C58">
        <w:rPr>
          <w:rFonts w:ascii="Book Antiqua" w:hAnsi="Book Antiqua"/>
          <w:sz w:val="20"/>
        </w:rPr>
        <w:t>From equations (61) and (64), the distance traveled by light or the time elapsed on the atomic clock can be obtained from the indefinite integral which is</w:t>
      </w:r>
    </w:p>
    <w:p w:rsidR="00DB51B9" w:rsidRPr="00372C58" w:rsidRDefault="00DB51B9" w:rsidP="00DB51B9">
      <w:pPr>
        <w:pStyle w:val="NoSpacing"/>
        <w:jc w:val="both"/>
        <w:rPr>
          <w:rFonts w:ascii="Book Antiqua" w:hAnsi="Book Antiqua"/>
          <w:sz w:val="20"/>
        </w:rPr>
      </w:pPr>
    </w:p>
    <w:p w:rsidR="00DB51B9" w:rsidRDefault="00DB51B9" w:rsidP="00DB51B9">
      <w:pPr>
        <w:pStyle w:val="NoSpacing"/>
        <w:jc w:val="right"/>
        <w:rPr>
          <w:rFonts w:ascii="Book Antiqua" w:hAnsi="Book Antiqua"/>
          <w:i/>
          <w:sz w:val="20"/>
        </w:rPr>
      </w:pPr>
      <m:oMath>
        <m:r>
          <w:rPr>
            <w:rFonts w:ascii="Cambria Math" w:hAnsi="Cambria Math"/>
            <w:sz w:val="20"/>
          </w:rPr>
          <m:t>ʃ [(1+T)/√(1-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xml:space="preserve">)]dT =  K[Arcsin T – √(1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r>
          <w:rPr>
            <w:rFonts w:ascii="Cambria Math" w:hAnsi="Cambria Math"/>
            <w:sz w:val="20"/>
          </w:rPr>
          <m:t>) + 1]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(65)</w:t>
      </w:r>
    </w:p>
    <w:p w:rsidR="00265840" w:rsidRDefault="00265840" w:rsidP="00265840">
      <w:pPr>
        <w:pStyle w:val="NoSpacing"/>
        <w:rPr>
          <w:rFonts w:ascii="Book Antiqua" w:hAnsi="Book Antiqua"/>
          <w:sz w:val="20"/>
        </w:rPr>
      </w:pPr>
    </w:p>
    <w:p w:rsidR="00DB51B9" w:rsidRPr="00372C58" w:rsidRDefault="00DB51B9" w:rsidP="00265840">
      <w:pPr>
        <w:pStyle w:val="NoSpacing"/>
        <w:rPr>
          <w:rFonts w:ascii="Book Antiqua" w:hAnsi="Book Antiqua"/>
          <w:sz w:val="20"/>
        </w:rPr>
      </w:pPr>
    </w:p>
    <w:p w:rsidR="00DC557A" w:rsidRDefault="00265840" w:rsidP="00265840">
      <w:pPr>
        <w:pStyle w:val="NoSpacing"/>
        <w:ind w:firstLine="720"/>
        <w:jc w:val="both"/>
        <w:rPr>
          <w:rFonts w:ascii="Book Antiqua" w:hAnsi="Book Antiqua"/>
          <w:sz w:val="20"/>
        </w:rPr>
      </w:pPr>
      <w:r w:rsidRPr="00372C58">
        <w:rPr>
          <w:rFonts w:ascii="Book Antiqua" w:hAnsi="Book Antiqua"/>
          <w:sz w:val="20"/>
        </w:rPr>
        <w:t xml:space="preserve">In (65), the value of K is that given in equation (60), namely </w:t>
      </w:r>
      <m:oMath>
        <m:r>
          <w:rPr>
            <w:rFonts w:ascii="Cambria Math" w:hAnsi="Cambria Math"/>
            <w:sz w:val="20"/>
          </w:rPr>
          <m:t xml:space="preserve">K = 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.There are two cross-checks on this value of K. One is to insert the value </w:t>
      </w:r>
      <m:oMath>
        <m:r>
          <w:rPr>
            <w:rFonts w:ascii="Cambria Math" w:hAnsi="Cambria Math"/>
            <w:sz w:val="20"/>
          </w:rPr>
          <m:t>T = 1</m:t>
        </m:r>
      </m:oMath>
      <w:r w:rsidRPr="00372C58">
        <w:rPr>
          <w:rFonts w:ascii="Book Antiqua" w:hAnsi="Book Antiqua"/>
          <w:sz w:val="20"/>
        </w:rPr>
        <w:t xml:space="preserve"> for the inception of the cosmos. This gives a maximum value of 2.5707 inside the square brackets of (65). When multiplied by the value of </w:t>
      </w:r>
      <w:r w:rsidRPr="00372C58">
        <w:rPr>
          <w:rFonts w:ascii="Book Antiqua" w:hAnsi="Book Antiqua"/>
          <w:i/>
          <w:sz w:val="20"/>
        </w:rPr>
        <w:t>K</w:t>
      </w:r>
      <w:r w:rsidRPr="00372C58">
        <w:rPr>
          <w:rFonts w:ascii="Book Antiqua" w:hAnsi="Book Antiqua"/>
          <w:sz w:val="20"/>
        </w:rPr>
        <w:t xml:space="preserve">, this gives the maximum distance that light has travelled in light years (or the maximum number of years elapsed on the atomic clock). When the value of K in (65) is inserted here, the maximum age on the atomic clock is 12.2 billion years or a corresponding distance of 12.2 billion light years. However, the data released in early 2013 suggested this was 13.8 billion atomic years. This would give the numerical value for K as 5.3679 billion. </w:t>
      </w:r>
    </w:p>
    <w:p w:rsidR="00DC557A" w:rsidRDefault="00DC557A" w:rsidP="00265840">
      <w:pPr>
        <w:pStyle w:val="NoSpacing"/>
        <w:ind w:firstLine="720"/>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a second cross-check suggests this must be slightly modified by data from the Cosmic Microwave Background Radiation (CMBR). These data suggest a value for K of around 4.1012 billion as explained in Section 8 at the end of this </w:t>
      </w:r>
      <w:r w:rsidR="002D18D6">
        <w:rPr>
          <w:rFonts w:ascii="Book Antiqua" w:hAnsi="Book Antiqua"/>
          <w:sz w:val="20"/>
        </w:rPr>
        <w:t>c</w:t>
      </w:r>
      <w:r w:rsidRPr="00372C58">
        <w:rPr>
          <w:rFonts w:ascii="Book Antiqua" w:hAnsi="Book Antiqua"/>
          <w:sz w:val="20"/>
        </w:rPr>
        <w:t xml:space="preserve">hapter. The arithmetical </w:t>
      </w:r>
      <w:r w:rsidR="00BF6FF9">
        <w:rPr>
          <w:rFonts w:ascii="Book Antiqua" w:hAnsi="Book Antiqua"/>
          <w:sz w:val="20"/>
        </w:rPr>
        <w:t>mean</w:t>
      </w:r>
      <w:r w:rsidRPr="00372C58">
        <w:rPr>
          <w:rFonts w:ascii="Book Antiqua" w:hAnsi="Book Antiqua"/>
          <w:sz w:val="20"/>
        </w:rPr>
        <w:t xml:space="preserve"> of these two values is therefore</w:t>
      </w:r>
      <m:oMath>
        <m:r>
          <w:rPr>
            <w:rFonts w:ascii="Cambria Math" w:hAnsi="Cambria Math"/>
            <w:sz w:val="20"/>
          </w:rPr>
          <m:t xml:space="preserve"> K = 4.735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oMath>
      <w:r w:rsidRPr="00372C58">
        <w:rPr>
          <w:rFonts w:ascii="Book Antiqua" w:hAnsi="Book Antiqua"/>
          <w:sz w:val="20"/>
        </w:rPr>
        <w:t xml:space="preserve">. This </w:t>
      </w:r>
      <w:r w:rsidR="00BF6FF9">
        <w:rPr>
          <w:rFonts w:ascii="Book Antiqua" w:hAnsi="Book Antiqua"/>
          <w:sz w:val="20"/>
        </w:rPr>
        <w:t xml:space="preserve">mrean </w:t>
      </w:r>
      <w:r w:rsidRPr="00372C58">
        <w:rPr>
          <w:rFonts w:ascii="Book Antiqua" w:hAnsi="Book Antiqua"/>
          <w:sz w:val="20"/>
        </w:rPr>
        <w:t xml:space="preserve">value is in close accord with the value obtained from atomic considerations. It can therefore be concluded that this value for K is substantially correct. Any errors will then either be due to the estimate of the electron angular frequency of oscillation, or the precise redshift of the Cosmic Microwave Background. </w:t>
      </w:r>
    </w:p>
    <w:p w:rsidR="00265840" w:rsidRPr="00372C58" w:rsidRDefault="00265840" w:rsidP="00265840">
      <w:pPr>
        <w:pStyle w:val="NoSpacing"/>
        <w:ind w:firstLine="720"/>
        <w:jc w:val="both"/>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 xml:space="preserve">6.   The ZPE And The Redshift. </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1</w:t>
      </w:r>
      <w:r w:rsidRPr="00372C58">
        <w:rPr>
          <w:rFonts w:ascii="Book Antiqua" w:hAnsi="Book Antiqua"/>
          <w:bCs/>
          <w:i/>
          <w:iCs/>
          <w:color w:val="000000"/>
          <w:sz w:val="20"/>
        </w:rPr>
        <w:t>. Considering The Quantum Jump.</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mathematical model of the Bohr atom often gives results that are numerically correct with less complicated procedures than more sophisticated models [83], that model is employed here.</w:t>
      </w:r>
    </w:p>
    <w:p w:rsidR="007C0564" w:rsidRDefault="00265840" w:rsidP="00265840">
      <w:pPr>
        <w:pStyle w:val="NoSpacing"/>
        <w:jc w:val="both"/>
        <w:rPr>
          <w:rFonts w:ascii="Book Antiqua" w:hAnsi="Book Antiqua"/>
          <w:sz w:val="20"/>
        </w:rPr>
      </w:pPr>
      <w:r w:rsidRPr="00372C58">
        <w:rPr>
          <w:rFonts w:ascii="Book Antiqua" w:hAnsi="Book Antiqua"/>
          <w:sz w:val="20"/>
        </w:rPr>
        <w:tab/>
      </w:r>
    </w:p>
    <w:p w:rsidR="00265840" w:rsidRPr="00372C58" w:rsidRDefault="00265840" w:rsidP="00F228A9">
      <w:pPr>
        <w:pStyle w:val="NoSpacing"/>
        <w:ind w:firstLine="720"/>
        <w:jc w:val="both"/>
        <w:rPr>
          <w:rFonts w:ascii="Book Antiqua" w:hAnsi="Book Antiqua"/>
          <w:sz w:val="20"/>
        </w:rPr>
      </w:pPr>
      <w:r w:rsidRPr="00372C58">
        <w:rPr>
          <w:rFonts w:ascii="Book Antiqua" w:hAnsi="Book Antiqua"/>
          <w:sz w:val="20"/>
        </w:rPr>
        <w:t xml:space="preserve">The first equation of importance in that model follows from the fact that all moving subatomic particles have a de Broglie wave associated with them. This wave has a wavelength,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which is given by </w:t>
      </w:r>
      <m:oMath>
        <m:r>
          <w:rPr>
            <w:rFonts w:ascii="Cambria Math" w:hAnsi="Cambria Math"/>
            <w:sz w:val="20"/>
          </w:rPr>
          <m:t>h/mv</m:t>
        </m:r>
      </m:oMath>
      <w:r w:rsidRPr="00372C58">
        <w:rPr>
          <w:rFonts w:ascii="Book Antiqua" w:hAnsi="Book Antiqua"/>
          <w:sz w:val="20"/>
        </w:rPr>
        <w:t xml:space="preserve">, where </w:t>
      </w:r>
      <m:oMath>
        <m:r>
          <w:rPr>
            <w:rFonts w:ascii="Cambria Math" w:hAnsi="Cambria Math"/>
            <w:sz w:val="20"/>
          </w:rPr>
          <m:t>m</m:t>
        </m:r>
      </m:oMath>
      <w:r w:rsidRPr="00372C58">
        <w:rPr>
          <w:rFonts w:ascii="Book Antiqua" w:hAnsi="Book Antiqua"/>
          <w:sz w:val="20"/>
        </w:rPr>
        <w:t xml:space="preserve"> is the mass of the particle whose velocity is </w:t>
      </w:r>
      <m:oMath>
        <m:r>
          <w:rPr>
            <w:rFonts w:ascii="Cambria Math" w:hAnsi="Cambria Math"/>
            <w:sz w:val="20"/>
          </w:rPr>
          <m:t>v</m:t>
        </m:r>
      </m:oMath>
      <w:r w:rsidRPr="00372C58">
        <w:rPr>
          <w:rFonts w:ascii="Book Antiqua" w:hAnsi="Book Antiqua"/>
          <w:sz w:val="20"/>
        </w:rPr>
        <w:t>, and</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i/>
          <w:sz w:val="20"/>
        </w:rPr>
        <w:t xml:space="preserve"> </w:t>
      </w:r>
      <w:r w:rsidRPr="00372C58">
        <w:rPr>
          <w:rFonts w:ascii="Book Antiqua" w:hAnsi="Book Antiqua"/>
          <w:sz w:val="20"/>
        </w:rPr>
        <w:t>is Planck’s constant.</w:t>
      </w:r>
      <w:r w:rsidR="00F228A9">
        <w:rPr>
          <w:rFonts w:ascii="Book Antiqua" w:hAnsi="Book Antiqua"/>
          <w:sz w:val="20"/>
        </w:rPr>
        <w:t xml:space="preserve"> </w:t>
      </w:r>
      <w:r w:rsidRPr="00372C58">
        <w:rPr>
          <w:rFonts w:ascii="Book Antiqua" w:hAnsi="Book Antiqua"/>
          <w:sz w:val="20"/>
        </w:rPr>
        <w:t xml:space="preserve">For an electron moving in a stable atomic orbit whose radius is </w:t>
      </w:r>
      <m:oMath>
        <m:r>
          <w:rPr>
            <w:rFonts w:ascii="Cambria Math" w:hAnsi="Cambria Math"/>
            <w:sz w:val="20"/>
          </w:rPr>
          <m:t>r</m:t>
        </m:r>
      </m:oMath>
      <w:r w:rsidRPr="00372C58">
        <w:rPr>
          <w:rFonts w:ascii="Book Antiqua" w:hAnsi="Book Antiqua"/>
          <w:sz w:val="20"/>
        </w:rPr>
        <w:t xml:space="preserve">, the wave associated with the electron must be a standing or stationary wave pattern  (meaning the wave pattern is exactly the same for each orbit) or it would self-destruct. In other words, the length of the orbit divided by the wavelength must be a whole number, </w:t>
      </w:r>
      <m:oMath>
        <m:r>
          <w:rPr>
            <w:rFonts w:ascii="Cambria Math" w:hAnsi="Cambria Math"/>
            <w:sz w:val="20"/>
          </w:rPr>
          <m:t>n</m:t>
        </m:r>
      </m:oMath>
      <w:r w:rsidRPr="00372C58">
        <w:rPr>
          <w:rFonts w:ascii="Book Antiqua" w:hAnsi="Book Antiqua"/>
          <w:sz w:val="20"/>
        </w:rPr>
        <w:t>. In this way the peaks and troughs of the electron's de Broglie wave are reinforced. The situation is illustrated in Fig. 1</w:t>
      </w:r>
      <w:r w:rsidR="003D33FE">
        <w:rPr>
          <w:rFonts w:ascii="Book Antiqua" w:hAnsi="Book Antiqua"/>
          <w:sz w:val="20"/>
        </w:rPr>
        <w:t>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6"/>
        <w:gridCol w:w="3152"/>
        <w:gridCol w:w="3246"/>
      </w:tblGrid>
      <w:tr w:rsidR="00265840" w:rsidRPr="00372C58" w:rsidTr="005B6606">
        <w:trPr>
          <w:trHeight w:val="2900"/>
          <w:jc w:val="center"/>
        </w:trPr>
        <w:tc>
          <w:tcPr>
            <w:tcW w:w="2744"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695450" cy="1776962"/>
                  <wp:effectExtent l="19050" t="0" r="0" b="0"/>
                  <wp:docPr id="1533"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7" cstate="print">
                            <a:lum bright="-10000"/>
                          </a:blip>
                          <a:srcRect l="23788" t="21498" r="51373" b="5197"/>
                          <a:stretch>
                            <a:fillRect/>
                          </a:stretch>
                        </pic:blipFill>
                        <pic:spPr bwMode="auto">
                          <a:xfrm>
                            <a:off x="0" y="0"/>
                            <a:ext cx="1695663" cy="1777185"/>
                          </a:xfrm>
                          <a:prstGeom prst="rect">
                            <a:avLst/>
                          </a:prstGeom>
                          <a:noFill/>
                          <a:ln w="9525">
                            <a:noFill/>
                            <a:miter lim="800000"/>
                            <a:headEnd/>
                            <a:tailEnd/>
                          </a:ln>
                        </pic:spPr>
                      </pic:pic>
                    </a:graphicData>
                  </a:graphic>
                </wp:inline>
              </w:drawing>
            </w:r>
          </w:p>
        </w:tc>
        <w:tc>
          <w:tcPr>
            <w:tcW w:w="3070"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63786" cy="1762125"/>
                  <wp:effectExtent l="0" t="0" r="0" b="0"/>
                  <wp:docPr id="1534" name="Picture 10" descr="http://www.kentchemistry.com/images/links/atomic/6c4b6bad-bf4a-4eaa-8df2-d04c1542560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ntchemistry.com/images/links/atomic/6c4b6bad-bf4a-4eaa-8df2-d04c1542560c.gif"/>
                          <pic:cNvPicPr>
                            <a:picLocks noChangeAspect="1" noChangeArrowheads="1"/>
                          </pic:cNvPicPr>
                        </pic:nvPicPr>
                        <pic:blipFill>
                          <a:blip r:embed="rId218" cstate="print">
                            <a:lum/>
                          </a:blip>
                          <a:srcRect l="51385" t="2715"/>
                          <a:stretch>
                            <a:fillRect/>
                          </a:stretch>
                        </pic:blipFill>
                        <pic:spPr bwMode="auto">
                          <a:xfrm>
                            <a:off x="0" y="0"/>
                            <a:ext cx="1868529" cy="1766609"/>
                          </a:xfrm>
                          <a:prstGeom prst="rect">
                            <a:avLst/>
                          </a:prstGeom>
                          <a:noFill/>
                          <a:ln w="9525">
                            <a:noFill/>
                            <a:miter lim="800000"/>
                            <a:headEnd/>
                            <a:tailEnd/>
                          </a:ln>
                        </pic:spPr>
                      </pic:pic>
                    </a:graphicData>
                  </a:graphic>
                </wp:inline>
              </w:drawing>
            </w:r>
          </w:p>
        </w:tc>
        <w:tc>
          <w:tcPr>
            <w:tcW w:w="3055" w:type="dxa"/>
          </w:tcPr>
          <w:p w:rsidR="00265840" w:rsidRPr="00372C58" w:rsidRDefault="00265840" w:rsidP="00FA5681">
            <w:pPr>
              <w:pStyle w:val="NoSpacing"/>
              <w:jc w:val="both"/>
              <w:rPr>
                <w:rFonts w:ascii="Book Antiqua" w:hAnsi="Book Antiqua"/>
                <w:sz w:val="20"/>
              </w:rPr>
            </w:pPr>
            <w:r w:rsidRPr="00372C58">
              <w:rPr>
                <w:rFonts w:ascii="Book Antiqua" w:hAnsi="Book Antiqua"/>
                <w:noProof/>
                <w:sz w:val="20"/>
              </w:rPr>
              <w:drawing>
                <wp:inline distT="0" distB="0" distL="0" distR="0">
                  <wp:extent cx="1896382" cy="1762125"/>
                  <wp:effectExtent l="19050" t="0" r="8618" b="0"/>
                  <wp:docPr id="1535" name="il_fi" descr="http://thisquantumworld.com/wp/wp-content/uploads/2010/12/deBroglie-1024x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isquantumworld.com/wp/wp-content/uploads/2010/12/deBroglie-1024x361.png"/>
                          <pic:cNvPicPr>
                            <a:picLocks noChangeAspect="1" noChangeArrowheads="1"/>
                          </pic:cNvPicPr>
                        </pic:nvPicPr>
                        <pic:blipFill>
                          <a:blip r:embed="rId219" cstate="print">
                            <a:lum bright="-10000"/>
                          </a:blip>
                          <a:srcRect l="48035" t="22150" r="24605" b="5862"/>
                          <a:stretch>
                            <a:fillRect/>
                          </a:stretch>
                        </pic:blipFill>
                        <pic:spPr bwMode="auto">
                          <a:xfrm>
                            <a:off x="0" y="0"/>
                            <a:ext cx="1896382" cy="1762125"/>
                          </a:xfrm>
                          <a:prstGeom prst="rect">
                            <a:avLst/>
                          </a:prstGeom>
                          <a:noFill/>
                          <a:ln w="9525">
                            <a:noFill/>
                            <a:miter lim="800000"/>
                            <a:headEnd/>
                            <a:tailEnd/>
                          </a:ln>
                        </pic:spPr>
                      </pic:pic>
                    </a:graphicData>
                  </a:graphic>
                </wp:inline>
              </w:drawing>
            </w:r>
          </w:p>
        </w:tc>
      </w:tr>
    </w:tbl>
    <w:p w:rsidR="00265840" w:rsidRPr="00372C58" w:rsidRDefault="00265840" w:rsidP="00265840">
      <w:pPr>
        <w:pStyle w:val="NoSpacing"/>
        <w:jc w:val="both"/>
        <w:rPr>
          <w:rFonts w:ascii="Book Antiqua" w:hAnsi="Book Antiqua"/>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5</w:t>
      </w:r>
      <w:r w:rsidRPr="004223A5">
        <w:rPr>
          <w:rFonts w:ascii="Book Antiqua" w:hAnsi="Book Antiqua"/>
          <w:b/>
          <w:i/>
          <w:sz w:val="18"/>
          <w:szCs w:val="18"/>
        </w:rPr>
        <w:t>:</w:t>
      </w:r>
      <w:r w:rsidRPr="004223A5">
        <w:rPr>
          <w:rFonts w:ascii="Book Antiqua" w:hAnsi="Book Antiqua"/>
          <w:i/>
          <w:sz w:val="18"/>
          <w:szCs w:val="18"/>
        </w:rPr>
        <w:t xml:space="preserve"> A stable atomic orbit for an electron only occurs when the de Broglie wave associated with the moving electron has the peaks and troughs of its wavelength matching up perfectly around the orbit (shown on the left and right examples above). The center example shows that if the wave</w:t>
      </w:r>
      <w:r w:rsidR="003324C1">
        <w:rPr>
          <w:rFonts w:ascii="Book Antiqua" w:hAnsi="Book Antiqua"/>
          <w:i/>
          <w:sz w:val="18"/>
          <w:szCs w:val="18"/>
        </w:rPr>
        <w:t>-</w:t>
      </w:r>
      <w:r w:rsidRPr="004223A5">
        <w:rPr>
          <w:rFonts w:ascii="Book Antiqua" w:hAnsi="Book Antiqua"/>
          <w:i/>
          <w:sz w:val="18"/>
          <w:szCs w:val="18"/>
        </w:rPr>
        <w:t>length was slightly different from these other two examples, the wavelength would no longer exactly fit around the circumference of the circle making up the orbit. The result is that the waves circling around the orbit would interfere and mutually destruct.</w:t>
      </w:r>
    </w:p>
    <w:p w:rsidR="00DB51B9" w:rsidRDefault="00DB51B9"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 we can write that:</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2πr/</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2πr/(h/mv)  = n</m:t>
        </m:r>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(66)</w:t>
      </w:r>
      <w:r w:rsidRPr="00372C58">
        <w:rPr>
          <w:sz w:val="20"/>
        </w:rPr>
        <w:t xml:space="preserve">  </w:t>
      </w:r>
    </w:p>
    <w:p w:rsidR="00265840" w:rsidRPr="00372C58" w:rsidRDefault="00265840" w:rsidP="00265840">
      <w:pPr>
        <w:pStyle w:val="NormPara"/>
        <w:ind w:firstLine="270"/>
        <w:rPr>
          <w:sz w:val="20"/>
        </w:rPr>
      </w:pPr>
    </w:p>
    <w:p w:rsidR="00265840" w:rsidRPr="00372C58" w:rsidRDefault="00265840" w:rsidP="00DB51B9">
      <w:pPr>
        <w:pStyle w:val="NormPara"/>
        <w:ind w:firstLine="270"/>
        <w:rPr>
          <w:sz w:val="20"/>
        </w:rPr>
      </w:pPr>
      <w:r w:rsidRPr="00372C58">
        <w:rPr>
          <w:sz w:val="20"/>
        </w:rPr>
        <w:t>From this, the first of the two main equations describing the behavior of this model of the atom follows, namely [38]:</w:t>
      </w:r>
    </w:p>
    <w:p w:rsidR="00265840" w:rsidRPr="00372C58" w:rsidRDefault="00265840" w:rsidP="00265840">
      <w:pPr>
        <w:pStyle w:val="NormPara"/>
        <w:ind w:firstLine="270"/>
        <w:rPr>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sz w:val="20"/>
        </w:rPr>
        <w:tab/>
      </w:r>
      <m:oMath>
        <m:r>
          <w:rPr>
            <w:rFonts w:ascii="Cambria Math" w:hAnsi="Cambria Math"/>
            <w:sz w:val="20"/>
          </w:rPr>
          <m:t>mvr  =  nh/(2π).</m:t>
        </m:r>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 xml:space="preserve"> (67)</w:t>
      </w:r>
      <w:r w:rsidRPr="00372C58">
        <w:rPr>
          <w:rFonts w:ascii="Book Antiqua" w:hAnsi="Book Antiqua"/>
          <w:sz w:val="20"/>
        </w:rPr>
        <w:t xml:space="preserve">  </w:t>
      </w:r>
    </w:p>
    <w:p w:rsidR="00265840" w:rsidRPr="00372C58" w:rsidRDefault="00265840" w:rsidP="00265840">
      <w:pPr>
        <w:pStyle w:val="NoSpacing"/>
        <w:jc w:val="right"/>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(67), </w:t>
      </w:r>
      <m:oMath>
        <m:r>
          <w:rPr>
            <w:rFonts w:ascii="Cambria Math" w:hAnsi="Cambria Math"/>
            <w:sz w:val="20"/>
          </w:rPr>
          <m:t>n</m:t>
        </m:r>
      </m:oMath>
      <w:r w:rsidRPr="00372C58">
        <w:rPr>
          <w:rFonts w:ascii="Book Antiqua" w:hAnsi="Book Antiqua"/>
          <w:sz w:val="20"/>
        </w:rPr>
        <w:t xml:space="preserve"> is the standard Bohr quantum number. For the purposes of this exercise with changing ZPE, let us assume that only one de Broglie wave is involved in the orbit under consideration. Thus we can simply write from (66) that</w:t>
      </w: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Let us now impose the ZPE quantum conditions on the orbit radius </w:t>
      </w:r>
      <m:oMath>
        <m:r>
          <w:rPr>
            <w:rFonts w:ascii="Cambria Math" w:hAnsi="Cambria Math"/>
            <w:sz w:val="20"/>
          </w:rPr>
          <m:t>r</m:t>
        </m:r>
      </m:oMath>
      <w:r w:rsidRPr="00372C58">
        <w:rPr>
          <w:rFonts w:ascii="Book Antiqua" w:hAnsi="Book Antiqua"/>
          <w:i/>
          <w:sz w:val="20"/>
        </w:rPr>
        <w:t>.</w:t>
      </w:r>
      <w:r w:rsidRPr="00372C58">
        <w:rPr>
          <w:rFonts w:ascii="Book Antiqua" w:hAnsi="Book Antiqua"/>
          <w:sz w:val="20"/>
        </w:rPr>
        <w:t xml:space="preserve"> We assume that there was an original orbit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xml:space="preserve">. This original radius was the position that the </w:t>
      </w:r>
      <m:oMath>
        <m:r>
          <w:rPr>
            <w:rFonts w:ascii="Cambria Math" w:hAnsi="Cambria Math"/>
            <w:sz w:val="20"/>
          </w:rPr>
          <m:t>n=1</m:t>
        </m:r>
      </m:oMath>
      <w:r w:rsidRPr="00372C58">
        <w:rPr>
          <w:rFonts w:ascii="Book Antiqua" w:hAnsi="Book Antiqua"/>
          <w:sz w:val="20"/>
        </w:rPr>
        <w:t xml:space="preserve"> orbit occupied when the cosmic microwave background radiation was formed. Its position in relation to the nucleus was governed by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Since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invariant in a changing ZPE scenario, except in strong gravitational fields, then it follows that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is a fixed quantity. However, as the ZPE builds, the orbit radius will become progressively smaller from that original radius in quantum steps, so we then assign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r  = </m:t>
        </m:r>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xml:space="preserve">/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(69)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where </w:t>
      </w:r>
      <m:oMath>
        <m:r>
          <w:rPr>
            <w:rFonts w:ascii="Cambria Math" w:hAnsi="Cambria Math"/>
            <w:sz w:val="20"/>
          </w:rPr>
          <m:t>N</m:t>
        </m:r>
      </m:oMath>
      <w:r w:rsidRPr="00372C58">
        <w:rPr>
          <w:rFonts w:ascii="Book Antiqua" w:hAnsi="Book Antiqua"/>
          <w:sz w:val="20"/>
        </w:rPr>
        <w:t xml:space="preserve"> is the redshift quantum number. By using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 xml:space="preserve"> </m:t>
        </m:r>
      </m:oMath>
      <w:r w:rsidRPr="00372C58">
        <w:rPr>
          <w:rFonts w:ascii="Book Antiqua" w:hAnsi="Book Antiqua"/>
          <w:sz w:val="20"/>
        </w:rPr>
        <w:t xml:space="preserve">in (69) instead of </w:t>
      </w:r>
      <w:r w:rsidRPr="00372C58">
        <w:rPr>
          <w:rFonts w:ascii="Book Antiqua" w:hAnsi="Book Antiqua"/>
          <w:i/>
          <w:sz w:val="20"/>
        </w:rPr>
        <w:t>N</w:t>
      </w:r>
      <w:r w:rsidRPr="00372C58">
        <w:rPr>
          <w:rFonts w:ascii="Book Antiqua" w:hAnsi="Book Antiqua"/>
          <w:sz w:val="20"/>
        </w:rPr>
        <w:t xml:space="preserve"> we overcome problems with square-roots further on. The redshift quantum number, </w:t>
      </w:r>
      <m:oMath>
        <m:r>
          <w:rPr>
            <w:rFonts w:ascii="Cambria Math" w:hAnsi="Cambria Math"/>
            <w:sz w:val="20"/>
          </w:rPr>
          <m:t>N</m:t>
        </m:r>
      </m:oMath>
      <w:r w:rsidRPr="00372C58">
        <w:rPr>
          <w:rFonts w:ascii="Book Antiqua" w:hAnsi="Book Antiqua"/>
          <w:sz w:val="20"/>
        </w:rPr>
        <w:t xml:space="preserve">, is a fixed quantity in the interval between quantum jumps. However, at the jump, when the ZPE has built up sufficiently, </w:t>
      </w:r>
      <m:oMath>
        <m:r>
          <w:rPr>
            <w:rFonts w:ascii="Cambria Math" w:hAnsi="Cambria Math"/>
            <w:sz w:val="20"/>
          </w:rPr>
          <m:t>N</m:t>
        </m:r>
      </m:oMath>
      <w:r w:rsidRPr="00372C58">
        <w:rPr>
          <w:rFonts w:ascii="Book Antiqua" w:hAnsi="Book Antiqua"/>
          <w:sz w:val="20"/>
        </w:rPr>
        <w:t xml:space="preserve"> increases by one integer value, so that </w:t>
      </w:r>
      <m:oMath>
        <m:r>
          <w:rPr>
            <w:rFonts w:ascii="Cambria Math" w:hAnsi="Cambria Math"/>
            <w:sz w:val="20"/>
          </w:rPr>
          <m:t>N</m:t>
        </m:r>
      </m:oMath>
      <w:r w:rsidRPr="00372C58">
        <w:rPr>
          <w:rFonts w:ascii="Book Antiqua" w:hAnsi="Book Antiqua"/>
          <w:sz w:val="20"/>
        </w:rPr>
        <w:t xml:space="preserve"> takes on successive values of 1, 2, 3, 4, etc. (This means that </w:t>
      </w:r>
      <m:oMath>
        <m:r>
          <w:rPr>
            <w:rFonts w:ascii="Cambria Math" w:hAnsi="Cambria Math"/>
            <w:sz w:val="20"/>
          </w:rPr>
          <m:t>N=1</m:t>
        </m:r>
      </m:oMath>
      <w:r w:rsidRPr="00372C58">
        <w:rPr>
          <w:rFonts w:ascii="Book Antiqua" w:hAnsi="Book Antiqua"/>
          <w:sz w:val="20"/>
        </w:rPr>
        <w:t xml:space="preserve"> is further back in time than </w:t>
      </w:r>
      <m:oMath>
        <m:r>
          <w:rPr>
            <w:rFonts w:ascii="Cambria Math" w:hAnsi="Cambria Math"/>
            <w:sz w:val="20"/>
          </w:rPr>
          <m:t>N=2</m:t>
        </m:r>
      </m:oMath>
      <w:r w:rsidRPr="00372C58">
        <w:rPr>
          <w:rFonts w:ascii="Book Antiqua" w:hAnsi="Book Antiqua"/>
          <w:i/>
          <w:sz w:val="20"/>
        </w:rPr>
        <w:t>)</w:t>
      </w:r>
      <w:r w:rsidRPr="00372C58">
        <w:rPr>
          <w:rFonts w:ascii="Book Antiqua" w:hAnsi="Book Antiqua"/>
          <w:sz w:val="20"/>
        </w:rPr>
        <w:t>. Equation (67) can now be expressed in such a way that if the orbit radius before the jump was</w:t>
      </w:r>
      <w:r w:rsidRPr="00372C58">
        <w:rPr>
          <w:rFonts w:ascii="Book Antiqua" w:hAnsi="Book Antiqua"/>
          <w:i/>
          <w:sz w:val="20"/>
        </w:rPr>
        <w:t xml:space="preserve">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oMath>
      <w:r w:rsidRPr="00372C58">
        <w:rPr>
          <w:rFonts w:ascii="Book Antiqua" w:hAnsi="Book Antiqua"/>
          <w:i/>
          <w:sz w:val="20"/>
        </w:rPr>
        <w:t xml:space="preserve"> </w:t>
      </w:r>
      <w:r w:rsidRPr="00372C58">
        <w:rPr>
          <w:rFonts w:ascii="Book Antiqua" w:hAnsi="Book Antiqua"/>
          <w:sz w:val="20"/>
        </w:rPr>
        <w:t xml:space="preserve">with redshift quantum number </w:t>
      </w:r>
      <m:oMath>
        <m:r>
          <w:rPr>
            <w:rFonts w:ascii="Cambria Math" w:hAnsi="Cambria Math"/>
            <w:sz w:val="20"/>
          </w:rPr>
          <m:t>N</m:t>
        </m:r>
      </m:oMath>
      <w:r w:rsidRPr="00372C58">
        <w:rPr>
          <w:rFonts w:ascii="Book Antiqua" w:hAnsi="Book Antiqua"/>
          <w:sz w:val="20"/>
        </w:rPr>
        <w:t xml:space="preserve"> and the radius after the quantum jump with time increasing was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oMath>
      <w:r w:rsidRPr="00372C58">
        <w:rPr>
          <w:rFonts w:ascii="Book Antiqua" w:hAnsi="Book Antiqua"/>
          <w:sz w:val="20"/>
        </w:rPr>
        <w:t>, with redshift quantum number (</w:t>
      </w:r>
      <m:oMath>
        <m:r>
          <w:rPr>
            <w:rFonts w:ascii="Cambria Math" w:hAnsi="Cambria Math"/>
            <w:sz w:val="20"/>
          </w:rPr>
          <m:t>N+1</m:t>
        </m:r>
      </m:oMath>
      <w:r w:rsidRPr="00372C58">
        <w:rPr>
          <w:rFonts w:ascii="Book Antiqua" w:hAnsi="Book Antiqua"/>
          <w:sz w:val="20"/>
        </w:rPr>
        <w:t>), then we have: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2</m:t>
            </m:r>
          </m:sup>
        </m:sSup>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We now impose the ZPE quantum condition on the de Broglie wavelength of the electron. Let there be an original de Broglie wavelength, given by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h/mv</m:t>
        </m:r>
      </m:oMath>
      <w:r w:rsidRPr="00372C58">
        <w:rPr>
          <w:rFonts w:ascii="Book Antiqua" w:hAnsi="Book Antiqua"/>
          <w:i/>
          <w:sz w:val="20"/>
        </w:rPr>
        <w:t>,</w:t>
      </w:r>
      <w:r w:rsidRPr="00372C58">
        <w:rPr>
          <w:rFonts w:ascii="Book Antiqua" w:hAnsi="Book Antiqua"/>
          <w:sz w:val="20"/>
        </w:rPr>
        <w:t xml:space="preserve"> which gets smaller in quantum steps governed by the redshift quantum number, </w:t>
      </w:r>
      <m:oMath>
        <m:r>
          <w:rPr>
            <w:rFonts w:ascii="Cambria Math" w:hAnsi="Cambria Math"/>
            <w:sz w:val="20"/>
          </w:rPr>
          <m:t>N</m:t>
        </m:r>
      </m:oMath>
      <w:r w:rsidRPr="00372C58">
        <w:rPr>
          <w:rFonts w:ascii="Book Antiqua" w:hAnsi="Book Antiqua"/>
          <w:sz w:val="20"/>
        </w:rPr>
        <w:t>, so that generally</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By analogy with </w:t>
      </w:r>
      <m:oMath>
        <m:r>
          <w:rPr>
            <w:rFonts w:ascii="Cambria Math" w:hAnsi="Cambria Math"/>
            <w:sz w:val="20"/>
          </w:rPr>
          <m:t>r</m:t>
        </m:r>
      </m:oMath>
      <w:r w:rsidRPr="00372C58">
        <w:rPr>
          <w:rFonts w:ascii="Book Antiqua" w:hAnsi="Book Antiqua"/>
          <w:sz w:val="20"/>
        </w:rPr>
        <w:t xml:space="preserve">, we remember that any change in </w:t>
      </w:r>
      <m:oMath>
        <m:r>
          <w:rPr>
            <w:rFonts w:ascii="Cambria Math" w:hAnsi="Cambria Math"/>
            <w:sz w:val="20"/>
          </w:rPr>
          <m:t>h</m:t>
        </m:r>
      </m:oMath>
      <w:r w:rsidRPr="00372C58">
        <w:rPr>
          <w:rFonts w:ascii="Book Antiqua" w:hAnsi="Book Antiqua"/>
          <w:sz w:val="20"/>
        </w:rPr>
        <w:t xml:space="preserve"> and </w:t>
      </w:r>
      <m:oMath>
        <m:r>
          <w:rPr>
            <w:rFonts w:ascii="Cambria Math" w:hAnsi="Cambria Math"/>
            <w:sz w:val="20"/>
          </w:rPr>
          <m:t>m</m:t>
        </m:r>
      </m:oMath>
      <w:r w:rsidRPr="00372C58">
        <w:rPr>
          <w:rFonts w:ascii="Book Antiqua" w:hAnsi="Book Antiqua"/>
          <w:sz w:val="20"/>
        </w:rPr>
        <w:t xml:space="preserve"> is infinitesimally small at the jump, so essentially they are a fixed quantity at the quantum jump. However, because we suspect that the velocity of the electron changes under these conditions, we can then write from (71):</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 [N/(N+1)][</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oMath>
      <w:r w:rsidRPr="00372C58">
        <w:rPr>
          <w:rFonts w:ascii="Book Antiqua" w:hAnsi="Book Antiqua"/>
          <w:i/>
          <w:sz w:val="20"/>
        </w:rPr>
        <w:t>.</w:t>
      </w:r>
      <w:r w:rsidRPr="00372C58">
        <w:rPr>
          <w:rFonts w:ascii="Book Antiqua" w:hAnsi="Book Antiqua"/>
          <w:i/>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t xml:space="preserve"> </w:t>
      </w:r>
      <w:r w:rsidRPr="00372C58">
        <w:rPr>
          <w:rFonts w:ascii="Book Antiqua" w:hAnsi="Book Antiqua"/>
          <w:i/>
          <w:sz w:val="20"/>
        </w:rPr>
        <w:t>(72)</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In order to find the dependency of the orbit velocity, </w:t>
      </w:r>
      <m:oMath>
        <m:r>
          <w:rPr>
            <w:rFonts w:ascii="Cambria Math" w:hAnsi="Cambria Math"/>
            <w:sz w:val="20"/>
          </w:rPr>
          <m:t>v</m:t>
        </m:r>
      </m:oMath>
      <w:r w:rsidRPr="00372C58">
        <w:rPr>
          <w:rFonts w:ascii="Book Antiqua" w:hAnsi="Book Antiqua"/>
          <w:sz w:val="20"/>
        </w:rPr>
        <w:t>, at the jump we make use of the second standard Bohr equation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r>
          <w:rPr>
            <w:rFonts w:ascii="Cambria Math" w:hAnsi="Cambria Math"/>
            <w:sz w:val="20"/>
          </w:rPr>
          <m:t xml:space="preserve">r = </m:t>
        </m:r>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 = invariant</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(73)</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This invariance follows because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sz w:val="20"/>
        </w:rPr>
        <w:t xml:space="preserve"> is essentially invariant in a changing ZPE scenario, as mentioned above. 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invariant</m:t>
        </m:r>
      </m:oMath>
      <w:r w:rsidRPr="00372C58">
        <w:rPr>
          <w:rFonts w:ascii="Book Antiqua" w:hAnsi="Book Antiqua"/>
          <w:sz w:val="20"/>
        </w:rPr>
        <w:t xml:space="preserve"> .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(74)</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So that, when (68) is substituted in (74), it emerges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p>
          <m:sSupPr>
            <m:ctrlPr>
              <w:rPr>
                <w:rFonts w:ascii="Cambria Math" w:hAnsi="Cambria Math"/>
                <w:i/>
                <w:sz w:val="20"/>
              </w:rPr>
            </m:ctrlPr>
          </m:sSupPr>
          <m:e>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e>
          <m:sup>
            <m:r>
              <w:rPr>
                <w:rFonts w:ascii="Cambria Math" w:hAnsi="Cambria Math"/>
                <w:sz w:val="20"/>
              </w:rPr>
              <m:t>2</m:t>
            </m:r>
          </m:sup>
        </m:sSup>
        <m:r>
          <w:rPr>
            <w:rFonts w:ascii="Cambria Math" w:hAnsi="Cambria Math"/>
            <w:sz w:val="20"/>
          </w:rPr>
          <m:t xml:space="preserve"> = </m:t>
        </m:r>
        <m:sSup>
          <m:sSupPr>
            <m:ctrlPr>
              <w:rPr>
                <w:rFonts w:ascii="Cambria Math" w:hAnsi="Cambria Math"/>
                <w:i/>
                <w:sz w:val="20"/>
              </w:rPr>
            </m:ctrlPr>
          </m:sSupPr>
          <m:e>
            <m:r>
              <w:rPr>
                <w:rFonts w:ascii="Cambria Math" w:hAnsi="Cambria Math"/>
                <w:sz w:val="20"/>
              </w:rPr>
              <m:t>[(N+1)/N]</m:t>
            </m:r>
          </m:e>
          <m:sup>
            <m:r>
              <w:rPr>
                <w:rFonts w:ascii="Cambria Math" w:hAnsi="Cambria Math"/>
                <w:sz w:val="20"/>
              </w:rPr>
              <m:t>2</m:t>
            </m:r>
          </m:sup>
        </m:sSup>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(75)</w:t>
      </w:r>
      <w:r w:rsidRPr="00372C58">
        <w:rPr>
          <w:rFonts w:ascii="Book Antiqua" w:hAnsi="Book Antiqua"/>
          <w:sz w:val="20"/>
        </w:rPr>
        <w:t xml:space="preserv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which means that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 xml:space="preserve">  =  (N+1)/N </m:t>
        </m:r>
      </m:oMath>
      <w:r w:rsidRPr="00372C58">
        <w:rPr>
          <w:rFonts w:ascii="Book Antiqua" w:hAnsi="Book Antiqua"/>
          <w:i/>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(76)</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This means the electron velocity undergoes a discrete increase at the jump. Substituting (76) back into (72) then tells us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λ</m:t>
            </m:r>
          </m:e>
          <m:sub>
            <m:r>
              <w:rPr>
                <w:rFonts w:ascii="Cambria Math" w:hAnsi="Cambria Math"/>
                <w:sz w:val="20"/>
              </w:rPr>
              <m:t>1</m:t>
            </m:r>
          </m:sub>
        </m:sSub>
        <m:r>
          <w:rPr>
            <w:rFonts w:ascii="Cambria Math" w:hAnsi="Cambria Math"/>
            <w:sz w:val="20"/>
          </w:rPr>
          <m:t xml:space="preserve"> =[N/(N+1)][N/(N+ 1)] =  </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r>
              <w:rPr>
                <w:rFonts w:ascii="Cambria Math" w:hAnsi="Cambria Math"/>
                <w:sz w:val="20"/>
              </w:rPr>
              <m:t>(N+1)</m:t>
            </m:r>
          </m:e>
          <m:sup>
            <m:r>
              <w:rPr>
                <w:rFonts w:ascii="Cambria Math" w:hAnsi="Cambria Math"/>
                <w:sz w:val="20"/>
              </w:rPr>
              <m:t xml:space="preserve">2     </m:t>
            </m:r>
          </m:sup>
        </m:sSup>
      </m:oMath>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r>
      <w:r w:rsidRPr="00372C58">
        <w:rPr>
          <w:rFonts w:ascii="Book Antiqua" w:hAnsi="Book Antiqua"/>
          <w:i/>
          <w:sz w:val="20"/>
        </w:rPr>
        <w:tab/>
        <w:t>(77)</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Since (77) has the same form as (70), this means that the orbit radii [from (70)] and the de Broglie wavelength [from (77)] will remain in synchrony; the new wavelength will fit the new orbit. Substitution for</w:t>
      </w:r>
      <w:r w:rsidRPr="00372C58">
        <w:rPr>
          <w:rFonts w:ascii="Book Antiqua" w:hAnsi="Book Antiqua"/>
          <w:i/>
          <w:sz w:val="20"/>
        </w:rPr>
        <w:t xml:space="preserve"> λ</w:t>
      </w:r>
      <w:r w:rsidRPr="00372C58">
        <w:rPr>
          <w:rFonts w:ascii="Book Antiqua" w:hAnsi="Book Antiqua"/>
          <w:i/>
          <w:sz w:val="20"/>
          <w:vertAlign w:val="subscript"/>
        </w:rPr>
        <w:t>B</w:t>
      </w:r>
      <w:r w:rsidRPr="00372C58">
        <w:rPr>
          <w:rFonts w:ascii="Book Antiqua" w:hAnsi="Book Antiqua"/>
          <w:sz w:val="20"/>
        </w:rPr>
        <w:t xml:space="preserve"> [from (71)] in (68) then gives us</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 xml:space="preserve">2πr = </m:t>
        </m:r>
        <m:sSub>
          <m:sSubPr>
            <m:ctrlPr>
              <w:rPr>
                <w:rFonts w:ascii="Cambria Math" w:hAnsi="Cambria Math"/>
                <w:i/>
                <w:sz w:val="20"/>
              </w:rPr>
            </m:ctrlPr>
          </m:sSubPr>
          <m:e>
            <m:r>
              <w:rPr>
                <w:rFonts w:ascii="Cambria Math" w:hAnsi="Cambria Math"/>
                <w:sz w:val="20"/>
              </w:rPr>
              <m:t>λ</m:t>
            </m:r>
          </m:e>
          <m:sub>
            <m:r>
              <w:rPr>
                <w:rFonts w:ascii="Cambria Math" w:hAnsi="Cambria Math"/>
                <w:sz w:val="20"/>
              </w:rPr>
              <m:t>B</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N)(h/mv)</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(78)</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Therefore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mvr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N)(h/</m:t>
        </m:r>
        <m:r>
          <w:rPr>
            <w:rFonts w:ascii="Cambria Math" w:hAnsi="Cambria Math"/>
            <w:sz w:val="20"/>
          </w:rPr>
          <m:t>2π)</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(79)</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is the ZPE quantized redshift counterpart of (67). This then means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sz w:val="20"/>
        </w:rPr>
      </w:pPr>
      <w:r w:rsidRPr="00372C58">
        <w:rPr>
          <w:rFonts w:ascii="Book Antiqua" w:hAnsi="Book Antiqua"/>
          <w:i/>
          <w:sz w:val="20"/>
        </w:rPr>
        <w:tab/>
      </w:r>
      <m:oMath>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v</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1</m:t>
            </m:r>
          </m:sub>
        </m:sSub>
        <m:r>
          <w:rPr>
            <w:rFonts w:ascii="Cambria Math" w:hAnsi="Cambria Math"/>
            <w:sz w:val="20"/>
          </w:rPr>
          <m:t>)  =  N/(N+1)</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(80)</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Substitution of (76) and (70) on the left hand side of (80) confirm that the right hand side is correct. And, finally, a comparison between (79) and (67) indicates that</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right"/>
        <w:rPr>
          <w:rFonts w:ascii="Book Antiqua" w:hAnsi="Book Antiqua"/>
          <w:i/>
          <w:sz w:val="20"/>
        </w:rPr>
      </w:pPr>
      <w:r w:rsidRPr="00372C58">
        <w:rPr>
          <w:rFonts w:ascii="Book Antiqua" w:hAnsi="Book Antiqua"/>
          <w:i/>
          <w:sz w:val="20"/>
        </w:rPr>
        <w:tab/>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vertAlign w:val="subscript"/>
          </w:rPr>
          <m:t xml:space="preserve"> </m:t>
        </m:r>
        <m:r>
          <w:rPr>
            <w:rFonts w:ascii="Cambria Math" w:hAnsi="Cambria Math"/>
            <w:sz w:val="20"/>
          </w:rPr>
          <m:t>/ N</m:t>
        </m:r>
      </m:oMath>
      <w:r w:rsidRPr="00372C58">
        <w:rPr>
          <w:rFonts w:ascii="Book Antiqua" w:hAnsi="Book Antiqua"/>
          <w:sz w:val="20"/>
        </w:rPr>
        <w:t xml:space="preserve"> .</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(81)</w:t>
      </w:r>
    </w:p>
    <w:p w:rsidR="00265840" w:rsidRPr="00372C58" w:rsidRDefault="00265840" w:rsidP="00265840">
      <w:pPr>
        <w:pStyle w:val="NoSpacing"/>
        <w:jc w:val="both"/>
        <w:rPr>
          <w:rFonts w:ascii="Book Antiqua" w:hAnsi="Book Antiqua"/>
          <w:i/>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The Bohr quantum number </w:t>
      </w:r>
      <m:oMath>
        <m:r>
          <w:rPr>
            <w:rFonts w:ascii="Cambria Math" w:hAnsi="Cambria Math"/>
            <w:sz w:val="20"/>
          </w:rPr>
          <m:t>n</m:t>
        </m:r>
      </m:oMath>
      <w:r w:rsidRPr="00372C58">
        <w:rPr>
          <w:rFonts w:ascii="Book Antiqua" w:hAnsi="Book Antiqua"/>
          <w:sz w:val="20"/>
        </w:rPr>
        <w:t xml:space="preserve"> increases in an integer fashion for orbits which go progressively further out from the nucleus. Thus an orbit with </w:t>
      </w:r>
      <m:oMath>
        <m:r>
          <w:rPr>
            <w:rFonts w:ascii="Cambria Math" w:hAnsi="Cambria Math"/>
            <w:sz w:val="20"/>
          </w:rPr>
          <m:t>n = 4</m:t>
        </m:r>
      </m:oMath>
      <w:r w:rsidRPr="00372C58">
        <w:rPr>
          <w:rFonts w:ascii="Book Antiqua" w:hAnsi="Book Antiqua"/>
          <w:sz w:val="20"/>
        </w:rPr>
        <w:t xml:space="preserve"> is further out from the nucleus than the orbit with </w:t>
      </w:r>
      <m:oMath>
        <m:r>
          <w:rPr>
            <w:rFonts w:ascii="Cambria Math" w:hAnsi="Cambria Math"/>
            <w:sz w:val="20"/>
          </w:rPr>
          <m:t>n = 1</m:t>
        </m:r>
      </m:oMath>
      <w:r w:rsidRPr="00372C58">
        <w:rPr>
          <w:rFonts w:ascii="Book Antiqua" w:hAnsi="Book Antiqua"/>
          <w:sz w:val="20"/>
        </w:rPr>
        <w:t xml:space="preserve">. But for an increasing ZPE, any given orbit becomes closer to the nucleus, not further out. Therefore the action of the redshift quantum number, </w:t>
      </w:r>
      <m:oMath>
        <m:r>
          <w:rPr>
            <w:rFonts w:ascii="Cambria Math" w:hAnsi="Cambria Math"/>
            <w:sz w:val="20"/>
          </w:rPr>
          <m:t>N</m:t>
        </m:r>
      </m:oMath>
      <w:r w:rsidRPr="00372C58">
        <w:rPr>
          <w:rFonts w:ascii="Book Antiqua" w:hAnsi="Book Antiqua"/>
          <w:sz w:val="20"/>
        </w:rPr>
        <w:t xml:space="preserve">, is to reduce the value of the Bohr quantum number, </w:t>
      </w:r>
      <m:oMath>
        <m:r>
          <w:rPr>
            <w:rFonts w:ascii="Cambria Math" w:hAnsi="Cambria Math"/>
            <w:sz w:val="20"/>
          </w:rPr>
          <m:t>n</m:t>
        </m:r>
      </m:oMath>
      <w:r w:rsidRPr="00372C58">
        <w:rPr>
          <w:rFonts w:ascii="Book Antiqua" w:hAnsi="Book Antiqua"/>
          <w:sz w:val="20"/>
        </w:rPr>
        <w:t xml:space="preserve">. In the same manner as our treatment for </w:t>
      </w:r>
      <m:oMath>
        <m:r>
          <w:rPr>
            <w:rFonts w:ascii="Cambria Math" w:hAnsi="Cambria Math"/>
            <w:sz w:val="20"/>
          </w:rPr>
          <m:t>r</m:t>
        </m:r>
      </m:oMath>
      <w:r w:rsidRPr="00372C58">
        <w:rPr>
          <w:rFonts w:ascii="Book Antiqua" w:hAnsi="Book Antiqua"/>
          <w:sz w:val="20"/>
        </w:rPr>
        <w:t xml:space="preserve"> prior to (69), let us assume that for each orbit of quantum number </w:t>
      </w:r>
      <m:oMath>
        <m:r>
          <w:rPr>
            <w:rFonts w:ascii="Cambria Math" w:hAnsi="Cambria Math"/>
            <w:sz w:val="20"/>
          </w:rPr>
          <m:t>n</m:t>
        </m:r>
      </m:oMath>
      <w:r w:rsidRPr="00372C58">
        <w:rPr>
          <w:rFonts w:ascii="Book Antiqua" w:hAnsi="Book Antiqua"/>
          <w:sz w:val="20"/>
        </w:rPr>
        <w:t xml:space="preserve">, there was an original orbit of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whose position was governed by </w:t>
      </w:r>
      <w:r w:rsidRPr="006334BD">
        <w:rPr>
          <w:rFonts w:ascii="Book Antiqua" w:hAnsi="Book Antiqua"/>
          <w:sz w:val="20"/>
        </w:rPr>
        <w:t>the quantity</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6334BD">
        <w:rPr>
          <w:rFonts w:ascii="Book Antiqua" w:hAnsi="Book Antiqua"/>
          <w:i/>
          <w:sz w:val="20"/>
        </w:rPr>
        <w:t>.</w:t>
      </w:r>
      <w:r w:rsidRPr="00372C58">
        <w:rPr>
          <w:rFonts w:ascii="Book Antiqua" w:hAnsi="Book Antiqua"/>
          <w:sz w:val="20"/>
        </w:rPr>
        <w:t xml:space="preserve">  </w:t>
      </w:r>
      <w:r w:rsidR="00435369">
        <w:rPr>
          <w:rFonts w:ascii="Book Antiqua" w:hAnsi="Book Antiqua"/>
          <w:sz w:val="20"/>
        </w:rPr>
        <w:t xml:space="preserve">(The outer orbit is fixed by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00435369">
        <w:rPr>
          <w:rFonts w:ascii="Book Antiqua" w:hAnsi="Book Antiqua"/>
          <w:sz w:val="20"/>
        </w:rPr>
        <w:t xml:space="preserve">  and all other inner orbits are scaled accordingly.) </w:t>
      </w:r>
      <w:r w:rsidRPr="00372C58">
        <w:rPr>
          <w:rFonts w:ascii="Book Antiqua" w:hAnsi="Book Antiqua"/>
          <w:sz w:val="20"/>
        </w:rPr>
        <w:t>Then as the ZPE increased, the action of the redshift quantum number would have been such that equation (81) was followed.</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6334BD">
        <w:rPr>
          <w:rFonts w:ascii="Book Antiqua" w:hAnsi="Book Antiqua"/>
          <w:bCs/>
          <w:i/>
          <w:iCs/>
          <w:color w:val="000000"/>
          <w:sz w:val="20"/>
        </w:rPr>
        <w:t>2</w:t>
      </w:r>
      <w:r w:rsidRPr="00372C58">
        <w:rPr>
          <w:rFonts w:ascii="Book Antiqua" w:hAnsi="Book Antiqua"/>
          <w:bCs/>
          <w:i/>
          <w:iCs/>
          <w:color w:val="000000"/>
          <w:sz w:val="20"/>
        </w:rPr>
        <w:t>. Atomic Orbit Energies At The Jump.</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At the instant of the jump, there is, universally, an infinitesimally small change in the strength of the ZPE, and hence an infinitesimally small changes in </w:t>
      </w:r>
      <m:oMath>
        <m:r>
          <w:rPr>
            <w:rFonts w:ascii="Cambria Math" w:hAnsi="Cambria Math"/>
            <w:sz w:val="20"/>
          </w:rPr>
          <m:t>h</m:t>
        </m:r>
      </m:oMath>
      <w:r w:rsidRPr="00372C58">
        <w:rPr>
          <w:sz w:val="20"/>
        </w:rPr>
        <w:t xml:space="preserve"> and </w:t>
      </w:r>
      <m:oMath>
        <m:r>
          <w:rPr>
            <w:rFonts w:ascii="Cambria Math" w:hAnsi="Cambria Math"/>
            <w:sz w:val="20"/>
          </w:rPr>
          <m:t>m</m:t>
        </m:r>
      </m:oMath>
      <w:r w:rsidRPr="00372C58">
        <w:rPr>
          <w:sz w:val="20"/>
        </w:rPr>
        <w:t xml:space="preserve">, while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remains a fixed quantity.  But, for all practical purposes, </w:t>
      </w:r>
      <m:oMath>
        <m:r>
          <w:rPr>
            <w:rFonts w:ascii="Cambria Math" w:hAnsi="Cambria Math"/>
            <w:sz w:val="20"/>
          </w:rPr>
          <m:t>h</m:t>
        </m:r>
      </m:oMath>
      <w:r w:rsidRPr="00372C58">
        <w:rPr>
          <w:sz w:val="20"/>
        </w:rPr>
        <w:t xml:space="preserve">, </w:t>
      </w:r>
      <m:oMath>
        <m:r>
          <w:rPr>
            <w:rFonts w:ascii="Cambria Math" w:hAnsi="Cambria Math"/>
            <w:sz w:val="20"/>
          </w:rPr>
          <m:t>m</m:t>
        </m:r>
      </m:oMath>
      <w:r w:rsidRPr="00372C58">
        <w:rPr>
          <w:sz w:val="20"/>
        </w:rPr>
        <w:t xml:space="preserve">,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are unchanged as the jump occurs. We can go on from there to note that the energy,</w:t>
      </w:r>
      <m:oMath>
        <m:r>
          <w:rPr>
            <w:rFonts w:ascii="Cambria Math" w:hAnsi="Cambria Math"/>
            <w:sz w:val="20"/>
          </w:rPr>
          <m:t xml:space="preserve"> E</m:t>
        </m:r>
      </m:oMath>
      <w:r w:rsidRPr="00372C58">
        <w:rPr>
          <w:sz w:val="20"/>
        </w:rPr>
        <w:t xml:space="preserve">, of any atomic orbit, </w:t>
      </w:r>
      <m:oMath>
        <m:r>
          <w:rPr>
            <w:rFonts w:ascii="Cambria Math" w:hAnsi="Cambria Math"/>
            <w:sz w:val="20"/>
          </w:rPr>
          <m:t>n</m:t>
        </m:r>
      </m:oMath>
      <w:r w:rsidRPr="00372C58">
        <w:rPr>
          <w:sz w:val="20"/>
        </w:rPr>
        <w:t>, is given by [84] as:</w:t>
      </w:r>
    </w:p>
    <w:p w:rsidR="00265840" w:rsidRPr="00372C58" w:rsidRDefault="00265840" w:rsidP="00265840">
      <w:pPr>
        <w:pStyle w:val="Equationparagraph"/>
        <w:tabs>
          <w:tab w:val="center" w:pos="2610"/>
          <w:tab w:val="right" w:pos="5040"/>
        </w:tabs>
        <w:spacing w:before="40"/>
        <w:jc w:val="right"/>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6"/>
          <w:sz w:val="20"/>
          <w:szCs w:val="20"/>
        </w:rPr>
        <w:object w:dxaOrig="2460" w:dyaOrig="480">
          <v:shape id="_x0000_i1044" type="#_x0000_t75" style="width:122.8pt;height:24.8pt" o:ole="">
            <v:imagedata r:id="rId220" o:title=""/>
          </v:shape>
          <o:OLEObject Type="Embed" ProgID="Equation.DSMT4" ShapeID="_x0000_i1044" DrawAspect="Content" ObjectID="_1433920196" r:id="rId221"/>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(82)</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By inserting the results of (81) into (82) we obtain</w:t>
      </w:r>
    </w:p>
    <w:p w:rsidR="00265840" w:rsidRPr="00372C58" w:rsidRDefault="00265840" w:rsidP="00265840">
      <w:pPr>
        <w:pStyle w:val="Equationparagraph"/>
        <w:tabs>
          <w:tab w:val="center" w:pos="2610"/>
          <w:tab w:val="right" w:pos="5040"/>
        </w:tabs>
        <w:spacing w:after="40"/>
        <w:jc w:val="center"/>
        <w:rPr>
          <w:rFonts w:ascii="Book Antiqua" w:hAnsi="Book Antiqua" w:cs="Times New Roman"/>
          <w:sz w:val="20"/>
          <w:szCs w:val="20"/>
        </w:rPr>
      </w:pPr>
    </w:p>
    <w:p w:rsidR="00265840" w:rsidRPr="00372C58" w:rsidRDefault="00265840" w:rsidP="00265840">
      <w:pPr>
        <w:pStyle w:val="Equationparagraph"/>
        <w:tabs>
          <w:tab w:val="center" w:pos="2610"/>
          <w:tab w:val="right" w:pos="5040"/>
        </w:tabs>
        <w:spacing w:after="40"/>
        <w:jc w:val="right"/>
        <w:rPr>
          <w:rFonts w:ascii="Book Antiqua" w:hAnsi="Book Antiqua" w:cs="Times New Roman"/>
          <w:sz w:val="20"/>
          <w:szCs w:val="20"/>
        </w:rPr>
      </w:pPr>
      <m:oMath>
        <m:r>
          <w:rPr>
            <w:rFonts w:ascii="Cambria Math" w:hAnsi="Cambria Math" w:cs="Times New Roman"/>
            <w:sz w:val="20"/>
            <w:szCs w:val="20"/>
          </w:rPr>
          <m:t>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m:t>
        </m:r>
      </m:oMath>
      <w:r w:rsidRPr="00372C58">
        <w:rPr>
          <w:rFonts w:ascii="Book Antiqua" w:hAnsi="Book Antiqua" w:cs="Times New Roman"/>
          <w:sz w:val="20"/>
          <w:szCs w:val="20"/>
        </w:rPr>
        <w:t>.</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(83)</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As previously mentioned,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unchanging in a varying ZPE scenario and </w:t>
      </w:r>
      <m:oMath>
        <m:r>
          <w:rPr>
            <w:rFonts w:ascii="Cambria Math" w:hAnsi="Cambria Math"/>
            <w:sz w:val="20"/>
          </w:rPr>
          <m:t>m</m:t>
        </m:r>
      </m:oMath>
      <w:r w:rsidRPr="00372C58">
        <w:rPr>
          <w:sz w:val="20"/>
        </w:rPr>
        <w:t xml:space="preserve"> is proportional to </w:t>
      </w:r>
      <m:oMath>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in the interval between jumps. Therefore, (83) indicates that, in the interval, the energy of a given orbit is constant, since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r>
          <w:rPr>
            <w:rFonts w:ascii="Cambria Math" w:hAnsi="Cambria Math"/>
            <w:sz w:val="20"/>
          </w:rPr>
          <m:t>N</m:t>
        </m:r>
      </m:oMath>
      <w:r w:rsidRPr="00372C58">
        <w:rPr>
          <w:sz w:val="20"/>
        </w:rPr>
        <w:t xml:space="preserve"> remain fixed and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i/>
          <w:sz w:val="20"/>
        </w:rPr>
        <w:t xml:space="preserve"> </w:t>
      </w:r>
      <w:r w:rsidRPr="00372C58">
        <w:rPr>
          <w:sz w:val="20"/>
        </w:rPr>
        <w:t xml:space="preserve">is invariant at all times  Furthermore, at the quantum jump, since there is only an infinitesimally small change in </w:t>
      </w:r>
      <m:oMath>
        <m:r>
          <w:rPr>
            <w:rFonts w:ascii="Cambria Math" w:hAnsi="Cambria Math"/>
            <w:sz w:val="20"/>
          </w:rPr>
          <m:t>m</m:t>
        </m:r>
      </m:oMath>
      <w:r w:rsidRPr="00372C58">
        <w:rPr>
          <w:sz w:val="20"/>
        </w:rPr>
        <w:t xml:space="preserve"> and </w:t>
      </w:r>
      <m:oMath>
        <m:r>
          <w:rPr>
            <w:rFonts w:ascii="Cambria Math" w:hAnsi="Cambria Math"/>
            <w:sz w:val="20"/>
          </w:rPr>
          <m:t>h</m:t>
        </m:r>
      </m:oMath>
      <w:r w:rsidRPr="00372C58">
        <w:rPr>
          <w:sz w:val="20"/>
        </w:rPr>
        <w:t>, then (</w:t>
      </w:r>
      <m:oMath>
        <m:r>
          <w:rPr>
            <w:rFonts w:ascii="Cambria Math" w:hAnsi="Cambria Math"/>
            <w:sz w:val="20"/>
          </w:rPr>
          <m:t xml:space="preserve">m / </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oMath>
      <w:r w:rsidRPr="00372C58">
        <w:rPr>
          <w:sz w:val="20"/>
        </w:rPr>
        <w:t xml:space="preserve">) remains fixed. Therefore, at the jump, the only variation that does occur is that </w:t>
      </w:r>
      <m:oMath>
        <m:r>
          <w:rPr>
            <w:rFonts w:ascii="Cambria Math" w:hAnsi="Cambria Math"/>
            <w:sz w:val="20"/>
          </w:rPr>
          <m:t>N</m:t>
        </m:r>
      </m:oMath>
      <w:r w:rsidRPr="00372C58">
        <w:rPr>
          <w:sz w:val="20"/>
        </w:rPr>
        <w:t xml:space="preserve"> increases by one so that the numerical value of the energy increases.</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3</w:t>
      </w:r>
      <w:r w:rsidRPr="00372C58">
        <w:rPr>
          <w:rFonts w:ascii="Book Antiqua" w:hAnsi="Book Antiqua"/>
          <w:bCs/>
          <w:i/>
          <w:iCs/>
          <w:color w:val="000000"/>
          <w:sz w:val="20"/>
        </w:rPr>
        <w:t>. Two Situations.</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There are thus two situations to consider. First, there is the behavior of electrons in orbit during the time in which orbit radii remain unchanged. Second, there is the behavior of the electron in its orbit at the quantum change. </w:t>
      </w:r>
    </w:p>
    <w:p w:rsidR="00265840" w:rsidRPr="00372C58" w:rsidRDefault="00265840" w:rsidP="00265840">
      <w:pPr>
        <w:pStyle w:val="NoSpacing"/>
        <w:jc w:val="both"/>
        <w:rPr>
          <w:rFonts w:ascii="Book Antiqua" w:hAnsi="Book Antiqua"/>
          <w:sz w:val="20"/>
        </w:rPr>
      </w:pPr>
    </w:p>
    <w:p w:rsidR="00265840" w:rsidRDefault="00265840" w:rsidP="00265840">
      <w:pPr>
        <w:pStyle w:val="NoSpacing"/>
        <w:ind w:firstLine="720"/>
        <w:jc w:val="both"/>
        <w:rPr>
          <w:rFonts w:ascii="Book Antiqua" w:hAnsi="Book Antiqua"/>
          <w:sz w:val="20"/>
        </w:rPr>
      </w:pPr>
      <w:r w:rsidRPr="00372C58">
        <w:rPr>
          <w:rFonts w:ascii="Book Antiqua" w:hAnsi="Book Antiqua"/>
          <w:sz w:val="20"/>
        </w:rPr>
        <w:t>The reason for the quantum jump is that an increasing ZPE is bombarding the orbiting electron with increasing numbers of electromagnetic waves and/or virtual particles. This results in more and more recoil radiation being emitted by the orbiting electron. As Boyer and Claverie &amp; Diner point out, if an electron radiates too much energy in this fashion, it will move towards the nucleus until the radiation absorbed and emitted is again balanced [71].</w:t>
      </w:r>
    </w:p>
    <w:p w:rsidR="004D5BCC" w:rsidRPr="00372C58" w:rsidRDefault="004D5BCC" w:rsidP="00265840">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r w:rsidRPr="00372C58">
        <w:rPr>
          <w:rFonts w:ascii="Book Antiqua" w:hAnsi="Book Antiqua"/>
          <w:sz w:val="20"/>
        </w:rPr>
        <w:tab/>
        <w:t>In the interval between jumps, as the ZPE strength increa</w:t>
      </w:r>
      <w:r w:rsidR="00435369">
        <w:rPr>
          <w:rFonts w:ascii="Book Antiqua" w:hAnsi="Book Antiqua"/>
          <w:sz w:val="20"/>
        </w:rPr>
        <w:t>sed</w:t>
      </w:r>
      <w:r w:rsidRPr="00372C58">
        <w:rPr>
          <w:rFonts w:ascii="Book Antiqua" w:hAnsi="Book Antiqua"/>
          <w:sz w:val="20"/>
        </w:rPr>
        <w:t>, the number of hits on the electron by the ZPE waves and/or virtual particles also increas</w:t>
      </w:r>
      <w:r w:rsidR="00435369">
        <w:rPr>
          <w:rFonts w:ascii="Book Antiqua" w:hAnsi="Book Antiqua"/>
          <w:sz w:val="20"/>
        </w:rPr>
        <w:t>ed</w:t>
      </w:r>
      <w:r w:rsidRPr="00372C58">
        <w:rPr>
          <w:rFonts w:ascii="Book Antiqua" w:hAnsi="Book Antiqua"/>
          <w:sz w:val="20"/>
        </w:rPr>
        <w:t>. This slo</w:t>
      </w:r>
      <w:r w:rsidR="00435369">
        <w:rPr>
          <w:rFonts w:ascii="Book Antiqua" w:hAnsi="Book Antiqua"/>
          <w:sz w:val="20"/>
        </w:rPr>
        <w:t>wed</w:t>
      </w:r>
      <w:r w:rsidRPr="00372C58">
        <w:rPr>
          <w:rFonts w:ascii="Book Antiqua" w:hAnsi="Book Antiqua"/>
          <w:sz w:val="20"/>
        </w:rPr>
        <w:t xml:space="preserve"> the electron down so its velocity, </w:t>
      </w:r>
      <m:oMath>
        <m:r>
          <w:rPr>
            <w:rFonts w:ascii="Cambria Math" w:hAnsi="Cambria Math"/>
            <w:sz w:val="20"/>
          </w:rPr>
          <m:t>v</m:t>
        </m:r>
      </m:oMath>
      <w:r w:rsidRPr="00372C58">
        <w:rPr>
          <w:rFonts w:ascii="Book Antiqua" w:hAnsi="Book Antiqua"/>
          <w:sz w:val="20"/>
        </w:rPr>
        <w:t>, decreas</w:t>
      </w:r>
      <w:r w:rsidR="00435369">
        <w:rPr>
          <w:rFonts w:ascii="Book Antiqua" w:hAnsi="Book Antiqua"/>
          <w:sz w:val="20"/>
        </w:rPr>
        <w:t>ed</w:t>
      </w:r>
      <w:r w:rsidRPr="00372C58">
        <w:rPr>
          <w:rFonts w:ascii="Book Antiqua" w:hAnsi="Book Antiqua"/>
          <w:sz w:val="20"/>
        </w:rPr>
        <w:t xml:space="preserve"> in inverse proportion to ZPE strength. This is given previously in equations (36) and (37). At the same time, the interaction of the increasing ZPE with the electron increas</w:t>
      </w:r>
      <w:r w:rsidR="00435369">
        <w:rPr>
          <w:rFonts w:ascii="Book Antiqua" w:hAnsi="Book Antiqua"/>
          <w:sz w:val="20"/>
        </w:rPr>
        <w:t>ed</w:t>
      </w:r>
      <w:r w:rsidRPr="00372C58">
        <w:rPr>
          <w:rFonts w:ascii="Book Antiqua" w:hAnsi="Book Antiqua"/>
          <w:sz w:val="20"/>
        </w:rPr>
        <w:t xml:space="preserve"> the electron's atomic mass, </w:t>
      </w:r>
      <m:oMath>
        <m:r>
          <w:rPr>
            <w:rFonts w:ascii="Cambria Math" w:hAnsi="Cambria Math"/>
            <w:sz w:val="20"/>
          </w:rPr>
          <m:t>m</m:t>
        </m:r>
      </m:oMath>
      <w:r w:rsidRPr="00372C58">
        <w:rPr>
          <w:rFonts w:ascii="Book Antiqua" w:hAnsi="Book Antiqua"/>
          <w:sz w:val="20"/>
        </w:rPr>
        <w:t xml:space="preserve">. These changes are such that the kinetic energy of the electron in its orbit is conserved, so </w:t>
      </w:r>
      <m:oMath>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w:t>
      </w:r>
      <w:r w:rsidR="00435369">
        <w:rPr>
          <w:rFonts w:ascii="Book Antiqua" w:hAnsi="Book Antiqua"/>
          <w:sz w:val="20"/>
        </w:rPr>
        <w:t>ed</w:t>
      </w:r>
      <w:r w:rsidRPr="00372C58">
        <w:rPr>
          <w:rFonts w:ascii="Book Antiqua" w:hAnsi="Book Antiqua"/>
          <w:sz w:val="20"/>
        </w:rPr>
        <w:t xml:space="preserve"> fixed. Since the orbit radius, </w:t>
      </w:r>
      <m:oMath>
        <m:r>
          <w:rPr>
            <w:rFonts w:ascii="Cambria Math" w:hAnsi="Cambria Math"/>
            <w:sz w:val="20"/>
          </w:rPr>
          <m:t>r</m:t>
        </m:r>
      </m:oMath>
      <w:r w:rsidRPr="00372C58">
        <w:rPr>
          <w:rFonts w:ascii="Book Antiqua" w:hAnsi="Book Antiqua"/>
          <w:sz w:val="20"/>
        </w:rPr>
        <w:t>, remain</w:t>
      </w:r>
      <w:r w:rsidR="00435369">
        <w:rPr>
          <w:rFonts w:ascii="Book Antiqua" w:hAnsi="Book Antiqua"/>
          <w:sz w:val="20"/>
        </w:rPr>
        <w:t>ed</w:t>
      </w:r>
      <w:r w:rsidRPr="00372C58">
        <w:rPr>
          <w:rFonts w:ascii="Book Antiqua" w:hAnsi="Book Antiqua"/>
          <w:sz w:val="20"/>
        </w:rPr>
        <w:t xml:space="preserve"> unchanged in this interval between jumps, the condition that </w:t>
      </w:r>
      <m:oMath>
        <m:r>
          <w:rPr>
            <w:rFonts w:ascii="Cambria Math" w:hAnsi="Cambria Math"/>
            <w:sz w:val="20"/>
          </w:rPr>
          <m:t>mr</m:t>
        </m:r>
        <m:sSup>
          <m:sSupPr>
            <m:ctrlPr>
              <w:rPr>
                <w:rFonts w:ascii="Cambria Math" w:hAnsi="Cambria Math"/>
                <w:i/>
                <w:sz w:val="20"/>
              </w:rPr>
            </m:ctrlPr>
          </m:sSupPr>
          <m:e>
            <m:r>
              <w:rPr>
                <w:rFonts w:ascii="Cambria Math" w:hAnsi="Cambria Math"/>
                <w:sz w:val="20"/>
              </w:rPr>
              <m:t>v</m:t>
            </m:r>
          </m:e>
          <m:sup>
            <m:r>
              <w:rPr>
                <w:rFonts w:ascii="Cambria Math" w:hAnsi="Cambria Math"/>
                <w:sz w:val="20"/>
              </w:rPr>
              <m:t>2</m:t>
            </m:r>
          </m:sup>
        </m:sSup>
      </m:oMath>
      <w:r w:rsidRPr="00372C58">
        <w:rPr>
          <w:rFonts w:ascii="Book Antiqua" w:hAnsi="Book Antiqua"/>
          <w:sz w:val="20"/>
        </w:rPr>
        <w:t xml:space="preserve"> remains constant and equal to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rFonts w:ascii="Book Antiqua" w:hAnsi="Book Antiqua"/>
          <w:i/>
          <w:sz w:val="20"/>
        </w:rPr>
        <w:t xml:space="preserve"> </w:t>
      </w:r>
      <w:r w:rsidRPr="00372C58">
        <w:rPr>
          <w:rFonts w:ascii="Book Antiqua" w:hAnsi="Book Antiqua"/>
          <w:sz w:val="20"/>
        </w:rPr>
        <w:t xml:space="preserve">is maintained as in equation (73).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Since the quantity </w:t>
      </w:r>
      <m:oMath>
        <m:r>
          <w:rPr>
            <w:rFonts w:ascii="Cambria Math" w:hAnsi="Cambria Math"/>
            <w:sz w:val="20"/>
          </w:rPr>
          <m:t>mv</m:t>
        </m:r>
      </m:oMath>
      <w:r w:rsidRPr="00372C58">
        <w:rPr>
          <w:rFonts w:ascii="Book Antiqua" w:hAnsi="Book Antiqua"/>
          <w:sz w:val="20"/>
        </w:rPr>
        <w:t xml:space="preserve"> remains proportional to the ZPE strength, which itself is proportional to </w:t>
      </w:r>
      <m:oMath>
        <m:r>
          <w:rPr>
            <w:rFonts w:ascii="Cambria Math" w:hAnsi="Cambria Math"/>
            <w:sz w:val="20"/>
          </w:rPr>
          <m:t>h</m:t>
        </m:r>
      </m:oMath>
      <w:r w:rsidRPr="00372C58">
        <w:rPr>
          <w:rFonts w:ascii="Book Antiqua" w:hAnsi="Book Antiqua"/>
          <w:sz w:val="20"/>
        </w:rPr>
        <w:t>, then during the interval, the de Broglie wavelength, given by</w:t>
      </w:r>
      <w:r w:rsidRPr="00372C58">
        <w:rPr>
          <w:rFonts w:ascii="Book Antiqua" w:hAnsi="Book Antiqua"/>
          <w:i/>
          <w:sz w:val="20"/>
        </w:rPr>
        <w:t xml:space="preserve"> </w:t>
      </w:r>
      <m:oMath>
        <m:r>
          <w:rPr>
            <w:rFonts w:ascii="Cambria Math" w:hAnsi="Cambria Math"/>
            <w:sz w:val="20"/>
          </w:rPr>
          <m:t>h/mv</m:t>
        </m:r>
      </m:oMath>
      <w:r w:rsidRPr="00372C58">
        <w:rPr>
          <w:rFonts w:ascii="Book Antiqua" w:hAnsi="Book Antiqua"/>
          <w:i/>
          <w:sz w:val="20"/>
        </w:rPr>
        <w:t xml:space="preserve"> </w:t>
      </w:r>
      <w:r w:rsidRPr="00372C58">
        <w:rPr>
          <w:rFonts w:ascii="Book Antiqua" w:hAnsi="Book Antiqua"/>
          <w:sz w:val="20"/>
        </w:rPr>
        <w:t xml:space="preserve">also remains constant. At the same time, the angular momentum, given by </w:t>
      </w:r>
      <m:oMath>
        <m:r>
          <w:rPr>
            <w:rFonts w:ascii="Cambria Math" w:hAnsi="Cambria Math"/>
            <w:sz w:val="20"/>
          </w:rPr>
          <m:t>mvr</m:t>
        </m:r>
      </m:oMath>
      <w:r w:rsidRPr="00372C58">
        <w:rPr>
          <w:rFonts w:ascii="Book Antiqua" w:hAnsi="Book Antiqua"/>
          <w:sz w:val="20"/>
        </w:rPr>
        <w:t>, is proportional to</w:t>
      </w:r>
      <w:r w:rsidRPr="00372C58">
        <w:rPr>
          <w:rFonts w:ascii="Book Antiqua" w:hAnsi="Book Antiqua"/>
          <w:i/>
          <w:sz w:val="20"/>
        </w:rPr>
        <w:t xml:space="preserve"> </w:t>
      </w:r>
      <m:oMath>
        <m:r>
          <w:rPr>
            <w:rFonts w:ascii="Cambria Math" w:hAnsi="Cambria Math"/>
            <w:sz w:val="20"/>
          </w:rPr>
          <m:t>h</m:t>
        </m:r>
      </m:oMath>
      <w:r w:rsidRPr="00372C58">
        <w:rPr>
          <w:rFonts w:ascii="Book Antiqua" w:hAnsi="Book Antiqua"/>
          <w:sz w:val="20"/>
        </w:rPr>
        <w:t xml:space="preserve"> . Thus as the ZPE strength increases, </w:t>
      </w:r>
      <m:oMath>
        <m:r>
          <w:rPr>
            <w:rFonts w:ascii="Cambria Math" w:hAnsi="Cambria Math"/>
            <w:sz w:val="20"/>
          </w:rPr>
          <m:t>h</m:t>
        </m:r>
      </m:oMath>
      <w:r w:rsidRPr="00372C58">
        <w:rPr>
          <w:rFonts w:ascii="Book Antiqua" w:hAnsi="Book Antiqua"/>
          <w:sz w:val="20"/>
        </w:rPr>
        <w:t xml:space="preserve"> increases and the outcome is that the angular momentum of all atomic orbits increases. Puthoff's equations </w:t>
      </w:r>
      <w:r w:rsidRPr="00435369">
        <w:rPr>
          <w:rFonts w:ascii="Book Antiqua" w:hAnsi="Book Antiqua"/>
          <w:sz w:val="20"/>
        </w:rPr>
        <w:t xml:space="preserve">in </w:t>
      </w:r>
      <w:r w:rsidR="00435369">
        <w:rPr>
          <w:rFonts w:ascii="Book Antiqua" w:hAnsi="Book Antiqua"/>
          <w:sz w:val="20"/>
        </w:rPr>
        <w:t xml:space="preserve">an article in </w:t>
      </w:r>
      <w:r w:rsidR="00435369" w:rsidRPr="00435369">
        <w:rPr>
          <w:rFonts w:ascii="Book Antiqua" w:hAnsi="Book Antiqua"/>
          <w:i/>
          <w:sz w:val="20"/>
        </w:rPr>
        <w:t>Physical Review D</w:t>
      </w:r>
      <w:r w:rsidR="00435369">
        <w:rPr>
          <w:rFonts w:ascii="Book Antiqua" w:hAnsi="Book Antiqua"/>
          <w:sz w:val="20"/>
        </w:rPr>
        <w:t xml:space="preserve"> </w:t>
      </w:r>
      <w:r w:rsidRPr="00435369">
        <w:rPr>
          <w:rFonts w:ascii="Book Antiqua" w:hAnsi="Book Antiqua"/>
          <w:sz w:val="20"/>
        </w:rPr>
        <w:t>[73] confirm</w:t>
      </w:r>
      <w:r w:rsidRPr="00372C58">
        <w:rPr>
          <w:rFonts w:ascii="Book Antiqua" w:hAnsi="Book Antiqua"/>
          <w:sz w:val="20"/>
        </w:rPr>
        <w:t xml:space="preserve"> that orbit angular momenta are a reflection of and dependent on the ZPE strength.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lastRenderedPageBreak/>
        <w:tab/>
        <w:t xml:space="preserve">In the second situation, at the quantum jump, the conditions are now ready for a change in orbit radius to occur. Increasing amounts of recoil radiation are being emitted during the interval with the increasing ZPE strength. There is a pressure tending to push the electron into an orbit which is closer to the nucleus so that the amount of radiation emitted is balanced by that received from the ZPE.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 xml:space="preserve">However, since atomic orbits are quantized, the change in orbit radius, </w:t>
      </w:r>
      <m:oMath>
        <m:r>
          <w:rPr>
            <w:rFonts w:ascii="Cambria Math" w:hAnsi="Cambria Math"/>
            <w:sz w:val="20"/>
          </w:rPr>
          <m:t>r</m:t>
        </m:r>
      </m:oMath>
      <w:r w:rsidRPr="00372C58">
        <w:rPr>
          <w:rFonts w:ascii="Book Antiqua" w:hAnsi="Book Antiqua"/>
          <w:sz w:val="20"/>
        </w:rPr>
        <w:t xml:space="preserve">, can only occur when the next quantum condition is reached. This is given by equations (69) and (70). The quantity </w:t>
      </w:r>
      <m:oMath>
        <m:r>
          <w:rPr>
            <w:rFonts w:ascii="Cambria Math" w:hAnsi="Cambria Math"/>
            <w:sz w:val="20"/>
          </w:rPr>
          <m:t>N</m:t>
        </m:r>
      </m:oMath>
      <w:r w:rsidRPr="00372C58">
        <w:rPr>
          <w:rFonts w:ascii="Book Antiqua" w:hAnsi="Book Antiqua"/>
          <w:sz w:val="20"/>
        </w:rPr>
        <w:t xml:space="preserve"> is the redshift quantum integer which remains fixed during the interval and increases to the next higher integer at the jump. In this case, we also require the Bohr quantum number</w:t>
      </w:r>
      <w:r w:rsidRPr="00372C58">
        <w:rPr>
          <w:rFonts w:ascii="Book Antiqua" w:hAnsi="Book Antiqua"/>
          <w:i/>
          <w:sz w:val="20"/>
        </w:rPr>
        <w:t xml:space="preserve"> </w:t>
      </w:r>
      <m:oMath>
        <m:r>
          <w:rPr>
            <w:rFonts w:ascii="Cambria Math" w:hAnsi="Cambria Math"/>
            <w:sz w:val="20"/>
          </w:rPr>
          <m:t>n</m:t>
        </m:r>
      </m:oMath>
      <w:r w:rsidRPr="00372C58">
        <w:rPr>
          <w:rFonts w:ascii="Book Antiqua" w:hAnsi="Book Antiqua"/>
          <w:sz w:val="20"/>
        </w:rPr>
        <w:t xml:space="preserve"> to be modified so that </w:t>
      </w:r>
      <m:oMath>
        <m:r>
          <w:rPr>
            <w:rFonts w:ascii="Cambria Math" w:hAnsi="Cambria Math"/>
            <w:sz w:val="20"/>
          </w:rPr>
          <m:t xml:space="preserve">n = </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 xml:space="preserve">/N </m:t>
        </m:r>
      </m:oMath>
      <w:r w:rsidRPr="00372C58">
        <w:rPr>
          <w:rFonts w:ascii="Book Antiqua" w:hAnsi="Book Antiqua"/>
          <w:sz w:val="20"/>
        </w:rPr>
        <w:t xml:space="preserve">where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rFonts w:ascii="Book Antiqua" w:hAnsi="Book Antiqua"/>
          <w:sz w:val="20"/>
        </w:rPr>
        <w:t xml:space="preserve"> is the original quantum number that applied at the original radius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0</m:t>
            </m:r>
          </m:sub>
        </m:sSub>
      </m:oMath>
      <w:r w:rsidRPr="00372C58">
        <w:rPr>
          <w:rFonts w:ascii="Book Antiqua" w:hAnsi="Book Antiqua"/>
          <w:sz w:val="20"/>
        </w:rPr>
        <w:t>. This is implied by equation (81).</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The mean free path of the electron between </w:t>
      </w:r>
      <w:r w:rsidRPr="00435369">
        <w:rPr>
          <w:rFonts w:ascii="Book Antiqua" w:hAnsi="Book Antiqua"/>
          <w:sz w:val="20"/>
        </w:rPr>
        <w:t>collisions becomes</w:t>
      </w:r>
      <w:r w:rsidRPr="00372C58">
        <w:rPr>
          <w:rFonts w:ascii="Book Antiqua" w:hAnsi="Book Antiqua"/>
          <w:sz w:val="20"/>
        </w:rPr>
        <w:t xml:space="preserve"> significantly shorter, making it possible for the electron to go to the new orbit radius. However, associated with this change in orbit radius comes a discrete increase in velocity as in (76). </w:t>
      </w:r>
      <w:r w:rsidR="00435369">
        <w:rPr>
          <w:rFonts w:ascii="Book Antiqua" w:hAnsi="Book Antiqua"/>
          <w:sz w:val="20"/>
        </w:rPr>
        <w:t xml:space="preserve">As previously mentioned, </w:t>
      </w:r>
      <w:r w:rsidRPr="00435369">
        <w:rPr>
          <w:rFonts w:ascii="Book Antiqua" w:hAnsi="Book Antiqua"/>
          <w:sz w:val="20"/>
        </w:rPr>
        <w:t>at the actual instant of the change, there is only an infinitesimally small change in the ZPE strength (since it has been changing all along), so that</w:t>
      </w:r>
      <w:r w:rsidR="00435369">
        <w:rPr>
          <w:rFonts w:ascii="Book Antiqua" w:hAnsi="Book Antiqua"/>
          <w:sz w:val="20"/>
        </w:rPr>
        <w:t>, at that moment, both</w:t>
      </w:r>
      <m:oMath>
        <m:r>
          <w:rPr>
            <w:rFonts w:ascii="Cambria Math" w:hAnsi="Cambria Math"/>
            <w:sz w:val="20"/>
          </w:rPr>
          <m:t xml:space="preserve"> h</m:t>
        </m:r>
      </m:oMath>
      <w:r w:rsidRPr="00435369">
        <w:rPr>
          <w:rFonts w:ascii="Book Antiqua" w:hAnsi="Book Antiqua"/>
          <w:sz w:val="20"/>
        </w:rPr>
        <w:t xml:space="preserve">, and </w:t>
      </w:r>
      <m:oMath>
        <m:r>
          <w:rPr>
            <w:rFonts w:ascii="Cambria Math" w:hAnsi="Cambria Math"/>
            <w:sz w:val="20"/>
          </w:rPr>
          <m:t>m</m:t>
        </m:r>
      </m:oMath>
      <w:r w:rsidRPr="00435369">
        <w:rPr>
          <w:rFonts w:ascii="Book Antiqua" w:hAnsi="Book Antiqua"/>
          <w:sz w:val="20"/>
        </w:rPr>
        <w:t xml:space="preserve">, only change in an infinitesimally small way. That means for all practical purposes these quantities remain constant at the jump, as does the quantity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435369">
        <w:rPr>
          <w:rFonts w:ascii="Book Antiqua" w:hAnsi="Book Antiqua"/>
          <w:sz w:val="20"/>
        </w:rPr>
        <w:t>.</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Since both the mass of the electron and the quantity </w:t>
      </w:r>
      <m:oMath>
        <m:r>
          <w:rPr>
            <w:rFonts w:ascii="Cambria Math" w:hAnsi="Cambria Math"/>
            <w:sz w:val="20"/>
          </w:rPr>
          <m:t>h</m:t>
        </m:r>
      </m:oMath>
      <w:r w:rsidRPr="00372C58">
        <w:rPr>
          <w:rFonts w:ascii="Book Antiqua" w:hAnsi="Book Antiqua"/>
          <w:sz w:val="20"/>
        </w:rPr>
        <w:t xml:space="preserve"> remain unchanged at the jump, but the velocity increases, then the de Broglie wavelength, given by </w:t>
      </w:r>
      <m:oMath>
        <m:r>
          <w:rPr>
            <w:rFonts w:ascii="Cambria Math" w:hAnsi="Cambria Math"/>
            <w:sz w:val="20"/>
          </w:rPr>
          <m:t>h/mv</m:t>
        </m:r>
      </m:oMath>
      <w:r w:rsidRPr="00372C58">
        <w:rPr>
          <w:rFonts w:ascii="Book Antiqua" w:hAnsi="Book Antiqua"/>
          <w:sz w:val="20"/>
        </w:rPr>
        <w:t xml:space="preserve">, gets shorter at the jump. This allows the electron to enter an orbit whose circumference is smaller than before. As for the angular momentum at this jump, since </w:t>
      </w:r>
      <m:oMath>
        <m:r>
          <w:rPr>
            <w:rFonts w:ascii="Cambria Math" w:hAnsi="Cambria Math"/>
            <w:sz w:val="20"/>
          </w:rPr>
          <m:t>m</m:t>
        </m:r>
      </m:oMath>
      <w:r w:rsidRPr="00372C58">
        <w:rPr>
          <w:rFonts w:ascii="Book Antiqua" w:hAnsi="Book Antiqua"/>
          <w:sz w:val="20"/>
        </w:rPr>
        <w:t xml:space="preserve"> is fixed and </w:t>
      </w:r>
      <m:oMath>
        <m:r>
          <w:rPr>
            <w:rFonts w:ascii="Cambria Math" w:hAnsi="Cambria Math"/>
            <w:sz w:val="20"/>
          </w:rPr>
          <m:t>v</m:t>
        </m:r>
      </m:oMath>
      <w:r w:rsidRPr="00372C58">
        <w:rPr>
          <w:rFonts w:ascii="Book Antiqua" w:hAnsi="Book Antiqua"/>
          <w:sz w:val="20"/>
        </w:rPr>
        <w:t xml:space="preserve"> increases, while </w:t>
      </w:r>
      <m:oMath>
        <m:r>
          <w:rPr>
            <w:rFonts w:ascii="Cambria Math" w:hAnsi="Cambria Math"/>
            <w:sz w:val="20"/>
          </w:rPr>
          <m:t xml:space="preserve">r </m:t>
        </m:r>
      </m:oMath>
      <w:r w:rsidRPr="00372C58">
        <w:rPr>
          <w:rFonts w:ascii="Book Antiqua" w:hAnsi="Book Antiqua"/>
          <w:sz w:val="20"/>
        </w:rPr>
        <w:t xml:space="preserve">decreases, the quantity </w:t>
      </w:r>
      <m:oMath>
        <m:r>
          <w:rPr>
            <w:rFonts w:ascii="Cambria Math" w:hAnsi="Cambria Math"/>
            <w:sz w:val="20"/>
          </w:rPr>
          <m:t>mvr</m:t>
        </m:r>
      </m:oMath>
      <w:r w:rsidRPr="00372C58">
        <w:rPr>
          <w:rFonts w:ascii="Book Antiqua" w:hAnsi="Book Antiqua"/>
          <w:sz w:val="20"/>
        </w:rPr>
        <w:t xml:space="preserve"> is then given by (79).</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w:t>
      </w: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4</w:t>
      </w:r>
      <w:r w:rsidRPr="00372C58">
        <w:rPr>
          <w:rFonts w:ascii="Book Antiqua" w:hAnsi="Book Antiqua"/>
          <w:bCs/>
          <w:i/>
          <w:iCs/>
          <w:color w:val="000000"/>
          <w:sz w:val="20"/>
        </w:rPr>
        <w:t>. A Layman’s Explanation for Orbit Changes.</w:t>
      </w:r>
    </w:p>
    <w:p w:rsidR="00265840" w:rsidRPr="00372C58" w:rsidRDefault="00265840" w:rsidP="00265840">
      <w:pPr>
        <w:pStyle w:val="NoSpacing"/>
        <w:jc w:val="both"/>
        <w:rPr>
          <w:rFonts w:ascii="Book Antiqua" w:hAnsi="Book Antiqua"/>
          <w:b/>
          <w:bCs/>
          <w:iCs/>
          <w:color w:val="000000"/>
          <w:sz w:val="2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 xml:space="preserve">Until the quantum jump can be made, the de Broglie waves of the electron remain the same wavelength. Therefore, the orbit radius must remain fixed. The physical reason why the wavelength is unchanged is that the increasing </w:t>
      </w:r>
      <w:r w:rsidRPr="0015263E">
        <w:rPr>
          <w:rFonts w:ascii="Book Antiqua" w:hAnsi="Book Antiqua"/>
          <w:color w:val="000000"/>
        </w:rPr>
        <w:t>value</w:t>
      </w:r>
      <w:r w:rsidR="0015263E">
        <w:rPr>
          <w:rFonts w:ascii="Book Antiqua" w:hAnsi="Book Antiqua"/>
          <w:color w:val="000000"/>
        </w:rPr>
        <w:t>s</w:t>
      </w:r>
      <w:r w:rsidRPr="0015263E">
        <w:rPr>
          <w:rFonts w:ascii="Book Antiqua" w:hAnsi="Book Antiqua"/>
          <w:color w:val="000000"/>
        </w:rPr>
        <w:t xml:space="preserve"> of</w:t>
      </w:r>
      <m:oMath>
        <m:r>
          <w:rPr>
            <w:rFonts w:ascii="Cambria Math" w:hAnsi="Cambria Math"/>
            <w:color w:val="000000"/>
          </w:rPr>
          <m:t xml:space="preserve"> h</m:t>
        </m:r>
      </m:oMath>
      <w:r w:rsidRPr="0015263E">
        <w:rPr>
          <w:rFonts w:ascii="Book Antiqua" w:hAnsi="Book Antiqua"/>
          <w:color w:val="000000"/>
        </w:rPr>
        <w:t xml:space="preserve"> and </w:t>
      </w:r>
      <m:oMath>
        <m:r>
          <w:rPr>
            <w:rFonts w:ascii="Cambria Math" w:hAnsi="Cambria Math"/>
            <w:color w:val="000000"/>
          </w:rPr>
          <m:t>m</m:t>
        </m:r>
      </m:oMath>
      <w:r w:rsidRPr="0015263E">
        <w:rPr>
          <w:rFonts w:ascii="Book Antiqua" w:hAnsi="Book Antiqua"/>
          <w:color w:val="000000"/>
        </w:rPr>
        <w:t xml:space="preserve"> </w:t>
      </w:r>
      <w:r w:rsidR="0015263E">
        <w:rPr>
          <w:rFonts w:ascii="Book Antiqua" w:hAnsi="Book Antiqua"/>
          <w:color w:val="000000"/>
        </w:rPr>
        <w:t>are</w:t>
      </w:r>
      <w:r w:rsidRPr="00372C58">
        <w:rPr>
          <w:rFonts w:ascii="Book Antiqua" w:hAnsi="Book Antiqua"/>
          <w:color w:val="000000"/>
        </w:rPr>
        <w:t xml:space="preserve"> balanced by a slowing of orbit velocity, </w:t>
      </w:r>
      <m:oMath>
        <m:r>
          <w:rPr>
            <w:rFonts w:ascii="Cambria Math" w:hAnsi="Cambria Math"/>
            <w:color w:val="000000"/>
          </w:rPr>
          <m:t>v</m:t>
        </m:r>
      </m:oMath>
      <w:r w:rsidRPr="00372C58">
        <w:rPr>
          <w:rFonts w:ascii="Book Antiqua" w:hAnsi="Book Antiqua"/>
          <w:color w:val="000000"/>
        </w:rPr>
        <w:t xml:space="preserve">. These are the quantities that determine the de Broglie wavelength. Thus the slowing orbital velocity (proportional to </w:t>
      </w:r>
      <m:oMath>
        <m:r>
          <w:rPr>
            <w:rFonts w:ascii="Cambria Math" w:hAnsi="Cambria Math"/>
            <w:color w:val="000000"/>
          </w:rPr>
          <m:t>c</m:t>
        </m:r>
      </m:oMath>
      <w:r w:rsidRPr="00372C58">
        <w:rPr>
          <w:rFonts w:ascii="Book Antiqua" w:hAnsi="Book Antiqua"/>
          <w:color w:val="000000"/>
        </w:rPr>
        <w:t xml:space="preserve">) takes care of the changes in the other two quantities. Therefore, as the ZPE strength increases, orbit velocity slows in inverse proportion until it slows so much that a change in radius can occur. </w:t>
      </w:r>
    </w:p>
    <w:p w:rsidR="00265840" w:rsidRPr="00372C58" w:rsidRDefault="00265840" w:rsidP="00265840">
      <w:pPr>
        <w:shd w:val="clear" w:color="auto" w:fill="FFFFFF"/>
        <w:jc w:val="both"/>
        <w:rPr>
          <w:rFonts w:ascii="Book Antiqua" w:hAnsi="Book Antiqua"/>
          <w:color w:val="000000"/>
        </w:rPr>
      </w:pPr>
    </w:p>
    <w:p w:rsidR="00265840" w:rsidRPr="00372C58" w:rsidRDefault="00265840" w:rsidP="00265840">
      <w:pPr>
        <w:shd w:val="clear" w:color="auto" w:fill="FFFFFF"/>
        <w:ind w:firstLine="720"/>
        <w:jc w:val="both"/>
        <w:rPr>
          <w:rFonts w:ascii="Book Antiqua" w:hAnsi="Book Antiqua"/>
          <w:color w:val="000000"/>
        </w:rPr>
      </w:pPr>
      <w:r w:rsidRPr="00372C58">
        <w:rPr>
          <w:rFonts w:ascii="Book Antiqua" w:hAnsi="Book Antiqua"/>
          <w:color w:val="000000"/>
        </w:rPr>
        <w:t>One way of looking at this change is to say that once the velocity of the electron is too slow</w:t>
      </w:r>
      <w:r w:rsidR="0015263E">
        <w:rPr>
          <w:rFonts w:ascii="Book Antiqua" w:hAnsi="Book Antiqua"/>
          <w:color w:val="000000"/>
        </w:rPr>
        <w:t>, due to being</w:t>
      </w:r>
      <w:r w:rsidRPr="00372C58">
        <w:rPr>
          <w:rFonts w:ascii="Book Antiqua" w:hAnsi="Book Antiqua"/>
          <w:color w:val="000000"/>
        </w:rPr>
        <w:t xml:space="preserve"> impeded by the increasing number of hits by ZPE waves, it must fall towards the nucleus because of electrostatic attraction. This attraction results in a centripetal acceleration which means that it picks up speed, </w:t>
      </w:r>
      <m:oMath>
        <m:r>
          <w:rPr>
            <w:rFonts w:ascii="Cambria Math" w:hAnsi="Cambria Math"/>
            <w:color w:val="000000"/>
          </w:rPr>
          <m:t>v</m:t>
        </m:r>
      </m:oMath>
      <w:r w:rsidRPr="00372C58">
        <w:rPr>
          <w:rFonts w:ascii="Book Antiqua" w:hAnsi="Book Antiqua"/>
          <w:color w:val="000000"/>
        </w:rPr>
        <w:t xml:space="preserve">. As its speed increases, since it now has a greater mass, </w:t>
      </w:r>
      <m:oMath>
        <m:r>
          <w:rPr>
            <w:rFonts w:ascii="Cambria Math" w:hAnsi="Cambria Math"/>
            <w:color w:val="000000"/>
          </w:rPr>
          <m:t>m</m:t>
        </m:r>
      </m:oMath>
      <w:r w:rsidRPr="00372C58">
        <w:rPr>
          <w:rFonts w:ascii="Book Antiqua" w:hAnsi="Book Antiqua"/>
          <w:color w:val="000000"/>
        </w:rPr>
        <w:t xml:space="preserve">, and greater value for </w:t>
      </w:r>
      <m:oMath>
        <m:r>
          <w:rPr>
            <w:rFonts w:ascii="Cambria Math" w:hAnsi="Cambria Math"/>
            <w:color w:val="000000"/>
          </w:rPr>
          <m:t>h</m:t>
        </m:r>
      </m:oMath>
      <w:r w:rsidRPr="00372C58">
        <w:rPr>
          <w:rFonts w:ascii="Book Antiqua" w:hAnsi="Book Antiqua"/>
          <w:color w:val="000000"/>
        </w:rPr>
        <w:t xml:space="preserve">, it has more energy than in its previous orbit. Therefore it has a shorter de Broglie wavelength, </w:t>
      </w:r>
      <w:r w:rsidR="0015263E">
        <w:rPr>
          <w:rFonts w:ascii="Book Antiqua" w:hAnsi="Book Antiqua"/>
          <w:color w:val="000000"/>
        </w:rPr>
        <w:t>allowing it to fit</w:t>
      </w:r>
      <w:r w:rsidRPr="00372C58">
        <w:rPr>
          <w:rFonts w:ascii="Book Antiqua" w:hAnsi="Book Antiqua"/>
          <w:color w:val="000000"/>
        </w:rPr>
        <w:t xml:space="preserve"> into an orbit with smaller radius, </w:t>
      </w:r>
      <m:oMath>
        <m:r>
          <w:rPr>
            <w:rFonts w:ascii="Cambria Math" w:hAnsi="Cambria Math"/>
            <w:color w:val="000000"/>
          </w:rPr>
          <m:t>r</m:t>
        </m:r>
      </m:oMath>
      <w:r w:rsidRPr="00372C58">
        <w:rPr>
          <w:rFonts w:ascii="Book Antiqua" w:hAnsi="Book Antiqua"/>
          <w:color w:val="000000"/>
        </w:rPr>
        <w:t>.</w:t>
      </w:r>
    </w:p>
    <w:p w:rsidR="00265840" w:rsidRPr="00372C58" w:rsidRDefault="00265840" w:rsidP="00265840">
      <w:pPr>
        <w:shd w:val="clear" w:color="auto" w:fill="FFFFFF"/>
        <w:ind w:firstLine="720"/>
        <w:jc w:val="both"/>
        <w:rPr>
          <w:rFonts w:ascii="Book Antiqua" w:hAnsi="Book Antiqua"/>
          <w:color w:val="000000"/>
        </w:rPr>
      </w:pPr>
    </w:p>
    <w:p w:rsidR="00265840" w:rsidRPr="00372C58" w:rsidRDefault="00265840" w:rsidP="00265840">
      <w:pPr>
        <w:pStyle w:val="NoSpacing"/>
        <w:jc w:val="both"/>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5</w:t>
      </w:r>
      <w:r w:rsidRPr="00372C58">
        <w:rPr>
          <w:rFonts w:ascii="Book Antiqua" w:hAnsi="Book Antiqua"/>
          <w:bCs/>
          <w:i/>
          <w:iCs/>
          <w:color w:val="000000"/>
          <w:sz w:val="20"/>
        </w:rPr>
        <w:t xml:space="preserve">  Photon Energies And Quantum Jumps.</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A photon of light is emitted when an electron, forced out of its proper position, snaps back, releasing the energy which forced it out.  When the quantum jump occurs, all orbits except the outermost move in a little closer to the nucleus.  A result of this is an increase in the distance between orbits.  This increase in distance means it requires more energy to force an electron out of its proper orbit and into another orbit, and therefore more energy is released when the electron snaps back.  Thus, the light released after a quantum jump will be slightly more energetic, or bluer, than before.</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rmPara"/>
        <w:ind w:firstLine="270"/>
        <w:rPr>
          <w:sz w:val="20"/>
        </w:rPr>
      </w:pPr>
      <w:r w:rsidRPr="00372C58">
        <w:rPr>
          <w:sz w:val="20"/>
        </w:rPr>
        <w:t xml:space="preserve">The energy difference between orbits is usually written as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[84]:</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3260" w:dyaOrig="500">
          <v:shape id="_x0000_i1045" type="#_x0000_t75" style="width:163.35pt;height:25.4pt" o:ole="">
            <v:imagedata r:id="rId222" o:title=""/>
          </v:shape>
          <o:OLEObject Type="Embed" ProgID="Equation.DSMT4" ShapeID="_x0000_i1045" DrawAspect="Content" ObjectID="_1433920197" r:id="rId223"/>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(84)</w:t>
      </w:r>
      <w:r w:rsidRPr="00372C58">
        <w:rPr>
          <w:rFonts w:ascii="Book Antiqua" w:hAnsi="Book Antiqua" w:cs="Times New Roman"/>
          <w:sz w:val="20"/>
          <w:szCs w:val="20"/>
        </w:rPr>
        <w:t xml:space="preserve"> </w:t>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 xml:space="preserve">as an electron falls from an outer orbit, </w:t>
      </w:r>
      <m:oMath>
        <m:r>
          <w:rPr>
            <w:rFonts w:ascii="Cambria Math" w:hAnsi="Cambria Math"/>
            <w:sz w:val="20"/>
          </w:rPr>
          <m:t>s</m:t>
        </m:r>
      </m:oMath>
      <w:r w:rsidRPr="00372C58">
        <w:rPr>
          <w:rFonts w:ascii="Book Antiqua" w:hAnsi="Book Antiqua"/>
          <w:sz w:val="20"/>
        </w:rPr>
        <w:t xml:space="preserve">, to an inner orbit, </w:t>
      </w:r>
      <m:oMath>
        <m:r>
          <w:rPr>
            <w:rFonts w:ascii="Cambria Math" w:hAnsi="Cambria Math"/>
            <w:sz w:val="20"/>
          </w:rPr>
          <m:t>n</m:t>
        </m:r>
      </m:oMath>
      <w:r w:rsidRPr="00372C58">
        <w:rPr>
          <w:rFonts w:ascii="Book Antiqua" w:hAnsi="Book Antiqua"/>
          <w:sz w:val="20"/>
        </w:rPr>
        <w:t xml:space="preserve">. Substituting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(1/n)</m:t>
            </m:r>
          </m:e>
          <m:sup>
            <m:r>
              <w:rPr>
                <w:rFonts w:ascii="Cambria Math" w:hAnsi="Cambria Math"/>
                <w:sz w:val="20"/>
              </w:rPr>
              <m:t>2</m:t>
            </m:r>
          </m:sup>
        </m:sSup>
      </m:oMath>
      <w:r w:rsidRPr="00372C58">
        <w:rPr>
          <w:rFonts w:ascii="Book Antiqua" w:hAnsi="Book Antiqua"/>
          <w:sz w:val="20"/>
        </w:rPr>
        <w:t xml:space="preserve">, and </w:t>
      </w:r>
      <m:oMath>
        <m:sSup>
          <m:sSupPr>
            <m:ctrlPr>
              <w:rPr>
                <w:rFonts w:ascii="Cambria Math" w:hAnsi="Cambria Math"/>
                <w:i/>
                <w:sz w:val="20"/>
              </w:rPr>
            </m:ctrlPr>
          </m:sSupPr>
          <m:e>
            <m:r>
              <w:rPr>
                <w:rFonts w:ascii="Cambria Math" w:hAnsi="Cambria Math"/>
                <w:sz w:val="20"/>
              </w:rPr>
              <m:t>(N/</m:t>
            </m:r>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r>
              <w:rPr>
                <w:rFonts w:ascii="Cambria Math" w:hAnsi="Cambria Math"/>
                <w:sz w:val="20"/>
              </w:rPr>
              <m:t>)</m:t>
            </m:r>
          </m:e>
          <m:sup>
            <m:r>
              <w:rPr>
                <w:rFonts w:ascii="Cambria Math" w:hAnsi="Cambria Math"/>
                <w:sz w:val="20"/>
              </w:rPr>
              <m:t>2</m:t>
            </m:r>
          </m:sup>
        </m:sSup>
      </m:oMath>
      <w:r w:rsidRPr="00372C58">
        <w:rPr>
          <w:rFonts w:ascii="Book Antiqua" w:hAnsi="Book Antiqua"/>
          <w:sz w:val="20"/>
          <w:vertAlign w:val="superscript"/>
        </w:rPr>
        <w:t xml:space="preserve"> </w:t>
      </w:r>
      <w:r w:rsidRPr="00372C58">
        <w:rPr>
          <w:rFonts w:ascii="Book Antiqua" w:hAnsi="Book Antiqua"/>
          <w:sz w:val="20"/>
        </w:rPr>
        <w:t xml:space="preserve">for </w:t>
      </w:r>
      <m:oMath>
        <m:sSup>
          <m:sSupPr>
            <m:ctrlPr>
              <w:rPr>
                <w:rFonts w:ascii="Cambria Math" w:hAnsi="Cambria Math"/>
                <w:i/>
                <w:sz w:val="20"/>
              </w:rPr>
            </m:ctrlPr>
          </m:sSupPr>
          <m:e>
            <m:r>
              <w:rPr>
                <w:rFonts w:ascii="Cambria Math" w:hAnsi="Cambria Math"/>
                <w:sz w:val="20"/>
              </w:rPr>
              <m:t>(1/s)</m:t>
            </m:r>
          </m:e>
          <m:sup>
            <m:r>
              <w:rPr>
                <w:rFonts w:ascii="Cambria Math" w:hAnsi="Cambria Math"/>
                <w:sz w:val="20"/>
              </w:rPr>
              <m:t>2</m:t>
            </m:r>
          </m:sup>
        </m:sSup>
      </m:oMath>
      <w:r w:rsidRPr="00372C58">
        <w:rPr>
          <w:rFonts w:ascii="Book Antiqua" w:hAnsi="Book Antiqua"/>
          <w:sz w:val="20"/>
        </w:rPr>
        <w:t>, we obtain</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p>
    <w:p w:rsidR="00265840" w:rsidRPr="00372C58" w:rsidRDefault="007B3EBC" w:rsidP="00265840">
      <w:pPr>
        <w:pStyle w:val="Equationparagraph"/>
        <w:tabs>
          <w:tab w:val="center" w:pos="2610"/>
          <w:tab w:val="right" w:pos="5040"/>
        </w:tabs>
        <w:jc w:val="right"/>
        <w:rPr>
          <w:rFonts w:ascii="Book Antiqua" w:hAnsi="Book Antiqua" w:cs="Times New Roman"/>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p</m:t>
            </m:r>
          </m:sub>
        </m:sSub>
        <m:r>
          <w:rPr>
            <w:rFonts w:ascii="Cambria Math" w:hAnsi="Cambria Math" w:cs="Times New Roman"/>
            <w:sz w:val="20"/>
            <w:szCs w:val="20"/>
          </w:rPr>
          <m:t xml:space="preserve">  =  2</m:t>
        </m:r>
        <m:sSup>
          <m:sSupPr>
            <m:ctrlPr>
              <w:rPr>
                <w:rFonts w:ascii="Cambria Math" w:hAnsi="Cambria Math" w:cs="Times New Roman"/>
                <w:i/>
                <w:sz w:val="20"/>
                <w:szCs w:val="20"/>
              </w:rPr>
            </m:ctrlPr>
          </m:sSupPr>
          <m:e>
            <m:r>
              <w:rPr>
                <w:rFonts w:ascii="Cambria Math" w:hAnsi="Cambria Math" w:cs="Times New Roman"/>
                <w:sz w:val="20"/>
                <w:szCs w:val="20"/>
              </w:rPr>
              <m:t>π</m:t>
            </m:r>
          </m:e>
          <m:sup>
            <m:r>
              <w:rPr>
                <w:rFonts w:ascii="Cambria Math" w:hAnsi="Cambria Math" w:cs="Times New Roman"/>
                <w:sz w:val="20"/>
                <w:szCs w:val="20"/>
              </w:rPr>
              <m:t>2</m:t>
            </m:r>
          </m:sup>
        </m:sSup>
        <m:r>
          <w:rPr>
            <w:rFonts w:ascii="Cambria Math" w:hAnsi="Cambria Math" w:cs="Times New Roman"/>
            <w:sz w:val="20"/>
            <w:szCs w:val="20"/>
          </w:rPr>
          <m:t xml:space="preserve"> </m:t>
        </m:r>
        <m:sSup>
          <m:sSupPr>
            <m:ctrlPr>
              <w:rPr>
                <w:rFonts w:ascii="Cambria Math" w:hAnsi="Cambria Math" w:cs="Times New Roman"/>
                <w:i/>
                <w:sz w:val="20"/>
                <w:szCs w:val="20"/>
              </w:rPr>
            </m:ctrlPr>
          </m:sSupPr>
          <m:e>
            <m:r>
              <w:rPr>
                <w:rFonts w:ascii="Cambria Math" w:hAnsi="Cambria Math" w:cs="Times New Roman"/>
                <w:sz w:val="20"/>
                <w:szCs w:val="20"/>
              </w:rPr>
              <m:t>(</m:t>
            </m:r>
            <m:sSup>
              <m:sSupPr>
                <m:ctrlPr>
                  <w:rPr>
                    <w:rFonts w:ascii="Cambria Math" w:eastAsia="Times New Roman" w:hAnsi="Cambria Math" w:cs="Times New Roman"/>
                    <w:i/>
                    <w:sz w:val="20"/>
                    <w:szCs w:val="20"/>
                  </w:rPr>
                </m:ctrlPr>
              </m:sSupPr>
              <m:e>
                <m:r>
                  <w:rPr>
                    <w:rFonts w:ascii="Cambria Math" w:hAnsi="Cambria Math" w:cs="Times New Roman"/>
                    <w:sz w:val="20"/>
                    <w:szCs w:val="20"/>
                  </w:rPr>
                  <m:t>e</m:t>
                </m:r>
              </m:e>
              <m:sup>
                <m:r>
                  <w:rPr>
                    <w:rFonts w:ascii="Cambria Math" w:hAnsi="Cambria Math" w:cs="Times New Roman"/>
                    <w:sz w:val="20"/>
                    <w:szCs w:val="20"/>
                  </w:rPr>
                  <m:t>2</m:t>
                </m:r>
              </m:sup>
            </m:sSup>
            <m:r>
              <w:rPr>
                <w:rFonts w:ascii="Cambria Math" w:hAnsi="Cambria Math" w:cs="Times New Roman"/>
                <w:sz w:val="20"/>
                <w:szCs w:val="20"/>
              </w:rPr>
              <m:t>/ε)</m:t>
            </m:r>
          </m:e>
          <m:sup>
            <m:r>
              <w:rPr>
                <w:rFonts w:ascii="Cambria Math" w:hAnsi="Cambria Math" w:cs="Times New Roman"/>
                <w:sz w:val="20"/>
                <w:szCs w:val="20"/>
              </w:rPr>
              <m:t>2</m:t>
            </m:r>
          </m:sup>
        </m:sSup>
        <m:r>
          <w:rPr>
            <w:rFonts w:ascii="Cambria Math" w:hAnsi="Cambria Math" w:cs="Times New Roman"/>
            <w:sz w:val="20"/>
            <w:szCs w:val="20"/>
          </w:rPr>
          <m:t xml:space="preserve"> (m / </m:t>
        </m:r>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n</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 xml:space="preserve"> – </m:t>
        </m:r>
        <m:sSup>
          <m:sSupPr>
            <m:ctrlPr>
              <w:rPr>
                <w:rFonts w:ascii="Cambria Math" w:hAnsi="Cambria Math" w:cs="Times New Roman"/>
                <w:i/>
                <w:sz w:val="20"/>
                <w:szCs w:val="20"/>
              </w:rPr>
            </m:ctrlPr>
          </m:sSupPr>
          <m:e>
            <m:r>
              <w:rPr>
                <w:rFonts w:ascii="Cambria Math" w:hAnsi="Cambria Math" w:cs="Times New Roman"/>
                <w:sz w:val="20"/>
                <w:szCs w:val="20"/>
              </w:rPr>
              <m:t>(N/</m:t>
            </m:r>
            <m:sSub>
              <m:sSubPr>
                <m:ctrlPr>
                  <w:rPr>
                    <w:rFonts w:ascii="Cambria Math" w:hAnsi="Cambria Math" w:cs="Times New Roman"/>
                    <w:i/>
                    <w:sz w:val="20"/>
                    <w:szCs w:val="20"/>
                  </w:rPr>
                </m:ctrlPr>
              </m:sSubPr>
              <m:e>
                <m:r>
                  <w:rPr>
                    <w:rFonts w:ascii="Cambria Math" w:hAnsi="Cambria Math" w:cs="Times New Roman"/>
                    <w:sz w:val="20"/>
                    <w:szCs w:val="20"/>
                  </w:rPr>
                  <m:t>s</m:t>
                </m:r>
              </m:e>
              <m:sub>
                <m:r>
                  <w:rPr>
                    <w:rFonts w:ascii="Cambria Math" w:hAnsi="Cambria Math" w:cs="Times New Roman"/>
                    <w:sz w:val="20"/>
                    <w:szCs w:val="20"/>
                  </w:rPr>
                  <m:t>0</m:t>
                </m:r>
              </m:sub>
            </m:sSub>
            <m:r>
              <w:rPr>
                <w:rFonts w:ascii="Cambria Math" w:hAnsi="Cambria Math" w:cs="Times New Roman"/>
                <w:sz w:val="20"/>
                <w:szCs w:val="20"/>
              </w:rPr>
              <m:t>)</m:t>
            </m:r>
          </m:e>
          <m:sup>
            <m:r>
              <w:rPr>
                <w:rFonts w:ascii="Cambria Math" w:hAnsi="Cambria Math" w:cs="Times New Roman"/>
                <w:sz w:val="20"/>
                <w:szCs w:val="20"/>
              </w:rPr>
              <m:t>2</m:t>
            </m:r>
          </m:sup>
        </m:sSup>
        <m:r>
          <w:rPr>
            <w:rFonts w:ascii="Cambria Math" w:hAnsi="Cambria Math" w:cs="Times New Roman"/>
            <w:sz w:val="20"/>
            <w:szCs w:val="20"/>
          </w:rPr>
          <m:t>]</m:t>
        </m:r>
      </m:oMath>
      <w:r w:rsidR="00265840" w:rsidRPr="00372C58">
        <w:rPr>
          <w:rFonts w:ascii="Book Antiqua" w:hAnsi="Book Antiqua" w:cs="Times New Roman"/>
          <w:sz w:val="20"/>
          <w:szCs w:val="20"/>
        </w:rPr>
        <w:t xml:space="preserve"> ,</w:t>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sz w:val="20"/>
          <w:szCs w:val="20"/>
        </w:rPr>
        <w:tab/>
      </w:r>
      <w:r w:rsidR="00265840" w:rsidRPr="00372C58">
        <w:rPr>
          <w:rFonts w:ascii="Book Antiqua" w:hAnsi="Book Antiqua" w:cs="Times New Roman"/>
          <w:i/>
          <w:sz w:val="20"/>
          <w:szCs w:val="20"/>
        </w:rPr>
        <w:t xml:space="preserve"> (85)</w:t>
      </w: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Spacing"/>
        <w:jc w:val="both"/>
        <w:rPr>
          <w:rFonts w:ascii="Book Antiqua" w:hAnsi="Book Antiqua"/>
          <w:sz w:val="20"/>
        </w:rPr>
      </w:pPr>
      <w:r w:rsidRPr="00372C58">
        <w:rPr>
          <w:rFonts w:ascii="Book Antiqua" w:hAnsi="Book Antiqua"/>
          <w:sz w:val="20"/>
        </w:rPr>
        <w:t>which becomes</w:t>
      </w:r>
    </w:p>
    <w:p w:rsidR="00265840" w:rsidRPr="00372C58" w:rsidRDefault="00265840" w:rsidP="00265840">
      <w:pPr>
        <w:pStyle w:val="Equationparagraph"/>
        <w:tabs>
          <w:tab w:val="center" w:pos="252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8"/>
          <w:sz w:val="20"/>
          <w:szCs w:val="20"/>
        </w:rPr>
        <w:object w:dxaOrig="4300" w:dyaOrig="500">
          <v:shape id="_x0000_i1046" type="#_x0000_t75" style="width:215.4pt;height:25.4pt" o:ole="">
            <v:imagedata r:id="rId224" o:title=""/>
          </v:shape>
          <o:OLEObject Type="Embed" ProgID="Equation.DSMT4" ShapeID="_x0000_i1046" DrawAspect="Content" ObjectID="_1433920198" r:id="rId225"/>
        </w:object>
      </w:r>
      <w:r w:rsidRPr="00372C58">
        <w:rPr>
          <w:rFonts w:ascii="Book Antiqua" w:hAnsi="Book Antiqua" w:cs="Times New Roman"/>
          <w:sz w:val="20"/>
          <w:szCs w:val="20"/>
        </w:rPr>
        <w:tab/>
        <w:t xml:space="preserve"> </w: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 xml:space="preserve">   (86)</w:t>
      </w:r>
    </w:p>
    <w:p w:rsidR="00CF77E4" w:rsidRDefault="00CF77E4" w:rsidP="00265840">
      <w:pPr>
        <w:pStyle w:val="NormPara"/>
        <w:ind w:firstLine="0"/>
        <w:rPr>
          <w:sz w:val="20"/>
        </w:rPr>
      </w:pPr>
    </w:p>
    <w:p w:rsidR="00265840" w:rsidRPr="00372C58" w:rsidRDefault="00265840" w:rsidP="00265840">
      <w:pPr>
        <w:pStyle w:val="NormPara"/>
        <w:ind w:firstLine="0"/>
        <w:rPr>
          <w:sz w:val="20"/>
        </w:rPr>
      </w:pPr>
      <w:r w:rsidRPr="00372C58">
        <w:rPr>
          <w:sz w:val="20"/>
        </w:rPr>
        <w:t xml:space="preserve">where </w:t>
      </w:r>
      <m:oMath>
        <m:r>
          <w:rPr>
            <w:rFonts w:ascii="Cambria Math" w:hAnsi="Cambria Math"/>
            <w:sz w:val="20"/>
          </w:rPr>
          <m:t>K</m:t>
        </m:r>
      </m:oMath>
      <w:r w:rsidRPr="00372C58">
        <w:rPr>
          <w:sz w:val="20"/>
        </w:rPr>
        <w:t xml:space="preserve"> is some constant since </w:t>
      </w:r>
      <m:oMath>
        <m:r>
          <w:rPr>
            <w:rFonts w:ascii="Cambria Math" w:hAnsi="Cambria Math"/>
            <w:sz w:val="20"/>
          </w:rPr>
          <m:t>(m/</m:t>
        </m:r>
        <m:sSup>
          <m:sSupPr>
            <m:ctrlPr>
              <w:rPr>
                <w:rFonts w:ascii="Cambria Math" w:hAnsi="Cambria Math"/>
                <w:i/>
                <w:sz w:val="20"/>
              </w:rPr>
            </m:ctrlPr>
          </m:sSupPr>
          <m:e>
            <m:r>
              <w:rPr>
                <w:rFonts w:ascii="Cambria Math" w:hAnsi="Cambria Math"/>
                <w:sz w:val="20"/>
              </w:rPr>
              <m:t>h</m:t>
            </m:r>
          </m:e>
          <m:sup>
            <m:r>
              <w:rPr>
                <w:rFonts w:ascii="Cambria Math" w:hAnsi="Cambria Math"/>
                <w:sz w:val="20"/>
              </w:rPr>
              <m:t>2</m:t>
            </m:r>
          </m:sup>
        </m:sSup>
        <m:r>
          <w:rPr>
            <w:rFonts w:ascii="Cambria Math" w:hAnsi="Cambria Math"/>
            <w:sz w:val="20"/>
          </w:rPr>
          <m:t>)</m:t>
        </m:r>
      </m:oMath>
      <w:r w:rsidRPr="00372C58">
        <w:rPr>
          <w:sz w:val="20"/>
        </w:rPr>
        <w:t xml:space="preserve"> is constant, </w:t>
      </w:r>
      <m:oMath>
        <m:sSup>
          <m:sSupPr>
            <m:ctrlPr>
              <w:rPr>
                <w:rFonts w:ascii="Cambria Math" w:hAnsi="Cambria Math"/>
                <w:i/>
                <w:sz w:val="20"/>
              </w:rPr>
            </m:ctrlPr>
          </m:sSupPr>
          <m:e>
            <m:r>
              <w:rPr>
                <w:rFonts w:ascii="Cambria Math" w:hAnsi="Cambria Math"/>
                <w:sz w:val="20"/>
              </w:rPr>
              <m:t>e</m:t>
            </m:r>
          </m:e>
          <m:sup>
            <m:r>
              <w:rPr>
                <w:rFonts w:ascii="Cambria Math" w:hAnsi="Cambria Math"/>
                <w:sz w:val="20"/>
              </w:rPr>
              <m:t>2</m:t>
            </m:r>
          </m:sup>
        </m:sSup>
        <m:r>
          <w:rPr>
            <w:rFonts w:ascii="Cambria Math" w:hAnsi="Cambria Math"/>
            <w:sz w:val="20"/>
          </w:rPr>
          <m:t>/ε</m:t>
        </m:r>
      </m:oMath>
      <w:r w:rsidRPr="00372C58">
        <w:rPr>
          <w:sz w:val="20"/>
        </w:rPr>
        <w:t xml:space="preserve"> is invariant, and both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0</m:t>
            </m:r>
          </m:sub>
        </m:sSub>
      </m:oMath>
      <w:r w:rsidRPr="00372C58">
        <w:rPr>
          <w:sz w:val="20"/>
        </w:rPr>
        <w:t xml:space="preserve"> and </w:t>
      </w:r>
      <m:oMath>
        <m:sSub>
          <m:sSubPr>
            <m:ctrlPr>
              <w:rPr>
                <w:rFonts w:ascii="Cambria Math" w:hAnsi="Cambria Math"/>
                <w:i/>
                <w:sz w:val="20"/>
              </w:rPr>
            </m:ctrlPr>
          </m:sSubPr>
          <m:e>
            <m:r>
              <w:rPr>
                <w:rFonts w:ascii="Cambria Math" w:hAnsi="Cambria Math"/>
                <w:sz w:val="20"/>
              </w:rPr>
              <m:t>s</m:t>
            </m:r>
          </m:e>
          <m:sub>
            <m:r>
              <w:rPr>
                <w:rFonts w:ascii="Cambria Math" w:hAnsi="Cambria Math"/>
                <w:sz w:val="20"/>
              </w:rPr>
              <m:t>0</m:t>
            </m:r>
          </m:sub>
        </m:sSub>
      </m:oMath>
      <w:r w:rsidRPr="00372C58">
        <w:rPr>
          <w:sz w:val="20"/>
        </w:rPr>
        <w:t xml:space="preserve"> are fixed. </w:t>
      </w:r>
    </w:p>
    <w:p w:rsidR="00265840" w:rsidRPr="00372C58" w:rsidRDefault="00265840" w:rsidP="00265840">
      <w:pPr>
        <w:pStyle w:val="NormPara"/>
        <w:ind w:firstLine="0"/>
        <w:rPr>
          <w:sz w:val="20"/>
        </w:rPr>
      </w:pPr>
    </w:p>
    <w:p w:rsidR="00265840" w:rsidRPr="00372C58" w:rsidRDefault="00265840" w:rsidP="00265840">
      <w:pPr>
        <w:pStyle w:val="NormPara"/>
        <w:ind w:firstLine="720"/>
        <w:rPr>
          <w:sz w:val="20"/>
        </w:rPr>
      </w:pPr>
      <w:r w:rsidRPr="00372C58">
        <w:rPr>
          <w:sz w:val="20"/>
        </w:rPr>
        <w:t xml:space="preserve">Thus, in the interval between jumps, the energy of the emitted photons will remain unchanged. But at the quantum jump, the energy of the emitted photons will increase by the factor </w:t>
      </w:r>
      <m:oMath>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w:t>
      </w:r>
    </w:p>
    <w:p w:rsidR="00265840" w:rsidRPr="00372C58" w:rsidRDefault="00265840" w:rsidP="00265840">
      <w:pPr>
        <w:pStyle w:val="NormPara"/>
        <w:ind w:firstLine="270"/>
        <w:rPr>
          <w:sz w:val="20"/>
        </w:rPr>
      </w:pPr>
    </w:p>
    <w:p w:rsidR="00265840" w:rsidRDefault="00265840" w:rsidP="00265840">
      <w:pPr>
        <w:pStyle w:val="NormPara"/>
        <w:ind w:firstLine="270"/>
        <w:rPr>
          <w:sz w:val="20"/>
        </w:rPr>
      </w:pPr>
      <w:r w:rsidRPr="00372C58">
        <w:rPr>
          <w:sz w:val="20"/>
        </w:rPr>
        <w:t xml:space="preserve">The energy of emitted photons, </w:t>
      </w:r>
      <m:oMath>
        <m:sSub>
          <m:sSubPr>
            <m:ctrlPr>
              <w:rPr>
                <w:rFonts w:ascii="Cambria Math" w:hAnsi="Cambria Math"/>
                <w:i/>
                <w:sz w:val="20"/>
              </w:rPr>
            </m:ctrlPr>
          </m:sSubPr>
          <m:e>
            <m:r>
              <w:rPr>
                <w:rFonts w:ascii="Cambria Math" w:hAnsi="Cambria Math"/>
                <w:sz w:val="20"/>
              </w:rPr>
              <m:t>E</m:t>
            </m:r>
          </m:e>
          <m:sub>
            <m:r>
              <w:rPr>
                <w:rFonts w:ascii="Cambria Math" w:hAnsi="Cambria Math"/>
                <w:sz w:val="20"/>
              </w:rPr>
              <m:t>p</m:t>
            </m:r>
          </m:sub>
        </m:sSub>
      </m:oMath>
      <w:r w:rsidRPr="00372C58">
        <w:rPr>
          <w:sz w:val="20"/>
        </w:rPr>
        <w:t>, is given by the standard formula</w:t>
      </w:r>
    </w:p>
    <w:p w:rsidR="00CF77E4" w:rsidRPr="00372C58" w:rsidRDefault="00CF77E4" w:rsidP="00265840">
      <w:pPr>
        <w:pStyle w:val="NormPara"/>
        <w:ind w:firstLine="270"/>
        <w:rPr>
          <w:sz w:val="20"/>
        </w:rPr>
      </w:pPr>
    </w:p>
    <w:p w:rsidR="00265840" w:rsidRPr="00372C58" w:rsidRDefault="00265840" w:rsidP="00265840">
      <w:pPr>
        <w:pStyle w:val="Equationparagraph"/>
        <w:tabs>
          <w:tab w:val="center" w:pos="2610"/>
          <w:tab w:val="right" w:pos="5040"/>
        </w:tabs>
        <w:jc w:val="center"/>
        <w:rPr>
          <w:rFonts w:ascii="Book Antiqua" w:hAnsi="Book Antiqua" w:cs="Times New Roman"/>
          <w:sz w:val="20"/>
          <w:szCs w:val="20"/>
        </w:rPr>
      </w:pPr>
      <w:r w:rsidRPr="00372C58">
        <w:rPr>
          <w:rFonts w:ascii="Book Antiqua" w:hAnsi="Book Antiqua" w:cs="Times New Roman"/>
          <w:sz w:val="20"/>
          <w:szCs w:val="20"/>
        </w:rPr>
        <w:tab/>
      </w:r>
      <w:r w:rsidRPr="00372C58">
        <w:rPr>
          <w:rFonts w:ascii="Book Antiqua" w:hAnsi="Book Antiqua" w:cs="Times New Roman"/>
          <w:position w:val="-14"/>
          <w:sz w:val="20"/>
          <w:szCs w:val="20"/>
        </w:rPr>
        <w:object w:dxaOrig="1440" w:dyaOrig="380">
          <v:shape id="_x0000_i1047" type="#_x0000_t75" style="width:1in;height:19.35pt" o:ole="">
            <v:imagedata r:id="rId226" o:title=""/>
          </v:shape>
          <o:OLEObject Type="Embed" ProgID="Equation.DSMT4" ShapeID="_x0000_i1047" DrawAspect="Content" ObjectID="_1433920199" r:id="rId227"/>
        </w:object>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i/>
          <w:sz w:val="20"/>
          <w:szCs w:val="20"/>
        </w:rPr>
        <w:t>(87)</w:t>
      </w:r>
    </w:p>
    <w:p w:rsidR="00265840" w:rsidRPr="00372C58" w:rsidRDefault="00265840" w:rsidP="00265840">
      <w:pPr>
        <w:pStyle w:val="NormPara"/>
        <w:ind w:firstLine="270"/>
        <w:rPr>
          <w:sz w:val="20"/>
        </w:rPr>
      </w:pPr>
      <w:r w:rsidRPr="00372C58">
        <w:rPr>
          <w:sz w:val="20"/>
        </w:rPr>
        <w:t xml:space="preserve">Here, </w:t>
      </w:r>
      <m:oMath>
        <m:r>
          <w:rPr>
            <w:rFonts w:ascii="Cambria Math" w:hAnsi="Cambria Math"/>
            <w:sz w:val="20"/>
          </w:rPr>
          <m:t>W</m:t>
        </m:r>
      </m:oMath>
      <w:r w:rsidRPr="00372C58">
        <w:rPr>
          <w:sz w:val="20"/>
        </w:rPr>
        <w:t xml:space="preserve"> is the wavelength of the emitted photon and the second part of the equation follows from (86). In equation (87), the term</w:t>
      </w:r>
      <m:oMath>
        <m:r>
          <w:rPr>
            <w:rFonts w:ascii="Cambria Math" w:hAnsi="Cambria Math"/>
            <w:sz w:val="20"/>
          </w:rPr>
          <m:t xml:space="preserve"> hc</m:t>
        </m:r>
      </m:oMath>
      <w:r w:rsidRPr="00372C58">
        <w:rPr>
          <w:sz w:val="20"/>
        </w:rPr>
        <w:t xml:space="preserve"> occurs, where</w:t>
      </w:r>
      <w:r w:rsidRPr="00372C58">
        <w:rPr>
          <w:i/>
          <w:sz w:val="20"/>
        </w:rPr>
        <w:t xml:space="preserve"> </w:t>
      </w:r>
      <m:oMath>
        <m:r>
          <w:rPr>
            <w:rFonts w:ascii="Cambria Math" w:hAnsi="Cambria Math"/>
            <w:sz w:val="20"/>
          </w:rPr>
          <m:t>c</m:t>
        </m:r>
      </m:oMath>
      <w:r w:rsidRPr="00372C58">
        <w:rPr>
          <w:sz w:val="20"/>
        </w:rPr>
        <w:t xml:space="preserve"> is the speed of light. When the ZPE is increasing, both data and theory indicate that the quantity</w:t>
      </w:r>
      <m:oMath>
        <m:r>
          <w:rPr>
            <w:rFonts w:ascii="Cambria Math" w:hAnsi="Cambria Math"/>
            <w:sz w:val="20"/>
          </w:rPr>
          <m:t xml:space="preserve"> hc </m:t>
        </m:r>
      </m:oMath>
      <w:r w:rsidRPr="00372C58">
        <w:rPr>
          <w:sz w:val="20"/>
        </w:rPr>
        <w:t xml:space="preserve">is invariant throughout the cosmos, as reviewed above. Thus, in (87), since both </w:t>
      </w:r>
      <m:oMath>
        <m:r>
          <w:rPr>
            <w:rFonts w:ascii="Cambria Math" w:hAnsi="Cambria Math"/>
            <w:sz w:val="20"/>
          </w:rPr>
          <m:t>hc</m:t>
        </m:r>
      </m:oMath>
      <w:r w:rsidRPr="00372C58">
        <w:rPr>
          <w:i/>
          <w:sz w:val="20"/>
        </w:rPr>
        <w:t xml:space="preserve"> </w:t>
      </w:r>
      <w:r w:rsidRPr="00372C58">
        <w:rPr>
          <w:sz w:val="20"/>
        </w:rPr>
        <w:t>and</w:t>
      </w:r>
      <m:oMath>
        <m:r>
          <w:rPr>
            <w:rFonts w:ascii="Cambria Math" w:hAnsi="Cambria Math"/>
            <w:sz w:val="20"/>
          </w:rPr>
          <m:t xml:space="preserve"> K</m:t>
        </m:r>
      </m:oMath>
      <w:r w:rsidRPr="00372C58">
        <w:rPr>
          <w:sz w:val="20"/>
        </w:rPr>
        <w:t xml:space="preserve"> are constant, it follows that emitted photon wavelengths, </w:t>
      </w:r>
      <m:oMath>
        <m:r>
          <w:rPr>
            <w:rFonts w:ascii="Cambria Math" w:hAnsi="Cambria Math"/>
            <w:sz w:val="20"/>
          </w:rPr>
          <m:t>W</m:t>
        </m:r>
      </m:oMath>
      <w:r w:rsidRPr="00372C58">
        <w:rPr>
          <w:sz w:val="20"/>
        </w:rPr>
        <w:t xml:space="preserve">, are proportional to </w:t>
      </w:r>
      <m:oMath>
        <m:r>
          <w:rPr>
            <w:rFonts w:ascii="Cambria Math" w:hAnsi="Cambria Math"/>
            <w:sz w:val="20"/>
          </w:rPr>
          <m:t>1/</m:t>
        </m:r>
        <m:sSup>
          <m:sSupPr>
            <m:ctrlPr>
              <w:rPr>
                <w:rFonts w:ascii="Cambria Math" w:hAnsi="Cambria Math"/>
                <w:i/>
                <w:sz w:val="20"/>
              </w:rPr>
            </m:ctrlPr>
          </m:sSupPr>
          <m:e>
            <m:r>
              <w:rPr>
                <w:rFonts w:ascii="Cambria Math" w:hAnsi="Cambria Math"/>
                <w:sz w:val="20"/>
              </w:rPr>
              <m:t>N</m:t>
            </m:r>
          </m:e>
          <m:sup>
            <m:r>
              <w:rPr>
                <w:rFonts w:ascii="Cambria Math" w:hAnsi="Cambria Math"/>
                <w:sz w:val="20"/>
              </w:rPr>
              <m:t>2</m:t>
            </m:r>
          </m:sup>
        </m:sSup>
      </m:oMath>
      <w:r w:rsidRPr="00372C58">
        <w:rPr>
          <w:sz w:val="20"/>
        </w:rPr>
        <w:t>, so that:</w:t>
      </w:r>
    </w:p>
    <w:p w:rsidR="00265840" w:rsidRPr="00372C58" w:rsidRDefault="00265840" w:rsidP="00CF77E4">
      <w:pPr>
        <w:pStyle w:val="Equationparagraph"/>
        <w:tabs>
          <w:tab w:val="center" w:pos="2610"/>
          <w:tab w:val="right" w:pos="5040"/>
        </w:tabs>
        <w:spacing w:before="80" w:after="80"/>
        <w:jc w:val="right"/>
        <w:rPr>
          <w:rFonts w:ascii="Book Antiqua" w:hAnsi="Book Antiqua" w:cs="Times New Roman"/>
          <w:sz w:val="20"/>
          <w:szCs w:val="20"/>
        </w:rPr>
      </w:pPr>
      <w:r w:rsidRPr="00372C58">
        <w:rPr>
          <w:rFonts w:ascii="Book Antiqua" w:hAnsi="Book Antiqua" w:cs="Times New Roman"/>
          <w:sz w:val="20"/>
          <w:szCs w:val="20"/>
        </w:rPr>
        <w:tab/>
      </w:r>
      <m:oMath>
        <m:r>
          <w:rPr>
            <w:rFonts w:ascii="Cambria Math" w:hAnsi="Cambria Math" w:cs="Times New Roman"/>
            <w:sz w:val="20"/>
            <w:szCs w:val="20"/>
          </w:rPr>
          <m:t>W  ~  1/</m:t>
        </m:r>
        <m:sSup>
          <m:sSupPr>
            <m:ctrlPr>
              <w:rPr>
                <w:rFonts w:ascii="Cambria Math" w:hAnsi="Cambria Math" w:cs="Times New Roman"/>
                <w:i/>
                <w:sz w:val="20"/>
                <w:szCs w:val="20"/>
              </w:rPr>
            </m:ctrlPr>
          </m:sSupPr>
          <m:e>
            <m:r>
              <w:rPr>
                <w:rFonts w:ascii="Cambria Math" w:hAnsi="Cambria Math" w:cs="Times New Roman"/>
                <w:sz w:val="20"/>
                <w:szCs w:val="20"/>
              </w:rPr>
              <m:t>N</m:t>
            </m:r>
          </m:e>
          <m:sup>
            <m:r>
              <w:rPr>
                <w:rFonts w:ascii="Cambria Math" w:hAnsi="Cambria Math" w:cs="Times New Roman"/>
                <w:sz w:val="20"/>
                <w:szCs w:val="20"/>
              </w:rPr>
              <m:t>2</m:t>
            </m:r>
          </m:sup>
        </m:sSup>
      </m:oMath>
      <w:r w:rsidRPr="00372C58">
        <w:rPr>
          <w:rFonts w:ascii="Book Antiqua" w:hAnsi="Book Antiqua" w:cs="Times New Roman"/>
          <w:sz w:val="20"/>
          <w:szCs w:val="20"/>
        </w:rPr>
        <w:t xml:space="preserve"> .</w:t>
      </w:r>
      <w:r w:rsidR="00CF77E4">
        <w:rPr>
          <w:rFonts w:ascii="Book Antiqua" w:hAnsi="Book Antiqua" w:cs="Times New Roman"/>
          <w:sz w:val="20"/>
          <w:szCs w:val="20"/>
        </w:rPr>
        <w:tab/>
      </w:r>
      <w:r w:rsidR="00CF77E4">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rPr>
        <w:tab/>
      </w:r>
      <w:r w:rsidRPr="00372C58">
        <w:rPr>
          <w:rFonts w:ascii="Book Antiqua" w:hAnsi="Book Antiqua" w:cs="Times New Roman"/>
          <w:sz w:val="20"/>
          <w:szCs w:val="20"/>
          <w:vertAlign w:val="superscript"/>
        </w:rPr>
        <w:tab/>
      </w:r>
      <w:r w:rsidRPr="00372C58">
        <w:rPr>
          <w:rFonts w:ascii="Book Antiqua" w:hAnsi="Book Antiqua" w:cs="Times New Roman"/>
          <w:i/>
          <w:sz w:val="20"/>
          <w:szCs w:val="20"/>
        </w:rPr>
        <w:t>(88)</w:t>
      </w:r>
    </w:p>
    <w:p w:rsidR="00265840" w:rsidRPr="00372C58" w:rsidRDefault="00265840" w:rsidP="00265840">
      <w:pPr>
        <w:pStyle w:val="NormPara"/>
        <w:ind w:firstLine="720"/>
        <w:rPr>
          <w:sz w:val="20"/>
        </w:rPr>
      </w:pPr>
      <w:r w:rsidRPr="0015263E">
        <w:rPr>
          <w:sz w:val="20"/>
        </w:rPr>
        <w:t>Therefore, in the intervals between jumps, since</w:t>
      </w:r>
      <m:oMath>
        <m:r>
          <w:rPr>
            <w:rFonts w:ascii="Cambria Math" w:hAnsi="Cambria Math"/>
            <w:sz w:val="20"/>
          </w:rPr>
          <m:t xml:space="preserve"> N</m:t>
        </m:r>
      </m:oMath>
      <w:r w:rsidRPr="0015263E">
        <w:rPr>
          <w:sz w:val="20"/>
        </w:rPr>
        <w:t xml:space="preserve"> is constant, the emitted wavelengths in a wave-train of light will also be constant. From</w:t>
      </w:r>
      <w:r w:rsidRPr="00372C58">
        <w:rPr>
          <w:sz w:val="20"/>
        </w:rPr>
        <w:t xml:space="preserve"> equation (88) we note that, at the quantum jump, the value of</w:t>
      </w:r>
      <w:r w:rsidRPr="00372C58">
        <w:rPr>
          <w:i/>
          <w:sz w:val="20"/>
        </w:rPr>
        <w:t xml:space="preserve"> </w:t>
      </w:r>
      <m:oMath>
        <m:r>
          <w:rPr>
            <w:rFonts w:ascii="Cambria Math" w:hAnsi="Cambria Math"/>
            <w:sz w:val="20"/>
          </w:rPr>
          <m:t>N</m:t>
        </m:r>
      </m:oMath>
      <w:r w:rsidRPr="00372C58">
        <w:rPr>
          <w:i/>
          <w:sz w:val="20"/>
        </w:rPr>
        <w:t xml:space="preserve"> </w:t>
      </w:r>
      <w:r w:rsidRPr="00372C58">
        <w:rPr>
          <w:sz w:val="20"/>
        </w:rPr>
        <w:t xml:space="preserve">increases to the next integer. As given in (40), the standard definition of the redshift of light from distant galaxies is </w:t>
      </w:r>
    </w:p>
    <w:p w:rsidR="00265840" w:rsidRPr="00372C58" w:rsidRDefault="00265840" w:rsidP="00265840">
      <w:pPr>
        <w:pStyle w:val="NormPara"/>
        <w:ind w:firstLine="270"/>
        <w:rPr>
          <w:sz w:val="20"/>
        </w:rPr>
      </w:pPr>
    </w:p>
    <w:p w:rsidR="00265840" w:rsidRPr="00372C58" w:rsidRDefault="007B3EBC" w:rsidP="00265840">
      <w:pPr>
        <w:pStyle w:val="NormPara"/>
        <w:ind w:firstLine="270"/>
        <w:jc w:val="right"/>
        <w:rPr>
          <w:i/>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r>
          <w:rPr>
            <w:rFonts w:ascii="Cambria Math" w:hAnsi="Cambria Math"/>
            <w:sz w:val="20"/>
          </w:rPr>
          <m:t xml:space="preserve">) =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m:t>
        </m:r>
      </m:oMath>
      <w:r w:rsidR="00265840" w:rsidRPr="00372C58">
        <w:rPr>
          <w:sz w:val="20"/>
        </w:rPr>
        <w:t>,</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(89)</w:t>
      </w:r>
    </w:p>
    <w:p w:rsidR="00265840" w:rsidRPr="00372C58" w:rsidRDefault="00265840" w:rsidP="00265840">
      <w:pPr>
        <w:pStyle w:val="NormPara"/>
        <w:ind w:firstLine="270"/>
        <w:rPr>
          <w:sz w:val="20"/>
        </w:rPr>
      </w:pPr>
    </w:p>
    <w:p w:rsidR="00265840" w:rsidRPr="00372C58" w:rsidRDefault="00265840" w:rsidP="00265840">
      <w:pPr>
        <w:pStyle w:val="NormPara"/>
        <w:ind w:firstLine="0"/>
        <w:rPr>
          <w:sz w:val="20"/>
        </w:rPr>
      </w:pPr>
      <w:r w:rsidRPr="00372C58">
        <w:rPr>
          <w:sz w:val="20"/>
        </w:rPr>
        <w:t xml:space="preserve">where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is the reference wavelength in our laboratories now, and</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xml:space="preserve"> is the wavelength of light emitted from a distant galaxy. The final equality holds because the reference redshift, </w:t>
      </w:r>
      <m:oMath>
        <m:sSub>
          <m:sSubPr>
            <m:ctrlPr>
              <w:rPr>
                <w:rFonts w:ascii="Cambria Math" w:hAnsi="Cambria Math"/>
                <w:i/>
                <w:sz w:val="20"/>
              </w:rPr>
            </m:ctrlPr>
          </m:sSubPr>
          <m:e>
            <m:r>
              <w:rPr>
                <w:rFonts w:ascii="Cambria Math" w:hAnsi="Cambria Math"/>
                <w:sz w:val="20"/>
              </w:rPr>
              <m:t>z</m:t>
            </m:r>
          </m:e>
          <m:sub>
            <m:r>
              <w:rPr>
                <w:rFonts w:ascii="Cambria Math" w:hAnsi="Cambria Math"/>
                <w:sz w:val="20"/>
              </w:rPr>
              <m:t>a</m:t>
            </m:r>
          </m:sub>
        </m:sSub>
      </m:oMath>
      <w:r w:rsidRPr="00372C58">
        <w:rPr>
          <w:sz w:val="20"/>
        </w:rPr>
        <w:t>, equals zero.  If we substitute the proportionality from (88) into (89) we obtain</w:t>
      </w:r>
    </w:p>
    <w:p w:rsidR="00265840" w:rsidRPr="00372C58" w:rsidRDefault="00265840" w:rsidP="00265840">
      <w:pPr>
        <w:pStyle w:val="NormPara"/>
        <w:ind w:firstLine="0"/>
        <w:rPr>
          <w:sz w:val="20"/>
        </w:rPr>
      </w:pPr>
    </w:p>
    <w:p w:rsidR="00265840" w:rsidRPr="00372C58" w:rsidRDefault="007B3EBC" w:rsidP="00265840">
      <w:pPr>
        <w:pStyle w:val="NormPara"/>
        <w:ind w:firstLine="0"/>
        <w:jc w:val="right"/>
        <w:rPr>
          <w:sz w:val="20"/>
        </w:rPr>
      </w:pP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r>
          <w:rPr>
            <w:rFonts w:ascii="Cambria Math" w:hAnsi="Cambria Math"/>
            <w:sz w:val="20"/>
            <w:vertAlign w:val="subscript"/>
          </w:rPr>
          <m:t xml:space="preserve">  </m:t>
        </m:r>
        <m:r>
          <w:rPr>
            <w:rFonts w:ascii="Cambria Math" w:hAnsi="Cambria Math"/>
            <w:sz w:val="20"/>
          </w:rPr>
          <m:t xml:space="preserve">=  (1 + </m:t>
        </m:r>
        <m:sSub>
          <m:sSubPr>
            <m:ctrlPr>
              <w:rPr>
                <w:rFonts w:ascii="Cambria Math" w:hAnsi="Cambria Math"/>
                <w:i/>
                <w:sz w:val="20"/>
              </w:rPr>
            </m:ctrlPr>
          </m:sSubPr>
          <m:e>
            <m:r>
              <w:rPr>
                <w:rFonts w:ascii="Cambria Math" w:hAnsi="Cambria Math"/>
                <w:sz w:val="20"/>
              </w:rPr>
              <m:t>z</m:t>
            </m:r>
          </m:e>
          <m:sub>
            <m:r>
              <w:rPr>
                <w:rFonts w:ascii="Cambria Math" w:hAnsi="Cambria Math"/>
                <w:sz w:val="20"/>
              </w:rPr>
              <m:t>b</m:t>
            </m:r>
          </m:sub>
        </m:sSub>
        <m:r>
          <w:rPr>
            <w:rFonts w:ascii="Cambria Math" w:hAnsi="Cambria Math"/>
            <w:sz w:val="20"/>
          </w:rPr>
          <m:t xml:space="preserve">)/1 =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r>
          <w:rPr>
            <w:rFonts w:ascii="Cambria Math" w:hAnsi="Cambria Math"/>
            <w:sz w:val="20"/>
          </w:rPr>
          <m:t>/</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00265840" w:rsidRPr="00372C58">
        <w:rPr>
          <w:sz w:val="20"/>
        </w:rPr>
        <w:t xml:space="preserve"> .</w:t>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sz w:val="20"/>
        </w:rPr>
        <w:tab/>
      </w:r>
      <w:r w:rsidR="00265840" w:rsidRPr="00372C58">
        <w:rPr>
          <w:i/>
          <w:sz w:val="20"/>
        </w:rPr>
        <w:t>(90)</w:t>
      </w:r>
    </w:p>
    <w:p w:rsidR="00265840" w:rsidRPr="00372C58" w:rsidRDefault="00265840" w:rsidP="00265840">
      <w:pPr>
        <w:pStyle w:val="Equationparagraph"/>
        <w:tabs>
          <w:tab w:val="center" w:pos="2610"/>
          <w:tab w:val="right" w:pos="5040"/>
        </w:tabs>
        <w:spacing w:after="80"/>
        <w:jc w:val="center"/>
        <w:rPr>
          <w:rFonts w:ascii="Book Antiqua" w:hAnsi="Book Antiqua" w:cs="Times New Roman"/>
          <w:sz w:val="20"/>
          <w:szCs w:val="20"/>
        </w:rPr>
      </w:pPr>
      <w:r w:rsidRPr="00372C58">
        <w:rPr>
          <w:rFonts w:ascii="Book Antiqua" w:hAnsi="Book Antiqua" w:cs="Times New Roman"/>
          <w:sz w:val="20"/>
          <w:szCs w:val="20"/>
        </w:rPr>
        <w:tab/>
      </w:r>
    </w:p>
    <w:p w:rsidR="00265840" w:rsidRPr="00372C58" w:rsidRDefault="00265840" w:rsidP="00265840">
      <w:pPr>
        <w:pStyle w:val="NormPara"/>
        <w:ind w:firstLine="270"/>
        <w:rPr>
          <w:sz w:val="20"/>
        </w:rPr>
      </w:pPr>
      <w:r w:rsidRPr="00372C58">
        <w:rPr>
          <w:sz w:val="20"/>
        </w:rPr>
        <w:t xml:space="preserve">Here,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is the redshift quantum number for the reference wavelength in our labs, which is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a</m:t>
            </m:r>
          </m:sub>
        </m:sSub>
      </m:oMath>
      <w:r w:rsidRPr="00372C58">
        <w:rPr>
          <w:sz w:val="20"/>
        </w:rPr>
        <w:t xml:space="preserve">.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is the redshift quantum number for the light emitted by the distant galaxy of wavelength </w:t>
      </w:r>
      <m:oMath>
        <m:sSub>
          <m:sSubPr>
            <m:ctrlPr>
              <w:rPr>
                <w:rFonts w:ascii="Cambria Math" w:hAnsi="Cambria Math"/>
                <w:i/>
                <w:sz w:val="20"/>
              </w:rPr>
            </m:ctrlPr>
          </m:sSubPr>
          <m:e>
            <m:r>
              <w:rPr>
                <w:rFonts w:ascii="Cambria Math" w:hAnsi="Cambria Math"/>
                <w:sz w:val="20"/>
              </w:rPr>
              <m:t>W</m:t>
            </m:r>
          </m:e>
          <m:sub>
            <m:r>
              <w:rPr>
                <w:rFonts w:ascii="Cambria Math" w:hAnsi="Cambria Math"/>
                <w:sz w:val="20"/>
              </w:rPr>
              <m:t>b</m:t>
            </m:r>
          </m:sub>
        </m:sSub>
      </m:oMath>
      <w:r w:rsidRPr="00372C58">
        <w:rPr>
          <w:sz w:val="20"/>
        </w:rPr>
        <w:t>. The second equality then follows from equation (70) where we substitute</w:t>
      </w:r>
      <m:oMath>
        <m:r>
          <w:rPr>
            <w:rFonts w:ascii="Cambria Math" w:hAnsi="Cambria Math"/>
            <w:sz w:val="20"/>
          </w:rPr>
          <m:t xml:space="preserve"> </m:t>
        </m:r>
        <m:sSub>
          <m:sSubPr>
            <m:ctrlPr>
              <w:rPr>
                <w:rFonts w:ascii="Cambria Math" w:hAnsi="Cambria Math"/>
                <w:i/>
                <w:sz w:val="20"/>
              </w:rPr>
            </m:ctrlPr>
          </m:sSubPr>
          <m:e>
            <m:r>
              <w:rPr>
                <w:rFonts w:ascii="Cambria Math" w:hAnsi="Cambria Math"/>
                <w:sz w:val="20"/>
              </w:rPr>
              <m:t>r</m:t>
            </m:r>
          </m:e>
          <m:sub>
            <m:r>
              <w:rPr>
                <w:rFonts w:ascii="Cambria Math" w:hAnsi="Cambria Math"/>
                <w:sz w:val="20"/>
              </w:rPr>
              <m:t>a</m:t>
            </m:r>
          </m:sub>
        </m:sSub>
      </m:oMath>
      <w:r w:rsidRPr="00372C58">
        <w:rPr>
          <w:sz w:val="20"/>
        </w:rPr>
        <w:t xml:space="preserve"> for the electron orbit radius in the laboratory and </w:t>
      </w:r>
      <m:oMath>
        <m:sSub>
          <m:sSubPr>
            <m:ctrlPr>
              <w:rPr>
                <w:rFonts w:ascii="Cambria Math" w:hAnsi="Cambria Math"/>
                <w:i/>
                <w:sz w:val="20"/>
              </w:rPr>
            </m:ctrlPr>
          </m:sSubPr>
          <m:e>
            <m:r>
              <w:rPr>
                <w:rFonts w:ascii="Cambria Math" w:hAnsi="Cambria Math"/>
                <w:sz w:val="20"/>
              </w:rPr>
              <m:t>r</m:t>
            </m:r>
          </m:e>
          <m:sub>
            <m:r>
              <w:rPr>
                <w:rFonts w:ascii="Cambria Math" w:hAnsi="Cambria Math"/>
                <w:sz w:val="20"/>
              </w:rPr>
              <m:t>b</m:t>
            </m:r>
          </m:sub>
        </m:sSub>
      </m:oMath>
      <w:r w:rsidRPr="00372C58">
        <w:rPr>
          <w:sz w:val="20"/>
        </w:rPr>
        <w:t xml:space="preserve"> for the electron orbit radius at the distant galaxy.</w:t>
      </w:r>
    </w:p>
    <w:p w:rsidR="00265840" w:rsidRPr="00372C58" w:rsidRDefault="00265840" w:rsidP="00265840">
      <w:pPr>
        <w:pStyle w:val="NormPara"/>
        <w:ind w:firstLine="270"/>
        <w:rPr>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DC557A">
        <w:rPr>
          <w:rFonts w:ascii="Book Antiqua" w:hAnsi="Book Antiqua"/>
          <w:bCs/>
          <w:i/>
          <w:iCs/>
          <w:color w:val="000000"/>
          <w:sz w:val="20"/>
        </w:rPr>
        <w:t>6</w:t>
      </w:r>
      <w:r w:rsidRPr="00372C58">
        <w:rPr>
          <w:rFonts w:ascii="Book Antiqua" w:hAnsi="Book Antiqua"/>
          <w:bCs/>
          <w:i/>
          <w:iCs/>
          <w:color w:val="000000"/>
          <w:sz w:val="20"/>
        </w:rPr>
        <w:t>. How Many Quantum Jumps Have Occurred?</w:t>
      </w:r>
    </w:p>
    <w:p w:rsidR="00265840" w:rsidRPr="00372C58" w:rsidRDefault="00265840" w:rsidP="00265840">
      <w:pPr>
        <w:pStyle w:val="NormPara"/>
        <w:ind w:firstLine="270"/>
        <w:rPr>
          <w:sz w:val="20"/>
        </w:rPr>
      </w:pPr>
    </w:p>
    <w:p w:rsidR="00265840" w:rsidRPr="00372C58" w:rsidRDefault="00265840" w:rsidP="00265840">
      <w:pPr>
        <w:pStyle w:val="NormPara"/>
        <w:ind w:firstLine="720"/>
        <w:rPr>
          <w:sz w:val="20"/>
        </w:rPr>
      </w:pPr>
      <w:r w:rsidRPr="00372C58">
        <w:rPr>
          <w:sz w:val="20"/>
        </w:rPr>
        <w:t xml:space="preserve">There is no way to actually count the number of quantum jumps that have occurred through time, but William Tifft and Halton Arp have provided the data to allow us to make calculations using equation (90). Tifft noted that the smallest redshift change that he could discern from his measurements was </w:t>
      </w:r>
      <m:oMath>
        <m:r>
          <w:rPr>
            <w:rFonts w:ascii="Cambria Math" w:hAnsi="Cambria Math"/>
            <w:sz w:val="20"/>
          </w:rPr>
          <m:t>8/3</m:t>
        </m:r>
      </m:oMath>
      <w:r w:rsidRPr="00372C58">
        <w:rPr>
          <w:sz w:val="20"/>
        </w:rPr>
        <w:t xml:space="preserve"> km/s [62]. If we take this as representing neighboring quantum changes of </w:t>
      </w:r>
      <m:oMath>
        <m:r>
          <w:rPr>
            <w:rFonts w:ascii="Cambria Math" w:hAnsi="Cambria Math"/>
            <w:sz w:val="20"/>
          </w:rPr>
          <m:t>(</m:t>
        </m:r>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 </m:t>
        </m:r>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+ 1)</m:t>
        </m:r>
      </m:oMath>
      <w:r w:rsidRPr="00372C58">
        <w:rPr>
          <w:sz w:val="20"/>
        </w:rPr>
        <w:t xml:space="preserve"> between us and a nearby galaxy. This gives a change in </w:t>
      </w:r>
      <m:oMath>
        <m:r>
          <w:rPr>
            <w:rFonts w:ascii="Cambria Math" w:hAnsi="Cambria Math"/>
            <w:sz w:val="20"/>
          </w:rPr>
          <m:t>z</m:t>
        </m:r>
      </m:oMath>
      <w:r w:rsidRPr="00372C58">
        <w:rPr>
          <w:sz w:val="20"/>
        </w:rPr>
        <w:t xml:space="preserve"> of (</w:t>
      </w:r>
      <m:oMath>
        <m:r>
          <w:rPr>
            <w:rFonts w:ascii="Cambria Math" w:hAnsi="Cambria Math"/>
            <w:sz w:val="20"/>
          </w:rPr>
          <m:t>2.667/299792</m:t>
        </m:r>
      </m:oMath>
      <w:r w:rsidRPr="00372C58">
        <w:rPr>
          <w:sz w:val="20"/>
        </w:rPr>
        <w:t>). We thus have:</w:t>
      </w:r>
    </w:p>
    <w:p w:rsidR="00265840" w:rsidRPr="00372C58" w:rsidRDefault="00265840" w:rsidP="00265840">
      <w:pPr>
        <w:pStyle w:val="NormPara"/>
        <w:ind w:firstLine="270"/>
        <w:rPr>
          <w:sz w:val="20"/>
        </w:rPr>
      </w:pPr>
    </w:p>
    <w:p w:rsidR="00265840" w:rsidRPr="00372C58" w:rsidRDefault="00265840" w:rsidP="00265840">
      <w:pPr>
        <w:pStyle w:val="NormPara"/>
        <w:ind w:firstLine="270"/>
        <w:jc w:val="right"/>
        <w:rPr>
          <w:sz w:val="20"/>
        </w:rPr>
      </w:pPr>
      <m:oMath>
        <m:r>
          <w:rPr>
            <w:rFonts w:ascii="Cambria Math" w:hAnsi="Cambria Math"/>
            <w:sz w:val="20"/>
          </w:rPr>
          <m:t xml:space="preserve"> </m:t>
        </m:r>
        <m:d>
          <m:dPr>
            <m:ctrlPr>
              <w:rPr>
                <w:rFonts w:ascii="Cambria Math" w:hAnsi="Cambria Math"/>
                <w:i/>
                <w:sz w:val="20"/>
              </w:rPr>
            </m:ctrlPr>
          </m:dPr>
          <m:e>
            <m:r>
              <w:rPr>
                <w:rFonts w:ascii="Cambria Math" w:hAnsi="Cambria Math"/>
                <w:sz w:val="20"/>
              </w:rPr>
              <m:t>1 + z</m:t>
            </m:r>
          </m:e>
        </m:d>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2.667</m:t>
                </m:r>
              </m:num>
              <m:den>
                <m:r>
                  <w:rPr>
                    <w:rFonts w:ascii="Cambria Math" w:hAnsi="Cambria Math"/>
                    <w:sz w:val="20"/>
                  </w:rPr>
                  <m:t>299792</m:t>
                </m:r>
              </m:den>
            </m:f>
          </m:e>
        </m:d>
        <m:r>
          <w:rPr>
            <w:rFonts w:ascii="Cambria Math" w:hAnsi="Cambria Math"/>
            <w:sz w:val="20"/>
          </w:rPr>
          <m:t xml:space="preserve">=1.000008896= </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e>
          <m:sup>
            <m:r>
              <w:rPr>
                <w:rFonts w:ascii="Cambria Math" w:hAnsi="Cambria Math"/>
                <w:sz w:val="20"/>
              </w:rPr>
              <m:t>2</m:t>
            </m:r>
          </m:sup>
        </m:sSup>
        <m:r>
          <w:rPr>
            <w:rFonts w:ascii="Cambria Math" w:hAnsi="Cambria Math"/>
            <w:sz w:val="20"/>
          </w:rPr>
          <m:t>/</m:t>
        </m:r>
        <m:sSup>
          <m:sSupPr>
            <m:ctrlPr>
              <w:rPr>
                <w:rFonts w:ascii="Cambria Math" w:hAnsi="Cambria Math"/>
                <w:i/>
                <w:sz w:val="20"/>
              </w:rPr>
            </m:ctrlPr>
          </m:sSupPr>
          <m:e>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e>
          <m:sup>
            <m:r>
              <w:rPr>
                <w:rFonts w:ascii="Cambria Math" w:hAnsi="Cambria Math"/>
                <w:sz w:val="20"/>
              </w:rPr>
              <m:t>2</m:t>
            </m:r>
          </m:sup>
        </m:sSup>
      </m:oMath>
      <w:r w:rsidRPr="00372C58">
        <w:rPr>
          <w:sz w:val="20"/>
        </w:rPr>
        <w:t xml:space="preserve">. </w:t>
      </w:r>
      <w:r w:rsidRPr="00372C58">
        <w:rPr>
          <w:sz w:val="20"/>
        </w:rPr>
        <w:tab/>
      </w:r>
      <w:r w:rsidRPr="00372C58">
        <w:rPr>
          <w:sz w:val="20"/>
        </w:rPr>
        <w:tab/>
      </w:r>
      <w:r w:rsidRPr="00372C58">
        <w:rPr>
          <w:sz w:val="20"/>
        </w:rPr>
        <w:tab/>
      </w:r>
      <w:r w:rsidRPr="00372C58">
        <w:rPr>
          <w:sz w:val="20"/>
        </w:rPr>
        <w:tab/>
      </w:r>
      <w:r w:rsidRPr="00372C58">
        <w:rPr>
          <w:sz w:val="20"/>
        </w:rPr>
        <w:tab/>
      </w:r>
      <w:r w:rsidRPr="00372C58">
        <w:rPr>
          <w:i/>
          <w:sz w:val="20"/>
        </w:rPr>
        <w:t xml:space="preserve"> (91)</w:t>
      </w:r>
    </w:p>
    <w:p w:rsidR="00265840" w:rsidRPr="00372C58" w:rsidRDefault="00265840" w:rsidP="00265840">
      <w:pPr>
        <w:pStyle w:val="NormPara"/>
        <w:ind w:firstLine="270"/>
        <w:rPr>
          <w:sz w:val="20"/>
        </w:rPr>
      </w:pPr>
    </w:p>
    <w:p w:rsidR="00265840" w:rsidRDefault="00265840" w:rsidP="00265840">
      <w:pPr>
        <w:pStyle w:val="NormPara"/>
        <w:ind w:firstLine="720"/>
        <w:rPr>
          <w:sz w:val="20"/>
        </w:rPr>
      </w:pPr>
      <w:r w:rsidRPr="00372C58">
        <w:rPr>
          <w:sz w:val="20"/>
        </w:rPr>
        <w:lastRenderedPageBreak/>
        <w:t xml:space="preserve">If we assume that this change represents one quantum jump in our near vicinity, then calculation reveals that this condition will hold if a quantum jump occurs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224815</m:t>
        </m:r>
      </m:oMath>
      <w:r w:rsidRPr="00372C58">
        <w:rPr>
          <w:sz w:val="20"/>
        </w:rPr>
        <w:t xml:space="preserve"> to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224816.</m:t>
        </m:r>
      </m:oMath>
      <w:r w:rsidRPr="00372C58">
        <w:rPr>
          <w:sz w:val="20"/>
        </w:rPr>
        <w:t xml:space="preserve"> These data suggest there have been 224,816 quantum jumps since the inception of the cosmos.</w:t>
      </w:r>
    </w:p>
    <w:p w:rsidR="00DC557A" w:rsidRPr="00372C58" w:rsidRDefault="00DC557A" w:rsidP="00265840">
      <w:pPr>
        <w:pStyle w:val="NormPara"/>
        <w:ind w:firstLine="720"/>
        <w:rPr>
          <w:sz w:val="20"/>
        </w:rPr>
      </w:pPr>
    </w:p>
    <w:p w:rsidR="00265840" w:rsidRPr="00372C58" w:rsidRDefault="00265840" w:rsidP="00265840">
      <w:pPr>
        <w:pStyle w:val="NoSpacing"/>
        <w:rPr>
          <w:rFonts w:ascii="Book Antiqua" w:hAnsi="Book Antiqua"/>
          <w:b/>
          <w:bCs/>
          <w:iCs/>
          <w:color w:val="000000"/>
          <w:sz w:val="20"/>
        </w:rPr>
      </w:pPr>
    </w:p>
    <w:p w:rsidR="00265840" w:rsidRPr="00372C58" w:rsidRDefault="00DC557A" w:rsidP="00265840">
      <w:pPr>
        <w:pStyle w:val="NoSpacing"/>
        <w:rPr>
          <w:rFonts w:ascii="Book Antiqua" w:hAnsi="Book Antiqua"/>
          <w:bCs/>
          <w:i/>
          <w:iCs/>
          <w:color w:val="000000"/>
          <w:sz w:val="20"/>
        </w:rPr>
      </w:pPr>
      <w:r>
        <w:rPr>
          <w:rFonts w:ascii="Book Antiqua" w:hAnsi="Book Antiqua"/>
          <w:bCs/>
          <w:i/>
          <w:iCs/>
          <w:color w:val="000000"/>
          <w:sz w:val="20"/>
        </w:rPr>
        <w:t>6.7</w:t>
      </w:r>
      <w:r w:rsidR="00265840" w:rsidRPr="00372C58">
        <w:rPr>
          <w:rFonts w:ascii="Book Antiqua" w:hAnsi="Book Antiqua"/>
          <w:bCs/>
          <w:i/>
          <w:iCs/>
          <w:color w:val="000000"/>
          <w:sz w:val="20"/>
        </w:rPr>
        <w:t>. Reproducing Arp And Tifft's Results.</w:t>
      </w:r>
    </w:p>
    <w:p w:rsidR="00265840" w:rsidRPr="00372C58" w:rsidRDefault="00265840" w:rsidP="00265840">
      <w:pPr>
        <w:pStyle w:val="NoSpacing"/>
        <w:rPr>
          <w:rFonts w:ascii="Book Antiqua" w:hAnsi="Book Antiqua"/>
          <w:sz w:val="20"/>
        </w:rPr>
      </w:pPr>
    </w:p>
    <w:p w:rsidR="00265840" w:rsidRDefault="00265840" w:rsidP="00265840">
      <w:pPr>
        <w:pStyle w:val="NormPara"/>
        <w:ind w:firstLine="270"/>
        <w:rPr>
          <w:sz w:val="20"/>
        </w:rPr>
      </w:pPr>
      <w:r w:rsidRPr="00372C58">
        <w:rPr>
          <w:sz w:val="20"/>
        </w:rPr>
        <w:t xml:space="preserve">This puts us in a position to see how this approach checks out against the quantized redshift data of Tifft and Arp. Using the above method, two quantum jumps will manifest as a change of about 5.33 km/s when represented as a velocity. In this case our quantum number,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oMath>
      <w:r w:rsidRPr="00372C58">
        <w:rPr>
          <w:sz w:val="20"/>
        </w:rPr>
        <w:t xml:space="preserve">, remains the same, but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oMath>
      <w:r w:rsidRPr="00372C58">
        <w:rPr>
          <w:sz w:val="20"/>
        </w:rPr>
        <w:t xml:space="preserve"> differs from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a</m:t>
            </m:r>
          </m:sub>
        </m:sSub>
        <m:r>
          <w:rPr>
            <w:rFonts w:ascii="Cambria Math" w:hAnsi="Cambria Math"/>
            <w:sz w:val="20"/>
          </w:rPr>
          <m:t xml:space="preserve"> </m:t>
        </m:r>
      </m:oMath>
      <w:r w:rsidRPr="00372C58">
        <w:rPr>
          <w:sz w:val="20"/>
        </w:rPr>
        <w:t xml:space="preserve">by two and so is 224814 (two less). When a difference of three quantum jumps is involved, so </w:t>
      </w:r>
      <m:oMath>
        <m:sSub>
          <m:sSubPr>
            <m:ctrlPr>
              <w:rPr>
                <w:rFonts w:ascii="Cambria Math" w:hAnsi="Cambria Math"/>
                <w:i/>
                <w:sz w:val="20"/>
              </w:rPr>
            </m:ctrlPr>
          </m:sSubPr>
          <m:e>
            <m:r>
              <w:rPr>
                <w:rFonts w:ascii="Cambria Math" w:hAnsi="Cambria Math"/>
                <w:sz w:val="20"/>
              </w:rPr>
              <m:t>N</m:t>
            </m:r>
          </m:e>
          <m:sub>
            <m:r>
              <w:rPr>
                <w:rFonts w:ascii="Cambria Math" w:hAnsi="Cambria Math"/>
                <w:sz w:val="20"/>
              </w:rPr>
              <m:t>b</m:t>
            </m:r>
          </m:sub>
        </m:sSub>
        <m:r>
          <w:rPr>
            <w:rFonts w:ascii="Cambria Math" w:hAnsi="Cambria Math"/>
            <w:sz w:val="20"/>
          </w:rPr>
          <m:t xml:space="preserve"> = 224813</m:t>
        </m:r>
      </m:oMath>
      <w:r w:rsidRPr="00372C58">
        <w:rPr>
          <w:sz w:val="20"/>
        </w:rPr>
        <w:t>, the 'velocity' is 8 km/s. For a difference of 6 quantum jumps, the velocity will be 16.0 km/s, while 9 jumps is 24.0 km/s, and 14 is 37.34 km/s. It will also be observed that a difference of 27 jumps gives us 72.0 km/s; 54 jumps gives 144 km/s; 81 jumps gives 216 km/s and 108 jumps gives us a velocity of 288 km/s. Each one of these quantum jumps has been documented by either Arp [51, 55, 61] or Tifft [62] or both</w:t>
      </w:r>
      <w:r w:rsidR="0015263E">
        <w:rPr>
          <w:sz w:val="20"/>
        </w:rPr>
        <w:t xml:space="preserve">.  </w:t>
      </w:r>
      <w:r w:rsidR="00A52F49">
        <w:rPr>
          <w:sz w:val="20"/>
        </w:rPr>
        <w:t xml:space="preserve">This is a difficult sequence to deal with theoretically, but the above pattern may hold the key.  </w:t>
      </w:r>
    </w:p>
    <w:p w:rsidR="00A52F49" w:rsidRPr="00372C58" w:rsidRDefault="00A52F49"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In other words, the increasing ZPE approach to redshift quantization is yielding results which are in very close, if not exact, agreement with all published data. </w:t>
      </w:r>
      <w:r w:rsidR="00A52F49">
        <w:rPr>
          <w:sz w:val="20"/>
        </w:rPr>
        <w:t>Only this</w:t>
      </w:r>
      <w:r w:rsidRPr="00372C58">
        <w:rPr>
          <w:sz w:val="20"/>
        </w:rPr>
        <w:t xml:space="preserve"> approach is in agreement with Tifft’s observation that the redshift of a set of objects had reduced by one quantum jump over a period of time [62]. In other words, the emitted light had become bluer with time. This is distinctly possible with a ZPE increasing with time and the light emitted from atoms becoming bluer as a result. There seems to be no other viable option that accounts for this observational evidence.</w:t>
      </w:r>
    </w:p>
    <w:p w:rsidR="00265840" w:rsidRPr="00372C58" w:rsidRDefault="00265840" w:rsidP="00265840">
      <w:pPr>
        <w:pStyle w:val="NoSpacing"/>
        <w:rPr>
          <w:rFonts w:ascii="Book Antiqua" w:hAnsi="Book Antiqua"/>
          <w:b/>
          <w:bCs/>
          <w:iCs/>
          <w:color w:val="000000"/>
          <w:sz w:val="20"/>
        </w:rPr>
      </w:pPr>
    </w:p>
    <w:p w:rsidR="00265840" w:rsidRPr="00372C58" w:rsidRDefault="00265840" w:rsidP="00265840">
      <w:pPr>
        <w:pStyle w:val="NoSpacing"/>
        <w:rPr>
          <w:rFonts w:ascii="Book Antiqua" w:hAnsi="Book Antiqua"/>
          <w:bCs/>
          <w:i/>
          <w:iCs/>
          <w:color w:val="000000"/>
          <w:sz w:val="20"/>
        </w:rPr>
      </w:pPr>
      <w:r w:rsidRPr="00372C58">
        <w:rPr>
          <w:rFonts w:ascii="Book Antiqua" w:hAnsi="Book Antiqua"/>
          <w:bCs/>
          <w:i/>
          <w:iCs/>
          <w:color w:val="000000"/>
          <w:sz w:val="20"/>
        </w:rPr>
        <w:t>6.</w:t>
      </w:r>
      <w:r w:rsidR="00A72BD7">
        <w:rPr>
          <w:rFonts w:ascii="Book Antiqua" w:hAnsi="Book Antiqua"/>
          <w:bCs/>
          <w:i/>
          <w:iCs/>
          <w:color w:val="000000"/>
          <w:sz w:val="20"/>
        </w:rPr>
        <w:t>8</w:t>
      </w:r>
      <w:r w:rsidRPr="00372C58">
        <w:rPr>
          <w:rFonts w:ascii="Book Antiqua" w:hAnsi="Book Antiqua"/>
          <w:bCs/>
          <w:i/>
          <w:iCs/>
          <w:color w:val="000000"/>
          <w:sz w:val="20"/>
        </w:rPr>
        <w:t>. Clarification.</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As we look out from Earth, the quantized redshift gives the appearance of successive "shells" of redshift going out from our location in space. As a result, some have claimed that this means that we are close to the center of the universe.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 xml:space="preserve">Where we are on earth is “here and now,” and as we look out into space, we are looking back toward “there and then.”  The farther out we look, the further back in time we are seeing.  No matter where you stand in space, you will be “here and now” looking out at “there and then.”  So every place in space will seem to be the center, as the concentric circles of red shifts will expand out from the position in which you are standing – the “here and now.”  </w:t>
      </w: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ind w:firstLine="720"/>
        <w:jc w:val="both"/>
        <w:rPr>
          <w:rFonts w:ascii="Book Antiqua" w:hAnsi="Book Antiqua"/>
          <w:sz w:val="20"/>
        </w:rPr>
      </w:pPr>
      <w:r w:rsidRPr="00372C58">
        <w:rPr>
          <w:rFonts w:ascii="Book Antiqua" w:hAnsi="Book Antiqua"/>
          <w:sz w:val="20"/>
        </w:rPr>
        <w:t>As the ZPE steadily increased isotropically with time, and atoms emitted bluer light, objects equidistant from any given point in the cosmos will have emitted light with the same redshift information.  As a result, similar shells of redshift would be seen around an observer at any other position in the universe. This occurs because light takes time to travel, and because light has slowed down uniformly throughout the cosmos as the ZPE has increased. Thus, the appearance of redshift "shells" centered on the observer is a universal phenomenon, and not an indication of a preferred position for the Solar System or our Galaxy.</w:t>
      </w:r>
    </w:p>
    <w:p w:rsidR="00265840" w:rsidRPr="00372C58" w:rsidRDefault="00265840" w:rsidP="00265840">
      <w:pPr>
        <w:pStyle w:val="NoSpacing"/>
        <w:ind w:firstLine="720"/>
        <w:jc w:val="both"/>
        <w:rPr>
          <w:rFonts w:ascii="Book Antiqua" w:hAnsi="Book Antiqua"/>
          <w:sz w:val="20"/>
        </w:rPr>
      </w:pPr>
    </w:p>
    <w:p w:rsidR="00265840" w:rsidRPr="00CC121F" w:rsidRDefault="00265840" w:rsidP="00265840">
      <w:pPr>
        <w:pStyle w:val="NoSpacing"/>
        <w:rPr>
          <w:rFonts w:ascii="Book Antiqua" w:hAnsi="Book Antiqua"/>
          <w:b/>
          <w:bCs/>
          <w:iCs/>
          <w:color w:val="000000"/>
          <w:sz w:val="20"/>
        </w:rPr>
      </w:pPr>
      <w:r w:rsidRPr="00CC121F">
        <w:rPr>
          <w:rFonts w:ascii="Book Antiqua" w:hAnsi="Book Antiqua"/>
          <w:b/>
          <w:bCs/>
          <w:iCs/>
          <w:color w:val="000000"/>
          <w:sz w:val="20"/>
        </w:rPr>
        <w:t>7. Interim Summary.</w:t>
      </w:r>
    </w:p>
    <w:p w:rsidR="00265840" w:rsidRPr="00372C58" w:rsidRDefault="00265840" w:rsidP="00265840">
      <w:pPr>
        <w:pStyle w:val="NormPara"/>
        <w:ind w:firstLine="270"/>
        <w:rPr>
          <w:sz w:val="20"/>
        </w:rPr>
      </w:pPr>
    </w:p>
    <w:p w:rsidR="00265840" w:rsidRPr="00372C58" w:rsidRDefault="00A52F49" w:rsidP="00265840">
      <w:pPr>
        <w:pStyle w:val="NormPara"/>
        <w:ind w:firstLine="720"/>
        <w:rPr>
          <w:sz w:val="20"/>
        </w:rPr>
      </w:pPr>
      <w:r>
        <w:rPr>
          <w:sz w:val="20"/>
        </w:rPr>
        <w:t>So far</w:t>
      </w:r>
      <w:r w:rsidR="00265840" w:rsidRPr="00372C58">
        <w:rPr>
          <w:sz w:val="20"/>
        </w:rPr>
        <w:t xml:space="preserve"> it may be stated that what we see both observationally and mathematically is</w:t>
      </w:r>
      <w:r>
        <w:rPr>
          <w:sz w:val="20"/>
        </w:rPr>
        <w:t>,</w:t>
      </w:r>
      <w:r w:rsidR="00265840" w:rsidRPr="00372C58">
        <w:rPr>
          <w:sz w:val="20"/>
        </w:rPr>
        <w:t xml:space="preserve"> first</w:t>
      </w:r>
      <w:r>
        <w:rPr>
          <w:sz w:val="20"/>
        </w:rPr>
        <w:t>,</w:t>
      </w:r>
      <w:r w:rsidR="00265840" w:rsidRPr="00372C58">
        <w:rPr>
          <w:sz w:val="20"/>
        </w:rPr>
        <w:t xml:space="preserve"> that a Zero Point Energy, pervasive throughout space, exists.  It is responsible not only for the changes in subatomic masses, and their quantum uncertainty of position, but also for the stability of </w:t>
      </w:r>
      <w:r w:rsidR="00265840" w:rsidRPr="00372C58">
        <w:rPr>
          <w:rStyle w:val="yshortcuts"/>
          <w:sz w:val="20"/>
        </w:rPr>
        <w:t>atomic structures</w:t>
      </w:r>
      <w:r w:rsidR="00265840" w:rsidRPr="00372C58">
        <w:rPr>
          <w:sz w:val="20"/>
        </w:rPr>
        <w:t xml:space="preserve">.  </w:t>
      </w:r>
      <w:r>
        <w:rPr>
          <w:sz w:val="20"/>
        </w:rPr>
        <w:t>Second, that t</w:t>
      </w:r>
      <w:r w:rsidR="00265840" w:rsidRPr="00372C58">
        <w:rPr>
          <w:sz w:val="20"/>
        </w:rPr>
        <w:t>he experimentally measured increase in Planck's constant,</w:t>
      </w:r>
      <m:oMath>
        <m:r>
          <w:rPr>
            <w:rFonts w:ascii="Cambria Math" w:hAnsi="Cambria Math"/>
            <w:sz w:val="20"/>
          </w:rPr>
          <m:t xml:space="preserve"> h</m:t>
        </m:r>
      </m:oMath>
      <w:r w:rsidR="00265840" w:rsidRPr="00372C58">
        <w:rPr>
          <w:sz w:val="20"/>
        </w:rPr>
        <w:t xml:space="preserve">, and atomic masses, </w:t>
      </w:r>
      <m:oMath>
        <m:r>
          <w:rPr>
            <w:rFonts w:ascii="Cambria Math" w:hAnsi="Cambria Math"/>
            <w:sz w:val="20"/>
          </w:rPr>
          <m:t>m</m:t>
        </m:r>
      </m:oMath>
      <w:r w:rsidR="00265840" w:rsidRPr="00372C58">
        <w:rPr>
          <w:sz w:val="20"/>
        </w:rPr>
        <w:t xml:space="preserve">, along with a decrease in the speed of light, </w:t>
      </w:r>
      <m:oMath>
        <m:r>
          <w:rPr>
            <w:rFonts w:ascii="Cambria Math" w:hAnsi="Cambria Math"/>
            <w:sz w:val="20"/>
          </w:rPr>
          <m:t>c</m:t>
        </m:r>
      </m:oMath>
      <w:r w:rsidR="00265840" w:rsidRPr="00372C58">
        <w:rPr>
          <w:sz w:val="20"/>
        </w:rPr>
        <w:t xml:space="preserve">, (all tracked in peer-reviewed literature) indicate an increase in the strength of the Zero Point Energy through time. </w:t>
      </w:r>
      <w:r>
        <w:rPr>
          <w:sz w:val="20"/>
        </w:rPr>
        <w:t xml:space="preserve"> Third, c</w:t>
      </w:r>
      <w:r w:rsidR="00265840" w:rsidRPr="00372C58">
        <w:rPr>
          <w:sz w:val="20"/>
        </w:rPr>
        <w:t xml:space="preserve">hanges in the strength of the ZPE will result in changes in the orbit positions and energy of electrons.  It is these orbit levels and the energies involved which are responsible for the light emitted from any given atom:  the higher the </w:t>
      </w:r>
      <w:r w:rsidR="00265840" w:rsidRPr="00372C58">
        <w:rPr>
          <w:rStyle w:val="yshortcuts"/>
          <w:sz w:val="20"/>
        </w:rPr>
        <w:t>energy level of any given electron orbit</w:t>
      </w:r>
      <w:r w:rsidR="00265840" w:rsidRPr="00372C58">
        <w:rPr>
          <w:sz w:val="20"/>
        </w:rPr>
        <w:t xml:space="preserve">, the bluer the light.  Because atoms, like all physical things, resist change, it takes a certain build-up of the Zero Point Energy to force them to adopt a </w:t>
      </w:r>
      <w:r w:rsidR="00265840" w:rsidRPr="00372C58">
        <w:rPr>
          <w:rStyle w:val="yshortcuts"/>
          <w:sz w:val="20"/>
        </w:rPr>
        <w:t>new energy level</w:t>
      </w:r>
      <w:r w:rsidR="00265840" w:rsidRPr="00372C58">
        <w:rPr>
          <w:sz w:val="20"/>
        </w:rPr>
        <w:t>. This can only happen when the conditions are such that the de Broglie wavelength of the electron in its new orbit exactly matches the orbit circumference.</w:t>
      </w:r>
    </w:p>
    <w:p w:rsidR="00265840" w:rsidRPr="00372C58" w:rsidRDefault="00265840" w:rsidP="00265840">
      <w:pPr>
        <w:pStyle w:val="NormPara"/>
        <w:ind w:firstLine="270"/>
        <w:rPr>
          <w:sz w:val="20"/>
        </w:rPr>
      </w:pPr>
    </w:p>
    <w:p w:rsidR="00265840" w:rsidRPr="00372C58" w:rsidRDefault="00265840" w:rsidP="00265840">
      <w:pPr>
        <w:pStyle w:val="NoSpacing"/>
        <w:jc w:val="both"/>
        <w:rPr>
          <w:rFonts w:ascii="Book Antiqua" w:hAnsi="Book Antiqua"/>
          <w:sz w:val="20"/>
        </w:rPr>
      </w:pPr>
      <w:r w:rsidRPr="00372C58">
        <w:rPr>
          <w:rFonts w:ascii="Book Antiqua" w:hAnsi="Book Antiqua"/>
          <w:sz w:val="20"/>
        </w:rPr>
        <w:tab/>
        <w:t>Because the ZPE is essentially homogenous throughout the universe, the response of all the atoms is simultaneous throughout the universe. This results in the fact that, when we look at the redshift measurements from ever more distant galaxies, we don’t see the measurements progressing smoothly – which is certainly what should be expected if the redshift were due to universal expansion – but we see the measurements clumped into groups.  Hubble himself expressed doubts throughout his life that the red shift was due to universal expansion [6].  The data we have today strongly support those doubts, indicating the universe is not expanding, although it appears to be in a gently oscillating mode.</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The red shift of light from distant galaxies is therefore not a result of expansion, but</w:t>
      </w:r>
      <w:r w:rsidR="0071761D">
        <w:rPr>
          <w:sz w:val="20"/>
        </w:rPr>
        <w:t xml:space="preserve"> rather </w:t>
      </w:r>
      <w:r w:rsidRPr="00372C58">
        <w:rPr>
          <w:sz w:val="20"/>
        </w:rPr>
        <w:t xml:space="preserve">the result of a build-up of the Zero Point Energy through time.  This approach allows us to determine from the data that there have been 224,816 quantum jumps since the inception of the cosmos. Given that figure, this approach then predicts, and predicts exactly, all the quantization 'velocities' that Tifft and Arp have discussed, namely 2.667, 5.33, 8.00, 16.0, 24.0, 72.0, 144, 216, and 288 km/s [51, 61, 62]. In addition, the 37.5 km/s and 37.2 km/s quantizations picked up by Guthrie and Napier [56, 57, 58] are predicted as being 37.34 km/s, which is right in the middle of the range. This is also well within the error margins of the data, which may have been as high as 2 km/s. </w:t>
      </w:r>
    </w:p>
    <w:p w:rsidR="00265840" w:rsidRPr="00372C58" w:rsidRDefault="00265840" w:rsidP="00265840">
      <w:pPr>
        <w:pStyle w:val="NormPara"/>
        <w:ind w:firstLine="270"/>
        <w:rPr>
          <w:sz w:val="20"/>
        </w:rPr>
      </w:pPr>
    </w:p>
    <w:p w:rsidR="00265840" w:rsidRPr="00372C58" w:rsidRDefault="00265840" w:rsidP="00265840">
      <w:pPr>
        <w:pStyle w:val="NormPara"/>
        <w:ind w:firstLine="270"/>
        <w:rPr>
          <w:sz w:val="20"/>
        </w:rPr>
      </w:pPr>
      <w:r w:rsidRPr="00372C58">
        <w:rPr>
          <w:sz w:val="20"/>
        </w:rPr>
        <w:t xml:space="preserve">There was a time when the Zero Point Energy had finished building and has since remained relatively steady </w:t>
      </w:r>
      <w:r w:rsidR="0071761D">
        <w:rPr>
          <w:sz w:val="20"/>
        </w:rPr>
        <w:t>i</w:t>
      </w:r>
      <w:r w:rsidRPr="00372C58">
        <w:rPr>
          <w:sz w:val="20"/>
        </w:rPr>
        <w:t xml:space="preserve">n its own feedback cycle. However, in accord with Narlikar and Arp’s explanations regarding the oscillations of the cosmos, the strength of the ZPE will also oscillate. If these oscillations are sufficiently great, some further quantum changes will occur. Under these circumstances, it may be possible to get quantum changes occurring within our galaxy. However, within our </w:t>
      </w:r>
      <w:r w:rsidR="0071761D">
        <w:rPr>
          <w:sz w:val="20"/>
        </w:rPr>
        <w:t xml:space="preserve">Local Group of galaxies, </w:t>
      </w:r>
      <w:r w:rsidRPr="00372C58">
        <w:rPr>
          <w:sz w:val="20"/>
        </w:rPr>
        <w:t xml:space="preserve"> genuine motion and hence genuine Doppler effects may cancel out the effects of </w:t>
      </w:r>
      <w:r w:rsidR="0071761D">
        <w:rPr>
          <w:sz w:val="20"/>
        </w:rPr>
        <w:t xml:space="preserve">any </w:t>
      </w:r>
      <w:r w:rsidRPr="00372C58">
        <w:rPr>
          <w:sz w:val="20"/>
        </w:rPr>
        <w:t xml:space="preserve">ZPE redshift changes. </w:t>
      </w:r>
    </w:p>
    <w:p w:rsidR="002E6772" w:rsidRPr="00372C58" w:rsidRDefault="002E6772" w:rsidP="00265840">
      <w:pPr>
        <w:pStyle w:val="NormPara"/>
        <w:ind w:firstLine="270"/>
        <w:rPr>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8.  The Redshift of the CMBR and the Quantity K.</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 xml:space="preserve">The value of the constant,  </w:t>
      </w:r>
      <m:oMath>
        <m:r>
          <w:rPr>
            <w:rFonts w:ascii="Cambria Math" w:hAnsi="Cambria Math"/>
            <w:color w:val="000000"/>
            <w:sz w:val="20"/>
          </w:rPr>
          <m:t>K</m:t>
        </m:r>
      </m:oMath>
      <w:r w:rsidRPr="00372C58">
        <w:rPr>
          <w:rFonts w:ascii="Book Antiqua" w:hAnsi="Book Antiqua"/>
          <w:bCs/>
          <w:iCs/>
          <w:color w:val="000000"/>
          <w:sz w:val="20"/>
        </w:rPr>
        <w:t>, which is introduced in Section 4.7 and equation (40), is given above in equation (60). This value is dependent on the redshift assigned to the Cosmic Microwave Background Radiation (CMBR). This current Chapter has assumed the reasoning of Big Bang astronomers to be correct</w:t>
      </w:r>
      <w:r w:rsidR="0071761D">
        <w:rPr>
          <w:rFonts w:ascii="Book Antiqua" w:hAnsi="Book Antiqua"/>
          <w:bCs/>
          <w:iCs/>
          <w:color w:val="000000"/>
          <w:sz w:val="20"/>
        </w:rPr>
        <w:t xml:space="preserve"> in regard to the red shift of the CMBR</w:t>
      </w:r>
      <w:r w:rsidRPr="00372C58">
        <w:rPr>
          <w:rFonts w:ascii="Book Antiqua" w:hAnsi="Book Antiqua"/>
          <w:bCs/>
          <w:iCs/>
          <w:color w:val="000000"/>
          <w:sz w:val="20"/>
        </w:rPr>
        <w:t xml:space="preserve">. When this is done, the best value for the redshift of the CMBR is given as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(40). However, this may not be the full story as the CMBR could only form once the Zero Point Energy had built up sufficiently for neutral atoms to form. If this line of enquiry is followed 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p>
    <w:p w:rsidR="00265840" w:rsidRDefault="00265840" w:rsidP="00265840">
      <w:pPr>
        <w:pStyle w:val="NoSpacing"/>
        <w:jc w:val="both"/>
        <w:rPr>
          <w:rFonts w:ascii="Book Antiqua" w:hAnsi="Book Antiqua"/>
          <w:bCs/>
          <w:iCs/>
          <w:color w:val="000000"/>
          <w:sz w:val="20"/>
        </w:rPr>
      </w:pPr>
    </w:p>
    <w:p w:rsidR="00C2265F" w:rsidRDefault="00C2265F" w:rsidP="00C2265F">
      <w:pPr>
        <w:pStyle w:val="NoSpacing"/>
        <w:ind w:firstLine="720"/>
        <w:jc w:val="both"/>
        <w:rPr>
          <w:rFonts w:ascii="Book Antiqua" w:hAnsi="Book Antiqua"/>
          <w:sz w:val="20"/>
        </w:rPr>
      </w:pPr>
      <w:r w:rsidRPr="00372C58">
        <w:rPr>
          <w:rFonts w:ascii="Book Antiqua" w:hAnsi="Book Antiqua"/>
          <w:bCs/>
          <w:iCs/>
          <w:color w:val="000000"/>
          <w:sz w:val="20"/>
        </w:rPr>
        <w:t xml:space="preserve">The predominant element in the universe </w:t>
      </w:r>
      <w:r>
        <w:rPr>
          <w:rFonts w:ascii="Book Antiqua" w:hAnsi="Book Antiqua"/>
          <w:bCs/>
          <w:iCs/>
          <w:color w:val="000000"/>
          <w:sz w:val="20"/>
        </w:rPr>
        <w:t xml:space="preserve">is </w:t>
      </w:r>
      <w:r w:rsidRPr="00372C58">
        <w:rPr>
          <w:rFonts w:ascii="Book Antiqua" w:hAnsi="Book Antiqua"/>
          <w:bCs/>
          <w:iCs/>
          <w:color w:val="000000"/>
          <w:sz w:val="20"/>
        </w:rPr>
        <w:t>hydrogen</w:t>
      </w:r>
      <w:r>
        <w:rPr>
          <w:rFonts w:ascii="Book Antiqua" w:hAnsi="Book Antiqua"/>
          <w:bCs/>
          <w:iCs/>
          <w:color w:val="000000"/>
          <w:sz w:val="20"/>
        </w:rPr>
        <w:t>,</w:t>
      </w:r>
      <w:r w:rsidRPr="00372C58">
        <w:rPr>
          <w:rFonts w:ascii="Book Antiqua" w:hAnsi="Book Antiqua"/>
          <w:bCs/>
          <w:iCs/>
          <w:color w:val="000000"/>
          <w:sz w:val="20"/>
        </w:rPr>
        <w:t xml:space="preserve"> </w:t>
      </w:r>
      <w:r>
        <w:rPr>
          <w:rFonts w:ascii="Book Antiqua" w:hAnsi="Book Antiqua"/>
          <w:bCs/>
          <w:iCs/>
          <w:color w:val="000000"/>
          <w:sz w:val="20"/>
        </w:rPr>
        <w:t xml:space="preserve">whether it occurs as molecules, neutral </w:t>
      </w:r>
      <w:r w:rsidRPr="00372C58">
        <w:rPr>
          <w:rFonts w:ascii="Book Antiqua" w:hAnsi="Book Antiqua"/>
          <w:bCs/>
          <w:iCs/>
          <w:color w:val="000000"/>
          <w:sz w:val="20"/>
        </w:rPr>
        <w:t>atoms or plasma; it comprises some 80% of the total</w:t>
      </w:r>
      <w:r>
        <w:rPr>
          <w:rFonts w:ascii="Book Antiqua" w:hAnsi="Book Antiqua"/>
          <w:bCs/>
          <w:iCs/>
          <w:color w:val="000000"/>
          <w:sz w:val="20"/>
        </w:rPr>
        <w:t xml:space="preserve"> matter in the universe</w:t>
      </w:r>
      <w:r w:rsidRPr="00372C58">
        <w:rPr>
          <w:rFonts w:ascii="Book Antiqua" w:hAnsi="Book Antiqua"/>
          <w:bCs/>
          <w:iCs/>
          <w:color w:val="000000"/>
          <w:sz w:val="20"/>
        </w:rPr>
        <w:t xml:space="preserve">. </w:t>
      </w:r>
      <w:r w:rsidRPr="00372C58">
        <w:rPr>
          <w:rFonts w:ascii="Book Antiqua" w:hAnsi="Book Antiqua"/>
          <w:sz w:val="20"/>
        </w:rPr>
        <w:t>At about 3000</w:t>
      </w:r>
      <w:r>
        <w:rPr>
          <w:rFonts w:ascii="Book Antiqua" w:hAnsi="Book Antiqua"/>
          <w:sz w:val="20"/>
        </w:rPr>
        <w:t xml:space="preserve"> degrees </w:t>
      </w:r>
      <w:r w:rsidRPr="00372C58">
        <w:rPr>
          <w:rFonts w:ascii="Book Antiqua" w:hAnsi="Book Antiqua"/>
          <w:sz w:val="20"/>
        </w:rPr>
        <w:t>K</w:t>
      </w:r>
      <w:r>
        <w:rPr>
          <w:rFonts w:ascii="Book Antiqua" w:hAnsi="Book Antiqua"/>
          <w:sz w:val="20"/>
        </w:rPr>
        <w:t>elvin</w:t>
      </w:r>
      <w:r w:rsidRPr="00372C58">
        <w:rPr>
          <w:rFonts w:ascii="Book Antiqua" w:hAnsi="Book Antiqua"/>
          <w:sz w:val="20"/>
        </w:rPr>
        <w:t xml:space="preserve">, hydrogen molecules separate into single atoms. </w:t>
      </w:r>
      <w:r>
        <w:rPr>
          <w:rFonts w:ascii="Book Antiqua" w:hAnsi="Book Antiqua"/>
          <w:sz w:val="20"/>
        </w:rPr>
        <w:t>At</w:t>
      </w:r>
      <w:r w:rsidRPr="00372C58">
        <w:rPr>
          <w:rFonts w:ascii="Book Antiqua" w:hAnsi="Book Antiqua"/>
          <w:sz w:val="20"/>
        </w:rPr>
        <w:t xml:space="preserve"> 5000 degrees Kelvin nearly all hydrogen is still in the form of neutral atoms. But, by 5800 K, a small proportion has become ionized, that is to say</w:t>
      </w:r>
      <w:r>
        <w:rPr>
          <w:rFonts w:ascii="Book Antiqua" w:hAnsi="Book Antiqua"/>
          <w:sz w:val="20"/>
        </w:rPr>
        <w:t xml:space="preserve"> electrons have been stripped off.  That makes it</w:t>
      </w:r>
      <w:r w:rsidRPr="00372C58">
        <w:rPr>
          <w:rFonts w:ascii="Book Antiqua" w:hAnsi="Book Antiqua"/>
          <w:sz w:val="20"/>
        </w:rPr>
        <w:t xml:space="preserve"> a plasma. By 6500 K there is a general trend for ionization to occur</w:t>
      </w:r>
      <w:r>
        <w:rPr>
          <w:rFonts w:ascii="Book Antiqua" w:hAnsi="Book Antiqua"/>
          <w:sz w:val="20"/>
        </w:rPr>
        <w:t>, and at</w:t>
      </w:r>
      <w:r w:rsidRPr="00372C58">
        <w:rPr>
          <w:rFonts w:ascii="Book Antiqua" w:hAnsi="Book Antiqua"/>
          <w:sz w:val="20"/>
        </w:rPr>
        <w:t xml:space="preserve"> 8500 K about half of the hydrogen will </w:t>
      </w:r>
      <w:r>
        <w:rPr>
          <w:rFonts w:ascii="Book Antiqua" w:hAnsi="Book Antiqua"/>
          <w:sz w:val="20"/>
        </w:rPr>
        <w:t>have become</w:t>
      </w:r>
      <w:r w:rsidRPr="00372C58">
        <w:rPr>
          <w:rFonts w:ascii="Book Antiqua" w:hAnsi="Book Antiqua"/>
          <w:sz w:val="20"/>
        </w:rPr>
        <w:t xml:space="preserve"> plasma. </w:t>
      </w:r>
      <w:r>
        <w:rPr>
          <w:rFonts w:ascii="Book Antiqua" w:hAnsi="Book Antiqua"/>
          <w:sz w:val="20"/>
        </w:rPr>
        <w:t>Some of this is shown in Figure 1</w:t>
      </w:r>
      <w:r w:rsidR="003D33FE">
        <w:rPr>
          <w:rFonts w:ascii="Book Antiqua" w:hAnsi="Book Antiqua"/>
          <w:sz w:val="20"/>
        </w:rPr>
        <w:t>6</w:t>
      </w:r>
      <w:r>
        <w:rPr>
          <w:rFonts w:ascii="Book Antiqua" w:hAnsi="Book Antiqua"/>
          <w:sz w:val="20"/>
        </w:rPr>
        <w:t>. An enlarged graph of the relevant region is given in Figure 1</w:t>
      </w:r>
      <w:r w:rsidR="003D33FE">
        <w:rPr>
          <w:rFonts w:ascii="Book Antiqua" w:hAnsi="Book Antiqua"/>
          <w:sz w:val="20"/>
        </w:rPr>
        <w:t>7</w:t>
      </w:r>
      <w:r>
        <w:rPr>
          <w:rFonts w:ascii="Book Antiqua" w:hAnsi="Book Antiqua"/>
          <w:sz w:val="20"/>
        </w:rPr>
        <w:t>.</w:t>
      </w:r>
    </w:p>
    <w:p w:rsidR="00C2265F" w:rsidRDefault="00C2265F" w:rsidP="00265840">
      <w:pPr>
        <w:pStyle w:val="NoSpacing"/>
        <w:jc w:val="both"/>
        <w:rPr>
          <w:rFonts w:ascii="Book Antiqua" w:hAnsi="Book Antiqua"/>
          <w:bCs/>
          <w:iCs/>
          <w:color w:val="000000"/>
          <w:sz w:val="20"/>
        </w:rPr>
      </w:pPr>
    </w:p>
    <w:p w:rsidR="00F95234" w:rsidRDefault="00F95234" w:rsidP="00F95234">
      <w:pPr>
        <w:pStyle w:val="NoSpacing"/>
        <w:ind w:firstLine="720"/>
        <w:jc w:val="both"/>
        <w:rPr>
          <w:rFonts w:ascii="Book Antiqua" w:hAnsi="Book Antiqua"/>
          <w:sz w:val="20"/>
        </w:rPr>
      </w:pPr>
      <w:r w:rsidRPr="00372C58">
        <w:rPr>
          <w:rFonts w:ascii="Book Antiqua" w:hAnsi="Book Antiqua"/>
          <w:sz w:val="20"/>
        </w:rPr>
        <w:t>Th</w:t>
      </w:r>
      <w:r>
        <w:rPr>
          <w:rFonts w:ascii="Book Antiqua" w:hAnsi="Book Antiqua"/>
          <w:sz w:val="20"/>
        </w:rPr>
        <w:t>us</w:t>
      </w:r>
      <w:r w:rsidRPr="00372C58">
        <w:rPr>
          <w:rFonts w:ascii="Book Antiqua" w:hAnsi="Book Antiqua"/>
          <w:sz w:val="20"/>
        </w:rPr>
        <w:t>, around 6500</w:t>
      </w:r>
      <w:r>
        <w:rPr>
          <w:rFonts w:ascii="Book Antiqua" w:hAnsi="Book Antiqua"/>
          <w:sz w:val="20"/>
        </w:rPr>
        <w:t xml:space="preserve"> </w:t>
      </w:r>
      <w:r w:rsidRPr="00372C58">
        <w:rPr>
          <w:rFonts w:ascii="Book Antiqua" w:hAnsi="Book Antiqua"/>
          <w:sz w:val="20"/>
        </w:rPr>
        <w:t xml:space="preserve">K, a general trend has set in for neutral atoms to form ions. The reverse is also true. As a plasma cools to 6500 K from from an originally </w:t>
      </w:r>
      <w:r>
        <w:rPr>
          <w:rFonts w:ascii="Book Antiqua" w:hAnsi="Book Antiqua"/>
          <w:sz w:val="20"/>
        </w:rPr>
        <w:t xml:space="preserve">hot, </w:t>
      </w:r>
      <w:r w:rsidRPr="00372C58">
        <w:rPr>
          <w:rFonts w:ascii="Book Antiqua" w:hAnsi="Book Antiqua"/>
          <w:sz w:val="20"/>
        </w:rPr>
        <w:t>ionized state, it will then be</w:t>
      </w:r>
      <w:r>
        <w:rPr>
          <w:rFonts w:ascii="Book Antiqua" w:hAnsi="Book Antiqua"/>
          <w:sz w:val="20"/>
        </w:rPr>
        <w:t>come</w:t>
      </w:r>
      <w:r w:rsidRPr="00372C58">
        <w:rPr>
          <w:rFonts w:ascii="Book Antiqua" w:hAnsi="Book Antiqua"/>
          <w:sz w:val="20"/>
        </w:rPr>
        <w:t xml:space="preserve"> composed of</w:t>
      </w:r>
      <w:r>
        <w:rPr>
          <w:rFonts w:ascii="Book Antiqua" w:hAnsi="Book Antiqua"/>
          <w:sz w:val="20"/>
        </w:rPr>
        <w:t xml:space="preserve"> a</w:t>
      </w:r>
      <w:r w:rsidRPr="00372C58">
        <w:rPr>
          <w:rFonts w:ascii="Book Antiqua" w:hAnsi="Book Antiqua"/>
          <w:sz w:val="20"/>
        </w:rPr>
        <w:t xml:space="preserve"> significant number of neutral atoms. By</w:t>
      </w:r>
      <w:r>
        <w:rPr>
          <w:rFonts w:ascii="Book Antiqua" w:hAnsi="Book Antiqua"/>
          <w:sz w:val="20"/>
        </w:rPr>
        <w:t xml:space="preserve"> the time it has cooled to </w:t>
      </w:r>
      <w:r w:rsidRPr="00372C58">
        <w:rPr>
          <w:rFonts w:ascii="Book Antiqua" w:hAnsi="Book Antiqua"/>
          <w:sz w:val="20"/>
        </w:rPr>
        <w:t xml:space="preserve">a temperature of 5800 K the majority of the gas will </w:t>
      </w:r>
      <w:r>
        <w:rPr>
          <w:rFonts w:ascii="Book Antiqua" w:hAnsi="Book Antiqua"/>
          <w:sz w:val="20"/>
        </w:rPr>
        <w:t>have become</w:t>
      </w:r>
      <w:r w:rsidRPr="00372C58">
        <w:rPr>
          <w:rFonts w:ascii="Book Antiqua" w:hAnsi="Book Antiqua"/>
          <w:sz w:val="20"/>
        </w:rPr>
        <w:t xml:space="preserve"> neutral hydrogen atoms.</w:t>
      </w:r>
    </w:p>
    <w:p w:rsidR="00F95234" w:rsidRDefault="00F95234" w:rsidP="00F95234">
      <w:pPr>
        <w:pStyle w:val="NoSpacing"/>
        <w:ind w:firstLine="720"/>
        <w:jc w:val="both"/>
        <w:rPr>
          <w:rFonts w:ascii="Book Antiqua" w:hAnsi="Book Antiqua"/>
          <w:sz w:val="20"/>
        </w:rPr>
      </w:pPr>
    </w:p>
    <w:p w:rsidR="00F95234" w:rsidRDefault="00F95234" w:rsidP="00F95234">
      <w:pPr>
        <w:pStyle w:val="NoSpacing"/>
        <w:ind w:firstLine="720"/>
        <w:jc w:val="both"/>
        <w:rPr>
          <w:rFonts w:ascii="Book Antiqua" w:hAnsi="Book Antiqua"/>
          <w:sz w:val="20"/>
        </w:rPr>
      </w:pPr>
      <w:r>
        <w:rPr>
          <w:rFonts w:ascii="Book Antiqua" w:hAnsi="Book Antiqua"/>
          <w:sz w:val="20"/>
        </w:rPr>
        <w:t>However, for this to happen</w:t>
      </w:r>
      <w:r w:rsidR="00BC4BA5">
        <w:rPr>
          <w:rFonts w:ascii="Book Antiqua" w:hAnsi="Book Antiqua"/>
          <w:sz w:val="20"/>
        </w:rPr>
        <w:t xml:space="preserve"> in the early cosmos</w:t>
      </w:r>
      <w:r>
        <w:rPr>
          <w:rFonts w:ascii="Book Antiqua" w:hAnsi="Book Antiqua"/>
          <w:sz w:val="20"/>
        </w:rPr>
        <w:t>, there is one more thing that is required:  the Zero Point Energy must have built up to a point which allows the neutral atoms to form.  This is because it is the ZPE which maintains electrons in their orbits.  Without that, the temperature would not matter.</w:t>
      </w:r>
    </w:p>
    <w:p w:rsidR="00F95234" w:rsidRDefault="00F95234" w:rsidP="00265840">
      <w:pPr>
        <w:pStyle w:val="NoSpacing"/>
        <w:jc w:val="both"/>
        <w:rPr>
          <w:rFonts w:ascii="Book Antiqua" w:hAnsi="Book Antiqua"/>
          <w:bCs/>
          <w:iCs/>
          <w:color w:val="000000"/>
          <w:sz w:val="20"/>
        </w:rPr>
      </w:pPr>
    </w:p>
    <w:p w:rsidR="00F95234" w:rsidRPr="00372C58" w:rsidRDefault="00F95234" w:rsidP="00F95234">
      <w:pPr>
        <w:pStyle w:val="NoSpacing"/>
        <w:ind w:firstLine="720"/>
        <w:jc w:val="both"/>
        <w:rPr>
          <w:rFonts w:ascii="Book Antiqua" w:hAnsi="Book Antiqua"/>
          <w:bCs/>
          <w:iCs/>
          <w:color w:val="000000"/>
          <w:sz w:val="20"/>
        </w:rPr>
      </w:pPr>
      <w:r w:rsidRPr="00372C58">
        <w:rPr>
          <w:rFonts w:ascii="Book Antiqua" w:hAnsi="Book Antiqua"/>
          <w:sz w:val="20"/>
        </w:rPr>
        <w:lastRenderedPageBreak/>
        <w:t xml:space="preserve">Once </w:t>
      </w:r>
      <w:r>
        <w:rPr>
          <w:rFonts w:ascii="Book Antiqua" w:hAnsi="Book Antiqua"/>
          <w:sz w:val="20"/>
        </w:rPr>
        <w:t xml:space="preserve">this ZPE </w:t>
      </w:r>
      <w:r w:rsidRPr="00372C58">
        <w:rPr>
          <w:rFonts w:ascii="Book Antiqua" w:hAnsi="Book Antiqua"/>
          <w:sz w:val="20"/>
        </w:rPr>
        <w:t>level has been reached, neutral atoms can form throughout the plasma. At that point</w:t>
      </w:r>
      <w:r>
        <w:rPr>
          <w:rFonts w:ascii="Book Antiqua" w:hAnsi="Book Antiqua"/>
          <w:sz w:val="20"/>
        </w:rPr>
        <w:t>,</w:t>
      </w:r>
      <w:r w:rsidRPr="00372C58">
        <w:rPr>
          <w:rFonts w:ascii="Book Antiqua" w:hAnsi="Book Antiqua"/>
          <w:sz w:val="20"/>
        </w:rPr>
        <w:t xml:space="preserve"> the formation of neutral atoms itself contributes to the plasma temperature dropping to somewhere between 6500 to 5800</w:t>
      </w:r>
      <w:r>
        <w:rPr>
          <w:rFonts w:ascii="Book Antiqua" w:hAnsi="Book Antiqua"/>
          <w:sz w:val="20"/>
        </w:rPr>
        <w:t xml:space="preserve"> </w:t>
      </w:r>
      <w:r w:rsidRPr="00372C58">
        <w:rPr>
          <w:rFonts w:ascii="Book Antiqua" w:hAnsi="Book Antiqua"/>
          <w:sz w:val="20"/>
        </w:rPr>
        <w:t>K. Once the electrons have achieved their proper position, the temperature of the ion itself drops. The wavelength of radiation emitted by the hydrogen ions and atoms during this process will reflect these conditions.</w:t>
      </w:r>
    </w:p>
    <w:p w:rsidR="00F95234" w:rsidRPr="00372C58" w:rsidRDefault="00F95234" w:rsidP="00F95234">
      <w:pPr>
        <w:pStyle w:val="NoSpacing"/>
        <w:jc w:val="both"/>
        <w:rPr>
          <w:rFonts w:ascii="Book Antiqua" w:hAnsi="Book Antiqua"/>
          <w:bCs/>
          <w:iCs/>
          <w:color w:val="000000"/>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4144944" cy="2200275"/>
            <wp:effectExtent l="19050" t="0" r="7956" b="0"/>
            <wp:docPr id="32" name="Picture 350" descr="http://csep10.phys.utk.edu/astr162/lect/stars/H-ioniz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csep10.phys.utk.edu/astr162/lect/stars/H-ionization.gif"/>
                    <pic:cNvPicPr>
                      <a:picLocks noChangeAspect="1" noChangeArrowheads="1"/>
                    </pic:cNvPicPr>
                  </pic:nvPicPr>
                  <pic:blipFill>
                    <a:blip r:embed="rId228" cstate="print"/>
                    <a:srcRect/>
                    <a:stretch>
                      <a:fillRect/>
                    </a:stretch>
                  </pic:blipFill>
                  <pic:spPr bwMode="auto">
                    <a:xfrm>
                      <a:off x="0" y="0"/>
                      <a:ext cx="4152900" cy="2204498"/>
                    </a:xfrm>
                    <a:prstGeom prst="rect">
                      <a:avLst/>
                    </a:prstGeom>
                    <a:noFill/>
                    <a:ln w="9525">
                      <a:noFill/>
                      <a:miter lim="800000"/>
                      <a:headEnd/>
                      <a:tailEnd/>
                    </a:ln>
                  </pic:spPr>
                </pic:pic>
              </a:graphicData>
            </a:graphic>
          </wp:inline>
        </w:drawing>
      </w:r>
    </w:p>
    <w:p w:rsidR="00265840" w:rsidRPr="00372C58" w:rsidRDefault="00265840" w:rsidP="00265840">
      <w:pPr>
        <w:pStyle w:val="NoSpacing"/>
        <w:ind w:firstLine="720"/>
        <w:jc w:val="both"/>
        <w:rPr>
          <w:rFonts w:ascii="Book Antiqua" w:hAnsi="Book Antiqua"/>
          <w:bCs/>
          <w:iCs/>
          <w:color w:val="000000"/>
          <w:sz w:val="20"/>
        </w:rPr>
      </w:pPr>
    </w:p>
    <w:p w:rsidR="00265840" w:rsidRPr="004223A5" w:rsidRDefault="00265840" w:rsidP="00265840">
      <w:pPr>
        <w:pStyle w:val="NoSpacing"/>
        <w:rPr>
          <w:rFonts w:ascii="Book Antiqua" w:hAnsi="Book Antiqua"/>
          <w:i/>
          <w:sz w:val="18"/>
          <w:szCs w:val="18"/>
        </w:rPr>
      </w:pPr>
      <w:r w:rsidRPr="004223A5">
        <w:rPr>
          <w:rFonts w:ascii="Book Antiqua" w:hAnsi="Book Antiqua"/>
          <w:b/>
          <w:i/>
          <w:sz w:val="18"/>
          <w:szCs w:val="18"/>
        </w:rPr>
        <w:t>Figure 1</w:t>
      </w:r>
      <w:r w:rsidR="003D33FE">
        <w:rPr>
          <w:rFonts w:ascii="Book Antiqua" w:hAnsi="Book Antiqua"/>
          <w:b/>
          <w:i/>
          <w:sz w:val="18"/>
          <w:szCs w:val="18"/>
        </w:rPr>
        <w:t>6</w:t>
      </w:r>
      <w:r w:rsidRPr="004223A5">
        <w:rPr>
          <w:rFonts w:ascii="Book Antiqua" w:hAnsi="Book Antiqua"/>
          <w:b/>
          <w:i/>
          <w:sz w:val="18"/>
          <w:szCs w:val="18"/>
        </w:rPr>
        <w:t>:</w:t>
      </w:r>
      <w:r w:rsidRPr="004223A5">
        <w:rPr>
          <w:rFonts w:ascii="Book Antiqua" w:hAnsi="Book Antiqua"/>
          <w:i/>
          <w:sz w:val="18"/>
          <w:szCs w:val="18"/>
        </w:rPr>
        <w:t xml:space="preserve"> Hydrogen ionization or recombination temperature. The red line is for a pressure 10 times that of the blue line, so there is some pressure dependence. Higher pressure shifts the ionization temperature higher also. The symbols H I and H II refer to neutral and ionized hydrogen respectively.</w:t>
      </w:r>
    </w:p>
    <w:p w:rsidR="00CF77E4" w:rsidRPr="00372C58" w:rsidRDefault="00CF77E4" w:rsidP="00CF77E4">
      <w:pPr>
        <w:pStyle w:val="NoSpacing"/>
        <w:ind w:firstLine="720"/>
        <w:jc w:val="both"/>
        <w:rPr>
          <w:rFonts w:ascii="Book Antiqua" w:hAnsi="Book Antiqua"/>
          <w:sz w:val="20"/>
        </w:rPr>
      </w:pPr>
    </w:p>
    <w:p w:rsidR="00265840" w:rsidRPr="00372C58" w:rsidRDefault="00265840" w:rsidP="00265840">
      <w:pPr>
        <w:pStyle w:val="NoSpacing"/>
        <w:jc w:val="both"/>
        <w:rPr>
          <w:rFonts w:ascii="Book Antiqua" w:hAnsi="Book Antiqua"/>
          <w:sz w:val="20"/>
        </w:rPr>
      </w:pPr>
    </w:p>
    <w:p w:rsidR="00265840" w:rsidRPr="00372C58" w:rsidRDefault="00265840" w:rsidP="00265840">
      <w:pPr>
        <w:pStyle w:val="NoSpacing"/>
        <w:jc w:val="center"/>
        <w:rPr>
          <w:rFonts w:ascii="Book Antiqua" w:hAnsi="Book Antiqua"/>
          <w:sz w:val="20"/>
        </w:rPr>
      </w:pPr>
      <w:r w:rsidRPr="00372C58">
        <w:rPr>
          <w:rFonts w:ascii="Book Antiqua" w:hAnsi="Book Antiqua"/>
          <w:noProof/>
          <w:sz w:val="20"/>
        </w:rPr>
        <w:drawing>
          <wp:inline distT="0" distB="0" distL="0" distR="0">
            <wp:extent cx="4124325" cy="1838325"/>
            <wp:effectExtent l="19050" t="0" r="9525" b="0"/>
            <wp:docPr id="12" name="Picture 4" descr="http://people.physics.carleton.ca/~watson/Physics/Gifs/Optics/Saha%20H-a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ople.physics.carleton.ca/~watson/Physics/Gifs/Optics/Saha%20H-atom.png"/>
                    <pic:cNvPicPr>
                      <a:picLocks noChangeAspect="1" noChangeArrowheads="1"/>
                    </pic:cNvPicPr>
                  </pic:nvPicPr>
                  <pic:blipFill>
                    <a:blip r:embed="rId229" cstate="print"/>
                    <a:srcRect r="33368" b="683"/>
                    <a:stretch>
                      <a:fillRect/>
                    </a:stretch>
                  </pic:blipFill>
                  <pic:spPr bwMode="auto">
                    <a:xfrm>
                      <a:off x="0" y="0"/>
                      <a:ext cx="4132563" cy="1841997"/>
                    </a:xfrm>
                    <a:prstGeom prst="rect">
                      <a:avLst/>
                    </a:prstGeom>
                    <a:noFill/>
                    <a:ln w="9525">
                      <a:noFill/>
                      <a:miter lim="800000"/>
                      <a:headEnd/>
                      <a:tailEnd/>
                    </a:ln>
                  </pic:spPr>
                </pic:pic>
              </a:graphicData>
            </a:graphic>
          </wp:inline>
        </w:drawing>
      </w:r>
    </w:p>
    <w:p w:rsidR="002E6772" w:rsidRPr="004223A5" w:rsidRDefault="002E6772" w:rsidP="00265840">
      <w:pPr>
        <w:pStyle w:val="NoSpacing"/>
        <w:rPr>
          <w:rFonts w:ascii="Book Antiqua" w:hAnsi="Book Antiqua"/>
          <w:b/>
          <w:bCs/>
          <w:iCs/>
          <w:sz w:val="20"/>
        </w:rPr>
      </w:pPr>
    </w:p>
    <w:p w:rsidR="00265840" w:rsidRPr="004223A5" w:rsidRDefault="00265840" w:rsidP="00265840">
      <w:pPr>
        <w:pStyle w:val="NoSpacing"/>
        <w:rPr>
          <w:rFonts w:ascii="Book Antiqua" w:hAnsi="Book Antiqua"/>
          <w:bCs/>
          <w:i/>
          <w:iCs/>
          <w:sz w:val="18"/>
          <w:szCs w:val="18"/>
        </w:rPr>
      </w:pPr>
      <w:r w:rsidRPr="004223A5">
        <w:rPr>
          <w:rFonts w:ascii="Book Antiqua" w:hAnsi="Book Antiqua"/>
          <w:b/>
          <w:bCs/>
          <w:i/>
          <w:iCs/>
          <w:sz w:val="18"/>
          <w:szCs w:val="18"/>
        </w:rPr>
        <w:t>Figure 1</w:t>
      </w:r>
      <w:r w:rsidR="003D33FE">
        <w:rPr>
          <w:rFonts w:ascii="Book Antiqua" w:hAnsi="Book Antiqua"/>
          <w:b/>
          <w:bCs/>
          <w:i/>
          <w:iCs/>
          <w:sz w:val="18"/>
          <w:szCs w:val="18"/>
        </w:rPr>
        <w:t>7</w:t>
      </w:r>
      <w:r w:rsidRPr="004223A5">
        <w:rPr>
          <w:rFonts w:ascii="Book Antiqua" w:hAnsi="Book Antiqua"/>
          <w:b/>
          <w:bCs/>
          <w:i/>
          <w:iCs/>
          <w:sz w:val="18"/>
          <w:szCs w:val="18"/>
        </w:rPr>
        <w:t>:</w:t>
      </w:r>
      <w:r w:rsidRPr="004223A5">
        <w:rPr>
          <w:rFonts w:ascii="Book Antiqua" w:hAnsi="Book Antiqua"/>
          <w:bCs/>
          <w:i/>
          <w:iCs/>
          <w:sz w:val="18"/>
          <w:szCs w:val="18"/>
        </w:rPr>
        <w:t xml:space="preserve"> The extent of ionization of hydrogen given vertically against the Kelvin temperature horizontally according to the standard Saha equation. The graph shows that 80% of the gas will be plasma at 10,000 K.</w:t>
      </w:r>
    </w:p>
    <w:p w:rsidR="00265840" w:rsidRDefault="00265840" w:rsidP="00265840">
      <w:pPr>
        <w:pStyle w:val="NoSpacing"/>
        <w:jc w:val="both"/>
        <w:rPr>
          <w:rFonts w:ascii="Book Antiqua" w:hAnsi="Book Antiqua"/>
          <w:b/>
          <w:bCs/>
          <w:i/>
          <w:iCs/>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 xml:space="preserve">As given in Section 5.7, equations 60 and 61, the constant </w:t>
      </w:r>
      <w:r w:rsidRPr="00D56C60">
        <w:rPr>
          <w:rFonts w:ascii="Book Antiqua" w:hAnsi="Book Antiqua"/>
          <w:bCs/>
          <w:i/>
          <w:iCs/>
          <w:color w:val="000000"/>
          <w:sz w:val="20"/>
        </w:rPr>
        <w:t>K</w:t>
      </w:r>
      <w:r>
        <w:rPr>
          <w:rFonts w:ascii="Book Antiqua" w:hAnsi="Book Antiqua"/>
          <w:bCs/>
          <w:iCs/>
          <w:color w:val="000000"/>
          <w:sz w:val="20"/>
        </w:rPr>
        <w:t xml:space="preserve"> represents the proportionality constant between the red shift and the mean free path of an electron in its orbit.  The</w:t>
      </w:r>
      <w:r w:rsidRPr="00372C58">
        <w:rPr>
          <w:rFonts w:ascii="Book Antiqua" w:hAnsi="Book Antiqua"/>
          <w:bCs/>
          <w:iCs/>
          <w:color w:val="000000"/>
          <w:sz w:val="20"/>
        </w:rPr>
        <w:t xml:space="preserve"> value </w:t>
      </w:r>
      <w:r>
        <w:rPr>
          <w:rFonts w:ascii="Book Antiqua" w:hAnsi="Book Antiqua"/>
          <w:bCs/>
          <w:iCs/>
          <w:color w:val="000000"/>
          <w:sz w:val="20"/>
        </w:rPr>
        <w:t xml:space="preserve">for K </w:t>
      </w:r>
      <w:r w:rsidRPr="00372C58">
        <w:rPr>
          <w:rFonts w:ascii="Book Antiqua" w:hAnsi="Book Antiqua"/>
          <w:bCs/>
          <w:iCs/>
          <w:color w:val="000000"/>
          <w:sz w:val="20"/>
        </w:rPr>
        <w:t xml:space="preserve">is dependent on the redshift assigned to the Cosmic Microwave Background Radiation (CMBR). </w:t>
      </w:r>
      <w:r>
        <w:rPr>
          <w:rFonts w:ascii="Book Antiqua" w:hAnsi="Book Antiqua"/>
          <w:bCs/>
          <w:iCs/>
          <w:color w:val="000000"/>
          <w:sz w:val="20"/>
        </w:rPr>
        <w:t>So far, it has been assumed that</w:t>
      </w:r>
      <w:r w:rsidRPr="00372C58">
        <w:rPr>
          <w:rFonts w:ascii="Book Antiqua" w:hAnsi="Book Antiqua"/>
          <w:bCs/>
          <w:iCs/>
          <w:color w:val="000000"/>
          <w:sz w:val="20"/>
        </w:rPr>
        <w:t xml:space="preserve"> the reasoning of Big Bang astronomers </w:t>
      </w:r>
      <w:r>
        <w:rPr>
          <w:rFonts w:ascii="Book Antiqua" w:hAnsi="Book Antiqua"/>
          <w:bCs/>
          <w:iCs/>
          <w:color w:val="000000"/>
          <w:sz w:val="20"/>
        </w:rPr>
        <w:t>is</w:t>
      </w:r>
      <w:r w:rsidRPr="00372C58">
        <w:rPr>
          <w:rFonts w:ascii="Book Antiqua" w:hAnsi="Book Antiqua"/>
          <w:bCs/>
          <w:iCs/>
          <w:color w:val="000000"/>
          <w:sz w:val="20"/>
        </w:rPr>
        <w:t xml:space="preserve"> correct. </w:t>
      </w:r>
      <w:r>
        <w:rPr>
          <w:rFonts w:ascii="Book Antiqua" w:hAnsi="Book Antiqua"/>
          <w:bCs/>
          <w:iCs/>
          <w:color w:val="000000"/>
          <w:sz w:val="20"/>
        </w:rPr>
        <w:t>Given this</w:t>
      </w:r>
      <w:r w:rsidRPr="00372C58">
        <w:rPr>
          <w:rFonts w:ascii="Book Antiqua" w:hAnsi="Book Antiqua"/>
          <w:bCs/>
          <w:iCs/>
          <w:color w:val="000000"/>
          <w:sz w:val="20"/>
        </w:rPr>
        <w:t xml:space="preserve">, the best value for the redshift of the CMBR is </w:t>
      </w:r>
      <m:oMath>
        <m:r>
          <w:rPr>
            <w:rFonts w:ascii="Cambria Math" w:hAnsi="Cambria Math"/>
            <w:color w:val="000000"/>
            <w:sz w:val="20"/>
          </w:rPr>
          <m:t>z = 1187</m:t>
        </m:r>
      </m:oMath>
      <w:r w:rsidRPr="00372C58">
        <w:rPr>
          <w:rFonts w:ascii="Book Antiqua" w:hAnsi="Book Antiqua"/>
          <w:bCs/>
          <w:iCs/>
          <w:color w:val="000000"/>
          <w:sz w:val="20"/>
        </w:rPr>
        <w:t xml:space="preserve"> for the reasons outlined prior to equation (4</w:t>
      </w:r>
      <w:r>
        <w:rPr>
          <w:rFonts w:ascii="Book Antiqua" w:hAnsi="Book Antiqua"/>
          <w:bCs/>
          <w:iCs/>
          <w:color w:val="000000"/>
          <w:sz w:val="20"/>
        </w:rPr>
        <w:t>1</w:t>
      </w:r>
      <w:r w:rsidRPr="00372C58">
        <w:rPr>
          <w:rFonts w:ascii="Book Antiqua" w:hAnsi="Book Antiqua"/>
          <w:bCs/>
          <w:iCs/>
          <w:color w:val="000000"/>
          <w:sz w:val="20"/>
        </w:rPr>
        <w:t xml:space="preserve">). </w:t>
      </w:r>
      <w:r>
        <w:rPr>
          <w:rFonts w:ascii="Book Antiqua" w:hAnsi="Book Antiqua"/>
          <w:bCs/>
          <w:iCs/>
          <w:color w:val="000000"/>
          <w:sz w:val="20"/>
        </w:rPr>
        <w:t>This approach, however, depends on specialized conditions for the formation of the CMBR</w:t>
      </w:r>
      <w:r w:rsidRPr="00372C58">
        <w:rPr>
          <w:rFonts w:ascii="Book Antiqua" w:hAnsi="Book Antiqua"/>
          <w:bCs/>
          <w:iCs/>
          <w:color w:val="000000"/>
          <w:sz w:val="20"/>
        </w:rPr>
        <w:t xml:space="preserve">. </w:t>
      </w:r>
    </w:p>
    <w:p w:rsidR="007B21D2" w:rsidRDefault="007B21D2" w:rsidP="007B21D2">
      <w:pPr>
        <w:pStyle w:val="NoSpacing"/>
        <w:ind w:firstLine="720"/>
        <w:jc w:val="both"/>
        <w:rPr>
          <w:rFonts w:ascii="Book Antiqua" w:hAnsi="Book Antiqua"/>
          <w:bCs/>
          <w:iCs/>
          <w:color w:val="000000"/>
          <w:sz w:val="20"/>
        </w:rPr>
      </w:pPr>
    </w:p>
    <w:p w:rsidR="007B21D2" w:rsidRDefault="007B21D2" w:rsidP="007B21D2">
      <w:pPr>
        <w:pStyle w:val="NoSpacing"/>
        <w:ind w:firstLine="720"/>
        <w:jc w:val="both"/>
        <w:rPr>
          <w:rFonts w:ascii="Book Antiqua" w:hAnsi="Book Antiqua"/>
          <w:bCs/>
          <w:iCs/>
          <w:color w:val="000000"/>
          <w:sz w:val="20"/>
        </w:rPr>
      </w:pPr>
      <w:r>
        <w:rPr>
          <w:rFonts w:ascii="Book Antiqua" w:hAnsi="Book Antiqua"/>
          <w:bCs/>
          <w:iCs/>
          <w:color w:val="000000"/>
          <w:sz w:val="20"/>
        </w:rPr>
        <w:t>But</w:t>
      </w:r>
      <w:r w:rsidRPr="00372C58">
        <w:rPr>
          <w:rFonts w:ascii="Book Antiqua" w:hAnsi="Book Antiqua"/>
          <w:bCs/>
          <w:iCs/>
          <w:color w:val="000000"/>
          <w:sz w:val="20"/>
        </w:rPr>
        <w:t xml:space="preserve"> this may not be </w:t>
      </w:r>
      <w:r>
        <w:rPr>
          <w:rFonts w:ascii="Book Antiqua" w:hAnsi="Book Antiqua"/>
          <w:bCs/>
          <w:iCs/>
          <w:color w:val="000000"/>
          <w:sz w:val="20"/>
        </w:rPr>
        <w:t>the correct approach.  No “special conditions” are needed.  Since t</w:t>
      </w:r>
      <w:r w:rsidRPr="00372C58">
        <w:rPr>
          <w:rFonts w:ascii="Book Antiqua" w:hAnsi="Book Antiqua"/>
          <w:bCs/>
          <w:iCs/>
          <w:color w:val="000000"/>
          <w:sz w:val="20"/>
        </w:rPr>
        <w:t>he CMBR could only form once the Zero Point Energy had built up sufficiently for neutral atoms to form</w:t>
      </w:r>
      <w:r>
        <w:rPr>
          <w:rFonts w:ascii="Book Antiqua" w:hAnsi="Book Antiqua"/>
          <w:bCs/>
          <w:iCs/>
          <w:color w:val="000000"/>
          <w:sz w:val="20"/>
        </w:rPr>
        <w:t xml:space="preserve">, </w:t>
      </w:r>
      <w:r w:rsidRPr="00372C58">
        <w:rPr>
          <w:rFonts w:ascii="Book Antiqua" w:hAnsi="Book Antiqua"/>
          <w:bCs/>
          <w:iCs/>
          <w:color w:val="000000"/>
          <w:sz w:val="20"/>
        </w:rPr>
        <w:t xml:space="preserve">a slightly revised value for </w:t>
      </w:r>
      <m:oMath>
        <m:r>
          <w:rPr>
            <w:rFonts w:ascii="Cambria Math" w:hAnsi="Cambria Math"/>
            <w:color w:val="000000"/>
            <w:sz w:val="20"/>
          </w:rPr>
          <m:t>K</m:t>
        </m:r>
      </m:oMath>
      <w:r w:rsidRPr="00372C58">
        <w:rPr>
          <w:rFonts w:ascii="Book Antiqua" w:hAnsi="Book Antiqua"/>
          <w:bCs/>
          <w:iCs/>
          <w:color w:val="000000"/>
          <w:sz w:val="20"/>
        </w:rPr>
        <w:t xml:space="preserve"> results.</w:t>
      </w:r>
      <w:r>
        <w:rPr>
          <w:rFonts w:ascii="Book Antiqua" w:hAnsi="Book Antiqua"/>
          <w:bCs/>
          <w:iCs/>
          <w:color w:val="000000"/>
          <w:sz w:val="20"/>
        </w:rPr>
        <w:t xml:space="preserve">  Instead of a variety of special conditions, we need only consider the point at which ionized hydrogen becomes neutral hydrogen.</w:t>
      </w:r>
    </w:p>
    <w:p w:rsidR="007B21D2" w:rsidRPr="00372C58" w:rsidRDefault="007B21D2" w:rsidP="007B21D2">
      <w:pPr>
        <w:pStyle w:val="NoSpacing"/>
        <w:ind w:firstLine="720"/>
        <w:jc w:val="both"/>
        <w:rPr>
          <w:rFonts w:ascii="Book Antiqua" w:hAnsi="Book Antiqua"/>
          <w:bCs/>
          <w:iCs/>
          <w:color w:val="000000"/>
          <w:sz w:val="20"/>
        </w:rPr>
      </w:pPr>
    </w:p>
    <w:p w:rsidR="007B21D2" w:rsidRPr="00372C58" w:rsidRDefault="007B21D2" w:rsidP="007B21D2">
      <w:pPr>
        <w:pStyle w:val="NoSpacing"/>
        <w:ind w:firstLine="720"/>
        <w:jc w:val="both"/>
        <w:rPr>
          <w:rFonts w:ascii="Book Antiqua" w:hAnsi="Book Antiqua"/>
          <w:sz w:val="20"/>
        </w:rPr>
      </w:pPr>
      <w:r w:rsidRPr="00372C58">
        <w:rPr>
          <w:rFonts w:ascii="Book Antiqua" w:hAnsi="Book Antiqua"/>
          <w:sz w:val="20"/>
        </w:rPr>
        <w:lastRenderedPageBreak/>
        <w:t xml:space="preserve">Some of these results are shown graphically </w:t>
      </w:r>
      <w:r>
        <w:rPr>
          <w:rFonts w:ascii="Book Antiqua" w:hAnsi="Book Antiqua"/>
          <w:sz w:val="20"/>
        </w:rPr>
        <w:t xml:space="preserve">above </w:t>
      </w:r>
      <w:r w:rsidRPr="00372C58">
        <w:rPr>
          <w:rFonts w:ascii="Book Antiqua" w:hAnsi="Book Antiqua"/>
          <w:sz w:val="20"/>
        </w:rPr>
        <w:t>in Figure 1</w:t>
      </w:r>
      <w:r w:rsidR="003D33FE">
        <w:rPr>
          <w:rFonts w:ascii="Book Antiqua" w:hAnsi="Book Antiqua"/>
          <w:sz w:val="20"/>
        </w:rPr>
        <w:t>6</w:t>
      </w:r>
      <w:r w:rsidRPr="00372C58">
        <w:rPr>
          <w:rFonts w:ascii="Book Antiqua" w:hAnsi="Book Antiqua"/>
          <w:sz w:val="20"/>
        </w:rPr>
        <w:t>. There, the symbols H I on the top left refer to neutral atomic hydrogen and H II on the top right to ionized hydrogen (plasma). Pressure also plays a role here as shown by the colored lines. The red lines give the results for a pressure that is ten times that of the blue lines. In Figure 1</w:t>
      </w:r>
      <w:r w:rsidR="003D33FE">
        <w:rPr>
          <w:rFonts w:ascii="Book Antiqua" w:hAnsi="Book Antiqua"/>
          <w:sz w:val="20"/>
        </w:rPr>
        <w:t>7</w:t>
      </w:r>
      <w:r w:rsidRPr="00372C58">
        <w:rPr>
          <w:rFonts w:ascii="Book Antiqua" w:hAnsi="Book Antiqua"/>
          <w:sz w:val="20"/>
        </w:rPr>
        <w:t xml:space="preserve">, the </w:t>
      </w:r>
      <w:r w:rsidR="005A2E4A">
        <w:rPr>
          <w:rFonts w:ascii="Book Antiqua" w:hAnsi="Book Antiqua"/>
          <w:sz w:val="20"/>
        </w:rPr>
        <w:t xml:space="preserve">results from the </w:t>
      </w:r>
      <w:r w:rsidRPr="00372C58">
        <w:rPr>
          <w:rFonts w:ascii="Book Antiqua" w:hAnsi="Book Antiqua"/>
          <w:sz w:val="20"/>
        </w:rPr>
        <w:t xml:space="preserve">Saha equation </w:t>
      </w:r>
      <w:r w:rsidR="005A2E4A">
        <w:rPr>
          <w:rFonts w:ascii="Book Antiqua" w:hAnsi="Book Antiqua"/>
          <w:sz w:val="20"/>
        </w:rPr>
        <w:t>f</w:t>
      </w:r>
      <w:r w:rsidRPr="00372C58">
        <w:rPr>
          <w:rFonts w:ascii="Book Antiqua" w:hAnsi="Book Antiqua"/>
          <w:sz w:val="20"/>
        </w:rPr>
        <w:t>or the ionization of hydrogen are graphed on a larger scale than Figure 1</w:t>
      </w:r>
      <w:r w:rsidR="003D33FE">
        <w:rPr>
          <w:rFonts w:ascii="Book Antiqua" w:hAnsi="Book Antiqua"/>
          <w:sz w:val="20"/>
        </w:rPr>
        <w:t>6</w:t>
      </w:r>
      <w:r w:rsidRPr="00372C58">
        <w:rPr>
          <w:rFonts w:ascii="Book Antiqua" w:hAnsi="Book Antiqua"/>
          <w:sz w:val="20"/>
        </w:rPr>
        <w:t>. The temperature in degres Kelvin is on the horizontal axis and the proportion of the gas which is ionized, or exists as plasma, is shown vertically.</w:t>
      </w:r>
    </w:p>
    <w:p w:rsidR="007B21D2" w:rsidRPr="00372C58" w:rsidRDefault="007B21D2" w:rsidP="007B21D2">
      <w:pPr>
        <w:pStyle w:val="NoSpacing"/>
        <w:jc w:val="both"/>
        <w:rPr>
          <w:rFonts w:ascii="Book Antiqua" w:hAnsi="Book Antiqua"/>
          <w:sz w:val="20"/>
        </w:rPr>
      </w:pPr>
    </w:p>
    <w:p w:rsidR="007B21D2" w:rsidRPr="00372C58" w:rsidRDefault="007B21D2" w:rsidP="007B21D2">
      <w:pPr>
        <w:pStyle w:val="NoSpacing"/>
        <w:ind w:firstLine="720"/>
        <w:jc w:val="both"/>
        <w:rPr>
          <w:rFonts w:ascii="Book Antiqua" w:hAnsi="Book Antiqua"/>
          <w:bCs/>
          <w:iCs/>
          <w:color w:val="000000"/>
          <w:sz w:val="20"/>
        </w:rPr>
      </w:pPr>
      <w:r w:rsidRPr="00372C58">
        <w:rPr>
          <w:rFonts w:ascii="Book Antiqua" w:hAnsi="Book Antiqua"/>
          <w:bCs/>
          <w:iCs/>
          <w:sz w:val="20"/>
        </w:rPr>
        <w:t>The importance of knowing the ionization temperature and the wavelength of emitted radiation comes from the fact that the ratio of the ionization temperature to the current temperature of the CMBR (2.725 K), will also give a measure of the redshift of those wavelengths compared with now [85]. This follows from Wien’s Law where the peak wavelength of emitted radiation multiplied by the Kelvin temperature of the emitter is a constant [86]. Thus with a recombination temperature of 5800</w:t>
      </w:r>
      <w:r>
        <w:rPr>
          <w:rFonts w:ascii="Book Antiqua" w:hAnsi="Book Antiqua"/>
          <w:bCs/>
          <w:iCs/>
          <w:sz w:val="20"/>
        </w:rPr>
        <w:t xml:space="preserve"> </w:t>
      </w:r>
      <w:r w:rsidRPr="00372C58">
        <w:rPr>
          <w:rFonts w:ascii="Book Antiqua" w:hAnsi="Book Antiqua"/>
          <w:bCs/>
          <w:iCs/>
          <w:sz w:val="20"/>
        </w:rPr>
        <w:t>K, due to increasing ZPE strength allowing neutral atoms</w:t>
      </w:r>
      <w:r w:rsidRPr="00372C58">
        <w:rPr>
          <w:rFonts w:ascii="Book Antiqua" w:hAnsi="Book Antiqua"/>
          <w:bCs/>
          <w:iCs/>
          <w:color w:val="000000"/>
          <w:sz w:val="20"/>
        </w:rPr>
        <w:t xml:space="preserve"> to form, the redshift of the emitted CMB radiation will be given by</w:t>
      </w:r>
    </w:p>
    <w:p w:rsidR="007B21D2" w:rsidRPr="00372C58" w:rsidRDefault="007B21D2" w:rsidP="00265840">
      <w:pPr>
        <w:pStyle w:val="NoSpacing"/>
        <w:jc w:val="both"/>
        <w:rPr>
          <w:rFonts w:ascii="Book Antiqua" w:hAnsi="Book Antiqua"/>
          <w:b/>
          <w:bCs/>
          <w:i/>
          <w:iCs/>
          <w:sz w:val="20"/>
        </w:rPr>
      </w:pPr>
    </w:p>
    <w:p w:rsidR="00265840" w:rsidRPr="00372C58" w:rsidRDefault="00265840" w:rsidP="00265840">
      <w:pPr>
        <w:pStyle w:val="NoSpacing"/>
        <w:ind w:firstLine="720"/>
        <w:jc w:val="both"/>
        <w:rPr>
          <w:rFonts w:ascii="Book Antiqua" w:hAnsi="Book Antiqua"/>
          <w:bCs/>
          <w:iCs/>
          <w:color w:val="000000"/>
          <w:sz w:val="20"/>
        </w:rPr>
      </w:pPr>
    </w:p>
    <w:p w:rsidR="00265840" w:rsidRPr="00372C58" w:rsidRDefault="007B3EBC" w:rsidP="00265840">
      <w:pPr>
        <w:pStyle w:val="NoSpacing"/>
        <w:ind w:firstLine="720"/>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5800/2.725 = 2128</m:t>
        </m:r>
      </m:oMath>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
          <w:iCs/>
          <w:color w:val="000000"/>
          <w:sz w:val="20"/>
        </w:rPr>
        <w:t xml:space="preserve"> (92)</w:t>
      </w:r>
      <w:r w:rsidR="00265840" w:rsidRPr="00372C58">
        <w:rPr>
          <w:rFonts w:ascii="Book Antiqua" w:hAnsi="Book Antiqua"/>
          <w:bCs/>
          <w:iCs/>
          <w:color w:val="000000"/>
          <w:sz w:val="20"/>
        </w:rPr>
        <w:t xml:space="preserve">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Alternately, if the combination temperature of 6500</w:t>
      </w:r>
      <w:r w:rsidR="007B21D2">
        <w:rPr>
          <w:rFonts w:ascii="Book Antiqua" w:hAnsi="Book Antiqua"/>
          <w:bCs/>
          <w:iCs/>
          <w:color w:val="000000"/>
          <w:sz w:val="20"/>
        </w:rPr>
        <w:t xml:space="preserve"> </w:t>
      </w:r>
      <w:r w:rsidRPr="00372C58">
        <w:rPr>
          <w:rFonts w:ascii="Book Antiqua" w:hAnsi="Book Antiqua"/>
          <w:bCs/>
          <w:iCs/>
          <w:color w:val="000000"/>
          <w:sz w:val="20"/>
        </w:rPr>
        <w:t>K is chosen on the basis of the Saha equation we have</w:t>
      </w:r>
    </w:p>
    <w:p w:rsidR="00265840" w:rsidRPr="00372C58" w:rsidRDefault="00265840" w:rsidP="00265840">
      <w:pPr>
        <w:pStyle w:val="NoSpacing"/>
        <w:jc w:val="both"/>
        <w:rPr>
          <w:rFonts w:ascii="Book Antiqua" w:hAnsi="Book Antiqua"/>
          <w:bCs/>
          <w:iCs/>
          <w:color w:val="000000"/>
          <w:sz w:val="20"/>
        </w:rPr>
      </w:pPr>
    </w:p>
    <w:p w:rsidR="00265840" w:rsidRPr="00372C58" w:rsidRDefault="007B3EBC" w:rsidP="00265840">
      <w:pPr>
        <w:pStyle w:val="NoSpacing"/>
        <w:jc w:val="right"/>
        <w:rPr>
          <w:rFonts w:ascii="Book Antiqua" w:hAnsi="Book Antiqua"/>
          <w:bCs/>
          <w:iCs/>
          <w:color w:val="000000"/>
          <w:sz w:val="20"/>
        </w:rPr>
      </w:pPr>
      <m:oMath>
        <m:sSup>
          <m:sSupPr>
            <m:ctrlPr>
              <w:rPr>
                <w:rFonts w:ascii="Cambria Math" w:hAnsi="Cambria Math"/>
                <w:i/>
                <w:color w:val="000000"/>
                <w:sz w:val="20"/>
              </w:rPr>
            </m:ctrlPr>
          </m:sSupPr>
          <m:e>
            <m:r>
              <w:rPr>
                <w:rFonts w:ascii="Cambria Math" w:hAnsi="Cambria Math"/>
                <w:color w:val="000000"/>
                <w:sz w:val="20"/>
              </w:rPr>
              <m:t>z</m:t>
            </m:r>
          </m:e>
          <m:sup>
            <m:r>
              <w:rPr>
                <w:rFonts w:ascii="Cambria Math" w:hAnsi="Cambria Math"/>
                <w:color w:val="000000"/>
                <w:sz w:val="20"/>
              </w:rPr>
              <m:t>*</m:t>
            </m:r>
          </m:sup>
        </m:sSup>
        <m:r>
          <w:rPr>
            <w:rFonts w:ascii="Cambria Math" w:hAnsi="Cambria Math"/>
            <w:color w:val="000000"/>
            <w:sz w:val="20"/>
          </w:rPr>
          <m:t xml:space="preserve"> = </m:t>
        </m:r>
        <m:sSub>
          <m:sSubPr>
            <m:ctrlPr>
              <w:rPr>
                <w:rFonts w:ascii="Cambria Math" w:hAnsi="Cambria Math"/>
                <w:bCs/>
                <w:i/>
                <w:iCs/>
                <w:color w:val="000000"/>
                <w:sz w:val="20"/>
              </w:rPr>
            </m:ctrlPr>
          </m:sSubPr>
          <m:e>
            <m:r>
              <w:rPr>
                <w:rFonts w:ascii="Cambria Math" w:hAnsi="Cambria Math"/>
                <w:color w:val="000000"/>
                <w:sz w:val="20"/>
              </w:rPr>
              <m:t>T</m:t>
            </m:r>
          </m:e>
          <m:sub>
            <m:r>
              <w:rPr>
                <w:rFonts w:ascii="Cambria Math" w:hAnsi="Cambria Math"/>
                <w:color w:val="000000"/>
                <w:sz w:val="20"/>
              </w:rPr>
              <m:t>cmb</m:t>
            </m:r>
          </m:sub>
        </m:sSub>
        <m:r>
          <w:rPr>
            <w:rFonts w:ascii="Cambria Math" w:hAnsi="Cambria Math"/>
            <w:color w:val="000000"/>
            <w:sz w:val="20"/>
          </w:rPr>
          <m:t>/</m:t>
        </m:r>
        <m:sSub>
          <m:sSubPr>
            <m:ctrlPr>
              <w:rPr>
                <w:rFonts w:ascii="Cambria Math" w:hAnsi="Cambria Math"/>
                <w:bCs/>
                <w:i/>
                <w:iCs/>
                <w:color w:val="000000"/>
                <w:sz w:val="20"/>
              </w:rPr>
            </m:ctrlPr>
          </m:sSubPr>
          <m:e>
            <m:r>
              <w:rPr>
                <w:rFonts w:ascii="Cambria Math" w:hAnsi="Cambria Math"/>
                <w:color w:val="000000"/>
                <w:sz w:val="20"/>
              </w:rPr>
              <m:t xml:space="preserve">T </m:t>
            </m:r>
          </m:e>
          <m:sub>
            <m:r>
              <w:rPr>
                <w:rFonts w:ascii="Cambria Math" w:hAnsi="Cambria Math"/>
                <w:color w:val="000000"/>
                <w:sz w:val="20"/>
              </w:rPr>
              <m:t>now</m:t>
            </m:r>
          </m:sub>
        </m:sSub>
        <m:r>
          <w:rPr>
            <w:rFonts w:ascii="Cambria Math" w:hAnsi="Cambria Math"/>
            <w:color w:val="000000"/>
            <w:sz w:val="20"/>
          </w:rPr>
          <m:t xml:space="preserve"> = 6500/2.725 = 2385</m:t>
        </m:r>
      </m:oMath>
      <w:r w:rsidR="00265840" w:rsidRPr="00372C58">
        <w:rPr>
          <w:rFonts w:ascii="Book Antiqua" w:hAnsi="Book Antiqua"/>
          <w:bCs/>
          <w:iCs/>
          <w:color w:val="000000"/>
          <w:sz w:val="20"/>
        </w:rPr>
        <w:tab/>
        <w:t xml:space="preserve"> </w:t>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r>
      <w:r w:rsidR="00265840" w:rsidRPr="00372C58">
        <w:rPr>
          <w:rFonts w:ascii="Book Antiqua" w:hAnsi="Book Antiqua"/>
          <w:bCs/>
          <w:iCs/>
          <w:color w:val="000000"/>
          <w:sz w:val="20"/>
        </w:rPr>
        <w:tab/>
        <w:t xml:space="preserve"> </w:t>
      </w:r>
      <w:r w:rsidR="00265840" w:rsidRPr="00372C58">
        <w:rPr>
          <w:rFonts w:ascii="Book Antiqua" w:hAnsi="Book Antiqua"/>
          <w:bCs/>
          <w:i/>
          <w:iCs/>
          <w:color w:val="000000"/>
          <w:sz w:val="20"/>
        </w:rPr>
        <w:t>(93)</w:t>
      </w: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 </w:t>
      </w:r>
    </w:p>
    <w:p w:rsidR="00265840" w:rsidRPr="00372C58" w:rsidRDefault="00265840" w:rsidP="00265840">
      <w:pPr>
        <w:pStyle w:val="NoSpacing"/>
        <w:ind w:firstLine="720"/>
        <w:jc w:val="both"/>
        <w:rPr>
          <w:rFonts w:ascii="Book Antiqua" w:hAnsi="Book Antiqua"/>
          <w:bCs/>
          <w:iCs/>
          <w:color w:val="000000"/>
          <w:sz w:val="20"/>
        </w:rPr>
      </w:pPr>
      <w:r w:rsidRPr="00372C58">
        <w:rPr>
          <w:rFonts w:ascii="Book Antiqua" w:hAnsi="Book Antiqua"/>
          <w:bCs/>
          <w:iCs/>
          <w:color w:val="000000"/>
          <w:sz w:val="20"/>
        </w:rPr>
        <w:t>These values for the redshift of the CMBR modif</w:t>
      </w:r>
      <w:r w:rsidR="007B21D2">
        <w:rPr>
          <w:rFonts w:ascii="Book Antiqua" w:hAnsi="Book Antiqua"/>
          <w:bCs/>
          <w:iCs/>
          <w:color w:val="000000"/>
          <w:sz w:val="20"/>
        </w:rPr>
        <w:t>y</w:t>
      </w:r>
      <w:r w:rsidRPr="00372C58">
        <w:rPr>
          <w:rFonts w:ascii="Book Antiqua" w:hAnsi="Book Antiqua"/>
          <w:bCs/>
          <w:iCs/>
          <w:color w:val="000000"/>
          <w:sz w:val="20"/>
        </w:rPr>
        <w:t xml:space="preserve"> the value of K in equation (60). When the whole process is worked through using the value for the redshift in (92), the value of K becomes</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K  =  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(94)</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both"/>
        <w:rPr>
          <w:rFonts w:ascii="Book Antiqua" w:hAnsi="Book Antiqua"/>
          <w:bCs/>
          <w:iCs/>
          <w:color w:val="000000"/>
          <w:sz w:val="20"/>
        </w:rPr>
      </w:pPr>
      <w:r w:rsidRPr="00372C58">
        <w:rPr>
          <w:rFonts w:ascii="Book Antiqua" w:hAnsi="Book Antiqua"/>
          <w:bCs/>
          <w:iCs/>
          <w:color w:val="000000"/>
          <w:sz w:val="20"/>
        </w:rPr>
        <w:t xml:space="preserve">Thus the value  </w:t>
      </w:r>
      <m:oMath>
        <m:r>
          <w:rPr>
            <w:rFonts w:ascii="Cambria Math" w:hAnsi="Cambria Math"/>
            <w:color w:val="000000"/>
            <w:sz w:val="20"/>
          </w:rPr>
          <m:t xml:space="preserve">K= </m:t>
        </m:r>
        <m:r>
          <w:rPr>
            <w:rFonts w:ascii="Cambria Math" w:hAnsi="Cambria Math"/>
            <w:sz w:val="20"/>
          </w:rPr>
          <m:t xml:space="preserve">4.745 x </m:t>
        </m:r>
        <m:sSup>
          <m:sSupPr>
            <m:ctrlPr>
              <w:rPr>
                <w:rFonts w:ascii="Cambria Math" w:hAnsi="Cambria Math"/>
                <w:i/>
                <w:sz w:val="20"/>
              </w:rPr>
            </m:ctrlPr>
          </m:sSupPr>
          <m:e>
            <m:r>
              <w:rPr>
                <w:rFonts w:ascii="Cambria Math" w:hAnsi="Cambria Math"/>
                <w:sz w:val="20"/>
              </w:rPr>
              <m:t>10</m:t>
            </m:r>
          </m:e>
          <m:sup>
            <m:r>
              <w:rPr>
                <w:rFonts w:ascii="Cambria Math" w:hAnsi="Cambria Math"/>
                <w:sz w:val="20"/>
              </w:rPr>
              <m:t>9</m:t>
            </m:r>
          </m:sup>
        </m:sSup>
        <m:r>
          <w:rPr>
            <w:rFonts w:ascii="Cambria Math" w:hAnsi="Cambria Math"/>
            <w:sz w:val="20"/>
          </w:rPr>
          <m:t xml:space="preserve"> </m:t>
        </m:r>
      </m:oMath>
      <w:r w:rsidRPr="00372C58">
        <w:rPr>
          <w:rFonts w:ascii="Book Antiqua" w:hAnsi="Book Antiqua"/>
          <w:bCs/>
          <w:iCs/>
          <w:color w:val="000000"/>
          <w:sz w:val="20"/>
        </w:rPr>
        <w:t>in equation (60) is close to the average value between the maximum given by inserting the currently estimated age of the cosmos in (65) and a minimum obtained from (94). As a result, we can say that the numerical value of K probably lies within the limits of</w:t>
      </w:r>
    </w:p>
    <w:p w:rsidR="00265840" w:rsidRPr="00372C58" w:rsidRDefault="00265840" w:rsidP="00265840">
      <w:pPr>
        <w:pStyle w:val="NoSpacing"/>
        <w:jc w:val="both"/>
        <w:rPr>
          <w:rFonts w:ascii="Book Antiqua" w:hAnsi="Book Antiqua"/>
          <w:bCs/>
          <w:iCs/>
          <w:color w:val="000000"/>
          <w:sz w:val="20"/>
        </w:rPr>
      </w:pPr>
    </w:p>
    <w:p w:rsidR="00265840" w:rsidRPr="00372C58" w:rsidRDefault="00265840" w:rsidP="00265840">
      <w:pPr>
        <w:pStyle w:val="NoSpacing"/>
        <w:jc w:val="right"/>
        <w:rPr>
          <w:rFonts w:ascii="Book Antiqua" w:hAnsi="Book Antiqua"/>
          <w:bCs/>
          <w:iCs/>
          <w:color w:val="000000"/>
          <w:sz w:val="20"/>
        </w:rPr>
      </w:pPr>
      <m:oMath>
        <m:r>
          <w:rPr>
            <w:rFonts w:ascii="Cambria Math" w:hAnsi="Cambria Math"/>
            <w:color w:val="000000"/>
            <w:sz w:val="20"/>
          </w:rPr>
          <m:t xml:space="preserve">4.1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 xml:space="preserve"> ≤ K ≤ 5.4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r>
          <w:rPr>
            <w:rFonts w:ascii="Cambria Math" w:hAnsi="Cambria Math"/>
            <w:color w:val="000000"/>
            <w:sz w:val="20"/>
          </w:rPr>
          <m:t>.</m:t>
        </m:r>
      </m:oMath>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ab/>
        <w:t xml:space="preserve"> (95)</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rPr>
          <w:rFonts w:ascii="Book Antiqua" w:hAnsi="Book Antiqua"/>
          <w:bCs/>
          <w:iCs/>
          <w:color w:val="000000"/>
          <w:sz w:val="20"/>
        </w:rPr>
      </w:pPr>
      <w:r w:rsidRPr="00372C58">
        <w:rPr>
          <w:rFonts w:ascii="Book Antiqua" w:hAnsi="Book Antiqua"/>
          <w:bCs/>
          <w:iCs/>
          <w:color w:val="000000"/>
          <w:sz w:val="20"/>
        </w:rPr>
        <w:t xml:space="preserve">The best mean value is then approximately </w:t>
      </w:r>
    </w:p>
    <w:p w:rsidR="00265840" w:rsidRPr="00372C58" w:rsidRDefault="00265840" w:rsidP="00265840">
      <w:pPr>
        <w:pStyle w:val="NoSpacing"/>
        <w:rPr>
          <w:rFonts w:ascii="Book Antiqua" w:hAnsi="Book Antiqua"/>
          <w:bCs/>
          <w:iCs/>
          <w:color w:val="000000"/>
          <w:sz w:val="20"/>
        </w:rPr>
      </w:pPr>
    </w:p>
    <w:p w:rsidR="00265840" w:rsidRPr="00372C58" w:rsidRDefault="00265840" w:rsidP="00265840">
      <w:pPr>
        <w:pStyle w:val="NoSpacing"/>
        <w:jc w:val="right"/>
        <w:rPr>
          <w:oMath/>
          <w:rFonts w:ascii="Cambria Math" w:hAnsi="Cambria Math"/>
          <w:color w:val="000000"/>
          <w:sz w:val="20"/>
        </w:rPr>
      </w:pPr>
      <m:oMath>
        <m:r>
          <w:rPr>
            <w:rFonts w:ascii="Cambria Math" w:hAnsi="Cambria Math"/>
            <w:color w:val="000000"/>
            <w:sz w:val="20"/>
          </w:rPr>
          <m:t xml:space="preserve">K  =  4.74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oMath>
      <w:r w:rsidRPr="00372C58">
        <w:rPr>
          <w:rFonts w:ascii="Book Antiqua" w:hAnsi="Book Antiqua"/>
          <w:bCs/>
          <w:iCs/>
          <w:color w:val="000000"/>
          <w:sz w:val="20"/>
        </w:rPr>
        <w:t xml:space="preserve"> </w:t>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Cs/>
          <w:color w:val="000000"/>
          <w:sz w:val="20"/>
        </w:rPr>
        <w:tab/>
      </w:r>
      <w:r w:rsidRPr="00372C58">
        <w:rPr>
          <w:rFonts w:ascii="Book Antiqua" w:hAnsi="Book Antiqua"/>
          <w:bCs/>
          <w:i/>
          <w:iCs/>
          <w:color w:val="000000"/>
          <w:sz w:val="20"/>
        </w:rPr>
        <w:t>(96)</w:t>
      </w:r>
    </w:p>
    <w:p w:rsidR="00265840" w:rsidRPr="00372C58" w:rsidRDefault="00265840" w:rsidP="00265840">
      <w:pPr>
        <w:pStyle w:val="NormPara"/>
        <w:ind w:firstLine="0"/>
        <w:rPr>
          <w:noProof/>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t>9. The Redshift, CMBR, Atomic Clock Rates and Lightspeed.</w:t>
      </w:r>
    </w:p>
    <w:p w:rsidR="00265840" w:rsidRPr="00372C58" w:rsidRDefault="00265840" w:rsidP="00265840">
      <w:pPr>
        <w:pStyle w:val="NormPara"/>
        <w:ind w:firstLine="0"/>
        <w:rPr>
          <w:noProof/>
          <w:sz w:val="20"/>
        </w:rPr>
      </w:pPr>
    </w:p>
    <w:p w:rsidR="00265840" w:rsidRPr="00372C58" w:rsidRDefault="00265840" w:rsidP="00265840">
      <w:pPr>
        <w:pStyle w:val="NormPara"/>
        <w:ind w:firstLine="720"/>
        <w:rPr>
          <w:noProof/>
          <w:sz w:val="20"/>
        </w:rPr>
      </w:pPr>
      <w:r w:rsidRPr="00372C58">
        <w:rPr>
          <w:noProof/>
          <w:sz w:val="20"/>
        </w:rPr>
        <w:t xml:space="preserve">The quantity </w:t>
      </w:r>
      <m:oMath>
        <m:r>
          <w:rPr>
            <w:rFonts w:ascii="Cambria Math" w:hAnsi="Cambria Math"/>
            <w:noProof/>
            <w:sz w:val="20"/>
          </w:rPr>
          <m:t>K</m:t>
        </m:r>
      </m:oMath>
      <w:r w:rsidRPr="00372C58">
        <w:rPr>
          <w:noProof/>
          <w:sz w:val="20"/>
        </w:rPr>
        <w:t xml:space="preserve"> is the proportionality constant for equations (30), (35), (60) and (65). Among other things, it functions to link the mean free path of electrons in orbit to the redshift. However, the speed of light, </w:t>
      </w:r>
      <m:oMath>
        <m:r>
          <w:rPr>
            <w:rFonts w:ascii="Cambria Math" w:hAnsi="Cambria Math"/>
            <w:noProof/>
            <w:sz w:val="20"/>
          </w:rPr>
          <m:t>c</m:t>
        </m:r>
      </m:oMath>
      <w:r w:rsidRPr="00372C58">
        <w:rPr>
          <w:noProof/>
          <w:sz w:val="20"/>
        </w:rPr>
        <w:t xml:space="preserve">, and the rate of ticking of atomic clocks, </w:t>
      </w:r>
      <m:oMath>
        <m:r>
          <w:rPr>
            <w:rFonts w:ascii="Cambria Math" w:hAnsi="Cambria Math"/>
            <w:noProof/>
            <w:sz w:val="20"/>
          </w:rPr>
          <m:t>f</m:t>
        </m:r>
      </m:oMath>
      <w:r w:rsidRPr="00372C58">
        <w:rPr>
          <w:noProof/>
          <w:sz w:val="20"/>
        </w:rPr>
        <w:t xml:space="preserve">, also appear in equations such as (64). Atomic clocks and lightspeed are related: If an atomic clock ticks off, say, 10 atomic years in one ordinary orbital year, then light will also have traveled 10 lightyears distance in that orbital year. Therefore, both these quantities will have the same proportionality in relation to the redshift. This proportionality constant may be designated as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oMath>
      <w:r w:rsidRPr="00372C58">
        <w:rPr>
          <w:noProof/>
          <w:sz w:val="20"/>
        </w:rPr>
        <w:t xml:space="preserve"> From the discussion surrounding the determination of </w:t>
      </w:r>
      <m:oMath>
        <m:r>
          <w:rPr>
            <w:rFonts w:ascii="Cambria Math" w:hAnsi="Cambria Math"/>
            <w:noProof/>
            <w:sz w:val="20"/>
          </w:rPr>
          <m:t>K</m:t>
        </m:r>
      </m:oMath>
      <w:r w:rsidRPr="00372C58">
        <w:rPr>
          <w:noProof/>
          <w:sz w:val="20"/>
        </w:rPr>
        <w:t xml:space="preserve"> and inspection of the related equations, it can be determined that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sidRPr="00372C58">
        <w:rPr>
          <w:noProof/>
          <w:sz w:val="20"/>
        </w:rPr>
        <w:t xml:space="preserve"> is given by </w:t>
      </w:r>
      <m:oMath>
        <m:r>
          <w:rPr>
            <w:rFonts w:ascii="Cambria Math" w:hAnsi="Cambria Math"/>
            <w:noProof/>
            <w:sz w:val="20"/>
          </w:rPr>
          <m:t>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where </w:t>
      </w:r>
      <m:oMath>
        <m:r>
          <w:rPr>
            <w:rFonts w:ascii="Cambria Math" w:hAnsi="Cambria Math"/>
            <w:noProof/>
            <w:sz w:val="20"/>
          </w:rPr>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m:t>
        </m:r>
      </m:oMath>
      <w:r w:rsidRPr="00372C58">
        <w:rPr>
          <w:noProof/>
          <w:sz w:val="20"/>
        </w:rPr>
        <w:t xml:space="preserve"> is the redshift of the CMBR. </w:t>
      </w:r>
    </w:p>
    <w:p w:rsidR="00265840" w:rsidRPr="00372C58" w:rsidRDefault="00265840" w:rsidP="00265840">
      <w:pPr>
        <w:pStyle w:val="NormPara"/>
        <w:ind w:firstLine="720"/>
        <w:rPr>
          <w:noProof/>
          <w:sz w:val="20"/>
        </w:rPr>
      </w:pPr>
    </w:p>
    <w:p w:rsidR="00265840" w:rsidRPr="00372C58" w:rsidRDefault="00265840" w:rsidP="00265840">
      <w:pPr>
        <w:pStyle w:val="NormPara"/>
        <w:ind w:firstLine="720"/>
        <w:rPr>
          <w:noProof/>
          <w:sz w:val="20"/>
        </w:rPr>
      </w:pPr>
      <w:r w:rsidRPr="00372C58">
        <w:rPr>
          <w:noProof/>
          <w:sz w:val="20"/>
        </w:rPr>
        <w:t>As noted above from figures 1</w:t>
      </w:r>
      <w:r w:rsidR="003D33FE">
        <w:rPr>
          <w:noProof/>
          <w:sz w:val="20"/>
        </w:rPr>
        <w:t>6</w:t>
      </w:r>
      <w:r w:rsidRPr="00372C58">
        <w:rPr>
          <w:noProof/>
          <w:sz w:val="20"/>
        </w:rPr>
        <w:t xml:space="preserve"> and 1</w:t>
      </w:r>
      <w:r w:rsidR="003D33FE">
        <w:rPr>
          <w:noProof/>
          <w:sz w:val="20"/>
        </w:rPr>
        <w:t>7</w:t>
      </w:r>
      <w:r w:rsidRPr="00372C58">
        <w:rPr>
          <w:noProof/>
          <w:sz w:val="20"/>
        </w:rPr>
        <w:t xml:space="preserve">, the recombination temperature of cooling hydrogen is about 6500K at which time a significant quantity has become neutral atoms. </w:t>
      </w:r>
      <w:r w:rsidR="00E45525">
        <w:rPr>
          <w:noProof/>
          <w:sz w:val="20"/>
        </w:rPr>
        <w:t>T</w:t>
      </w:r>
      <w:r w:rsidRPr="00372C58">
        <w:rPr>
          <w:noProof/>
          <w:sz w:val="20"/>
        </w:rPr>
        <w:t xml:space="preserve">his higher temperature is preferred to the 5800K figure because it is closer to the time when the ZPE was just starting to support the formation of atoms. This gives a redshift of </w:t>
      </w:r>
      <m:oMath>
        <m:r>
          <w:rPr>
            <w:rFonts w:ascii="Cambria Math" w:hAnsi="Cambria Math"/>
            <w:noProof/>
            <w:sz w:val="20"/>
          </w:rPr>
          <w:lastRenderedPageBreak/>
          <m:t xml:space="preserve">(1 + </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 2386</m:t>
        </m:r>
      </m:oMath>
      <w:r w:rsidRPr="00372C58">
        <w:rPr>
          <w:noProof/>
          <w:sz w:val="20"/>
        </w:rPr>
        <w:t xml:space="preserve">. However, the value of </w:t>
      </w:r>
      <m:oMath>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oMath>
      <w:r w:rsidRPr="00372C58">
        <w:rPr>
          <w:noProof/>
          <w:sz w:val="20"/>
        </w:rPr>
        <w:t xml:space="preserve"> in (92) was 2128. Using this lower redshift figure as well as the corresponding result for K from (94), we obtain the result that:</w:t>
      </w:r>
    </w:p>
    <w:p w:rsidR="00265840" w:rsidRPr="00372C58" w:rsidRDefault="00265840" w:rsidP="00265840">
      <w:pPr>
        <w:pStyle w:val="NormPara"/>
        <w:ind w:firstLine="720"/>
        <w:rPr>
          <w:noProof/>
          <w:sz w:val="20"/>
        </w:rPr>
      </w:pPr>
    </w:p>
    <w:p w:rsidR="00265840" w:rsidRPr="00372C58" w:rsidRDefault="007B3EBC" w:rsidP="00265840">
      <w:pPr>
        <w:pStyle w:val="NormPara"/>
        <w:ind w:firstLine="720"/>
        <w:jc w:val="right"/>
        <w:rPr>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2129</m:t>
            </m:r>
          </m:den>
        </m:f>
        <m:r>
          <w:rPr>
            <w:rFonts w:ascii="Cambria Math" w:hAnsi="Cambria Math"/>
            <w:noProof/>
            <w:sz w:val="20"/>
          </w:rPr>
          <m:t xml:space="preserve">=  1.9263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(97)</w:t>
      </w:r>
    </w:p>
    <w:p w:rsidR="00265840" w:rsidRPr="00372C58" w:rsidRDefault="00265840" w:rsidP="00265840">
      <w:pPr>
        <w:pStyle w:val="NormPara"/>
        <w:ind w:firstLine="0"/>
        <w:rPr>
          <w:noProof/>
          <w:sz w:val="20"/>
        </w:rPr>
      </w:pPr>
    </w:p>
    <w:p w:rsidR="00265840" w:rsidRPr="00372C58" w:rsidRDefault="00265840" w:rsidP="00265840">
      <w:pPr>
        <w:pStyle w:val="NormPara"/>
        <w:ind w:firstLine="0"/>
        <w:rPr>
          <w:noProof/>
          <w:sz w:val="20"/>
        </w:rPr>
      </w:pPr>
      <w:r w:rsidRPr="00372C58">
        <w:rPr>
          <w:noProof/>
          <w:sz w:val="20"/>
        </w:rPr>
        <w:t>Alternately, if we use the higher redshift value for the CMBR of  2386, we get</w:t>
      </w:r>
    </w:p>
    <w:p w:rsidR="00265840" w:rsidRPr="00372C58" w:rsidRDefault="00265840" w:rsidP="00265840">
      <w:pPr>
        <w:pStyle w:val="NormPara"/>
        <w:ind w:firstLine="0"/>
        <w:rPr>
          <w:noProof/>
          <w:sz w:val="20"/>
        </w:rPr>
      </w:pPr>
    </w:p>
    <w:p w:rsidR="00265840" w:rsidRPr="00372C58" w:rsidRDefault="007B3EBC" w:rsidP="00265840">
      <w:pPr>
        <w:pStyle w:val="NormPara"/>
        <w:ind w:firstLine="0"/>
        <w:jc w:val="right"/>
        <w:rPr>
          <w:i/>
          <w:noProof/>
          <w:sz w:val="20"/>
        </w:rPr>
      </w:pP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 xml:space="preserve"> =K/(1+</m:t>
        </m:r>
        <m:sSup>
          <m:sSupPr>
            <m:ctrlPr>
              <w:rPr>
                <w:rFonts w:ascii="Cambria Math" w:hAnsi="Cambria Math"/>
                <w:i/>
                <w:noProof/>
                <w:sz w:val="20"/>
              </w:rPr>
            </m:ctrlPr>
          </m:sSupPr>
          <m:e>
            <m:r>
              <w:rPr>
                <w:rFonts w:ascii="Cambria Math" w:hAnsi="Cambria Math"/>
                <w:noProof/>
                <w:sz w:val="20"/>
              </w:rPr>
              <m:t>z</m:t>
            </m:r>
          </m:e>
          <m:sup>
            <m:r>
              <w:rPr>
                <w:rFonts w:ascii="Cambria Math" w:hAnsi="Cambria Math"/>
                <w:noProof/>
                <w:sz w:val="20"/>
              </w:rPr>
              <m:t>*</m:t>
            </m:r>
          </m:sup>
        </m:sSup>
        <m:r>
          <w:rPr>
            <w:rFonts w:ascii="Cambria Math" w:hAnsi="Cambria Math"/>
            <w:noProof/>
            <w:sz w:val="20"/>
          </w:rPr>
          <m:t>) =</m:t>
        </m:r>
        <m:f>
          <m:fPr>
            <m:ctrlPr>
              <w:rPr>
                <w:rFonts w:ascii="Cambria Math" w:hAnsi="Cambria Math"/>
                <w:i/>
                <w:noProof/>
                <w:sz w:val="20"/>
              </w:rPr>
            </m:ctrlPr>
          </m:fPr>
          <m:num>
            <m:r>
              <w:rPr>
                <w:rFonts w:ascii="Cambria Math" w:hAnsi="Cambria Math"/>
                <w:color w:val="000000"/>
                <w:sz w:val="20"/>
              </w:rPr>
              <m:t xml:space="preserve">4.1012 x </m:t>
            </m:r>
            <m:sSup>
              <m:sSupPr>
                <m:ctrlPr>
                  <w:rPr>
                    <w:rFonts w:ascii="Cambria Math" w:hAnsi="Cambria Math"/>
                    <w:bCs/>
                    <w:i/>
                    <w:iCs/>
                    <w:color w:val="000000"/>
                    <w:sz w:val="20"/>
                  </w:rPr>
                </m:ctrlPr>
              </m:sSupPr>
              <m:e>
                <m:r>
                  <w:rPr>
                    <w:rFonts w:ascii="Cambria Math" w:hAnsi="Cambria Math"/>
                    <w:color w:val="000000"/>
                    <w:sz w:val="20"/>
                  </w:rPr>
                  <m:t>10</m:t>
                </m:r>
              </m:e>
              <m:sup>
                <m:r>
                  <w:rPr>
                    <w:rFonts w:ascii="Cambria Math" w:hAnsi="Cambria Math"/>
                    <w:color w:val="000000"/>
                    <w:sz w:val="20"/>
                  </w:rPr>
                  <m:t>9</m:t>
                </m:r>
              </m:sup>
            </m:sSup>
          </m:num>
          <m:den>
            <m:r>
              <w:rPr>
                <w:rFonts w:ascii="Cambria Math" w:hAnsi="Cambria Math"/>
                <w:noProof/>
                <w:sz w:val="20"/>
              </w:rPr>
              <m:t>2386</m:t>
            </m:r>
          </m:den>
        </m:f>
        <m:r>
          <w:rPr>
            <w:rFonts w:ascii="Cambria Math" w:hAnsi="Cambria Math"/>
            <w:noProof/>
            <w:sz w:val="20"/>
          </w:rPr>
          <m:t xml:space="preserve">=  1.7188 x </m:t>
        </m:r>
        <m:sSup>
          <m:sSupPr>
            <m:ctrlPr>
              <w:rPr>
                <w:rFonts w:ascii="Cambria Math" w:hAnsi="Cambria Math"/>
                <w:i/>
                <w:noProof/>
                <w:sz w:val="20"/>
              </w:rPr>
            </m:ctrlPr>
          </m:sSupPr>
          <m:e>
            <m:r>
              <w:rPr>
                <w:rFonts w:ascii="Cambria Math" w:hAnsi="Cambria Math"/>
                <w:noProof/>
                <w:sz w:val="20"/>
              </w:rPr>
              <m:t>10</m:t>
            </m:r>
          </m:e>
          <m:sup>
            <m:r>
              <w:rPr>
                <w:rFonts w:ascii="Cambria Math" w:hAnsi="Cambria Math"/>
                <w:noProof/>
                <w:sz w:val="20"/>
              </w:rPr>
              <m:t>6</m:t>
            </m:r>
          </m:sup>
        </m:sSup>
      </m:oMath>
      <w:r w:rsidR="00265840" w:rsidRPr="00372C58">
        <w:rPr>
          <w:noProof/>
          <w:sz w:val="20"/>
        </w:rPr>
        <w:t xml:space="preserve"> </w:t>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r>
      <w:r w:rsidR="00265840" w:rsidRPr="00372C58">
        <w:rPr>
          <w:noProof/>
          <w:sz w:val="20"/>
        </w:rPr>
        <w:tab/>
        <w:t xml:space="preserve"> </w:t>
      </w:r>
      <w:r w:rsidR="00265840" w:rsidRPr="00372C58">
        <w:rPr>
          <w:i/>
          <w:noProof/>
          <w:sz w:val="20"/>
        </w:rPr>
        <w:t>(98)</w:t>
      </w:r>
    </w:p>
    <w:p w:rsidR="00265840" w:rsidRPr="00372C58" w:rsidRDefault="00265840" w:rsidP="00265840">
      <w:pPr>
        <w:pStyle w:val="NormPara"/>
        <w:ind w:firstLine="0"/>
        <w:jc w:val="center"/>
        <w:rPr>
          <w:noProof/>
          <w:sz w:val="20"/>
        </w:rPr>
      </w:pPr>
    </w:p>
    <w:p w:rsidR="00AB0824" w:rsidRDefault="00265840" w:rsidP="005F5718">
      <w:pPr>
        <w:pStyle w:val="NormPara"/>
        <w:ind w:firstLine="0"/>
        <w:rPr>
          <w:noProof/>
          <w:sz w:val="20"/>
        </w:rPr>
      </w:pPr>
      <w:r w:rsidRPr="00372C58">
        <w:rPr>
          <w:noProof/>
          <w:sz w:val="20"/>
        </w:rPr>
        <w:t xml:space="preserve">Thus the speed of light, </w:t>
      </w:r>
      <m:oMath>
        <m:r>
          <w:rPr>
            <w:rFonts w:ascii="Cambria Math" w:hAnsi="Cambria Math"/>
            <w:noProof/>
            <w:sz w:val="20"/>
          </w:rPr>
          <m:t>c</m:t>
        </m:r>
      </m:oMath>
      <w:r w:rsidRPr="00372C58">
        <w:rPr>
          <w:noProof/>
          <w:sz w:val="20"/>
        </w:rPr>
        <w:t xml:space="preserve">, and the run rate of atomic clocks, </w:t>
      </w:r>
      <m:oMath>
        <m:r>
          <w:rPr>
            <w:rFonts w:ascii="Cambria Math" w:hAnsi="Cambria Math"/>
            <w:noProof/>
            <w:sz w:val="20"/>
          </w:rPr>
          <m:t>f</m:t>
        </m:r>
      </m:oMath>
      <w:r w:rsidRPr="00372C58">
        <w:rPr>
          <w:noProof/>
          <w:sz w:val="20"/>
        </w:rPr>
        <w:t>, compared with the current values, can be determined from equations such as (64) using the proportionality constant K*.</w:t>
      </w:r>
      <w:r w:rsidR="005F5718">
        <w:rPr>
          <w:noProof/>
          <w:sz w:val="20"/>
        </w:rPr>
        <w:t xml:space="preserve"> </w:t>
      </w:r>
    </w:p>
    <w:p w:rsidR="00AB0824" w:rsidRDefault="00AB0824" w:rsidP="005F5718">
      <w:pPr>
        <w:pStyle w:val="NormPara"/>
        <w:ind w:firstLine="0"/>
        <w:rPr>
          <w:noProof/>
          <w:sz w:val="20"/>
        </w:rPr>
      </w:pPr>
    </w:p>
    <w:p w:rsidR="005F5718" w:rsidRDefault="005F5718" w:rsidP="00AB0824">
      <w:pPr>
        <w:pStyle w:val="NormPara"/>
        <w:ind w:firstLine="720"/>
        <w:rPr>
          <w:noProof/>
          <w:sz w:val="20"/>
        </w:rPr>
      </w:pPr>
      <w:r>
        <w:rPr>
          <w:noProof/>
          <w:sz w:val="20"/>
        </w:rPr>
        <w:t xml:space="preserve">Note that in (64) when </w:t>
      </w:r>
      <m:oMath>
        <m:r>
          <w:rPr>
            <w:rFonts w:ascii="Cambria Math" w:hAnsi="Cambria Math"/>
            <w:noProof/>
            <w:sz w:val="20"/>
          </w:rPr>
          <m:t>T=0</m:t>
        </m:r>
      </m:oMath>
      <w:r>
        <w:rPr>
          <w:noProof/>
          <w:sz w:val="20"/>
        </w:rPr>
        <w:t xml:space="preserve">, both </w:t>
      </w:r>
      <m:oMath>
        <m:r>
          <w:rPr>
            <w:rFonts w:ascii="Cambria Math" w:hAnsi="Cambria Math"/>
            <w:noProof/>
            <w:sz w:val="20"/>
          </w:rPr>
          <m:t xml:space="preserve">c </m:t>
        </m:r>
      </m:oMath>
      <w:r>
        <w:rPr>
          <w:noProof/>
          <w:sz w:val="20"/>
        </w:rPr>
        <w:t xml:space="preserve">and clock rates equal </w:t>
      </w:r>
      <m:oMath>
        <m:sSup>
          <m:sSupPr>
            <m:ctrlPr>
              <w:rPr>
                <w:rFonts w:ascii="Cambria Math" w:hAnsi="Cambria Math"/>
                <w:i/>
                <w:noProof/>
                <w:sz w:val="20"/>
              </w:rPr>
            </m:ctrlPr>
          </m:sSupPr>
          <m:e>
            <m:r>
              <w:rPr>
                <w:rFonts w:ascii="Cambria Math" w:hAnsi="Cambria Math"/>
                <w:noProof/>
                <w:sz w:val="20"/>
              </w:rPr>
              <m:t>K</m:t>
            </m:r>
          </m:e>
          <m:sup>
            <m:r>
              <w:rPr>
                <w:rFonts w:ascii="Cambria Math" w:hAnsi="Cambria Math"/>
                <w:noProof/>
                <w:sz w:val="20"/>
              </w:rPr>
              <m:t>*</m:t>
            </m:r>
          </m:sup>
        </m:sSup>
        <m:r>
          <w:rPr>
            <w:rFonts w:ascii="Cambria Math" w:hAnsi="Cambria Math"/>
            <w:noProof/>
            <w:sz w:val="20"/>
          </w:rPr>
          <m:t>.</m:t>
        </m:r>
      </m:oMath>
      <w:r>
        <w:rPr>
          <w:noProof/>
          <w:sz w:val="20"/>
        </w:rPr>
        <w:t xml:space="preserve"> </w:t>
      </w:r>
      <w:r w:rsidR="00AB0824">
        <w:rPr>
          <w:noProof/>
          <w:sz w:val="20"/>
        </w:rPr>
        <w:t xml:space="preserve">  This seems to present a problem until it is realized that T = 0 does not represent the end of the ZPE build-up. Rather it marks the end of the redshift function</w:t>
      </w:r>
      <w:r w:rsidR="00695FFA">
        <w:rPr>
          <w:noProof/>
          <w:sz w:val="20"/>
        </w:rPr>
        <w:t>. In Appendix A the redshift function is derived theoretically. On this basis it is shown to be</w:t>
      </w:r>
      <w:r w:rsidR="00AB0824">
        <w:rPr>
          <w:noProof/>
          <w:sz w:val="20"/>
        </w:rPr>
        <w:t xml:space="preserve"> governe</w:t>
      </w:r>
      <w:r w:rsidR="00695FFA">
        <w:rPr>
          <w:noProof/>
          <w:sz w:val="20"/>
        </w:rPr>
        <w:t>d by the generation of Planck Pa</w:t>
      </w:r>
      <w:r w:rsidR="00AB0824">
        <w:rPr>
          <w:noProof/>
          <w:sz w:val="20"/>
        </w:rPr>
        <w:t>rticle Pairs through expansion and turbulence. Once turbulence has ceased, no more PPP are being formed</w:t>
      </w:r>
      <w:r w:rsidR="00695FFA">
        <w:rPr>
          <w:noProof/>
          <w:sz w:val="20"/>
        </w:rPr>
        <w:t xml:space="preserve">. This means that </w:t>
      </w:r>
      <w:r w:rsidR="00AB0824">
        <w:rPr>
          <w:noProof/>
          <w:sz w:val="20"/>
        </w:rPr>
        <w:t xml:space="preserve">the applicability of the equation derived in Appendix A </w:t>
      </w:r>
      <w:r w:rsidR="00D6785F">
        <w:rPr>
          <w:noProof/>
          <w:sz w:val="20"/>
        </w:rPr>
        <w:t xml:space="preserve">also </w:t>
      </w:r>
      <w:r w:rsidR="00AB0824">
        <w:rPr>
          <w:noProof/>
          <w:sz w:val="20"/>
        </w:rPr>
        <w:t xml:space="preserve">ceases </w:t>
      </w:r>
      <w:r w:rsidR="00695FFA">
        <w:rPr>
          <w:noProof/>
          <w:sz w:val="20"/>
        </w:rPr>
        <w:t>since</w:t>
      </w:r>
      <w:r w:rsidR="00AB0824">
        <w:rPr>
          <w:noProof/>
          <w:sz w:val="20"/>
        </w:rPr>
        <w:t xml:space="preserve"> </w:t>
      </w:r>
      <m:oMath>
        <m:r>
          <w:rPr>
            <w:rFonts w:ascii="Cambria Math" w:hAnsi="Cambria Math"/>
            <w:noProof/>
            <w:sz w:val="20"/>
          </w:rPr>
          <m:t>T = 0</m:t>
        </m:r>
      </m:oMath>
      <w:r w:rsidR="00AB0824">
        <w:rPr>
          <w:noProof/>
          <w:sz w:val="20"/>
        </w:rPr>
        <w:t xml:space="preserve"> and </w:t>
      </w:r>
      <m:oMath>
        <m:r>
          <w:rPr>
            <w:rFonts w:ascii="Cambria Math" w:hAnsi="Cambria Math"/>
            <w:noProof/>
            <w:sz w:val="20"/>
          </w:rPr>
          <m:t>z = 0</m:t>
        </m:r>
      </m:oMath>
      <w:r w:rsidR="00695FFA">
        <w:rPr>
          <w:noProof/>
          <w:sz w:val="20"/>
        </w:rPr>
        <w:t xml:space="preserve"> at that same instant.</w:t>
      </w:r>
      <w:r w:rsidR="00AB0824">
        <w:rPr>
          <w:noProof/>
          <w:sz w:val="20"/>
        </w:rPr>
        <w:t xml:space="preserve"> </w:t>
      </w:r>
      <w:r w:rsidR="00D6785F">
        <w:rPr>
          <w:noProof/>
          <w:sz w:val="20"/>
        </w:rPr>
        <w:t>F</w:t>
      </w:r>
      <w:r w:rsidR="00AB0824">
        <w:rPr>
          <w:noProof/>
          <w:sz w:val="20"/>
        </w:rPr>
        <w:t>rom that point</w:t>
      </w:r>
      <w:r w:rsidR="00695FFA">
        <w:rPr>
          <w:noProof/>
          <w:sz w:val="20"/>
        </w:rPr>
        <w:t xml:space="preserve"> on</w:t>
      </w:r>
      <w:r w:rsidR="00D6785F">
        <w:rPr>
          <w:noProof/>
          <w:sz w:val="20"/>
        </w:rPr>
        <w:t>,</w:t>
      </w:r>
      <w:r w:rsidR="00AB0824">
        <w:rPr>
          <w:noProof/>
          <w:sz w:val="20"/>
        </w:rPr>
        <w:t xml:space="preserve"> all the PPP that are left </w:t>
      </w:r>
      <w:r w:rsidR="00D6785F">
        <w:rPr>
          <w:noProof/>
          <w:sz w:val="20"/>
        </w:rPr>
        <w:t>will</w:t>
      </w:r>
      <w:r w:rsidR="00AB0824">
        <w:rPr>
          <w:noProof/>
          <w:sz w:val="20"/>
        </w:rPr>
        <w:t xml:space="preserve"> recombine</w:t>
      </w:r>
      <w:r w:rsidR="00D9672A">
        <w:rPr>
          <w:noProof/>
          <w:sz w:val="20"/>
        </w:rPr>
        <w:t>.</w:t>
      </w:r>
      <w:r w:rsidR="00AB0824">
        <w:rPr>
          <w:noProof/>
          <w:sz w:val="20"/>
        </w:rPr>
        <w:t xml:space="preserve"> </w:t>
      </w:r>
      <w:r w:rsidR="00D9672A">
        <w:rPr>
          <w:noProof/>
          <w:sz w:val="20"/>
        </w:rPr>
        <w:t>Each recombination will</w:t>
      </w:r>
      <w:r w:rsidR="00AB0824">
        <w:rPr>
          <w:noProof/>
          <w:sz w:val="20"/>
        </w:rPr>
        <w:t xml:space="preserve"> send out a pulse of </w:t>
      </w:r>
      <w:r w:rsidR="00D6785F">
        <w:rPr>
          <w:noProof/>
          <w:sz w:val="20"/>
        </w:rPr>
        <w:t xml:space="preserve">electromagnetic </w:t>
      </w:r>
      <w:r w:rsidR="00AB0824">
        <w:rPr>
          <w:noProof/>
          <w:sz w:val="20"/>
        </w:rPr>
        <w:t>energy</w:t>
      </w:r>
      <w:r w:rsidR="00D6785F">
        <w:rPr>
          <w:noProof/>
          <w:sz w:val="20"/>
        </w:rPr>
        <w:t xml:space="preserve"> equivalent to </w:t>
      </w:r>
      <w:r w:rsidR="00D9672A">
        <w:rPr>
          <w:noProof/>
          <w:sz w:val="20"/>
        </w:rPr>
        <w:t>its</w:t>
      </w:r>
      <w:r w:rsidR="00D6785F">
        <w:rPr>
          <w:noProof/>
          <w:sz w:val="20"/>
        </w:rPr>
        <w:t xml:space="preserve"> total energy. In this way the ZPE </w:t>
      </w:r>
      <w:r w:rsidR="00C64C26">
        <w:rPr>
          <w:noProof/>
          <w:sz w:val="20"/>
        </w:rPr>
        <w:t xml:space="preserve">continues to </w:t>
      </w:r>
      <w:r w:rsidR="00D6785F">
        <w:rPr>
          <w:noProof/>
          <w:sz w:val="20"/>
        </w:rPr>
        <w:t>build up from</w:t>
      </w:r>
      <w:r w:rsidR="00695FFA">
        <w:rPr>
          <w:noProof/>
          <w:sz w:val="20"/>
        </w:rPr>
        <w:t xml:space="preserve"> the time</w:t>
      </w:r>
      <w:r w:rsidR="00D6785F">
        <w:rPr>
          <w:noProof/>
          <w:sz w:val="20"/>
        </w:rPr>
        <w:t xml:space="preserve"> T = 0 </w:t>
      </w:r>
      <w:r w:rsidR="00E4694B">
        <w:rPr>
          <w:noProof/>
          <w:sz w:val="20"/>
        </w:rPr>
        <w:t xml:space="preserve">in equations (63) and (65) </w:t>
      </w:r>
      <w:r w:rsidR="00D6785F">
        <w:rPr>
          <w:noProof/>
          <w:sz w:val="20"/>
        </w:rPr>
        <w:t xml:space="preserve">to its maximum some time later. Once all PPP have recombined, the ZPE will have reached its maximum and will be maintained by the feedback mechanism mentioned in Chapter 1. Any oscillation of the universe, such as that which Narlikar and Arp propose, will then bring about an inverse oscillation in ZPE strength. </w:t>
      </w:r>
    </w:p>
    <w:p w:rsidR="00D6785F" w:rsidRDefault="00D6785F" w:rsidP="00AB0824">
      <w:pPr>
        <w:pStyle w:val="NormPara"/>
        <w:ind w:firstLine="720"/>
        <w:rPr>
          <w:noProof/>
          <w:sz w:val="20"/>
        </w:rPr>
      </w:pPr>
    </w:p>
    <w:p w:rsidR="00E31924" w:rsidRDefault="00E31924" w:rsidP="00E31924">
      <w:pPr>
        <w:pStyle w:val="NormPara"/>
        <w:ind w:firstLine="720"/>
        <w:rPr>
          <w:noProof/>
          <w:sz w:val="20"/>
        </w:rPr>
      </w:pPr>
      <w:r>
        <w:rPr>
          <w:noProof/>
          <w:sz w:val="20"/>
        </w:rPr>
        <w:t>Two things now need attention: first, the location in space where the redshift function ends, marking the end of PPP turbulence; second, the form of the ZPE build-up as a result of PPP recombination alone, without any more PPP being generated.</w:t>
      </w:r>
    </w:p>
    <w:p w:rsidR="000C469E" w:rsidRDefault="000C469E" w:rsidP="005F5718">
      <w:pPr>
        <w:pStyle w:val="NormPara"/>
        <w:ind w:firstLine="0"/>
        <w:rPr>
          <w:noProof/>
          <w:sz w:val="20"/>
        </w:rPr>
      </w:pPr>
    </w:p>
    <w:p w:rsidR="00265840" w:rsidRDefault="00265840" w:rsidP="004F0A10">
      <w:pPr>
        <w:pStyle w:val="NormPara"/>
        <w:numPr>
          <w:ilvl w:val="0"/>
          <w:numId w:val="63"/>
        </w:numPr>
        <w:rPr>
          <w:b/>
          <w:bCs/>
          <w:iCs/>
          <w:color w:val="000000"/>
          <w:sz w:val="20"/>
        </w:rPr>
      </w:pPr>
      <w:r w:rsidRPr="00372C58">
        <w:rPr>
          <w:b/>
          <w:bCs/>
          <w:iCs/>
          <w:color w:val="000000"/>
          <w:sz w:val="20"/>
        </w:rPr>
        <w:t>Where the Redshift Function Ends</w:t>
      </w:r>
    </w:p>
    <w:p w:rsidR="004F0A10" w:rsidRDefault="004F0A10" w:rsidP="004E3FBF">
      <w:pPr>
        <w:pStyle w:val="NormalWeb"/>
        <w:ind w:firstLine="720"/>
        <w:jc w:val="both"/>
        <w:rPr>
          <w:rFonts w:ascii="Book Antiqua" w:hAnsi="Book Antiqua"/>
          <w:sz w:val="20"/>
          <w:szCs w:val="20"/>
        </w:rPr>
      </w:pPr>
      <w:r w:rsidRPr="00372C58">
        <w:rPr>
          <w:rFonts w:ascii="Book Antiqua" w:hAnsi="Book Antiqua"/>
          <w:sz w:val="20"/>
          <w:szCs w:val="20"/>
        </w:rPr>
        <w:t xml:space="preserve">Our Milky Way Galaxy is </w:t>
      </w:r>
      <w:r>
        <w:rPr>
          <w:rFonts w:ascii="Book Antiqua" w:hAnsi="Book Antiqua"/>
          <w:sz w:val="20"/>
          <w:szCs w:val="20"/>
        </w:rPr>
        <w:t xml:space="preserve">a </w:t>
      </w:r>
      <w:r w:rsidRPr="00372C58">
        <w:rPr>
          <w:rFonts w:ascii="Book Antiqua" w:hAnsi="Book Antiqua"/>
          <w:sz w:val="20"/>
          <w:szCs w:val="20"/>
        </w:rPr>
        <w:t>part of</w:t>
      </w:r>
      <w:r>
        <w:rPr>
          <w:rFonts w:ascii="Book Antiqua" w:hAnsi="Book Antiqua"/>
          <w:sz w:val="20"/>
          <w:szCs w:val="20"/>
        </w:rPr>
        <w:t xml:space="preserve"> a small cluster of galaxies called</w:t>
      </w:r>
      <w:r w:rsidRPr="00372C58">
        <w:rPr>
          <w:rFonts w:ascii="Book Antiqua" w:hAnsi="Book Antiqua"/>
          <w:sz w:val="20"/>
          <w:szCs w:val="20"/>
        </w:rPr>
        <w:t xml:space="preserve"> the Local Group. These are represented by the white dots near the center of Figure 1</w:t>
      </w:r>
      <w:r w:rsidR="003D33FE">
        <w:rPr>
          <w:rFonts w:ascii="Book Antiqua" w:hAnsi="Book Antiqua"/>
          <w:sz w:val="20"/>
          <w:szCs w:val="20"/>
        </w:rPr>
        <w:t>8</w:t>
      </w:r>
      <w:r w:rsidRPr="00372C58">
        <w:rPr>
          <w:rFonts w:ascii="Book Antiqua" w:hAnsi="Book Antiqua"/>
          <w:sz w:val="20"/>
          <w:szCs w:val="20"/>
        </w:rPr>
        <w:t xml:space="preserve">. </w:t>
      </w:r>
      <w:r>
        <w:rPr>
          <w:rFonts w:ascii="Book Antiqua" w:hAnsi="Book Antiqua"/>
          <w:sz w:val="20"/>
          <w:szCs w:val="20"/>
        </w:rPr>
        <w:t>Our Local Group comprises some 45 members, mainly small dwarf-type galaxies. There are only three large members: our own Milky Way system, and the Andromeda and Triangiulum spirals (both of which are a</w:t>
      </w:r>
      <w:r w:rsidR="00725277">
        <w:rPr>
          <w:rFonts w:ascii="Book Antiqua" w:hAnsi="Book Antiqua"/>
          <w:sz w:val="20"/>
          <w:szCs w:val="20"/>
        </w:rPr>
        <w:t>pproximately</w:t>
      </w:r>
      <w:r>
        <w:rPr>
          <w:rFonts w:ascii="Book Antiqua" w:hAnsi="Book Antiqua"/>
          <w:sz w:val="20"/>
          <w:szCs w:val="20"/>
        </w:rPr>
        <w:t xml:space="preserve"> as large as our galaxy). </w:t>
      </w:r>
    </w:p>
    <w:p w:rsidR="004F0A10" w:rsidRPr="00372C58"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The sketch in Figure 1</w:t>
      </w:r>
      <w:r w:rsidR="00964143">
        <w:rPr>
          <w:rFonts w:ascii="Book Antiqua" w:hAnsi="Book Antiqua"/>
          <w:sz w:val="20"/>
          <w:szCs w:val="20"/>
        </w:rPr>
        <w:t>8</w:t>
      </w:r>
      <w:r w:rsidRPr="00372C58">
        <w:rPr>
          <w:rFonts w:ascii="Book Antiqua" w:hAnsi="Book Antiqua"/>
          <w:sz w:val="20"/>
          <w:szCs w:val="20"/>
        </w:rPr>
        <w:t xml:space="preserve"> shows how far, in light years, the nearest main groups of galaxies are in relation to our Local Group.</w:t>
      </w:r>
      <w:r>
        <w:rPr>
          <w:rFonts w:ascii="Book Antiqua" w:hAnsi="Book Antiqua"/>
          <w:sz w:val="20"/>
          <w:szCs w:val="20"/>
        </w:rPr>
        <w:t xml:space="preserve"> </w:t>
      </w:r>
      <w:r w:rsidR="00725277">
        <w:rPr>
          <w:rFonts w:ascii="Book Antiqua" w:hAnsi="Book Antiqua"/>
          <w:sz w:val="20"/>
          <w:szCs w:val="20"/>
        </w:rPr>
        <w:t>It has been</w:t>
      </w:r>
      <w:r w:rsidRPr="00372C58">
        <w:rPr>
          <w:rFonts w:ascii="Book Antiqua" w:hAnsi="Book Antiqua"/>
          <w:sz w:val="20"/>
          <w:szCs w:val="20"/>
        </w:rPr>
        <w:t xml:space="preserve"> mentioned that the quantized redshift effect makes it difficult to imagine the universe expanding in fits and starts. However, if we look at the illustration above, there is something that needs to be added</w:t>
      </w:r>
      <w:r>
        <w:rPr>
          <w:rFonts w:ascii="Book Antiqua" w:hAnsi="Book Antiqua"/>
          <w:sz w:val="20"/>
          <w:szCs w:val="20"/>
        </w:rPr>
        <w:t>.</w:t>
      </w:r>
      <w:r w:rsidRPr="00372C58">
        <w:rPr>
          <w:rFonts w:ascii="Book Antiqua" w:hAnsi="Book Antiqua"/>
          <w:sz w:val="20"/>
          <w:szCs w:val="20"/>
        </w:rPr>
        <w:t xml:space="preserve"> The smallest arrow going out from the center is the one that stops at the M81 group, </w:t>
      </w:r>
      <w:r>
        <w:rPr>
          <w:rFonts w:ascii="Book Antiqua" w:hAnsi="Book Antiqua"/>
          <w:sz w:val="20"/>
          <w:szCs w:val="20"/>
        </w:rPr>
        <w:t>some</w:t>
      </w:r>
      <w:r w:rsidRPr="00372C58">
        <w:rPr>
          <w:rFonts w:ascii="Book Antiqua" w:hAnsi="Book Antiqua"/>
          <w:sz w:val="20"/>
          <w:szCs w:val="20"/>
        </w:rPr>
        <w:t xml:space="preserve"> 11 million light years away. As we go out from our own galaxy, it is not until we reach this distance that the red shift becomes noticeable. </w:t>
      </w:r>
    </w:p>
    <w:p w:rsidR="004F0A10"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Closer than that</w:t>
      </w:r>
      <w:r>
        <w:rPr>
          <w:rFonts w:ascii="Book Antiqua" w:hAnsi="Book Antiqua"/>
          <w:sz w:val="20"/>
          <w:szCs w:val="20"/>
        </w:rPr>
        <w:t xml:space="preserve"> location in space</w:t>
      </w:r>
      <w:r w:rsidRPr="00372C58">
        <w:rPr>
          <w:rFonts w:ascii="Book Antiqua" w:hAnsi="Book Antiqua"/>
          <w:sz w:val="20"/>
          <w:szCs w:val="20"/>
        </w:rPr>
        <w:t xml:space="preserve">, and </w:t>
      </w:r>
      <w:r>
        <w:rPr>
          <w:rFonts w:ascii="Book Antiqua" w:hAnsi="Book Antiqua"/>
          <w:sz w:val="20"/>
          <w:szCs w:val="20"/>
        </w:rPr>
        <w:t>with</w:t>
      </w:r>
      <w:r w:rsidRPr="00372C58">
        <w:rPr>
          <w:rFonts w:ascii="Book Antiqua" w:hAnsi="Book Antiqua"/>
          <w:sz w:val="20"/>
          <w:szCs w:val="20"/>
        </w:rPr>
        <w:t xml:space="preserve">in our own Local Group of galaxies, there is a </w:t>
      </w:r>
      <w:r>
        <w:rPr>
          <w:rFonts w:ascii="Book Antiqua" w:hAnsi="Book Antiqua"/>
          <w:sz w:val="20"/>
          <w:szCs w:val="20"/>
        </w:rPr>
        <w:t>genuine</w:t>
      </w:r>
      <w:r w:rsidRPr="00372C58">
        <w:rPr>
          <w:rFonts w:ascii="Book Antiqua" w:hAnsi="Book Antiqua"/>
          <w:sz w:val="20"/>
          <w:szCs w:val="20"/>
        </w:rPr>
        <w:t xml:space="preserve"> Doppler effect caused by the movement of galaxies towards us and away from us. Thus, within this distance, we have both red and blue shifts which are indicative of movement. However, starting from within the M81 group and going further out, </w:t>
      </w:r>
      <w:r>
        <w:rPr>
          <w:rFonts w:ascii="Book Antiqua" w:hAnsi="Book Antiqua"/>
          <w:sz w:val="20"/>
          <w:szCs w:val="20"/>
        </w:rPr>
        <w:t>there is a consistently increasing red shift function, and it is that with which we are dealing here.  For purposes of clarification, this will be referred to as the cosmic red shift function.</w:t>
      </w:r>
    </w:p>
    <w:p w:rsidR="004F0A10" w:rsidRPr="00372C58" w:rsidRDefault="004F0A10" w:rsidP="004F0A10">
      <w:pPr>
        <w:pStyle w:val="NormalWeb"/>
        <w:ind w:firstLine="720"/>
        <w:jc w:val="both"/>
        <w:rPr>
          <w:rFonts w:ascii="Book Antiqua" w:hAnsi="Book Antiqua"/>
          <w:sz w:val="20"/>
          <w:szCs w:val="20"/>
        </w:rPr>
      </w:pPr>
      <w:r w:rsidRPr="00372C58">
        <w:rPr>
          <w:rFonts w:ascii="Book Antiqua" w:hAnsi="Book Antiqua"/>
          <w:sz w:val="20"/>
          <w:szCs w:val="20"/>
        </w:rPr>
        <w:t>There are</w:t>
      </w:r>
      <w:r>
        <w:rPr>
          <w:rFonts w:ascii="Book Antiqua" w:hAnsi="Book Antiqua"/>
          <w:sz w:val="20"/>
          <w:szCs w:val="20"/>
        </w:rPr>
        <w:t xml:space="preserve"> </w:t>
      </w:r>
      <w:r w:rsidRPr="00372C58">
        <w:rPr>
          <w:rFonts w:ascii="Book Antiqua" w:hAnsi="Book Antiqua"/>
          <w:sz w:val="20"/>
          <w:szCs w:val="20"/>
        </w:rPr>
        <w:t>two other groups not shown on Figure 1</w:t>
      </w:r>
      <w:r w:rsidR="003D33FE">
        <w:rPr>
          <w:rFonts w:ascii="Book Antiqua" w:hAnsi="Book Antiqua"/>
          <w:sz w:val="20"/>
          <w:szCs w:val="20"/>
        </w:rPr>
        <w:t>8</w:t>
      </w:r>
      <w:r w:rsidRPr="00372C58">
        <w:rPr>
          <w:rFonts w:ascii="Book Antiqua" w:hAnsi="Book Antiqua"/>
          <w:sz w:val="20"/>
          <w:szCs w:val="20"/>
        </w:rPr>
        <w:t>; one is slightly closer than the M81 group, and one is a little further away. The closer galaxy cluster is the Maffei group made up of 24 members. In 2007 the best distance determination was done and that placed the group about 9.29 million light years away [87]. Of those 24 members, 17 have a blueshift and 7 have a redshift [88]. From the avai</w:t>
      </w:r>
      <w:r>
        <w:rPr>
          <w:rFonts w:ascii="Book Antiqua" w:hAnsi="Book Antiqua"/>
          <w:sz w:val="20"/>
          <w:szCs w:val="20"/>
        </w:rPr>
        <w:t>l</w:t>
      </w:r>
      <w:r w:rsidRPr="00372C58">
        <w:rPr>
          <w:rFonts w:ascii="Book Antiqua" w:hAnsi="Book Antiqua"/>
          <w:sz w:val="20"/>
          <w:szCs w:val="20"/>
        </w:rPr>
        <w:t xml:space="preserve">able data, the average blueshift is 106.4 km/s while the average </w:t>
      </w:r>
    </w:p>
    <w:p w:rsidR="00265840" w:rsidRPr="00372C58" w:rsidRDefault="00842382" w:rsidP="00265840">
      <w:pPr>
        <w:pStyle w:val="NormalWeb"/>
        <w:jc w:val="center"/>
        <w:rPr>
          <w:rFonts w:ascii="Book Antiqua" w:hAnsi="Book Antiqua"/>
          <w:sz w:val="20"/>
          <w:szCs w:val="20"/>
        </w:rPr>
      </w:pPr>
      <w:r w:rsidRPr="00372C58">
        <w:rPr>
          <w:rFonts w:ascii="Book Antiqua" w:hAnsi="Book Antiqua"/>
          <w:noProof/>
          <w:sz w:val="20"/>
          <w:szCs w:val="20"/>
        </w:rPr>
        <w:lastRenderedPageBreak/>
        <w:drawing>
          <wp:inline distT="0" distB="0" distL="0" distR="0">
            <wp:extent cx="4972050" cy="3514725"/>
            <wp:effectExtent l="19050" t="0" r="0" b="0"/>
            <wp:docPr id="768" name="Picture 768" descr="File:Local supercluster-ly.jpg"/>
            <wp:cNvGraphicFramePr/>
            <a:graphic xmlns:a="http://schemas.openxmlformats.org/drawingml/2006/main">
              <a:graphicData uri="http://schemas.openxmlformats.org/drawingml/2006/picture">
                <pic:pic xmlns:pic="http://schemas.openxmlformats.org/drawingml/2006/picture">
                  <pic:nvPicPr>
                    <pic:cNvPr id="4" name="Picture 3" descr="File:Local supercluster-ly.jpg"/>
                    <pic:cNvPicPr/>
                  </pic:nvPicPr>
                  <pic:blipFill>
                    <a:blip r:embed="rId230" cstate="print">
                      <a:lum contrast="-10000"/>
                    </a:blip>
                    <a:srcRect/>
                    <a:stretch>
                      <a:fillRect/>
                    </a:stretch>
                  </pic:blipFill>
                  <pic:spPr bwMode="auto">
                    <a:xfrm>
                      <a:off x="0" y="0"/>
                      <a:ext cx="4975583" cy="3517222"/>
                    </a:xfrm>
                    <a:prstGeom prst="rect">
                      <a:avLst/>
                    </a:prstGeom>
                    <a:noFill/>
                    <a:ln w="9525">
                      <a:noFill/>
                      <a:miter lim="800000"/>
                      <a:headEnd/>
                      <a:tailEnd/>
                    </a:ln>
                  </pic:spPr>
                </pic:pic>
              </a:graphicData>
            </a:graphic>
          </wp:inline>
        </w:drawing>
      </w:r>
    </w:p>
    <w:p w:rsidR="00265840" w:rsidRPr="004223A5" w:rsidRDefault="00265840" w:rsidP="00F06E96">
      <w:pPr>
        <w:pStyle w:val="NormalWeb"/>
        <w:jc w:val="center"/>
        <w:rPr>
          <w:rStyle w:val="Strong"/>
          <w:rFonts w:ascii="Book Antiqua" w:hAnsi="Book Antiqua"/>
          <w:b w:val="0"/>
          <w:i/>
          <w:sz w:val="18"/>
          <w:szCs w:val="18"/>
        </w:rPr>
      </w:pPr>
      <w:r w:rsidRPr="004223A5">
        <w:rPr>
          <w:rStyle w:val="Strong"/>
          <w:rFonts w:ascii="Book Antiqua" w:hAnsi="Book Antiqua"/>
          <w:i/>
          <w:sz w:val="18"/>
          <w:szCs w:val="18"/>
        </w:rPr>
        <w:t>Figure 1</w:t>
      </w:r>
      <w:r w:rsidR="003D33FE">
        <w:rPr>
          <w:rStyle w:val="Strong"/>
          <w:rFonts w:ascii="Book Antiqua" w:hAnsi="Book Antiqua"/>
          <w:i/>
          <w:sz w:val="18"/>
          <w:szCs w:val="18"/>
        </w:rPr>
        <w:t>8</w:t>
      </w:r>
      <w:r w:rsidRPr="004223A5">
        <w:rPr>
          <w:rStyle w:val="Strong"/>
          <w:rFonts w:ascii="Book Antiqua" w:hAnsi="Book Antiqua"/>
          <w:i/>
          <w:sz w:val="18"/>
          <w:szCs w:val="18"/>
        </w:rPr>
        <w:t>:</w:t>
      </w:r>
      <w:r w:rsidRPr="004223A5">
        <w:rPr>
          <w:rStyle w:val="Strong"/>
          <w:rFonts w:ascii="Book Antiqua" w:hAnsi="Book Antiqua"/>
          <w:b w:val="0"/>
          <w:i/>
          <w:sz w:val="18"/>
          <w:szCs w:val="18"/>
        </w:rPr>
        <w:t xml:space="preserve"> Position of nearby main galaxy groups compared with our Local Group of galaxies.</w:t>
      </w:r>
    </w:p>
    <w:p w:rsidR="00725277" w:rsidRDefault="00725277" w:rsidP="00725277">
      <w:pPr>
        <w:pStyle w:val="NormalWeb"/>
        <w:jc w:val="both"/>
        <w:rPr>
          <w:rFonts w:ascii="Book Antiqua" w:hAnsi="Book Antiqua"/>
          <w:sz w:val="20"/>
          <w:szCs w:val="20"/>
        </w:rPr>
      </w:pPr>
      <w:r w:rsidRPr="00372C58">
        <w:rPr>
          <w:rFonts w:ascii="Book Antiqua" w:hAnsi="Book Antiqua"/>
          <w:sz w:val="20"/>
          <w:szCs w:val="20"/>
        </w:rPr>
        <w:t>redshift is 50.0 km/s. The average velocity of the whole group is a blue shift</w:t>
      </w:r>
      <w:r>
        <w:rPr>
          <w:rFonts w:ascii="Book Antiqua" w:hAnsi="Book Antiqua"/>
          <w:sz w:val="20"/>
          <w:szCs w:val="20"/>
        </w:rPr>
        <w:t>,</w:t>
      </w:r>
      <w:r w:rsidRPr="00372C58">
        <w:rPr>
          <w:rFonts w:ascii="Book Antiqua" w:hAnsi="Book Antiqua"/>
          <w:sz w:val="20"/>
          <w:szCs w:val="20"/>
        </w:rPr>
        <w:t xml:space="preserve"> or velocity of approach</w:t>
      </w:r>
      <w:r>
        <w:rPr>
          <w:rFonts w:ascii="Book Antiqua" w:hAnsi="Book Antiqua"/>
          <w:sz w:val="20"/>
          <w:szCs w:val="20"/>
        </w:rPr>
        <w:t>,</w:t>
      </w:r>
      <w:r w:rsidRPr="00372C58">
        <w:rPr>
          <w:rFonts w:ascii="Book Antiqua" w:hAnsi="Book Antiqua"/>
          <w:sz w:val="20"/>
          <w:szCs w:val="20"/>
        </w:rPr>
        <w:t xml:space="preserve"> of 60.79 km/s. With these data, it seems as if the Maffei group is not participating in the </w:t>
      </w:r>
      <w:r>
        <w:rPr>
          <w:rFonts w:ascii="Book Antiqua" w:hAnsi="Book Antiqua"/>
          <w:sz w:val="20"/>
          <w:szCs w:val="20"/>
        </w:rPr>
        <w:t xml:space="preserve">cosmic </w:t>
      </w:r>
      <w:r w:rsidRPr="00372C58">
        <w:rPr>
          <w:rFonts w:ascii="Book Antiqua" w:hAnsi="Book Antiqua"/>
          <w:sz w:val="20"/>
          <w:szCs w:val="20"/>
        </w:rPr>
        <w:t>redshift function</w:t>
      </w:r>
      <w:r>
        <w:rPr>
          <w:rFonts w:ascii="Book Antiqua" w:hAnsi="Book Antiqua"/>
          <w:sz w:val="20"/>
          <w:szCs w:val="20"/>
        </w:rPr>
        <w:t>, and so represents a point in time and space after T = 0 in equations (63) and (65)</w:t>
      </w:r>
      <w:r w:rsidRPr="00372C58">
        <w:rPr>
          <w:rFonts w:ascii="Book Antiqua" w:hAnsi="Book Antiqua"/>
          <w:sz w:val="20"/>
          <w:szCs w:val="20"/>
        </w:rPr>
        <w:t>.</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On the other hand, the Sculptor group</w:t>
      </w:r>
      <w:r>
        <w:rPr>
          <w:rFonts w:ascii="Book Antiqua" w:hAnsi="Book Antiqua"/>
          <w:sz w:val="20"/>
          <w:szCs w:val="20"/>
        </w:rPr>
        <w:t xml:space="preserve">, at a distance of 12.7 million light years [89], </w:t>
      </w:r>
      <w:r w:rsidRPr="00372C58">
        <w:rPr>
          <w:rFonts w:ascii="Book Antiqua" w:hAnsi="Book Antiqua"/>
          <w:sz w:val="20"/>
          <w:szCs w:val="20"/>
        </w:rPr>
        <w:t>is further away than the M81 group</w:t>
      </w:r>
      <w:r>
        <w:rPr>
          <w:rFonts w:ascii="Book Antiqua" w:hAnsi="Book Antiqua"/>
          <w:sz w:val="20"/>
          <w:szCs w:val="20"/>
        </w:rPr>
        <w:t>.</w:t>
      </w:r>
      <w:r w:rsidRPr="00372C58">
        <w:rPr>
          <w:rFonts w:ascii="Book Antiqua" w:hAnsi="Book Antiqua"/>
          <w:sz w:val="20"/>
          <w:szCs w:val="20"/>
        </w:rPr>
        <w:t xml:space="preserve"> This group has 13 members and they all have recession velocities; the average redshift value for the whole cliuster is 292.1 km/s [90]. The next closest cluster of galaxies, the M101 Group, is situated 24 million light years away and has 15 members including M51 and M63 [91].</w:t>
      </w:r>
      <w:r>
        <w:rPr>
          <w:rFonts w:ascii="Book Antiqua" w:hAnsi="Book Antiqua"/>
          <w:sz w:val="20"/>
          <w:szCs w:val="20"/>
        </w:rPr>
        <w:t xml:space="preserve"> </w:t>
      </w:r>
      <w:r w:rsidRPr="00372C58">
        <w:rPr>
          <w:rFonts w:ascii="Book Antiqua" w:hAnsi="Book Antiqua"/>
          <w:sz w:val="20"/>
          <w:szCs w:val="20"/>
        </w:rPr>
        <w:t xml:space="preserve"> </w:t>
      </w:r>
      <w:r>
        <w:rPr>
          <w:rFonts w:ascii="Book Antiqua" w:hAnsi="Book Antiqua"/>
          <w:sz w:val="20"/>
          <w:szCs w:val="20"/>
        </w:rPr>
        <w:t>T</w:t>
      </w:r>
      <w:r w:rsidRPr="00372C58">
        <w:rPr>
          <w:rFonts w:ascii="Book Antiqua" w:hAnsi="Book Antiqua"/>
          <w:sz w:val="20"/>
          <w:szCs w:val="20"/>
        </w:rPr>
        <w:t xml:space="preserve">he average redshift of all </w:t>
      </w:r>
      <w:r>
        <w:rPr>
          <w:rFonts w:ascii="Book Antiqua" w:hAnsi="Book Antiqua"/>
          <w:sz w:val="20"/>
          <w:szCs w:val="20"/>
        </w:rPr>
        <w:t xml:space="preserve">its </w:t>
      </w:r>
      <w:r w:rsidRPr="00372C58">
        <w:rPr>
          <w:rFonts w:ascii="Book Antiqua" w:hAnsi="Book Antiqua"/>
          <w:sz w:val="20"/>
          <w:szCs w:val="20"/>
        </w:rPr>
        <w:t>members is 492.1 km/s.</w:t>
      </w:r>
      <w:r>
        <w:rPr>
          <w:rFonts w:ascii="Book Antiqua" w:hAnsi="Book Antiqua"/>
          <w:sz w:val="20"/>
          <w:szCs w:val="20"/>
        </w:rPr>
        <w:t xml:space="preserve"> </w:t>
      </w:r>
      <w:r w:rsidRPr="00372C58">
        <w:rPr>
          <w:rFonts w:ascii="Book Antiqua" w:hAnsi="Book Antiqua"/>
          <w:sz w:val="20"/>
          <w:szCs w:val="20"/>
        </w:rPr>
        <w:t xml:space="preserve">There are no blueshifts in </w:t>
      </w:r>
      <w:r w:rsidR="009B2638">
        <w:rPr>
          <w:rFonts w:ascii="Book Antiqua" w:hAnsi="Book Antiqua"/>
          <w:sz w:val="20"/>
          <w:szCs w:val="20"/>
        </w:rPr>
        <w:t xml:space="preserve">either of these galaxy </w:t>
      </w:r>
      <w:r>
        <w:rPr>
          <w:rFonts w:ascii="Book Antiqua" w:hAnsi="Book Antiqua"/>
          <w:sz w:val="20"/>
          <w:szCs w:val="20"/>
        </w:rPr>
        <w:t>clusters</w:t>
      </w:r>
      <w:r w:rsidRPr="00372C58">
        <w:rPr>
          <w:rFonts w:ascii="Book Antiqua" w:hAnsi="Book Antiqua"/>
          <w:sz w:val="20"/>
          <w:szCs w:val="20"/>
        </w:rPr>
        <w:t xml:space="preserve">, </w:t>
      </w:r>
      <w:r>
        <w:rPr>
          <w:rFonts w:ascii="Book Antiqua" w:hAnsi="Book Antiqua"/>
          <w:sz w:val="20"/>
          <w:szCs w:val="20"/>
        </w:rPr>
        <w:t>and so i</w:t>
      </w:r>
      <w:r w:rsidRPr="00372C58">
        <w:rPr>
          <w:rFonts w:ascii="Book Antiqua" w:hAnsi="Book Antiqua"/>
          <w:sz w:val="20"/>
          <w:szCs w:val="20"/>
        </w:rPr>
        <w:t>t is therefore apparent that the</w:t>
      </w:r>
      <w:r>
        <w:rPr>
          <w:rFonts w:ascii="Book Antiqua" w:hAnsi="Book Antiqua"/>
          <w:sz w:val="20"/>
          <w:szCs w:val="20"/>
        </w:rPr>
        <w:t xml:space="preserve"> cosmic</w:t>
      </w:r>
      <w:r w:rsidRPr="00372C58">
        <w:rPr>
          <w:rFonts w:ascii="Book Antiqua" w:hAnsi="Book Antiqua"/>
          <w:sz w:val="20"/>
          <w:szCs w:val="20"/>
        </w:rPr>
        <w:t xml:space="preserve"> redshift function is fully operational at these distances. </w:t>
      </w:r>
    </w:p>
    <w:p w:rsidR="00E31924" w:rsidRPr="00372C58" w:rsidRDefault="00E31924" w:rsidP="00E31924">
      <w:pPr>
        <w:pStyle w:val="NormalWeb"/>
        <w:ind w:firstLine="720"/>
        <w:jc w:val="both"/>
        <w:rPr>
          <w:rFonts w:ascii="Book Antiqua" w:hAnsi="Book Antiqua"/>
          <w:sz w:val="20"/>
          <w:szCs w:val="20"/>
        </w:rPr>
      </w:pPr>
      <w:r w:rsidRPr="00372C58">
        <w:rPr>
          <w:rFonts w:ascii="Book Antiqua" w:hAnsi="Book Antiqua"/>
          <w:sz w:val="20"/>
          <w:szCs w:val="20"/>
        </w:rPr>
        <w:t xml:space="preserve">So </w:t>
      </w:r>
      <w:r>
        <w:rPr>
          <w:rFonts w:ascii="Book Antiqua" w:hAnsi="Book Antiqua"/>
          <w:sz w:val="20"/>
          <w:szCs w:val="20"/>
        </w:rPr>
        <w:t xml:space="preserve">it is </w:t>
      </w:r>
      <w:r w:rsidRPr="00372C58">
        <w:rPr>
          <w:rFonts w:ascii="Book Antiqua" w:hAnsi="Book Antiqua"/>
          <w:sz w:val="20"/>
          <w:szCs w:val="20"/>
        </w:rPr>
        <w:t>somewhere between 9.29 and 12.7 million light years out from our Galaxy</w:t>
      </w:r>
      <w:r>
        <w:rPr>
          <w:rFonts w:ascii="Book Antiqua" w:hAnsi="Book Antiqua"/>
          <w:sz w:val="20"/>
          <w:szCs w:val="20"/>
        </w:rPr>
        <w:t xml:space="preserve"> that</w:t>
      </w:r>
      <w:r w:rsidRPr="00372C58">
        <w:rPr>
          <w:rFonts w:ascii="Book Antiqua" w:hAnsi="Book Antiqua"/>
          <w:sz w:val="20"/>
          <w:szCs w:val="20"/>
        </w:rPr>
        <w:t xml:space="preserve"> the </w:t>
      </w:r>
      <w:r>
        <w:rPr>
          <w:rFonts w:ascii="Book Antiqua" w:hAnsi="Book Antiqua"/>
          <w:sz w:val="20"/>
          <w:szCs w:val="20"/>
        </w:rPr>
        <w:t xml:space="preserve">cosmic </w:t>
      </w:r>
      <w:r w:rsidRPr="00372C58">
        <w:rPr>
          <w:rFonts w:ascii="Book Antiqua" w:hAnsi="Book Antiqua"/>
          <w:sz w:val="20"/>
          <w:szCs w:val="20"/>
        </w:rPr>
        <w:t>redshift function seems to begin. It is at this point that the M81 group</w:t>
      </w:r>
      <w:r>
        <w:rPr>
          <w:rFonts w:ascii="Book Antiqua" w:hAnsi="Book Antiqua"/>
          <w:sz w:val="20"/>
          <w:szCs w:val="20"/>
        </w:rPr>
        <w:t>, at 11.74 million light years away,</w:t>
      </w:r>
      <w:r w:rsidRPr="00372C58">
        <w:rPr>
          <w:rFonts w:ascii="Book Antiqua" w:hAnsi="Book Antiqua"/>
          <w:sz w:val="20"/>
          <w:szCs w:val="20"/>
        </w:rPr>
        <w:t xml:space="preserve"> assumes some importance</w:t>
      </w:r>
      <w:r>
        <w:rPr>
          <w:rFonts w:ascii="Book Antiqua" w:hAnsi="Book Antiqua"/>
          <w:sz w:val="20"/>
          <w:szCs w:val="20"/>
        </w:rPr>
        <w:t xml:space="preserve"> [89]</w:t>
      </w:r>
      <w:r w:rsidRPr="00372C58">
        <w:rPr>
          <w:rFonts w:ascii="Book Antiqua" w:hAnsi="Book Antiqua"/>
          <w:sz w:val="20"/>
          <w:szCs w:val="20"/>
        </w:rPr>
        <w:t>. There are 34 galaxies in the M81 group</w:t>
      </w:r>
      <w:r>
        <w:rPr>
          <w:rFonts w:ascii="Book Antiqua" w:hAnsi="Book Antiqua"/>
          <w:sz w:val="20"/>
          <w:szCs w:val="20"/>
        </w:rPr>
        <w:t xml:space="preserve">. </w:t>
      </w:r>
      <w:r w:rsidRPr="00372C58">
        <w:rPr>
          <w:rFonts w:ascii="Book Antiqua" w:hAnsi="Book Antiqua"/>
          <w:sz w:val="20"/>
          <w:szCs w:val="20"/>
        </w:rPr>
        <w:t>Of these 34, only 7 have blueshifts, mostly small [90]. The average “velocity” of the whole group is a 44.6 km/s recession</w:t>
      </w:r>
      <w:r>
        <w:rPr>
          <w:rFonts w:ascii="Book Antiqua" w:hAnsi="Book Antiqua"/>
          <w:sz w:val="20"/>
          <w:szCs w:val="20"/>
        </w:rPr>
        <w:t>, indicating a net red shift</w:t>
      </w:r>
      <w:r w:rsidRPr="00372C58">
        <w:rPr>
          <w:rFonts w:ascii="Book Antiqua" w:hAnsi="Book Antiqua"/>
          <w:sz w:val="20"/>
          <w:szCs w:val="20"/>
        </w:rPr>
        <w:t xml:space="preserve"> [92]. There is no more blue shifting in galaxy groups further out than the M81 group, only red shifting. So it is at the M81 group that the </w:t>
      </w:r>
      <w:r>
        <w:rPr>
          <w:rFonts w:ascii="Book Antiqua" w:hAnsi="Book Antiqua"/>
          <w:sz w:val="20"/>
          <w:szCs w:val="20"/>
        </w:rPr>
        <w:t xml:space="preserve">cosmic </w:t>
      </w:r>
      <w:r w:rsidRPr="00372C58">
        <w:rPr>
          <w:rFonts w:ascii="Book Antiqua" w:hAnsi="Book Antiqua"/>
          <w:sz w:val="20"/>
          <w:szCs w:val="20"/>
        </w:rPr>
        <w:t xml:space="preserve">redshift function seems to start. </w:t>
      </w:r>
    </w:p>
    <w:p w:rsidR="00E31924" w:rsidRDefault="00E31924" w:rsidP="00E31924">
      <w:pPr>
        <w:pStyle w:val="NormalWeb"/>
        <w:ind w:firstLine="720"/>
        <w:jc w:val="both"/>
        <w:rPr>
          <w:rFonts w:ascii="Book Antiqua" w:hAnsi="Book Antiqua"/>
          <w:sz w:val="20"/>
          <w:szCs w:val="20"/>
        </w:rPr>
      </w:pPr>
      <w:r>
        <w:rPr>
          <w:rFonts w:ascii="Book Antiqua" w:hAnsi="Book Antiqua"/>
          <w:sz w:val="20"/>
          <w:szCs w:val="20"/>
        </w:rPr>
        <w:t>Since</w:t>
      </w:r>
      <w:r w:rsidRPr="00B30B81">
        <w:rPr>
          <w:rFonts w:ascii="Book Antiqua" w:hAnsi="Book Antiqua"/>
          <w:sz w:val="20"/>
          <w:szCs w:val="20"/>
        </w:rPr>
        <w:t xml:space="preserve"> the M81 group is 11.74 million light years away</w:t>
      </w:r>
      <w:r>
        <w:rPr>
          <w:rFonts w:ascii="Book Antiqua" w:hAnsi="Book Antiqua"/>
          <w:sz w:val="20"/>
          <w:szCs w:val="20"/>
        </w:rPr>
        <w:t>,</w:t>
      </w:r>
      <w:r w:rsidRPr="00B30B81">
        <w:rPr>
          <w:rFonts w:ascii="Book Antiqua" w:hAnsi="Book Antiqua"/>
          <w:sz w:val="20"/>
          <w:szCs w:val="20"/>
        </w:rPr>
        <w:t xml:space="preserve"> we have a gap of about 11.74 million light years between us and where the </w:t>
      </w:r>
      <w:r>
        <w:rPr>
          <w:rFonts w:ascii="Book Antiqua" w:hAnsi="Book Antiqua"/>
          <w:sz w:val="20"/>
          <w:szCs w:val="20"/>
        </w:rPr>
        <w:t xml:space="preserve">cosmic </w:t>
      </w:r>
      <w:r w:rsidRPr="00B30B81">
        <w:rPr>
          <w:rFonts w:ascii="Book Antiqua" w:hAnsi="Book Antiqua"/>
          <w:sz w:val="20"/>
          <w:szCs w:val="20"/>
        </w:rPr>
        <w:t xml:space="preserve">red shift function actually starts. </w:t>
      </w:r>
      <w:r>
        <w:rPr>
          <w:rFonts w:ascii="Book Antiqua" w:hAnsi="Book Antiqua"/>
          <w:sz w:val="20"/>
          <w:szCs w:val="20"/>
        </w:rPr>
        <w:t>Because</w:t>
      </w:r>
      <w:r w:rsidRPr="00B30B81">
        <w:rPr>
          <w:rFonts w:ascii="Book Antiqua" w:hAnsi="Book Antiqua"/>
          <w:sz w:val="20"/>
          <w:szCs w:val="20"/>
        </w:rPr>
        <w:t xml:space="preserve"> the speed of light and the rate of ticking of atomic clocks are related</w:t>
      </w:r>
      <w:r>
        <w:rPr>
          <w:rFonts w:ascii="Book Antiqua" w:hAnsi="Book Antiqua"/>
          <w:sz w:val="20"/>
          <w:szCs w:val="20"/>
        </w:rPr>
        <w:t>,  that means</w:t>
      </w:r>
      <w:r w:rsidRPr="00B30B81">
        <w:rPr>
          <w:rFonts w:ascii="Book Antiqua" w:hAnsi="Book Antiqua"/>
          <w:sz w:val="20"/>
          <w:szCs w:val="20"/>
        </w:rPr>
        <w:t xml:space="preserve"> that, as we look back in time, the redshift function </w:t>
      </w:r>
      <w:r>
        <w:rPr>
          <w:rFonts w:ascii="Book Antiqua" w:hAnsi="Book Antiqua"/>
          <w:sz w:val="20"/>
          <w:szCs w:val="20"/>
        </w:rPr>
        <w:t>began at 11.74 million atomic years ago</w:t>
      </w:r>
      <w:r w:rsidR="009B2638">
        <w:rPr>
          <w:rFonts w:ascii="Book Antiqua" w:hAnsi="Book Antiqua"/>
          <w:sz w:val="20"/>
          <w:szCs w:val="20"/>
        </w:rPr>
        <w:t>.</w:t>
      </w:r>
      <w:r w:rsidRPr="00B30B81">
        <w:rPr>
          <w:rFonts w:ascii="Book Antiqua" w:hAnsi="Book Antiqua"/>
          <w:sz w:val="20"/>
          <w:szCs w:val="20"/>
        </w:rPr>
        <w:t xml:space="preserve"> </w:t>
      </w:r>
      <w:r>
        <w:rPr>
          <w:rFonts w:ascii="Book Antiqua" w:hAnsi="Book Antiqua"/>
          <w:sz w:val="20"/>
          <w:szCs w:val="20"/>
        </w:rPr>
        <w:t>The cosmic</w:t>
      </w:r>
      <w:r w:rsidRPr="00B30B81">
        <w:rPr>
          <w:rFonts w:ascii="Book Antiqua" w:hAnsi="Book Antiqua"/>
          <w:sz w:val="20"/>
          <w:szCs w:val="20"/>
        </w:rPr>
        <w:t xml:space="preserve"> redshift function then continues from there</w:t>
      </w:r>
      <w:r>
        <w:rPr>
          <w:rFonts w:ascii="Book Antiqua" w:hAnsi="Book Antiqua"/>
          <w:sz w:val="20"/>
          <w:szCs w:val="20"/>
        </w:rPr>
        <w:t>,</w:t>
      </w:r>
      <w:r w:rsidRPr="00B30B81">
        <w:rPr>
          <w:rFonts w:ascii="Book Antiqua" w:hAnsi="Book Antiqua"/>
          <w:sz w:val="20"/>
          <w:szCs w:val="20"/>
        </w:rPr>
        <w:t xml:space="preserve"> back in time</w:t>
      </w:r>
      <w:r>
        <w:rPr>
          <w:rFonts w:ascii="Book Antiqua" w:hAnsi="Book Antiqua"/>
          <w:sz w:val="20"/>
          <w:szCs w:val="20"/>
        </w:rPr>
        <w:t>,</w:t>
      </w:r>
      <w:r w:rsidRPr="00B30B81">
        <w:rPr>
          <w:rFonts w:ascii="Book Antiqua" w:hAnsi="Book Antiqua"/>
          <w:sz w:val="20"/>
          <w:szCs w:val="20"/>
        </w:rPr>
        <w:t xml:space="preserve"> to the inception of the cosmos. </w:t>
      </w:r>
      <w:r>
        <w:rPr>
          <w:rFonts w:ascii="Book Antiqua" w:hAnsi="Book Antiqua"/>
          <w:sz w:val="20"/>
          <w:szCs w:val="20"/>
        </w:rPr>
        <w:t xml:space="preserve">This gap of 11.74 million light years contains the Maffei group and our own Local Group of galaxies.  It is here </w:t>
      </w:r>
      <w:r w:rsidRPr="00B30B81">
        <w:rPr>
          <w:rFonts w:ascii="Book Antiqua" w:hAnsi="Book Antiqua"/>
          <w:sz w:val="20"/>
          <w:szCs w:val="20"/>
        </w:rPr>
        <w:t>that genuine Doppler motions dominate</w:t>
      </w:r>
      <w:r>
        <w:rPr>
          <w:rFonts w:ascii="Book Antiqua" w:hAnsi="Book Antiqua"/>
          <w:sz w:val="20"/>
          <w:szCs w:val="20"/>
        </w:rPr>
        <w:t xml:space="preserve">, and not the primary redshift function.  </w:t>
      </w:r>
      <w:r w:rsidRPr="00B30B81">
        <w:rPr>
          <w:rFonts w:ascii="Book Antiqua" w:hAnsi="Book Antiqua"/>
          <w:sz w:val="20"/>
          <w:szCs w:val="20"/>
        </w:rPr>
        <w:t xml:space="preserve"> </w:t>
      </w:r>
    </w:p>
    <w:p w:rsidR="00E31924" w:rsidRDefault="00E31924" w:rsidP="004E3FBF">
      <w:pPr>
        <w:pStyle w:val="NormalWeb"/>
        <w:ind w:firstLine="720"/>
        <w:jc w:val="both"/>
        <w:rPr>
          <w:rFonts w:ascii="Book Antiqua" w:hAnsi="Book Antiqua"/>
          <w:sz w:val="20"/>
          <w:szCs w:val="20"/>
        </w:rPr>
      </w:pPr>
      <w:r>
        <w:rPr>
          <w:rFonts w:ascii="Book Antiqua" w:hAnsi="Book Antiqua"/>
          <w:sz w:val="20"/>
          <w:szCs w:val="20"/>
        </w:rPr>
        <w:lastRenderedPageBreak/>
        <w:t xml:space="preserve">The conclusion is that the redshift function ceased at a distance of around 11.74 million light years from us. This position in space therefore marks the point at which turbulence ceased and no more Planck Particle Pairs were formed. In other words this marks the point where </w:t>
      </w:r>
      <m:oMath>
        <m:r>
          <w:rPr>
            <w:rFonts w:ascii="Cambria Math" w:hAnsi="Cambria Math"/>
            <w:sz w:val="20"/>
            <w:szCs w:val="20"/>
          </w:rPr>
          <m:t>z = 0</m:t>
        </m:r>
      </m:oMath>
      <w:r>
        <w:rPr>
          <w:rFonts w:ascii="Book Antiqua" w:hAnsi="Book Antiqua"/>
          <w:sz w:val="20"/>
          <w:szCs w:val="20"/>
        </w:rPr>
        <w:t xml:space="preserve"> and </w:t>
      </w:r>
      <m:oMath>
        <m:r>
          <w:rPr>
            <w:rFonts w:ascii="Cambria Math" w:hAnsi="Cambria Math"/>
            <w:sz w:val="20"/>
            <w:szCs w:val="20"/>
          </w:rPr>
          <m:t>T = 0</m:t>
        </m:r>
      </m:oMath>
      <w:r>
        <w:rPr>
          <w:rFonts w:ascii="Book Antiqua" w:hAnsi="Book Antiqua"/>
          <w:sz w:val="20"/>
          <w:szCs w:val="20"/>
        </w:rPr>
        <w:t xml:space="preserve"> in our redshift equations. Therefore, when using the redshift data to find the total astronomical distance traveled by light to get to us, and the total time elapsed on the atomic clock, the redshift integral equation (65) must have 11.74 million added to it as a constant. It will then read:</w:t>
      </w:r>
    </w:p>
    <w:p w:rsidR="005B7515" w:rsidRDefault="005B7515" w:rsidP="00D825B9">
      <w:pPr>
        <w:pStyle w:val="NoSpacing"/>
        <w:jc w:val="right"/>
        <w:rPr>
          <w:rFonts w:ascii="Book Antiqua" w:hAnsi="Book Antiqua"/>
          <w:i/>
          <w:sz w:val="20"/>
        </w:rPr>
      </w:pPr>
      <m:oMath>
        <m:r>
          <w:rPr>
            <w:rFonts w:ascii="Cambria Math" w:hAnsi="Cambria Math"/>
            <w:sz w:val="20"/>
          </w:rPr>
          <m:t xml:space="preserve">ʃ </m:t>
        </m:r>
        <m:d>
          <m:dPr>
            <m:begChr m:val="["/>
            <m:endChr m:val="]"/>
            <m:ctrlPr>
              <w:rPr>
                <w:rFonts w:ascii="Cambria Math" w:hAnsi="Cambria Math"/>
                <w:i/>
                <w:sz w:val="20"/>
              </w:rPr>
            </m:ctrlPr>
          </m:dPr>
          <m:e>
            <m:f>
              <m:fPr>
                <m:ctrlPr>
                  <w:rPr>
                    <w:rFonts w:ascii="Cambria Math" w:hAnsi="Cambria Math"/>
                    <w:i/>
                    <w:sz w:val="20"/>
                  </w:rPr>
                </m:ctrlPr>
              </m:fPr>
              <m:num>
                <m:r>
                  <w:rPr>
                    <w:rFonts w:ascii="Cambria Math" w:hAnsi="Cambria Math"/>
                    <w:sz w:val="20"/>
                  </w:rPr>
                  <m:t>1+T</m:t>
                </m:r>
              </m:num>
              <m:den>
                <m:rad>
                  <m:radPr>
                    <m:degHide m:val="on"/>
                    <m:ctrlPr>
                      <w:rPr>
                        <w:rFonts w:ascii="Cambria Math" w:hAnsi="Cambria Math"/>
                        <w:i/>
                        <w:sz w:val="20"/>
                      </w:rPr>
                    </m:ctrlPr>
                  </m:radPr>
                  <m:deg/>
                  <m:e>
                    <m:r>
                      <w:rPr>
                        <w:rFonts w:ascii="Cambria Math" w:hAnsi="Cambria Math"/>
                        <w:sz w:val="20"/>
                      </w:rPr>
                      <m:t>1-</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den>
            </m:f>
          </m:e>
        </m:d>
        <m:r>
          <w:rPr>
            <w:rFonts w:ascii="Cambria Math" w:hAnsi="Cambria Math"/>
            <w:sz w:val="20"/>
          </w:rPr>
          <m:t>dT =  K</m:t>
        </m:r>
        <m:d>
          <m:dPr>
            <m:begChr m:val="["/>
            <m:endChr m:val="]"/>
            <m:ctrlPr>
              <w:rPr>
                <w:rFonts w:ascii="Cambria Math" w:hAnsi="Cambria Math"/>
                <w:i/>
                <w:sz w:val="20"/>
              </w:rPr>
            </m:ctrlPr>
          </m:dPr>
          <m:e>
            <m:r>
              <w:rPr>
                <w:rFonts w:ascii="Cambria Math" w:hAnsi="Cambria Math"/>
                <w:sz w:val="20"/>
              </w:rPr>
              <m:t xml:space="preserve">Arcsin T – </m:t>
            </m:r>
            <m:rad>
              <m:radPr>
                <m:degHide m:val="on"/>
                <m:ctrlPr>
                  <w:rPr>
                    <w:rFonts w:ascii="Cambria Math" w:hAnsi="Cambria Math"/>
                    <w:i/>
                    <w:sz w:val="20"/>
                  </w:rPr>
                </m:ctrlPr>
              </m:radPr>
              <m:deg/>
              <m:e>
                <m:r>
                  <w:rPr>
                    <w:rFonts w:ascii="Cambria Math" w:hAnsi="Cambria Math"/>
                    <w:sz w:val="20"/>
                  </w:rPr>
                  <m:t xml:space="preserve">1 – </m:t>
                </m:r>
                <m:sSup>
                  <m:sSupPr>
                    <m:ctrlPr>
                      <w:rPr>
                        <w:rFonts w:ascii="Cambria Math" w:hAnsi="Cambria Math"/>
                        <w:i/>
                        <w:sz w:val="20"/>
                      </w:rPr>
                    </m:ctrlPr>
                  </m:sSupPr>
                  <m:e>
                    <m:r>
                      <w:rPr>
                        <w:rFonts w:ascii="Cambria Math" w:hAnsi="Cambria Math"/>
                        <w:sz w:val="20"/>
                      </w:rPr>
                      <m:t>T</m:t>
                    </m:r>
                  </m:e>
                  <m:sup>
                    <m:r>
                      <w:rPr>
                        <w:rFonts w:ascii="Cambria Math" w:hAnsi="Cambria Math"/>
                        <w:sz w:val="20"/>
                      </w:rPr>
                      <m:t>2</m:t>
                    </m:r>
                  </m:sup>
                </m:sSup>
              </m:e>
            </m:rad>
            <m:r>
              <w:rPr>
                <w:rFonts w:ascii="Cambria Math" w:hAnsi="Cambria Math"/>
                <w:sz w:val="20"/>
              </w:rPr>
              <m:t>+ 1</m:t>
            </m:r>
          </m:e>
        </m:d>
        <m:r>
          <w:rPr>
            <w:rFonts w:ascii="Cambria Math" w:hAnsi="Cambria Math"/>
            <w:sz w:val="20"/>
          </w:rPr>
          <m:t>+ 11.74 x 1</m:t>
        </m:r>
        <m:sSup>
          <m:sSupPr>
            <m:ctrlPr>
              <w:rPr>
                <w:rFonts w:ascii="Cambria Math" w:hAnsi="Cambria Math"/>
                <w:i/>
                <w:sz w:val="20"/>
              </w:rPr>
            </m:ctrlPr>
          </m:sSupPr>
          <m:e>
            <m:r>
              <w:rPr>
                <w:rFonts w:ascii="Cambria Math" w:hAnsi="Cambria Math"/>
                <w:sz w:val="20"/>
              </w:rPr>
              <m:t>0</m:t>
            </m:r>
          </m:e>
          <m:sup>
            <m:r>
              <w:rPr>
                <w:rFonts w:ascii="Cambria Math" w:hAnsi="Cambria Math"/>
                <w:sz w:val="20"/>
              </w:rPr>
              <m:t>6</m:t>
            </m:r>
          </m:sup>
        </m:sSup>
      </m:oMath>
      <w:r w:rsidRPr="00372C58">
        <w:rPr>
          <w:rFonts w:ascii="Book Antiqua" w:hAnsi="Book Antiqua"/>
          <w:sz w:val="20"/>
        </w:rPr>
        <w:t xml:space="preserve"> </w:t>
      </w:r>
      <w:r>
        <w:rPr>
          <w:rFonts w:ascii="Book Antiqua" w:hAnsi="Book Antiqua"/>
          <w:sz w:val="20"/>
        </w:rPr>
        <w:t xml:space="preserve"> </w:t>
      </w:r>
      <w:r w:rsidRPr="00372C58">
        <w:rPr>
          <w:rFonts w:ascii="Book Antiqua" w:hAnsi="Book Antiqua"/>
          <w:sz w:val="20"/>
        </w:rPr>
        <w:t>.</w:t>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sz w:val="20"/>
        </w:rPr>
        <w:tab/>
      </w:r>
      <w:r w:rsidRPr="00372C58">
        <w:rPr>
          <w:rFonts w:ascii="Book Antiqua" w:hAnsi="Book Antiqua"/>
          <w:i/>
          <w:sz w:val="20"/>
        </w:rPr>
        <w:t xml:space="preserve"> (</w:t>
      </w:r>
      <w:r w:rsidR="00D825B9">
        <w:rPr>
          <w:rFonts w:ascii="Book Antiqua" w:hAnsi="Book Antiqua"/>
          <w:i/>
          <w:sz w:val="20"/>
        </w:rPr>
        <w:t>99)</w:t>
      </w:r>
    </w:p>
    <w:p w:rsidR="00D825B9" w:rsidRDefault="00D825B9" w:rsidP="007A74B3">
      <w:pPr>
        <w:pStyle w:val="NoSpacing"/>
        <w:rPr>
          <w:rFonts w:ascii="Book Antiqua" w:hAnsi="Book Antiqua"/>
          <w:i/>
          <w:sz w:val="20"/>
        </w:rPr>
      </w:pPr>
    </w:p>
    <w:p w:rsidR="007A74B3" w:rsidRDefault="007A74B3" w:rsidP="007A74B3">
      <w:pPr>
        <w:pStyle w:val="NormPara"/>
        <w:ind w:firstLine="0"/>
        <w:rPr>
          <w:b/>
          <w:bCs/>
          <w:iCs/>
          <w:color w:val="000000"/>
          <w:sz w:val="20"/>
        </w:rPr>
      </w:pPr>
      <w:r w:rsidRPr="00372C58">
        <w:rPr>
          <w:b/>
          <w:bCs/>
          <w:iCs/>
          <w:color w:val="000000"/>
          <w:sz w:val="20"/>
        </w:rPr>
        <w:t>1</w:t>
      </w:r>
      <w:r>
        <w:rPr>
          <w:b/>
          <w:bCs/>
          <w:iCs/>
          <w:color w:val="000000"/>
          <w:sz w:val="20"/>
        </w:rPr>
        <w:t>1</w:t>
      </w:r>
      <w:r w:rsidRPr="00372C58">
        <w:rPr>
          <w:b/>
          <w:bCs/>
          <w:iCs/>
          <w:color w:val="000000"/>
          <w:sz w:val="20"/>
        </w:rPr>
        <w:t xml:space="preserve">. </w:t>
      </w:r>
      <w:r>
        <w:rPr>
          <w:b/>
          <w:bCs/>
          <w:iCs/>
          <w:color w:val="000000"/>
          <w:sz w:val="20"/>
        </w:rPr>
        <w:t>Considering the</w:t>
      </w:r>
      <w:r w:rsidR="000354D2">
        <w:rPr>
          <w:b/>
          <w:bCs/>
          <w:iCs/>
          <w:color w:val="000000"/>
          <w:sz w:val="20"/>
        </w:rPr>
        <w:t xml:space="preserve"> Form of</w:t>
      </w:r>
      <w:r>
        <w:rPr>
          <w:b/>
          <w:bCs/>
          <w:iCs/>
          <w:color w:val="000000"/>
          <w:sz w:val="20"/>
        </w:rPr>
        <w:t xml:space="preserve"> Recombination</w:t>
      </w:r>
      <w:r w:rsidR="004159A5">
        <w:rPr>
          <w:b/>
          <w:bCs/>
          <w:iCs/>
          <w:color w:val="000000"/>
          <w:sz w:val="20"/>
        </w:rPr>
        <w:t xml:space="preserve"> Equations</w:t>
      </w:r>
      <w:r>
        <w:rPr>
          <w:b/>
          <w:bCs/>
          <w:iCs/>
          <w:color w:val="000000"/>
          <w:sz w:val="20"/>
        </w:rPr>
        <w:t>.</w:t>
      </w:r>
    </w:p>
    <w:p w:rsidR="00F0762A" w:rsidRDefault="00F0762A" w:rsidP="007A74B3">
      <w:pPr>
        <w:pStyle w:val="NormPara"/>
        <w:ind w:firstLine="0"/>
        <w:rPr>
          <w:b/>
          <w:bCs/>
          <w:iCs/>
          <w:color w:val="000000"/>
          <w:sz w:val="20"/>
        </w:rPr>
      </w:pPr>
    </w:p>
    <w:p w:rsidR="006129D5" w:rsidRPr="00F353EC" w:rsidRDefault="006129D5" w:rsidP="006129D5">
      <w:pPr>
        <w:pStyle w:val="NoSpacing"/>
        <w:ind w:firstLine="720"/>
        <w:jc w:val="both"/>
        <w:rPr>
          <w:rFonts w:ascii="Book Antiqua" w:hAnsi="Book Antiqua"/>
          <w:sz w:val="20"/>
        </w:rPr>
      </w:pPr>
      <w:r>
        <w:rPr>
          <w:rFonts w:ascii="Book Antiqua" w:hAnsi="Book Antiqua"/>
          <w:sz w:val="20"/>
        </w:rPr>
        <w:t>It is because of this that the redshift equation is only valid from a distance of 11.74 million light years from us, and from there out to the limits of the cosmos. We then need to look at the equation that describes the final build-up of the Zero Point Energy from that point</w:t>
      </w:r>
      <w:r w:rsidR="00D9672A">
        <w:rPr>
          <w:rFonts w:ascii="Book Antiqua" w:hAnsi="Book Antiqua"/>
          <w:sz w:val="20"/>
        </w:rPr>
        <w:t xml:space="preserve"> to the present</w:t>
      </w:r>
      <w:r>
        <w:rPr>
          <w:rFonts w:ascii="Book Antiqua" w:hAnsi="Book Antiqua"/>
          <w:sz w:val="20"/>
        </w:rPr>
        <w:t>.  This is the equation that will describe the recombination of the Planck Particle Pairs once they were no longer being generated by turbulence. The form of the final recombination has determined the behavior of light-speed over the final 11.74 million light years and the behavior of atomic clocks during that time.</w:t>
      </w:r>
    </w:p>
    <w:p w:rsidR="006129D5" w:rsidRDefault="006129D5" w:rsidP="006129D5">
      <w:pPr>
        <w:pStyle w:val="NoSpacing"/>
        <w:jc w:val="both"/>
        <w:rPr>
          <w:rFonts w:ascii="Book Antiqua" w:hAnsi="Book Antiqua"/>
          <w:sz w:val="20"/>
        </w:rPr>
      </w:pPr>
    </w:p>
    <w:p w:rsidR="006129D5" w:rsidRDefault="006129D5" w:rsidP="006129D5">
      <w:pPr>
        <w:pStyle w:val="NoSpacing"/>
        <w:ind w:firstLine="720"/>
        <w:jc w:val="both"/>
        <w:rPr>
          <w:rFonts w:ascii="Book Antiqua" w:hAnsi="Book Antiqua"/>
          <w:sz w:val="20"/>
        </w:rPr>
      </w:pPr>
      <w:r>
        <w:rPr>
          <w:rFonts w:ascii="Book Antiqua" w:hAnsi="Book Antiqua"/>
          <w:sz w:val="20"/>
        </w:rPr>
        <w:t>The recombination of a set number of positive and negative charges is essentially a linear process as experimentally determined in laboratories. This is illustrated by the graph in Figure 1</w:t>
      </w:r>
      <w:r w:rsidR="00F06E96">
        <w:rPr>
          <w:rFonts w:ascii="Book Antiqua" w:hAnsi="Book Antiqua"/>
          <w:sz w:val="20"/>
        </w:rPr>
        <w:t>9</w:t>
      </w:r>
      <w:r>
        <w:rPr>
          <w:rFonts w:ascii="Book Antiqua" w:hAnsi="Book Antiqua"/>
          <w:sz w:val="20"/>
        </w:rPr>
        <w:t>, where a defined quantity of Argon ions recombines with electrons. The graphs in Figures 1</w:t>
      </w:r>
      <w:r w:rsidR="00F06E96">
        <w:rPr>
          <w:rFonts w:ascii="Book Antiqua" w:hAnsi="Book Antiqua"/>
          <w:sz w:val="20"/>
        </w:rPr>
        <w:t>6</w:t>
      </w:r>
      <w:r>
        <w:rPr>
          <w:rFonts w:ascii="Book Antiqua" w:hAnsi="Book Antiqua"/>
          <w:sz w:val="20"/>
        </w:rPr>
        <w:t xml:space="preserve"> and 1</w:t>
      </w:r>
      <w:r w:rsidR="00F06E96">
        <w:rPr>
          <w:rFonts w:ascii="Book Antiqua" w:hAnsi="Book Antiqua"/>
          <w:sz w:val="20"/>
        </w:rPr>
        <w:t>7</w:t>
      </w:r>
      <w:r>
        <w:rPr>
          <w:rFonts w:ascii="Book Antiqua" w:hAnsi="Book Antiqua"/>
          <w:sz w:val="20"/>
        </w:rPr>
        <w:t>, where hydrogen ions (protons) recombine with electrons also show a similar linear process.</w:t>
      </w:r>
    </w:p>
    <w:p w:rsidR="006129D5" w:rsidRDefault="006129D5" w:rsidP="006129D5">
      <w:pPr>
        <w:pStyle w:val="NoSpacing"/>
        <w:ind w:firstLine="720"/>
        <w:jc w:val="both"/>
        <w:rPr>
          <w:rFonts w:ascii="Book Antiqua" w:hAnsi="Book Antiqua"/>
          <w:sz w:val="20"/>
        </w:rPr>
      </w:pPr>
    </w:p>
    <w:p w:rsidR="006129D5" w:rsidRDefault="006129D5" w:rsidP="00F06E96">
      <w:pPr>
        <w:pStyle w:val="NoSpacing"/>
        <w:ind w:firstLine="720"/>
        <w:jc w:val="both"/>
        <w:rPr>
          <w:rFonts w:ascii="Book Antiqua" w:hAnsi="Book Antiqua"/>
          <w:sz w:val="20"/>
        </w:rPr>
      </w:pPr>
      <w:r>
        <w:rPr>
          <w:rFonts w:ascii="Book Antiqua" w:hAnsi="Book Antiqua"/>
          <w:sz w:val="20"/>
        </w:rPr>
        <w:t>The conclusion is that, following the cessation of PPP build-up through turbulence, the system will undergo recombination exclusively. That then will lead to a steep linear decline in PPP numbers and a resultant inverse rapid build-up of the ZPE strength</w:t>
      </w:r>
      <w:r w:rsidR="00C31058">
        <w:rPr>
          <w:rFonts w:ascii="Book Antiqua" w:hAnsi="Book Antiqua"/>
          <w:sz w:val="20"/>
        </w:rPr>
        <w:t>,</w:t>
      </w:r>
      <w:r>
        <w:rPr>
          <w:rFonts w:ascii="Book Antiqua" w:hAnsi="Book Antiqua"/>
          <w:sz w:val="20"/>
        </w:rPr>
        <w:t xml:space="preserve"> even though the redshift function has ceased at the M 81 cluster of galaxies. </w:t>
      </w:r>
      <w:r w:rsidR="00D9672A">
        <w:rPr>
          <w:rFonts w:ascii="Book Antiqua" w:hAnsi="Book Antiqua"/>
          <w:sz w:val="20"/>
        </w:rPr>
        <w:t xml:space="preserve"> This is illustrated in Figure 19.</w:t>
      </w:r>
    </w:p>
    <w:p w:rsidR="00D52854" w:rsidRPr="00372C58" w:rsidRDefault="00D52854" w:rsidP="00F06E96">
      <w:pPr>
        <w:pStyle w:val="NoSpacing"/>
        <w:ind w:firstLine="720"/>
        <w:jc w:val="both"/>
        <w:rPr>
          <w:b/>
          <w:bCs/>
          <w:iCs/>
          <w:color w:val="000000"/>
          <w:sz w:val="20"/>
        </w:rPr>
      </w:pPr>
    </w:p>
    <w:p w:rsidR="00F0762A" w:rsidRDefault="00F0762A" w:rsidP="00F0762A">
      <w:pPr>
        <w:pStyle w:val="NoSpacing"/>
        <w:jc w:val="center"/>
        <w:rPr>
          <w:rFonts w:ascii="Book Antiqua" w:hAnsi="Book Antiqua"/>
          <w:sz w:val="20"/>
        </w:rPr>
      </w:pPr>
      <w:r w:rsidRPr="00325F76">
        <w:rPr>
          <w:rFonts w:ascii="Book Antiqua" w:hAnsi="Book Antiqua"/>
          <w:noProof/>
          <w:sz w:val="20"/>
        </w:rPr>
        <w:drawing>
          <wp:inline distT="0" distB="0" distL="0" distR="0">
            <wp:extent cx="4022751" cy="2466574"/>
            <wp:effectExtent l="19050" t="0" r="0" b="0"/>
            <wp:docPr id="784"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l="4587" t="6340" r="4791" b="5476"/>
                    <a:stretch>
                      <a:fillRect/>
                    </a:stretch>
                  </pic:blipFill>
                  <pic:spPr bwMode="auto">
                    <a:xfrm>
                      <a:off x="0" y="0"/>
                      <a:ext cx="4026433" cy="2468831"/>
                    </a:xfrm>
                    <a:prstGeom prst="rect">
                      <a:avLst/>
                    </a:prstGeom>
                    <a:noFill/>
                    <a:ln w="9525">
                      <a:noFill/>
                      <a:miter lim="800000"/>
                      <a:headEnd/>
                      <a:tailEnd/>
                    </a:ln>
                  </pic:spPr>
                </pic:pic>
              </a:graphicData>
            </a:graphic>
          </wp:inline>
        </w:drawing>
      </w:r>
    </w:p>
    <w:p w:rsidR="00EB0CE5" w:rsidRPr="00372C58" w:rsidRDefault="00EB0CE5" w:rsidP="00F0762A">
      <w:pPr>
        <w:pStyle w:val="NoSpacing"/>
        <w:jc w:val="center"/>
        <w:rPr>
          <w:rFonts w:ascii="Book Antiqua" w:hAnsi="Book Antiqua"/>
          <w:sz w:val="20"/>
        </w:rPr>
      </w:pPr>
    </w:p>
    <w:p w:rsidR="00F0762A" w:rsidRPr="00A30A9E" w:rsidRDefault="00F0762A" w:rsidP="00F0762A">
      <w:pPr>
        <w:pStyle w:val="NoSpacing"/>
        <w:rPr>
          <w:rFonts w:ascii="Book Antiqua" w:hAnsi="Book Antiqua"/>
          <w:i/>
          <w:sz w:val="18"/>
          <w:szCs w:val="18"/>
        </w:rPr>
      </w:pPr>
      <w:r w:rsidRPr="00A30A9E">
        <w:rPr>
          <w:rFonts w:ascii="Book Antiqua" w:hAnsi="Book Antiqua"/>
          <w:b/>
          <w:i/>
          <w:sz w:val="18"/>
          <w:szCs w:val="18"/>
        </w:rPr>
        <w:t>Figure 1</w:t>
      </w:r>
      <w:r w:rsidR="003D33FE">
        <w:rPr>
          <w:rFonts w:ascii="Book Antiqua" w:hAnsi="Book Antiqua"/>
          <w:b/>
          <w:i/>
          <w:sz w:val="18"/>
          <w:szCs w:val="18"/>
        </w:rPr>
        <w:t>9</w:t>
      </w:r>
      <w:r w:rsidRPr="00A30A9E">
        <w:rPr>
          <w:rFonts w:ascii="Book Antiqua" w:hAnsi="Book Antiqua"/>
          <w:b/>
          <w:i/>
          <w:sz w:val="18"/>
          <w:szCs w:val="18"/>
        </w:rPr>
        <w:t>:</w:t>
      </w:r>
      <w:r w:rsidRPr="00A30A9E">
        <w:rPr>
          <w:rFonts w:ascii="Book Antiqua" w:hAnsi="Book Antiqua"/>
          <w:i/>
          <w:sz w:val="18"/>
          <w:szCs w:val="18"/>
        </w:rPr>
        <w:t xml:space="preserve"> Experimental results using a fixed concentration of Argon atoms. Reading the graph from left to right gives the ionization rate of neutral Argon atoms.This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rate constant is </w:t>
      </w:r>
      <m:oMath>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A30A9E">
        <w:rPr>
          <w:rFonts w:ascii="Book Antiqua" w:hAnsi="Book Antiqua"/>
          <w:i/>
          <w:sz w:val="18"/>
          <w:szCs w:val="18"/>
        </w:rPr>
        <w:t xml:space="preserve">. </w:t>
      </w:r>
      <w:r w:rsidR="0058502F">
        <w:rPr>
          <w:rFonts w:ascii="Book Antiqua" w:hAnsi="Book Antiqua"/>
          <w:i/>
          <w:sz w:val="18"/>
          <w:szCs w:val="18"/>
        </w:rPr>
        <w:t>T</w:t>
      </w:r>
      <w:r w:rsidRPr="00A30A9E">
        <w:rPr>
          <w:rFonts w:ascii="Book Antiqua" w:hAnsi="Book Antiqua"/>
          <w:i/>
          <w:sz w:val="18"/>
          <w:szCs w:val="18"/>
        </w:rPr>
        <w:t xml:space="preserve">he recombination (or ionization) rate for a set number of ions (or atoms), is </w:t>
      </w:r>
      <w:r w:rsidR="0058502F">
        <w:rPr>
          <w:rFonts w:ascii="Book Antiqua" w:hAnsi="Book Antiqua"/>
          <w:i/>
          <w:sz w:val="18"/>
          <w:szCs w:val="18"/>
        </w:rPr>
        <w:t xml:space="preserve">thus </w:t>
      </w:r>
      <w:r w:rsidRPr="00A30A9E">
        <w:rPr>
          <w:rFonts w:ascii="Book Antiqua" w:hAnsi="Book Antiqua"/>
          <w:i/>
          <w:sz w:val="18"/>
          <w:szCs w:val="18"/>
        </w:rPr>
        <w:t>basically a linear function.</w:t>
      </w:r>
      <w:r w:rsidR="0058502F">
        <w:rPr>
          <w:rFonts w:ascii="Book Antiqua" w:hAnsi="Book Antiqua"/>
          <w:i/>
          <w:sz w:val="18"/>
          <w:szCs w:val="18"/>
        </w:rPr>
        <w:t xml:space="preserve"> Cosmologically, once all turbulence has ceased and no more Planck Particle Pairs are being formed, the recombination of the remaining PPP is expected to be a similarly linear process.</w:t>
      </w:r>
    </w:p>
    <w:p w:rsidR="005D7868" w:rsidRDefault="005D7868" w:rsidP="00F0762A">
      <w:pPr>
        <w:pStyle w:val="NoSpacing"/>
        <w:rPr>
          <w:rFonts w:ascii="Book Antiqua" w:hAnsi="Book Antiqua"/>
          <w:sz w:val="20"/>
        </w:rPr>
      </w:pPr>
    </w:p>
    <w:p w:rsidR="00265840" w:rsidRPr="00372C58" w:rsidRDefault="00265840" w:rsidP="00265840">
      <w:pPr>
        <w:pStyle w:val="NoSpacing"/>
        <w:rPr>
          <w:rFonts w:ascii="Book Antiqua" w:hAnsi="Book Antiqua"/>
          <w:b/>
          <w:bCs/>
          <w:iCs/>
          <w:color w:val="000000"/>
          <w:sz w:val="20"/>
        </w:rPr>
      </w:pPr>
      <w:r w:rsidRPr="00372C58">
        <w:rPr>
          <w:rFonts w:ascii="Book Antiqua" w:hAnsi="Book Antiqua"/>
          <w:b/>
          <w:bCs/>
          <w:iCs/>
          <w:color w:val="000000"/>
          <w:sz w:val="20"/>
        </w:rPr>
        <w:lastRenderedPageBreak/>
        <w:t xml:space="preserve">References </w:t>
      </w:r>
      <w:r w:rsidRPr="00372C58">
        <w:rPr>
          <w:rFonts w:ascii="Book Antiqua" w:hAnsi="Book Antiqua"/>
          <w:bCs/>
          <w:i/>
          <w:iCs/>
          <w:color w:val="000000"/>
          <w:sz w:val="20"/>
        </w:rPr>
        <w:t>– All URL’s retrieved 9/13/12</w:t>
      </w:r>
    </w:p>
    <w:p w:rsidR="00265840" w:rsidRPr="005627CB" w:rsidRDefault="00265840" w:rsidP="00265840">
      <w:pPr>
        <w:pStyle w:val="NoSpacing"/>
        <w:rPr>
          <w:rFonts w:ascii="Book Antiqua" w:hAnsi="Book Antiqua"/>
          <w:b/>
          <w:bCs/>
          <w:i/>
          <w:iCs/>
          <w:color w:val="000000"/>
          <w:sz w:val="16"/>
          <w:szCs w:val="16"/>
        </w:rPr>
      </w:pP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 P. Couderc, </w:t>
      </w:r>
      <w:r w:rsidRPr="005627CB">
        <w:rPr>
          <w:rFonts w:ascii="Book Antiqua" w:hAnsi="Book Antiqua"/>
          <w:i/>
          <w:iCs/>
          <w:sz w:val="16"/>
          <w:szCs w:val="16"/>
        </w:rPr>
        <w:t>The Wider Universe</w:t>
      </w:r>
      <w:r w:rsidRPr="005627CB">
        <w:rPr>
          <w:rFonts w:ascii="Book Antiqua" w:hAnsi="Book Antiqua"/>
          <w:i/>
          <w:sz w:val="16"/>
          <w:szCs w:val="16"/>
        </w:rPr>
        <w:t>,</w:t>
      </w:r>
      <w:r w:rsidRPr="005627CB">
        <w:rPr>
          <w:rFonts w:ascii="Book Antiqua" w:hAnsi="Book Antiqua"/>
          <w:sz w:val="16"/>
          <w:szCs w:val="16"/>
        </w:rPr>
        <w:t xml:space="preserve"> pp. 10, 91. Translated by Martin Davidson, (Hutchinson &amp; Co. Ltd., London, 1960).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 J. Audouze, G. Israel, </w:t>
      </w:r>
      <w:r w:rsidRPr="005627CB">
        <w:rPr>
          <w:rFonts w:ascii="Book Antiqua" w:hAnsi="Book Antiqua"/>
          <w:i/>
          <w:iCs/>
          <w:sz w:val="16"/>
          <w:szCs w:val="16"/>
        </w:rPr>
        <w:t>Cambridge Atlas of Astronomy</w:t>
      </w:r>
      <w:r w:rsidRPr="005627CB">
        <w:rPr>
          <w:rFonts w:ascii="Book Antiqua" w:hAnsi="Book Antiqua"/>
          <w:sz w:val="16"/>
          <w:szCs w:val="16"/>
        </w:rPr>
        <w:t xml:space="preserve">, pp. 356, 382, (Cambridge University Press,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 P. Couderc, op. cit., p.92.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 Ibid, p.93.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 E. P. Hubble, </w:t>
      </w:r>
      <w:r w:rsidRPr="005627CB">
        <w:rPr>
          <w:rFonts w:ascii="Book Antiqua" w:hAnsi="Book Antiqua"/>
          <w:i/>
          <w:iCs/>
          <w:sz w:val="16"/>
          <w:szCs w:val="16"/>
        </w:rPr>
        <w:t xml:space="preserve">Proceedings of the National Academy of Sciences </w:t>
      </w:r>
      <w:r w:rsidRPr="005627CB">
        <w:rPr>
          <w:rFonts w:ascii="Book Antiqua" w:hAnsi="Book Antiqua"/>
          <w:b/>
          <w:bCs/>
          <w:sz w:val="16"/>
          <w:szCs w:val="16"/>
        </w:rPr>
        <w:t>15</w:t>
      </w:r>
      <w:r w:rsidRPr="005627CB">
        <w:rPr>
          <w:rFonts w:ascii="Book Antiqua" w:hAnsi="Book Antiqua"/>
          <w:sz w:val="16"/>
          <w:szCs w:val="16"/>
        </w:rPr>
        <w:t xml:space="preserve">:168 (1929).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 E. P. Hubble, </w:t>
      </w:r>
      <w:r w:rsidRPr="005627CB">
        <w:rPr>
          <w:rFonts w:ascii="Book Antiqua" w:hAnsi="Book Antiqua"/>
          <w:i/>
          <w:iCs/>
          <w:sz w:val="16"/>
          <w:szCs w:val="16"/>
        </w:rPr>
        <w:t>The Realm of the Nebulae</w:t>
      </w:r>
      <w:r w:rsidRPr="005627CB">
        <w:rPr>
          <w:rFonts w:ascii="Book Antiqua" w:hAnsi="Book Antiqua"/>
          <w:i/>
          <w:sz w:val="16"/>
          <w:szCs w:val="16"/>
        </w:rPr>
        <w:t>,</w:t>
      </w:r>
      <w:r w:rsidRPr="005627CB">
        <w:rPr>
          <w:rFonts w:ascii="Book Antiqua" w:hAnsi="Book Antiqua"/>
          <w:sz w:val="16"/>
          <w:szCs w:val="16"/>
        </w:rPr>
        <w:t xml:space="preserve"> p.121, (Yale University Press, 1936).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 Audouze &amp; Israel, op. cit, p.382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 P. Couderc, op. cit., p.103.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[9] F. Hoyle, </w:t>
      </w:r>
      <w:r w:rsidRPr="005627CB">
        <w:rPr>
          <w:rFonts w:ascii="Book Antiqua" w:hAnsi="Book Antiqua"/>
          <w:i/>
          <w:iCs/>
          <w:sz w:val="16"/>
          <w:szCs w:val="16"/>
        </w:rPr>
        <w:t>Frontiers of Astronomy</w:t>
      </w:r>
      <w:r w:rsidRPr="005627CB">
        <w:rPr>
          <w:rFonts w:ascii="Book Antiqua" w:hAnsi="Book Antiqua"/>
          <w:sz w:val="16"/>
          <w:szCs w:val="16"/>
        </w:rPr>
        <w:t xml:space="preserve">, pp.311-312, (William Heinemann Ltd., London, 1956).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[10] Audouze &amp; Israel, op. cit., p.356.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[11] M. S. Longair, </w:t>
      </w:r>
      <w:r w:rsidRPr="005627CB">
        <w:rPr>
          <w:rFonts w:ascii="Book Antiqua" w:hAnsi="Book Antiqua"/>
          <w:i/>
          <w:iCs/>
          <w:sz w:val="16"/>
          <w:szCs w:val="16"/>
        </w:rPr>
        <w:t>The Physics of Background Radiation</w:t>
      </w:r>
      <w:r w:rsidRPr="005627CB">
        <w:rPr>
          <w:rFonts w:ascii="Book Antiqua" w:hAnsi="Book Antiqua"/>
          <w:sz w:val="16"/>
          <w:szCs w:val="16"/>
        </w:rPr>
        <w:t xml:space="preserve">. In B. Binggeli and R. Buser, (editors) </w:t>
      </w:r>
      <w:r w:rsidRPr="005627CB">
        <w:rPr>
          <w:rFonts w:ascii="Book Antiqua" w:hAnsi="Book Antiqua"/>
          <w:b/>
          <w:iCs/>
          <w:sz w:val="16"/>
          <w:szCs w:val="16"/>
        </w:rPr>
        <w:t>The Deep Universe</w:t>
      </w:r>
      <w:r w:rsidRPr="005627CB">
        <w:rPr>
          <w:rFonts w:ascii="Book Antiqua" w:hAnsi="Book Antiqua"/>
          <w:sz w:val="16"/>
          <w:szCs w:val="16"/>
        </w:rPr>
        <w:t xml:space="preserve">, p.369 (Springer, Berlin, 1995).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[12] M. Schmidt, </w:t>
      </w:r>
      <w:r w:rsidRPr="005627CB">
        <w:rPr>
          <w:rFonts w:ascii="Book Antiqua" w:hAnsi="Book Antiqua"/>
          <w:i/>
          <w:iCs/>
          <w:sz w:val="16"/>
          <w:szCs w:val="16"/>
        </w:rPr>
        <w:t xml:space="preserve">Astrophysical Journal </w:t>
      </w:r>
      <w:r w:rsidRPr="005627CB">
        <w:rPr>
          <w:rFonts w:ascii="Book Antiqua" w:hAnsi="Book Antiqua"/>
          <w:b/>
          <w:bCs/>
          <w:sz w:val="16"/>
          <w:szCs w:val="16"/>
        </w:rPr>
        <w:t>176</w:t>
      </w:r>
      <w:r w:rsidRPr="005627CB">
        <w:rPr>
          <w:rFonts w:ascii="Book Antiqua" w:hAnsi="Book Antiqua"/>
          <w:sz w:val="16"/>
          <w:szCs w:val="16"/>
        </w:rPr>
        <w:t xml:space="preserve">:273-287 (1972).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[13] C. W. Misner, K. S. Thorne, &amp; J. A. Wheeler, </w:t>
      </w:r>
      <w:r w:rsidRPr="005627CB">
        <w:rPr>
          <w:rFonts w:ascii="Book Antiqua" w:hAnsi="Book Antiqua"/>
          <w:i/>
          <w:iCs/>
          <w:sz w:val="16"/>
          <w:szCs w:val="16"/>
        </w:rPr>
        <w:t>Gravitation</w:t>
      </w:r>
      <w:r w:rsidRPr="005627CB">
        <w:rPr>
          <w:rFonts w:ascii="Book Antiqua" w:hAnsi="Book Antiqua"/>
          <w:i/>
          <w:sz w:val="16"/>
          <w:szCs w:val="16"/>
        </w:rPr>
        <w:t>,</w:t>
      </w:r>
      <w:r w:rsidRPr="005627CB">
        <w:rPr>
          <w:rFonts w:ascii="Book Antiqua" w:hAnsi="Book Antiqua"/>
          <w:sz w:val="16"/>
          <w:szCs w:val="16"/>
        </w:rPr>
        <w:t xml:space="preserve"> p.767, (W. H. Freeman &amp; Co., USA, 1997).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[14] A. Friedmann, </w:t>
      </w:r>
      <w:r w:rsidRPr="005627CB">
        <w:rPr>
          <w:rFonts w:ascii="Book Antiqua" w:hAnsi="Book Antiqua"/>
          <w:i/>
          <w:iCs/>
          <w:sz w:val="16"/>
          <w:szCs w:val="16"/>
        </w:rPr>
        <w:t xml:space="preserve">Zeitschrift fur Physik </w:t>
      </w:r>
      <w:r w:rsidRPr="005627CB">
        <w:rPr>
          <w:rFonts w:ascii="Book Antiqua" w:hAnsi="Book Antiqua"/>
          <w:b/>
          <w:bCs/>
          <w:sz w:val="16"/>
          <w:szCs w:val="16"/>
        </w:rPr>
        <w:t>10</w:t>
      </w:r>
      <w:r w:rsidRPr="005627CB">
        <w:rPr>
          <w:rFonts w:ascii="Book Antiqua" w:hAnsi="Book Antiqua"/>
          <w:sz w:val="16"/>
          <w:szCs w:val="16"/>
        </w:rPr>
        <w:t xml:space="preserve">:377 (1922). For English translation see reference [16] under Lang and Gingerich, pp. 838-843.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[15] G. Lemaitre, </w:t>
      </w:r>
      <w:r w:rsidRPr="005627CB">
        <w:rPr>
          <w:rFonts w:ascii="Book Antiqua" w:hAnsi="Book Antiqua"/>
          <w:i/>
          <w:iCs/>
          <w:sz w:val="16"/>
          <w:szCs w:val="16"/>
        </w:rPr>
        <w:t xml:space="preserve">Annales Societe Scientifique Bruxelles </w:t>
      </w:r>
      <w:r w:rsidRPr="005627CB">
        <w:rPr>
          <w:rFonts w:ascii="Book Antiqua" w:hAnsi="Book Antiqua"/>
          <w:b/>
          <w:bCs/>
          <w:sz w:val="16"/>
          <w:szCs w:val="16"/>
        </w:rPr>
        <w:t>A47</w:t>
      </w:r>
      <w:r w:rsidRPr="005627CB">
        <w:rPr>
          <w:rFonts w:ascii="Book Antiqua" w:hAnsi="Book Antiqua"/>
          <w:sz w:val="16"/>
          <w:szCs w:val="16"/>
        </w:rPr>
        <w:t xml:space="preserve">:49 (1927). For English translation see reference below under Lang and Gingerich, pp.844-848.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[16] K. R. Lang &amp; O. Gingerich (editors), </w:t>
      </w:r>
      <w:r w:rsidRPr="005627CB">
        <w:rPr>
          <w:rFonts w:ascii="Book Antiqua" w:hAnsi="Book Antiqua"/>
          <w:i/>
          <w:iCs/>
          <w:sz w:val="16"/>
          <w:szCs w:val="16"/>
        </w:rPr>
        <w:t>A Sourcebook in Astronomy and Astrophysics</w:t>
      </w:r>
      <w:r w:rsidRPr="005627CB">
        <w:rPr>
          <w:rFonts w:ascii="Book Antiqua" w:hAnsi="Book Antiqua"/>
          <w:i/>
          <w:sz w:val="16"/>
          <w:szCs w:val="16"/>
        </w:rPr>
        <w:t>,</w:t>
      </w:r>
      <w:r w:rsidRPr="005627CB">
        <w:rPr>
          <w:rFonts w:ascii="Book Antiqua" w:hAnsi="Book Antiqua"/>
          <w:sz w:val="16"/>
          <w:szCs w:val="16"/>
        </w:rPr>
        <w:t xml:space="preserve"> p.844 ff, Harvard University Press, 1979.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[17] L. Ashmore, 'An Explanation of Redshift in a Static Universe,' </w:t>
      </w:r>
      <w:r w:rsidRPr="005627CB">
        <w:rPr>
          <w:rFonts w:ascii="Book Antiqua" w:hAnsi="Book Antiqua"/>
          <w:i/>
          <w:sz w:val="16"/>
          <w:szCs w:val="16"/>
        </w:rPr>
        <w:t>Proceedings of the NPA 17th Conference, Long Beach CA, 2010</w:t>
      </w:r>
      <w:r w:rsidRPr="005627CB">
        <w:rPr>
          <w:rFonts w:ascii="Book Antiqua" w:hAnsi="Book Antiqua"/>
          <w:sz w:val="16"/>
          <w:szCs w:val="16"/>
        </w:rPr>
        <w:t xml:space="preserve">, pp17-22. Also, L. Ashmore, ‘Supernovae Ia Light Curves Show a Static Universe,’ </w:t>
      </w:r>
      <w:r w:rsidRPr="005627CB">
        <w:rPr>
          <w:rFonts w:ascii="Book Antiqua" w:hAnsi="Book Antiqua"/>
          <w:i/>
          <w:sz w:val="16"/>
          <w:szCs w:val="16"/>
        </w:rPr>
        <w:t>Proceedings of the NPA 19</w:t>
      </w:r>
      <w:r w:rsidRPr="005627CB">
        <w:rPr>
          <w:rFonts w:ascii="Book Antiqua" w:hAnsi="Book Antiqua"/>
          <w:i/>
          <w:sz w:val="16"/>
          <w:szCs w:val="16"/>
          <w:vertAlign w:val="superscript"/>
        </w:rPr>
        <w:t>th</w:t>
      </w:r>
      <w:r w:rsidRPr="005627CB">
        <w:rPr>
          <w:rFonts w:ascii="Book Antiqua" w:hAnsi="Book Antiqua"/>
          <w:i/>
          <w:sz w:val="16"/>
          <w:szCs w:val="16"/>
        </w:rPr>
        <w:t xml:space="preserve"> Conference, Albuquerque NM, 2012</w:t>
      </w:r>
      <w:r w:rsidRPr="005627CB">
        <w:rPr>
          <w:rFonts w:ascii="Book Antiqua" w:hAnsi="Book Antiqua"/>
          <w:sz w:val="16"/>
          <w:szCs w:val="16"/>
        </w:rPr>
        <w:t>, in press.</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[18] W. Q. Sumner,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429</w:t>
      </w:r>
      <w:r w:rsidRPr="005627CB">
        <w:rPr>
          <w:rFonts w:ascii="Book Antiqua" w:hAnsi="Book Antiqua"/>
          <w:sz w:val="16"/>
          <w:szCs w:val="16"/>
        </w:rPr>
        <w:t>, pp. 491 ff.</w:t>
      </w:r>
      <w:r w:rsidRPr="005627CB">
        <w:rPr>
          <w:rFonts w:ascii="Book Antiqua" w:hAnsi="Book Antiqua"/>
          <w:b/>
          <w:sz w:val="16"/>
          <w:szCs w:val="16"/>
        </w:rPr>
        <w:t xml:space="preserve"> </w:t>
      </w:r>
      <w:r w:rsidRPr="005627CB">
        <w:rPr>
          <w:rFonts w:ascii="Book Antiqua" w:hAnsi="Book Antiqua"/>
          <w:sz w:val="16"/>
          <w:szCs w:val="16"/>
        </w:rPr>
        <w:t>(1994).</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[19] C. W. Misner, K. S. Thorne, J. A. Wheeler, op. cit.,  p. 719.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[ 20 ] P. D. Noerdlinger, and V. Petrosian, </w:t>
      </w:r>
      <w:r w:rsidRPr="005627CB">
        <w:rPr>
          <w:rFonts w:ascii="Book Antiqua" w:hAnsi="Book Antiqua"/>
          <w:i/>
          <w:iCs/>
          <w:sz w:val="16"/>
          <w:szCs w:val="16"/>
        </w:rPr>
        <w:t>Astrophysical Journal</w:t>
      </w:r>
      <w:r w:rsidRPr="005627CB">
        <w:rPr>
          <w:rFonts w:ascii="Book Antiqua" w:hAnsi="Book Antiqua"/>
          <w:sz w:val="16"/>
          <w:szCs w:val="16"/>
        </w:rPr>
        <w:t>, 168:1 (1971).</w:t>
      </w:r>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[21] R. V. Gentry, </w:t>
      </w:r>
      <w:hyperlink r:id="rId232" w:history="1">
        <w:r w:rsidRPr="005627CB">
          <w:rPr>
            <w:rStyle w:val="Hyperlink"/>
            <w:rFonts w:ascii="Book Antiqua" w:hAnsi="Book Antiqua"/>
            <w:i/>
            <w:szCs w:val="16"/>
          </w:rPr>
          <w:t>http://www.orionfdn.org/papers/arxiv-3.pdf</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[22] P. T. Landsberg and D. A. Evans, </w:t>
      </w:r>
      <w:r w:rsidRPr="005627CB">
        <w:rPr>
          <w:rFonts w:ascii="Book Antiqua" w:hAnsi="Book Antiqua"/>
          <w:i/>
          <w:sz w:val="16"/>
          <w:szCs w:val="16"/>
        </w:rPr>
        <w:t>Mathematical Cosmology</w:t>
      </w:r>
      <w:r w:rsidRPr="005627CB">
        <w:rPr>
          <w:rFonts w:ascii="Book Antiqua" w:hAnsi="Book Antiqua"/>
          <w:sz w:val="16"/>
          <w:szCs w:val="16"/>
        </w:rPr>
        <w:t>, p.33, (Clarendon Press, Oxford, 1979).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[23] F. I. Cooperstock, V. Faraoni, D. N. Vollick,  </w:t>
      </w:r>
      <w:r w:rsidRPr="005627CB">
        <w:rPr>
          <w:rFonts w:ascii="Book Antiqua" w:hAnsi="Book Antiqua"/>
          <w:i/>
          <w:iCs/>
          <w:sz w:val="16"/>
          <w:szCs w:val="16"/>
        </w:rPr>
        <w:t xml:space="preserve">Astrophys. J. </w:t>
      </w:r>
      <w:r w:rsidRPr="005627CB">
        <w:rPr>
          <w:rFonts w:ascii="Book Antiqua" w:hAnsi="Book Antiqua"/>
          <w:b/>
          <w:sz w:val="16"/>
          <w:szCs w:val="16"/>
        </w:rPr>
        <w:t>503</w:t>
      </w:r>
      <w:r w:rsidRPr="005627CB">
        <w:rPr>
          <w:rFonts w:ascii="Book Antiqua" w:hAnsi="Book Antiqua"/>
          <w:sz w:val="16"/>
          <w:szCs w:val="16"/>
        </w:rPr>
        <w:t xml:space="preserve">:61 (1998). Available on the web at: </w:t>
      </w:r>
      <w:hyperlink r:id="rId233" w:history="1">
        <w:r w:rsidRPr="005627CB">
          <w:rPr>
            <w:rStyle w:val="Hyperlink"/>
            <w:rFonts w:ascii="Book Antiqua" w:hAnsi="Book Antiqua"/>
            <w:i/>
            <w:szCs w:val="16"/>
          </w:rPr>
          <w:t>http://arxiv.org/abs/astro-ph/9803097</w:t>
        </w:r>
      </w:hyperlink>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[24] R. V. Gentry, </w:t>
      </w:r>
      <w:hyperlink r:id="rId234" w:history="1">
        <w:r w:rsidRPr="005627CB">
          <w:rPr>
            <w:rStyle w:val="Hyperlink"/>
            <w:rFonts w:ascii="Book Antiqua" w:hAnsi="Book Antiqua"/>
            <w:i/>
            <w:szCs w:val="16"/>
          </w:rPr>
          <w:t>http://www.orionfdn.org/papers/arxiv-1.htm</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[25] B. Lovell, T. O. Paine &amp; P. Moore, </w:t>
      </w:r>
      <w:r w:rsidRPr="005627CB">
        <w:rPr>
          <w:rFonts w:ascii="Book Antiqua" w:hAnsi="Book Antiqua"/>
          <w:i/>
          <w:iCs/>
          <w:sz w:val="16"/>
          <w:szCs w:val="16"/>
        </w:rPr>
        <w:t xml:space="preserve">The Readers Digest Atlas of the Universe, </w:t>
      </w:r>
      <w:r w:rsidRPr="005627CB">
        <w:rPr>
          <w:rFonts w:ascii="Book Antiqua" w:hAnsi="Book Antiqua"/>
          <w:sz w:val="16"/>
          <w:szCs w:val="16"/>
        </w:rPr>
        <w:t xml:space="preserve">p. 214, (Mitchell Beazley Ltd., 1974).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[26] Audouze &amp; Israel, op. cit., p.382. </w:t>
      </w:r>
    </w:p>
    <w:p w:rsidR="00265840" w:rsidRPr="005627CB" w:rsidRDefault="00265840" w:rsidP="00265840">
      <w:pPr>
        <w:pStyle w:val="NoSpacing"/>
        <w:rPr>
          <w:rStyle w:val="Hyperlink"/>
          <w:rFonts w:ascii="Book Antiqua" w:hAnsi="Book Antiqua"/>
          <w:i/>
          <w:szCs w:val="16"/>
        </w:rPr>
      </w:pPr>
      <w:r w:rsidRPr="005627CB">
        <w:rPr>
          <w:rFonts w:ascii="Book Antiqua" w:hAnsi="Book Antiqua"/>
          <w:sz w:val="16"/>
          <w:szCs w:val="16"/>
        </w:rPr>
        <w:t>[27] S. Perlmutter, Berkeley Lab Research News, 17</w:t>
      </w:r>
      <w:r w:rsidRPr="005627CB">
        <w:rPr>
          <w:rFonts w:ascii="Book Antiqua" w:hAnsi="Book Antiqua"/>
          <w:position w:val="8"/>
          <w:sz w:val="16"/>
          <w:szCs w:val="16"/>
          <w:vertAlign w:val="superscript"/>
        </w:rPr>
        <w:t xml:space="preserve"> </w:t>
      </w:r>
      <w:r w:rsidRPr="005627CB">
        <w:rPr>
          <w:rFonts w:ascii="Book Antiqua" w:hAnsi="Book Antiqua"/>
          <w:sz w:val="16"/>
          <w:szCs w:val="16"/>
        </w:rPr>
        <w:t xml:space="preserve">December 1998 at: </w:t>
      </w:r>
      <w:hyperlink r:id="rId235" w:history="1">
        <w:r w:rsidRPr="005627CB">
          <w:rPr>
            <w:rStyle w:val="Hyperlink"/>
            <w:rFonts w:ascii="Book Antiqua" w:hAnsi="Book Antiqua"/>
            <w:i/>
            <w:szCs w:val="16"/>
          </w:rPr>
          <w:t>http://www.lbl.gov/supernova/</w:t>
        </w:r>
      </w:hyperlink>
    </w:p>
    <w:p w:rsidR="00265840" w:rsidRPr="005627CB" w:rsidRDefault="00265840" w:rsidP="00265840">
      <w:pPr>
        <w:pStyle w:val="NoSpacing"/>
        <w:rPr>
          <w:rFonts w:ascii="Book Antiqua" w:hAnsi="Book Antiqua"/>
          <w:color w:val="FF0000"/>
          <w:sz w:val="16"/>
          <w:szCs w:val="16"/>
        </w:rPr>
      </w:pPr>
      <w:r w:rsidRPr="005627CB">
        <w:rPr>
          <w:rFonts w:ascii="Book Antiqua" w:hAnsi="Book Antiqua"/>
          <w:sz w:val="16"/>
          <w:szCs w:val="16"/>
        </w:rPr>
        <w:t xml:space="preserve">[28] S. Perlmutter, Berkeley Lab Research News, 17th December 1998 at: </w:t>
      </w:r>
      <w:hyperlink r:id="rId236" w:history="1">
        <w:r w:rsidRPr="005627CB">
          <w:rPr>
            <w:rStyle w:val="Hyperlink"/>
            <w:rFonts w:ascii="Book Antiqua" w:hAnsi="Book Antiqua"/>
            <w:i/>
            <w:szCs w:val="16"/>
          </w:rPr>
          <w:t>http://www.lbl.gov/supernova/albinoni.html</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[29] S. Perlmutter et al. [Supernova Cosmology Project Collaboration], </w:t>
      </w:r>
      <w:r w:rsidRPr="005627CB">
        <w:rPr>
          <w:rFonts w:ascii="Book Antiqua" w:hAnsi="Book Antiqua"/>
          <w:i/>
          <w:iCs/>
          <w:sz w:val="16"/>
          <w:szCs w:val="16"/>
        </w:rPr>
        <w:t xml:space="preserve">Nature </w:t>
      </w:r>
      <w:r w:rsidRPr="005627CB">
        <w:rPr>
          <w:rFonts w:ascii="Book Antiqua" w:hAnsi="Book Antiqua"/>
          <w:b/>
          <w:bCs/>
          <w:sz w:val="16"/>
          <w:szCs w:val="16"/>
        </w:rPr>
        <w:t>391:</w:t>
      </w:r>
      <w:r w:rsidRPr="005627CB">
        <w:rPr>
          <w:rFonts w:ascii="Book Antiqua" w:hAnsi="Book Antiqua"/>
          <w:sz w:val="16"/>
          <w:szCs w:val="16"/>
        </w:rPr>
        <w:t xml:space="preserve">51 (1998), </w:t>
      </w:r>
      <w:hyperlink r:id="rId237" w:history="1">
        <w:r w:rsidRPr="005627CB">
          <w:rPr>
            <w:rStyle w:val="Hyperlink"/>
            <w:rFonts w:ascii="Book Antiqua" w:hAnsi="Book Antiqua"/>
            <w:i/>
            <w:szCs w:val="16"/>
          </w:rPr>
          <w:t>http://arxiv.org/abs/</w:t>
        </w:r>
        <w:r w:rsidRPr="005627CB">
          <w:rPr>
            <w:rStyle w:val="Hyperlink"/>
            <w:rFonts w:ascii="Book Antiqua" w:hAnsi="Book Antiqua"/>
            <w:bCs/>
            <w:i/>
            <w:szCs w:val="16"/>
          </w:rPr>
          <w:t>astro-ph/9712212</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[30] S. Perlmutter et al. [Supernova Cosmology Project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517:</w:t>
      </w:r>
      <w:r w:rsidRPr="005627CB">
        <w:rPr>
          <w:rFonts w:ascii="Book Antiqua" w:hAnsi="Book Antiqua"/>
          <w:sz w:val="16"/>
          <w:szCs w:val="16"/>
        </w:rPr>
        <w:t xml:space="preserve">565 (1999) </w:t>
      </w:r>
      <w:hyperlink r:id="rId238" w:history="1">
        <w:r w:rsidRPr="005627CB">
          <w:rPr>
            <w:rStyle w:val="Hyperlink"/>
            <w:rFonts w:ascii="Book Antiqua" w:hAnsi="Book Antiqua"/>
            <w:bCs/>
            <w:i/>
            <w:szCs w:val="16"/>
          </w:rPr>
          <w:t>http://arxiv.org/abs/astro-ph/9812133</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[31] B. P. Schmidt et al. [Hi-Z Supernova Team Collaboration],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507:</w:t>
      </w:r>
      <w:r w:rsidRPr="005627CB">
        <w:rPr>
          <w:rFonts w:ascii="Book Antiqua" w:hAnsi="Book Antiqua"/>
          <w:sz w:val="16"/>
          <w:szCs w:val="16"/>
        </w:rPr>
        <w:t xml:space="preserve">46 (1998) </w:t>
      </w:r>
      <w:hyperlink r:id="rId239"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astro-ph/9805200</w:t>
        </w:r>
      </w:hyperlink>
    </w:p>
    <w:p w:rsidR="00265840" w:rsidRPr="005627CB" w:rsidRDefault="00265840" w:rsidP="00265840">
      <w:pPr>
        <w:pStyle w:val="NoSpacing"/>
        <w:rPr>
          <w:rFonts w:ascii="Book Antiqua" w:hAnsi="Book Antiqua"/>
          <w:bCs/>
          <w:i/>
          <w:color w:val="FF0000"/>
          <w:sz w:val="16"/>
          <w:szCs w:val="16"/>
        </w:rPr>
      </w:pPr>
      <w:r w:rsidRPr="005627CB">
        <w:rPr>
          <w:rFonts w:ascii="Book Antiqua" w:hAnsi="Book Antiqua"/>
          <w:sz w:val="16"/>
          <w:szCs w:val="16"/>
        </w:rPr>
        <w:t xml:space="preserve">[32] A. G. Riess et al. [Hi-Z Supernova Team Collaboration], </w:t>
      </w:r>
      <w:r w:rsidRPr="005627CB">
        <w:rPr>
          <w:rFonts w:ascii="Book Antiqua" w:hAnsi="Book Antiqua"/>
          <w:i/>
          <w:iCs/>
          <w:sz w:val="16"/>
          <w:szCs w:val="16"/>
        </w:rPr>
        <w:t>Astronomical Journal</w:t>
      </w:r>
      <w:r w:rsidRPr="005627CB">
        <w:rPr>
          <w:rFonts w:ascii="Book Antiqua" w:hAnsi="Book Antiqua"/>
          <w:sz w:val="16"/>
          <w:szCs w:val="16"/>
        </w:rPr>
        <w:t xml:space="preserve">, </w:t>
      </w:r>
      <w:r w:rsidRPr="005627CB">
        <w:rPr>
          <w:rFonts w:ascii="Book Antiqua" w:hAnsi="Book Antiqua"/>
          <w:b/>
          <w:bCs/>
          <w:sz w:val="16"/>
          <w:szCs w:val="16"/>
        </w:rPr>
        <w:t>116:</w:t>
      </w:r>
      <w:r w:rsidRPr="005627CB">
        <w:rPr>
          <w:rFonts w:ascii="Book Antiqua" w:hAnsi="Book Antiqua"/>
          <w:sz w:val="16"/>
          <w:szCs w:val="16"/>
        </w:rPr>
        <w:t xml:space="preserve">1009 (1998) </w:t>
      </w:r>
      <w:hyperlink r:id="rId240" w:history="1">
        <w:r w:rsidRPr="005627CB">
          <w:rPr>
            <w:rStyle w:val="Hyperlink"/>
            <w:rFonts w:ascii="Book Antiqua" w:hAnsi="Book Antiqua"/>
            <w:i/>
            <w:szCs w:val="16"/>
          </w:rPr>
          <w:t>http://arxiv.org/abs/</w:t>
        </w:r>
        <w:r w:rsidRPr="005627CB">
          <w:rPr>
            <w:rStyle w:val="Hyperlink"/>
            <w:rFonts w:ascii="Book Antiqua" w:hAnsi="Book Antiqua"/>
            <w:bCs/>
            <w:i/>
            <w:szCs w:val="16"/>
          </w:rPr>
          <w:t>astro-ph/9805201</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[33] M. Sawicki, article pre-print at: </w:t>
      </w:r>
      <w:hyperlink r:id="rId241" w:history="1">
        <w:r w:rsidRPr="005627CB">
          <w:rPr>
            <w:rStyle w:val="Hyperlink"/>
            <w:rFonts w:ascii="Book Antiqua" w:hAnsi="Book Antiqua"/>
            <w:i/>
            <w:szCs w:val="16"/>
          </w:rPr>
          <w:t>http://arxiv.org/abs/astro-ph/0208076</w:t>
        </w:r>
      </w:hyperlink>
      <w:r w:rsidRPr="005627CB">
        <w:rPr>
          <w:rFonts w:ascii="Book Antiqua" w:hAnsi="Book Antiqua"/>
          <w:sz w:val="16"/>
          <w:szCs w:val="16"/>
        </w:rPr>
        <w:t>,  3 August 2002.</w:t>
      </w:r>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[34] A. G. Riess et al., </w:t>
      </w:r>
      <w:r w:rsidRPr="005627CB">
        <w:rPr>
          <w:rFonts w:ascii="Book Antiqua" w:hAnsi="Book Antiqua"/>
          <w:i/>
          <w:sz w:val="16"/>
          <w:szCs w:val="16"/>
        </w:rPr>
        <w:t>Astrophysical Journal</w:t>
      </w:r>
      <w:r w:rsidRPr="005627CB">
        <w:rPr>
          <w:rFonts w:ascii="Book Antiqua" w:hAnsi="Book Antiqua"/>
          <w:sz w:val="16"/>
          <w:szCs w:val="16"/>
        </w:rPr>
        <w:t xml:space="preserve"> </w:t>
      </w:r>
      <w:r w:rsidRPr="005627CB">
        <w:rPr>
          <w:rFonts w:ascii="Book Antiqua" w:hAnsi="Book Antiqua"/>
          <w:b/>
          <w:sz w:val="16"/>
          <w:szCs w:val="16"/>
        </w:rPr>
        <w:t>560</w:t>
      </w:r>
      <w:r w:rsidRPr="005627CB">
        <w:rPr>
          <w:rFonts w:ascii="Book Antiqua" w:hAnsi="Book Antiqua"/>
          <w:sz w:val="16"/>
          <w:szCs w:val="16"/>
        </w:rPr>
        <w:t xml:space="preserve">, pp.49-71 (2001) or at: </w:t>
      </w:r>
      <w:hyperlink r:id="rId242" w:history="1">
        <w:r w:rsidRPr="005627CB">
          <w:rPr>
            <w:rStyle w:val="Hyperlink"/>
            <w:rFonts w:ascii="Book Antiqua" w:hAnsi="Book Antiqua"/>
            <w:i/>
            <w:szCs w:val="16"/>
          </w:rPr>
          <w:t>http://arxiv.org/abs/astro-ph/0104455</w:t>
        </w:r>
      </w:hyperlink>
    </w:p>
    <w:p w:rsidR="00265840" w:rsidRPr="005627CB" w:rsidRDefault="00265840" w:rsidP="00265840">
      <w:pPr>
        <w:pStyle w:val="NoSpacing"/>
        <w:rPr>
          <w:rFonts w:ascii="Book Antiqua" w:hAnsi="Book Antiqua"/>
          <w:i/>
          <w:color w:val="FF0000"/>
          <w:sz w:val="16"/>
          <w:szCs w:val="16"/>
        </w:rPr>
      </w:pPr>
      <w:r w:rsidRPr="005627CB">
        <w:rPr>
          <w:rFonts w:ascii="Book Antiqua" w:hAnsi="Book Antiqua"/>
          <w:sz w:val="16"/>
          <w:szCs w:val="16"/>
        </w:rPr>
        <w:t xml:space="preserve">[35]  Case Western Reserve University press release reporting on Adam Riess presentation at Future of Cosmology Conference at Clevelend Ohio available at: </w:t>
      </w:r>
      <w:hyperlink r:id="rId243" w:history="1">
        <w:r w:rsidRPr="005627CB">
          <w:rPr>
            <w:rStyle w:val="Hyperlink"/>
            <w:rFonts w:ascii="Book Antiqua" w:hAnsi="Book Antiqua"/>
            <w:i/>
            <w:szCs w:val="16"/>
          </w:rPr>
          <w:t>http://spaceflightnow.com/news/n0310/10expansion/</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[36] D. Overbye report on Adam Riess conference presentation available at: </w:t>
      </w:r>
      <w:hyperlink r:id="rId244" w:history="1">
        <w:r w:rsidRPr="005627CB">
          <w:rPr>
            <w:rStyle w:val="Hyperlink"/>
            <w:rFonts w:ascii="Book Antiqua" w:hAnsi="Book Antiqua"/>
            <w:i/>
            <w:szCs w:val="16"/>
          </w:rPr>
          <w:t>http://www.nytimes.com/2003/10/11/science/11COSM.html</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[37] A. G. Riess et al., </w:t>
      </w:r>
      <w:r w:rsidRPr="005627CB">
        <w:rPr>
          <w:rFonts w:ascii="Book Antiqua" w:hAnsi="Book Antiqua"/>
          <w:i/>
          <w:sz w:val="16"/>
          <w:szCs w:val="16"/>
        </w:rPr>
        <w:t>Astrophysical Journal</w:t>
      </w:r>
      <w:r w:rsidRPr="005627CB">
        <w:rPr>
          <w:rFonts w:ascii="Book Antiqua" w:hAnsi="Book Antiqua"/>
          <w:sz w:val="16"/>
          <w:szCs w:val="16"/>
        </w:rPr>
        <w:t>,</w:t>
      </w:r>
      <w:r w:rsidRPr="005627CB">
        <w:rPr>
          <w:rFonts w:ascii="Book Antiqua" w:hAnsi="Book Antiqua"/>
          <w:b/>
          <w:sz w:val="16"/>
          <w:szCs w:val="16"/>
        </w:rPr>
        <w:t xml:space="preserve"> 607</w:t>
      </w:r>
      <w:r w:rsidRPr="005627CB">
        <w:rPr>
          <w:rFonts w:ascii="Book Antiqua" w:hAnsi="Book Antiqua"/>
          <w:sz w:val="16"/>
          <w:szCs w:val="16"/>
        </w:rPr>
        <w:t>(2004), 2:665.</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[38] Q-G. Huang, Y. Gong, </w:t>
      </w:r>
      <w:r w:rsidRPr="005627CB">
        <w:rPr>
          <w:rFonts w:ascii="Book Antiqua" w:hAnsi="Book Antiqua"/>
          <w:i/>
          <w:sz w:val="16"/>
          <w:szCs w:val="16"/>
        </w:rPr>
        <w:t>Jour. Cos. &amp; Astroparticle Phys</w:t>
      </w:r>
      <w:r w:rsidRPr="005627CB">
        <w:rPr>
          <w:rFonts w:ascii="Book Antiqua" w:hAnsi="Book Antiqua"/>
          <w:sz w:val="16"/>
          <w:szCs w:val="16"/>
        </w:rPr>
        <w:t>.</w:t>
      </w:r>
      <w:r w:rsidRPr="005627CB">
        <w:rPr>
          <w:rFonts w:ascii="Book Antiqua" w:hAnsi="Book Antiqua"/>
          <w:b/>
          <w:sz w:val="16"/>
          <w:szCs w:val="16"/>
        </w:rPr>
        <w:t xml:space="preserve"> 8</w:t>
      </w:r>
      <w:r w:rsidRPr="005627CB">
        <w:rPr>
          <w:rFonts w:ascii="Book Antiqua" w:hAnsi="Book Antiqua"/>
          <w:sz w:val="16"/>
          <w:szCs w:val="16"/>
        </w:rPr>
        <w:t xml:space="preserve"> (2004).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[39] J. Ponce de Leon, </w:t>
      </w:r>
      <w:r w:rsidRPr="005627CB">
        <w:rPr>
          <w:rFonts w:ascii="Book Antiqua" w:hAnsi="Book Antiqua"/>
          <w:i/>
          <w:sz w:val="16"/>
          <w:szCs w:val="16"/>
        </w:rPr>
        <w:t>General Rel. Grav</w:t>
      </w:r>
      <w:r w:rsidRPr="005627CB">
        <w:rPr>
          <w:rFonts w:ascii="Book Antiqua" w:hAnsi="Book Antiqua"/>
          <w:sz w:val="16"/>
          <w:szCs w:val="16"/>
        </w:rPr>
        <w:t xml:space="preserve">. </w:t>
      </w:r>
      <w:r w:rsidRPr="005627CB">
        <w:rPr>
          <w:rFonts w:ascii="Book Antiqua" w:hAnsi="Book Antiqua"/>
          <w:b/>
          <w:sz w:val="16"/>
          <w:szCs w:val="16"/>
        </w:rPr>
        <w:t>38</w:t>
      </w:r>
      <w:r w:rsidRPr="005627CB">
        <w:rPr>
          <w:rFonts w:ascii="Book Antiqua" w:hAnsi="Book Antiqua"/>
          <w:sz w:val="16"/>
          <w:szCs w:val="16"/>
        </w:rPr>
        <w:t>, 61-81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[40] </w:t>
      </w:r>
      <w:r w:rsidRPr="005627CB">
        <w:rPr>
          <w:rFonts w:ascii="Book Antiqua" w:hAnsi="Book Antiqua"/>
          <w:i/>
          <w:sz w:val="16"/>
          <w:szCs w:val="16"/>
        </w:rPr>
        <w:t>Berkeley Lab Research News</w:t>
      </w:r>
      <w:r w:rsidRPr="005627CB">
        <w:rPr>
          <w:rFonts w:ascii="Book Antiqua" w:hAnsi="Book Antiqua"/>
          <w:sz w:val="16"/>
          <w:szCs w:val="16"/>
        </w:rPr>
        <w:t>, 20 September,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[41] D. Kasen et al., </w:t>
      </w:r>
      <w:r w:rsidRPr="005627CB">
        <w:rPr>
          <w:rFonts w:ascii="Book Antiqua" w:hAnsi="Book Antiqua"/>
          <w:i/>
          <w:sz w:val="16"/>
          <w:szCs w:val="16"/>
        </w:rPr>
        <w:t>Nature</w:t>
      </w:r>
      <w:r w:rsidRPr="005627CB">
        <w:rPr>
          <w:rFonts w:ascii="Book Antiqua" w:hAnsi="Book Antiqua"/>
          <w:sz w:val="16"/>
          <w:szCs w:val="16"/>
        </w:rPr>
        <w:t xml:space="preserve"> </w:t>
      </w:r>
      <w:r w:rsidRPr="005627CB">
        <w:rPr>
          <w:rFonts w:ascii="Book Antiqua" w:hAnsi="Book Antiqua"/>
          <w:b/>
          <w:sz w:val="16"/>
          <w:szCs w:val="16"/>
        </w:rPr>
        <w:t xml:space="preserve">460 </w:t>
      </w:r>
      <w:r w:rsidRPr="005627CB">
        <w:rPr>
          <w:rFonts w:ascii="Book Antiqua" w:hAnsi="Book Antiqua"/>
          <w:sz w:val="16"/>
          <w:szCs w:val="16"/>
        </w:rPr>
        <w:t>(7257), pp. 869-872 (Aug 13,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[42] B.K. Krueger et al., </w:t>
      </w:r>
      <w:r w:rsidRPr="005627CB">
        <w:rPr>
          <w:rFonts w:ascii="Book Antiqua" w:hAnsi="Book Antiqua"/>
          <w:i/>
          <w:sz w:val="16"/>
          <w:szCs w:val="16"/>
        </w:rPr>
        <w:t>Astrophysical Journal Letters</w:t>
      </w:r>
      <w:r w:rsidRPr="005627CB">
        <w:rPr>
          <w:rFonts w:ascii="Book Antiqua" w:hAnsi="Book Antiqua"/>
          <w:sz w:val="16"/>
          <w:szCs w:val="16"/>
        </w:rPr>
        <w:t xml:space="preserve"> </w:t>
      </w:r>
      <w:r w:rsidRPr="005627CB">
        <w:rPr>
          <w:rFonts w:ascii="Book Antiqua" w:hAnsi="Book Antiqua"/>
          <w:b/>
          <w:sz w:val="16"/>
          <w:szCs w:val="16"/>
        </w:rPr>
        <w:t>719,</w:t>
      </w:r>
      <w:r w:rsidRPr="005627CB">
        <w:rPr>
          <w:rFonts w:ascii="Book Antiqua" w:hAnsi="Book Antiqua"/>
          <w:sz w:val="16"/>
          <w:szCs w:val="16"/>
        </w:rPr>
        <w:t xml:space="preserve"> L5-L9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[43] A. Blanchard in a European Space Agency News Release 12 Dec. 2003, based on a paper at </w:t>
      </w:r>
      <w:hyperlink r:id="rId245" w:history="1">
        <w:r w:rsidRPr="005627CB">
          <w:rPr>
            <w:rStyle w:val="Hyperlink"/>
            <w:rFonts w:ascii="Book Antiqua" w:hAnsi="Book Antiqua"/>
            <w:i/>
            <w:szCs w:val="16"/>
          </w:rPr>
          <w:t>http://arxiv.org/abs/astro-ph/0311381</w:t>
        </w:r>
      </w:hyperlink>
      <w:r w:rsidRPr="005627CB">
        <w:rPr>
          <w:rFonts w:ascii="Book Antiqua" w:hAnsi="Book Antiqua"/>
          <w:sz w:val="16"/>
          <w:szCs w:val="16"/>
        </w:rPr>
        <w:t xml:space="preserve">. News at: </w:t>
      </w:r>
      <w:hyperlink r:id="rId246" w:history="1">
        <w:r w:rsidRPr="005627CB">
          <w:rPr>
            <w:rStyle w:val="Hyperlink"/>
            <w:rFonts w:ascii="Book Antiqua" w:hAnsi="Book Antiqua"/>
            <w:i/>
            <w:szCs w:val="16"/>
          </w:rPr>
          <w:t>http://spaceflightnow.com/news/n0312/12darkenergy/</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[44] B. Setterfield, D. Dzimano, ‘The Redshift and the Zero Point Energy,” </w:t>
      </w:r>
      <w:r w:rsidRPr="005627CB">
        <w:rPr>
          <w:rFonts w:ascii="Book Antiqua" w:hAnsi="Book Antiqua"/>
          <w:i/>
          <w:sz w:val="16"/>
          <w:szCs w:val="16"/>
        </w:rPr>
        <w:t>Journal of Theoretics</w:t>
      </w:r>
      <w:r w:rsidRPr="005627CB">
        <w:rPr>
          <w:rFonts w:ascii="Book Antiqua" w:hAnsi="Book Antiqua"/>
          <w:sz w:val="16"/>
          <w:szCs w:val="16"/>
        </w:rPr>
        <w:t>, pp.1-23, (December 29, 2003).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[45] L Ashmore, </w:t>
      </w:r>
      <w:r w:rsidRPr="005627CB">
        <w:rPr>
          <w:rFonts w:ascii="Book Antiqua" w:hAnsi="Book Antiqua"/>
          <w:i/>
          <w:sz w:val="16"/>
          <w:szCs w:val="16"/>
        </w:rPr>
        <w:t xml:space="preserve">Proceedings </w:t>
      </w:r>
      <w:r w:rsidRPr="005627CB">
        <w:rPr>
          <w:rFonts w:ascii="Book Antiqua" w:hAnsi="Book Antiqua"/>
          <w:i/>
          <w:iCs/>
          <w:sz w:val="16"/>
          <w:szCs w:val="16"/>
        </w:rPr>
        <w:t>2nd Crisis in Cosmology Conference, CCC-2. ASP Conference Series</w:t>
      </w:r>
      <w:r w:rsidRPr="005627CB">
        <w:rPr>
          <w:rFonts w:ascii="Book Antiqua" w:hAnsi="Book Antiqua"/>
          <w:sz w:val="16"/>
          <w:szCs w:val="16"/>
        </w:rPr>
        <w:t>, Vol. 413 (07/2011).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September 2008, at Port Angeles, Washington, USA. F Potter, ed.,</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p.3 (Astronomical Society of the Pacific, San Francisco, 2009).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[46] L. Ashmore, “An Explanation of Redshift in a Static Universe</w:t>
      </w:r>
      <w:r w:rsidR="002F274A">
        <w:rPr>
          <w:rFonts w:ascii="Book Antiqua" w:hAnsi="Book Antiqua"/>
          <w:sz w:val="16"/>
          <w:szCs w:val="16"/>
        </w:rPr>
        <w:t>,</w:t>
      </w:r>
      <w:r w:rsidRPr="005627CB">
        <w:rPr>
          <w:rFonts w:ascii="Book Antiqua" w:hAnsi="Book Antiqua"/>
          <w:sz w:val="16"/>
          <w:szCs w:val="16"/>
        </w:rPr>
        <w:t>”</w:t>
      </w:r>
      <w:r w:rsidR="002F274A">
        <w:rPr>
          <w:rFonts w:ascii="Book Antiqua" w:hAnsi="Book Antiqua"/>
          <w:sz w:val="16"/>
          <w:szCs w:val="16"/>
        </w:rPr>
        <w:t xml:space="preserve"> P</w:t>
      </w:r>
      <w:r w:rsidRPr="005627CB">
        <w:rPr>
          <w:rFonts w:ascii="Book Antiqua" w:hAnsi="Book Antiqua"/>
          <w:i/>
          <w:iCs/>
          <w:sz w:val="16"/>
          <w:szCs w:val="16"/>
        </w:rPr>
        <w:t xml:space="preserve">roceedings of the NPA </w:t>
      </w:r>
      <w:r w:rsidRPr="005627CB">
        <w:rPr>
          <w:rFonts w:ascii="Book Antiqua" w:hAnsi="Book Antiqua"/>
          <w:b/>
          <w:bCs/>
          <w:sz w:val="16"/>
          <w:szCs w:val="16"/>
        </w:rPr>
        <w:t>6</w:t>
      </w:r>
      <w:r w:rsidRPr="005627CB">
        <w:rPr>
          <w:rFonts w:ascii="Book Antiqua" w:hAnsi="Book Antiqua"/>
          <w:sz w:val="16"/>
          <w:szCs w:val="16"/>
        </w:rPr>
        <w:t>, Long Beach, CA (2010).</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[47] J</w:t>
      </w:r>
      <w:r w:rsidR="002F274A">
        <w:rPr>
          <w:rFonts w:ascii="Book Antiqua" w:hAnsi="Book Antiqua"/>
          <w:sz w:val="16"/>
          <w:szCs w:val="16"/>
        </w:rPr>
        <w:t>.</w:t>
      </w:r>
      <w:r w:rsidRPr="005627CB">
        <w:rPr>
          <w:rFonts w:ascii="Book Antiqua" w:hAnsi="Book Antiqua"/>
          <w:sz w:val="16"/>
          <w:szCs w:val="16"/>
        </w:rPr>
        <w:t xml:space="preserve"> Narlikar &amp; H</w:t>
      </w:r>
      <w:r w:rsidR="002F274A">
        <w:rPr>
          <w:rFonts w:ascii="Book Antiqua" w:hAnsi="Book Antiqua"/>
          <w:sz w:val="16"/>
          <w:szCs w:val="16"/>
        </w:rPr>
        <w:t>.</w:t>
      </w:r>
      <w:r w:rsidRPr="005627CB">
        <w:rPr>
          <w:rFonts w:ascii="Book Antiqua" w:hAnsi="Book Antiqua"/>
          <w:sz w:val="16"/>
          <w:szCs w:val="16"/>
        </w:rPr>
        <w:t xml:space="preserve"> Arp, </w:t>
      </w:r>
      <w:r w:rsidR="008E76BA">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sidR="008E76BA">
        <w:rPr>
          <w:rFonts w:ascii="Book Antiqua" w:hAnsi="Book Antiqua"/>
          <w:sz w:val="16"/>
          <w:szCs w:val="16"/>
        </w:rPr>
        <w:t>1, pp.</w:t>
      </w:r>
      <w:r w:rsidRPr="005627CB">
        <w:rPr>
          <w:rFonts w:ascii="Book Antiqua" w:hAnsi="Book Antiqua"/>
          <w:sz w:val="16"/>
          <w:szCs w:val="16"/>
        </w:rPr>
        <w:t>51</w:t>
      </w:r>
      <w:r w:rsidR="008E76BA">
        <w:rPr>
          <w:rFonts w:ascii="Book Antiqua" w:hAnsi="Book Antiqua"/>
          <w:sz w:val="16"/>
          <w:szCs w:val="16"/>
        </w:rPr>
        <w:t xml:space="preserve">-56, (March 1, </w:t>
      </w:r>
      <w:r w:rsidRPr="005627CB">
        <w:rPr>
          <w:rFonts w:ascii="Book Antiqua" w:hAnsi="Book Antiqua"/>
          <w:sz w:val="16"/>
          <w:szCs w:val="16"/>
        </w:rPr>
        <w:t>1993).</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[48] </w:t>
      </w:r>
      <w:r w:rsidRPr="005627CB">
        <w:rPr>
          <w:rFonts w:ascii="Book Antiqua" w:hAnsi="Book Antiqua"/>
          <w:color w:val="000000"/>
          <w:sz w:val="16"/>
          <w:szCs w:val="16"/>
        </w:rPr>
        <w:t>T. Norman, B. Setterfield, ‘</w:t>
      </w:r>
      <w:r w:rsidRPr="005627CB">
        <w:rPr>
          <w:rFonts w:ascii="Book Antiqua" w:hAnsi="Book Antiqua"/>
          <w:i/>
          <w:iCs/>
          <w:color w:val="000000"/>
          <w:sz w:val="16"/>
          <w:szCs w:val="16"/>
        </w:rPr>
        <w:t>The Atomic Constants, Light, and Time</w:t>
      </w:r>
      <w:r w:rsidRPr="005627CB">
        <w:rPr>
          <w:rFonts w:ascii="Book Antiqua" w:hAnsi="Book Antiqua"/>
          <w:color w:val="000000"/>
          <w:sz w:val="16"/>
          <w:szCs w:val="16"/>
        </w:rPr>
        <w:t>,’ Research Report, Stanford Research Institute (</w:t>
      </w:r>
      <w:smartTag w:uri="urn:schemas-microsoft-com:office:smarttags" w:element="stockticker">
        <w:r w:rsidRPr="005627CB">
          <w:rPr>
            <w:rFonts w:ascii="Book Antiqua" w:hAnsi="Book Antiqua"/>
            <w:color w:val="000000"/>
            <w:sz w:val="16"/>
            <w:szCs w:val="16"/>
          </w:rPr>
          <w:t>SRI</w:t>
        </w:r>
      </w:smartTag>
      <w:r w:rsidRPr="005627CB">
        <w:rPr>
          <w:rFonts w:ascii="Book Antiqua" w:hAnsi="Book Antiqua"/>
          <w:color w:val="000000"/>
          <w:sz w:val="16"/>
          <w:szCs w:val="16"/>
        </w:rPr>
        <w:t>) International &amp;  Flinders University, South Australia, August (1987)</w:t>
      </w:r>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[49] W. G. Tifft, </w:t>
      </w:r>
      <w:r w:rsidRPr="005627CB">
        <w:rPr>
          <w:rFonts w:ascii="Book Antiqua" w:hAnsi="Book Antiqua"/>
          <w:i/>
          <w:iCs/>
          <w:sz w:val="16"/>
          <w:szCs w:val="16"/>
        </w:rPr>
        <w:t xml:space="preserve">Astrophysical Journal, </w:t>
      </w:r>
      <w:r w:rsidRPr="005627CB">
        <w:rPr>
          <w:rFonts w:ascii="Book Antiqua" w:hAnsi="Book Antiqua"/>
          <w:b/>
          <w:bCs/>
          <w:sz w:val="16"/>
          <w:szCs w:val="16"/>
        </w:rPr>
        <w:t>206</w:t>
      </w:r>
      <w:r w:rsidRPr="005627CB">
        <w:rPr>
          <w:rFonts w:ascii="Book Antiqua" w:hAnsi="Book Antiqua"/>
          <w:sz w:val="16"/>
          <w:szCs w:val="16"/>
        </w:rPr>
        <w:t xml:space="preserve">:38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[50]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:31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[51] H. Arp, </w:t>
      </w:r>
      <w:r w:rsidRPr="005627CB">
        <w:rPr>
          <w:rFonts w:ascii="Book Antiqua" w:hAnsi="Book Antiqua"/>
          <w:i/>
          <w:iCs/>
          <w:sz w:val="16"/>
          <w:szCs w:val="16"/>
        </w:rPr>
        <w:t>Quasars, Redshifts and Controversies</w:t>
      </w:r>
      <w:r w:rsidRPr="005627CB">
        <w:rPr>
          <w:rFonts w:ascii="Book Antiqua" w:hAnsi="Book Antiqua"/>
          <w:sz w:val="16"/>
          <w:szCs w:val="16"/>
        </w:rPr>
        <w:t xml:space="preserve">, p.112, Interstellar Media, Berkeley, California,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[52] J. R. Fisher &amp; R. B. Tully, </w:t>
      </w:r>
      <w:r w:rsidRPr="005627CB">
        <w:rPr>
          <w:rFonts w:ascii="Book Antiqua" w:hAnsi="Book Antiqua"/>
          <w:i/>
          <w:iCs/>
          <w:sz w:val="16"/>
          <w:szCs w:val="16"/>
        </w:rPr>
        <w:t xml:space="preserve">Astrophysical Journal Supplement </w:t>
      </w:r>
      <w:r w:rsidRPr="005627CB">
        <w:rPr>
          <w:rFonts w:ascii="Book Antiqua" w:hAnsi="Book Antiqua"/>
          <w:b/>
          <w:bCs/>
          <w:sz w:val="16"/>
          <w:szCs w:val="16"/>
        </w:rPr>
        <w:t>47</w:t>
      </w:r>
      <w:r w:rsidRPr="005627CB">
        <w:rPr>
          <w:rFonts w:ascii="Book Antiqua" w:hAnsi="Book Antiqua"/>
          <w:sz w:val="16"/>
          <w:szCs w:val="16"/>
        </w:rPr>
        <w:t xml:space="preserve">:139 (1981).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[53] W. G. Tifft &amp; W. J. Cocke, </w:t>
      </w:r>
      <w:r w:rsidRPr="005627CB">
        <w:rPr>
          <w:rFonts w:ascii="Book Antiqua" w:hAnsi="Book Antiqua"/>
          <w:i/>
          <w:iCs/>
          <w:sz w:val="16"/>
          <w:szCs w:val="16"/>
        </w:rPr>
        <w:t xml:space="preserve">Astrophysical Journal, </w:t>
      </w:r>
      <w:r w:rsidRPr="005627CB">
        <w:rPr>
          <w:rFonts w:ascii="Book Antiqua" w:hAnsi="Book Antiqua"/>
          <w:b/>
          <w:bCs/>
          <w:sz w:val="16"/>
          <w:szCs w:val="16"/>
        </w:rPr>
        <w:t>287</w:t>
      </w:r>
      <w:r w:rsidRPr="005627CB">
        <w:rPr>
          <w:rFonts w:ascii="Book Antiqua" w:hAnsi="Book Antiqua"/>
          <w:sz w:val="16"/>
          <w:szCs w:val="16"/>
        </w:rPr>
        <w:t xml:space="preserve">:492 (1984).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lastRenderedPageBreak/>
        <w:t xml:space="preserve">[54] H. Arp &amp; Sulentic, </w:t>
      </w:r>
      <w:r w:rsidRPr="005627CB">
        <w:rPr>
          <w:rFonts w:ascii="Book Antiqua" w:hAnsi="Book Antiqua"/>
          <w:i/>
          <w:iCs/>
          <w:sz w:val="16"/>
          <w:szCs w:val="16"/>
        </w:rPr>
        <w:t xml:space="preserve">Astrophysical Journal </w:t>
      </w:r>
      <w:r w:rsidRPr="005627CB">
        <w:rPr>
          <w:rFonts w:ascii="Book Antiqua" w:hAnsi="Book Antiqua"/>
          <w:b/>
          <w:bCs/>
          <w:sz w:val="16"/>
          <w:szCs w:val="16"/>
        </w:rPr>
        <w:t>291</w:t>
      </w:r>
      <w:r w:rsidRPr="005627CB">
        <w:rPr>
          <w:rFonts w:ascii="Book Antiqua" w:hAnsi="Book Antiqua"/>
          <w:sz w:val="16"/>
          <w:szCs w:val="16"/>
        </w:rPr>
        <w:t xml:space="preserve">:88 (1985).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[55] H. Arp, Reference [51], pp.108, 110, 112-113, 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[56]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No.61, January 3 (1992). Earlier B. N. G. Guthrie and W. M. Napier had published initial results in </w:t>
      </w:r>
      <w:r w:rsidRPr="005627CB">
        <w:rPr>
          <w:rFonts w:ascii="Book Antiqua" w:hAnsi="Book Antiqua"/>
          <w:i/>
          <w:sz w:val="16"/>
          <w:szCs w:val="16"/>
        </w:rPr>
        <w:t>Monthly Notices of the Royal Astronomical Society</w:t>
      </w:r>
      <w:r w:rsidRPr="005627CB">
        <w:rPr>
          <w:rFonts w:ascii="Book Antiqua" w:hAnsi="Book Antiqua"/>
          <w:sz w:val="16"/>
          <w:szCs w:val="16"/>
        </w:rPr>
        <w:t xml:space="preserve">, </w:t>
      </w:r>
      <w:r w:rsidRPr="005627CB">
        <w:rPr>
          <w:rFonts w:ascii="Book Antiqua" w:hAnsi="Book Antiqua"/>
          <w:b/>
          <w:sz w:val="16"/>
          <w:szCs w:val="16"/>
        </w:rPr>
        <w:t>243</w:t>
      </w:r>
      <w:r w:rsidRPr="005627CB">
        <w:rPr>
          <w:rFonts w:ascii="Book Antiqua" w:hAnsi="Book Antiqua"/>
          <w:sz w:val="16"/>
          <w:szCs w:val="16"/>
        </w:rPr>
        <w:t>, pp.431-442 (1990) and</w:t>
      </w:r>
      <w:r w:rsidRPr="005627CB">
        <w:rPr>
          <w:rFonts w:ascii="Book Antiqua" w:hAnsi="Book Antiqua"/>
          <w:b/>
          <w:sz w:val="16"/>
          <w:szCs w:val="16"/>
        </w:rPr>
        <w:t xml:space="preserve"> 253</w:t>
      </w:r>
      <w:r w:rsidRPr="005627CB">
        <w:rPr>
          <w:rFonts w:ascii="Book Antiqua" w:hAnsi="Book Antiqua"/>
          <w:sz w:val="16"/>
          <w:szCs w:val="16"/>
        </w:rPr>
        <w:t>, pp. 533-544 (1991).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[57] P. F. Schewe &amp; B. Stein, American Institute Physics, </w:t>
      </w:r>
      <w:r w:rsidRPr="005627CB">
        <w:rPr>
          <w:rFonts w:ascii="Book Antiqua" w:hAnsi="Book Antiqua"/>
          <w:i/>
          <w:iCs/>
          <w:sz w:val="16"/>
          <w:szCs w:val="16"/>
        </w:rPr>
        <w:t xml:space="preserve">Physics News Update, </w:t>
      </w:r>
      <w:r w:rsidRPr="005627CB">
        <w:rPr>
          <w:rFonts w:ascii="Book Antiqua" w:hAnsi="Book Antiqua"/>
          <w:sz w:val="16"/>
          <w:szCs w:val="16"/>
        </w:rPr>
        <w:t xml:space="preserve">No. 104, Nov. 25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[58] News Editor, </w:t>
      </w:r>
      <w:r w:rsidRPr="005627CB">
        <w:rPr>
          <w:rFonts w:ascii="Book Antiqua" w:hAnsi="Book Antiqua"/>
          <w:i/>
          <w:iCs/>
          <w:sz w:val="16"/>
          <w:szCs w:val="16"/>
        </w:rPr>
        <w:t>Scientific American</w:t>
      </w:r>
      <w:r w:rsidRPr="005627CB">
        <w:rPr>
          <w:rFonts w:ascii="Book Antiqua" w:hAnsi="Book Antiqua"/>
          <w:sz w:val="16"/>
          <w:szCs w:val="16"/>
        </w:rPr>
        <w:t xml:space="preserve">, December 1992.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[59] J. Gribbin, </w:t>
      </w:r>
      <w:r w:rsidRPr="005627CB">
        <w:rPr>
          <w:rFonts w:ascii="Book Antiqua" w:hAnsi="Book Antiqua"/>
          <w:i/>
          <w:iCs/>
          <w:sz w:val="16"/>
          <w:szCs w:val="16"/>
        </w:rPr>
        <w:t>New Scientist</w:t>
      </w:r>
      <w:r w:rsidRPr="005627CB">
        <w:rPr>
          <w:rFonts w:ascii="Book Antiqua" w:hAnsi="Book Antiqua"/>
          <w:sz w:val="16"/>
          <w:szCs w:val="16"/>
        </w:rPr>
        <w:t xml:space="preserve">, p.17, July 9, 1994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[60] W. R. Corliss, </w:t>
      </w:r>
      <w:r w:rsidRPr="005627CB">
        <w:rPr>
          <w:rFonts w:ascii="Book Antiqua" w:hAnsi="Book Antiqua"/>
          <w:i/>
          <w:iCs/>
          <w:sz w:val="16"/>
          <w:szCs w:val="16"/>
        </w:rPr>
        <w:t>Science Frontiers</w:t>
      </w:r>
      <w:r w:rsidRPr="005627CB">
        <w:rPr>
          <w:rFonts w:ascii="Book Antiqua" w:hAnsi="Book Antiqua"/>
          <w:sz w:val="16"/>
          <w:szCs w:val="16"/>
        </w:rPr>
        <w:t xml:space="preserve">, No. 105: May-June, 1996.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[61] H. Arp, </w:t>
      </w:r>
      <w:r w:rsidRPr="005627CB">
        <w:rPr>
          <w:rFonts w:ascii="Book Antiqua" w:hAnsi="Book Antiqua"/>
          <w:i/>
          <w:iCs/>
          <w:sz w:val="16"/>
          <w:szCs w:val="16"/>
        </w:rPr>
        <w:t>Seeing Red: Redshifts, Cosmology And Academic Science</w:t>
      </w:r>
      <w:r w:rsidRPr="005627CB">
        <w:rPr>
          <w:rFonts w:ascii="Book Antiqua" w:hAnsi="Book Antiqua"/>
          <w:sz w:val="16"/>
          <w:szCs w:val="16"/>
        </w:rPr>
        <w:t>, p.199, Apeiron, Montreal, Canada, 1998.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[62]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382</w:t>
      </w:r>
      <w:r w:rsidRPr="005627CB">
        <w:rPr>
          <w:rFonts w:ascii="Book Antiqua" w:hAnsi="Book Antiqua"/>
          <w:sz w:val="16"/>
          <w:szCs w:val="16"/>
        </w:rPr>
        <w:t xml:space="preserve">:396 (1991).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[63] B. M. Lewis, </w:t>
      </w:r>
      <w:r w:rsidRPr="005627CB">
        <w:rPr>
          <w:rFonts w:ascii="Book Antiqua" w:hAnsi="Book Antiqua"/>
          <w:i/>
          <w:iCs/>
          <w:sz w:val="16"/>
          <w:szCs w:val="16"/>
        </w:rPr>
        <w:t>Observatory</w:t>
      </w:r>
      <w:r w:rsidRPr="005627CB">
        <w:rPr>
          <w:rFonts w:ascii="Book Antiqua" w:hAnsi="Book Antiqua"/>
          <w:sz w:val="16"/>
          <w:szCs w:val="16"/>
        </w:rPr>
        <w:t xml:space="preserve">, </w:t>
      </w:r>
      <w:r w:rsidRPr="005627CB">
        <w:rPr>
          <w:rFonts w:ascii="Book Antiqua" w:hAnsi="Book Antiqua"/>
          <w:b/>
          <w:bCs/>
          <w:sz w:val="16"/>
          <w:szCs w:val="16"/>
        </w:rPr>
        <w:t>107</w:t>
      </w:r>
      <w:r w:rsidRPr="005627CB">
        <w:rPr>
          <w:rFonts w:ascii="Book Antiqua" w:hAnsi="Book Antiqua"/>
          <w:sz w:val="16"/>
          <w:szCs w:val="16"/>
        </w:rPr>
        <w:t xml:space="preserve">:201 (1987).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[64] Science Editor, </w:t>
      </w:r>
      <w:r w:rsidRPr="005627CB">
        <w:rPr>
          <w:rFonts w:ascii="Book Antiqua" w:hAnsi="Book Antiqua"/>
          <w:bCs/>
          <w:i/>
          <w:iCs/>
          <w:color w:val="000000"/>
          <w:sz w:val="16"/>
          <w:szCs w:val="16"/>
        </w:rPr>
        <w:t xml:space="preserve">The Messenger,  </w:t>
      </w:r>
      <w:r w:rsidRPr="005627CB">
        <w:rPr>
          <w:rFonts w:ascii="Book Antiqua" w:hAnsi="Book Antiqua"/>
          <w:b/>
          <w:bCs/>
          <w:i/>
          <w:iCs/>
          <w:color w:val="000000"/>
          <w:sz w:val="16"/>
          <w:szCs w:val="16"/>
        </w:rPr>
        <w:t>84</w:t>
      </w:r>
      <w:r w:rsidRPr="005627CB">
        <w:rPr>
          <w:rFonts w:ascii="Book Antiqua" w:hAnsi="Book Antiqua"/>
          <w:bCs/>
          <w:iCs/>
          <w:color w:val="000000"/>
          <w:sz w:val="16"/>
          <w:szCs w:val="16"/>
        </w:rPr>
        <w:t>, 20-23</w:t>
      </w:r>
      <w:r w:rsidRPr="005627CB">
        <w:rPr>
          <w:rFonts w:ascii="Book Antiqua" w:hAnsi="Book Antiqua"/>
          <w:bCs/>
          <w:i/>
          <w:iCs/>
          <w:color w:val="000000"/>
          <w:sz w:val="16"/>
          <w:szCs w:val="16"/>
        </w:rPr>
        <w:t xml:space="preserve"> </w:t>
      </w:r>
      <w:r w:rsidRPr="005627CB">
        <w:rPr>
          <w:rFonts w:ascii="Book Antiqua" w:hAnsi="Book Antiqua"/>
          <w:bCs/>
          <w:iCs/>
          <w:color w:val="000000"/>
          <w:sz w:val="16"/>
          <w:szCs w:val="16"/>
        </w:rPr>
        <w:t>(June 1996).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[65] M. B. Bell, D. McDiarmid, </w:t>
      </w:r>
      <w:r w:rsidRPr="005627CB">
        <w:rPr>
          <w:rFonts w:ascii="Book Antiqua" w:hAnsi="Book Antiqua"/>
          <w:i/>
          <w:sz w:val="16"/>
          <w:szCs w:val="16"/>
        </w:rPr>
        <w:t>ApJ</w:t>
      </w:r>
      <w:r w:rsidRPr="005627CB">
        <w:rPr>
          <w:rFonts w:ascii="Book Antiqua" w:hAnsi="Book Antiqua"/>
          <w:sz w:val="16"/>
          <w:szCs w:val="16"/>
        </w:rPr>
        <w:t xml:space="preserve"> </w:t>
      </w:r>
      <w:r w:rsidRPr="005627CB">
        <w:rPr>
          <w:rFonts w:ascii="Book Antiqua" w:hAnsi="Book Antiqua"/>
          <w:b/>
          <w:sz w:val="16"/>
          <w:szCs w:val="16"/>
        </w:rPr>
        <w:t>648,</w:t>
      </w:r>
      <w:r w:rsidRPr="005627CB">
        <w:rPr>
          <w:rFonts w:ascii="Book Antiqua" w:hAnsi="Book Antiqua"/>
          <w:sz w:val="16"/>
          <w:szCs w:val="16"/>
        </w:rPr>
        <w:t xml:space="preserve"> pp. 140-147 (2006).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[66] W. G. Tifft, </w:t>
      </w:r>
      <w:r w:rsidRPr="005627CB">
        <w:rPr>
          <w:rFonts w:ascii="Book Antiqua" w:hAnsi="Book Antiqua"/>
          <w:i/>
          <w:iCs/>
          <w:sz w:val="16"/>
          <w:szCs w:val="16"/>
        </w:rPr>
        <w:t>Astrophysical Journal</w:t>
      </w:r>
      <w:r w:rsidRPr="005627CB">
        <w:rPr>
          <w:rFonts w:ascii="Book Antiqua" w:hAnsi="Book Antiqua"/>
          <w:sz w:val="16"/>
          <w:szCs w:val="16"/>
        </w:rPr>
        <w:t xml:space="preserve">, </w:t>
      </w:r>
      <w:r w:rsidRPr="005627CB">
        <w:rPr>
          <w:rFonts w:ascii="Book Antiqua" w:hAnsi="Book Antiqua"/>
          <w:b/>
          <w:bCs/>
          <w:sz w:val="16"/>
          <w:szCs w:val="16"/>
        </w:rPr>
        <w:t>211</w:t>
      </w:r>
      <w:r w:rsidRPr="005627CB">
        <w:rPr>
          <w:rFonts w:ascii="Book Antiqua" w:hAnsi="Book Antiqua"/>
          <w:sz w:val="16"/>
          <w:szCs w:val="16"/>
        </w:rPr>
        <w:t xml:space="preserve">:377 (1977).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[67] H. Arp, Reference [51], p.119.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[68] J. Gribbin, </w:t>
      </w:r>
      <w:r w:rsidRPr="005627CB">
        <w:rPr>
          <w:rFonts w:ascii="Book Antiqua" w:hAnsi="Book Antiqua"/>
          <w:i/>
          <w:sz w:val="16"/>
          <w:szCs w:val="16"/>
        </w:rPr>
        <w:t>New Scientist</w:t>
      </w:r>
      <w:r w:rsidRPr="005627CB">
        <w:rPr>
          <w:rFonts w:ascii="Book Antiqua" w:hAnsi="Book Antiqua"/>
          <w:sz w:val="16"/>
          <w:szCs w:val="16"/>
        </w:rPr>
        <w:t xml:space="preserve">, 20th June (1985), p.20.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[69] E. R. Harrison, </w:t>
      </w:r>
      <w:r w:rsidRPr="005627CB">
        <w:rPr>
          <w:rFonts w:ascii="Book Antiqua" w:hAnsi="Book Antiqua"/>
          <w:i/>
          <w:sz w:val="16"/>
          <w:szCs w:val="16"/>
        </w:rPr>
        <w:t>Cosmology, The Science of the Universe</w:t>
      </w:r>
      <w:r w:rsidRPr="005627CB">
        <w:rPr>
          <w:rFonts w:ascii="Book Antiqua" w:hAnsi="Book Antiqua"/>
          <w:sz w:val="16"/>
          <w:szCs w:val="16"/>
        </w:rPr>
        <w:t>, pp.275-276, (Cambridge Uni. Press, 1981).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[70] T.H. Boyer, </w:t>
      </w:r>
      <w:r w:rsidRPr="005627CB">
        <w:rPr>
          <w:rFonts w:ascii="Book Antiqua" w:hAnsi="Book Antiqua"/>
          <w:i/>
          <w:sz w:val="16"/>
          <w:szCs w:val="16"/>
        </w:rPr>
        <w:t>Phys. Rev. D</w:t>
      </w:r>
      <w:r w:rsidRPr="005627CB">
        <w:rPr>
          <w:rFonts w:ascii="Book Antiqua" w:hAnsi="Book Antiqua"/>
          <w:b/>
          <w:sz w:val="16"/>
          <w:szCs w:val="16"/>
        </w:rPr>
        <w:t xml:space="preserve"> 11</w:t>
      </w:r>
      <w:r w:rsidRPr="005627CB">
        <w:rPr>
          <w:rFonts w:ascii="Book Antiqua" w:hAnsi="Book Antiqua"/>
          <w:sz w:val="16"/>
          <w:szCs w:val="16"/>
        </w:rPr>
        <w:t xml:space="preserve"> (1975), p. 790.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[71] P. Claverie and S. Diner, </w:t>
      </w:r>
      <w:r w:rsidRPr="005627CB">
        <w:rPr>
          <w:rFonts w:ascii="Book Antiqua" w:hAnsi="Book Antiqua"/>
          <w:i/>
          <w:sz w:val="16"/>
          <w:szCs w:val="16"/>
        </w:rPr>
        <w:t>in Localization and delocalization in quantum chemistry, Vol. II</w:t>
      </w:r>
      <w:r w:rsidRPr="005627CB">
        <w:rPr>
          <w:rFonts w:ascii="Book Antiqua" w:hAnsi="Book Antiqua"/>
          <w:sz w:val="16"/>
          <w:szCs w:val="16"/>
        </w:rPr>
        <w:t xml:space="preserve">, p. 395, O Chalvet et al., eds, (Reidel, Dorchrecht, 1976).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[72] L. de la Pena, ‘Stochastic Electrodynamics: Its Development, Present Situation, And Perspectives,’ in </w:t>
      </w:r>
      <w:r w:rsidRPr="005627CB">
        <w:rPr>
          <w:rFonts w:ascii="Book Antiqua" w:hAnsi="Book Antiqua"/>
          <w:i/>
          <w:sz w:val="16"/>
          <w:szCs w:val="16"/>
        </w:rPr>
        <w:t xml:space="preserve"> Stochastic Processes Applied to Physics and other Related Fields</w:t>
      </w:r>
      <w:r w:rsidRPr="005627CB">
        <w:rPr>
          <w:rFonts w:ascii="Book Antiqua" w:hAnsi="Book Antiqua"/>
          <w:sz w:val="16"/>
          <w:szCs w:val="16"/>
        </w:rPr>
        <w:t>, B. Gomez et al. eds., (World Scientific Publishing Co. Pty. Ltd, 1983), being the Proceedings of the Escuela Lationamericana de Fisica held in Cali, Colombia, (21 June - 9 July, 1982) 428-581.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[73] H. E. Puthoff, </w:t>
      </w:r>
      <w:r w:rsidRPr="005627CB">
        <w:rPr>
          <w:rFonts w:ascii="Book Antiqua" w:hAnsi="Book Antiqua"/>
          <w:i/>
          <w:sz w:val="16"/>
          <w:szCs w:val="16"/>
        </w:rPr>
        <w:t>Phys. Rev. D</w:t>
      </w:r>
      <w:r w:rsidRPr="005627CB">
        <w:rPr>
          <w:rFonts w:ascii="Book Antiqua" w:hAnsi="Book Antiqua"/>
          <w:sz w:val="16"/>
          <w:szCs w:val="16"/>
        </w:rPr>
        <w:t xml:space="preserve">, </w:t>
      </w:r>
      <w:r w:rsidRPr="005627CB">
        <w:rPr>
          <w:rFonts w:ascii="Book Antiqua" w:hAnsi="Book Antiqua"/>
          <w:b/>
          <w:sz w:val="16"/>
          <w:szCs w:val="16"/>
        </w:rPr>
        <w:t>35</w:t>
      </w:r>
      <w:r w:rsidRPr="005627CB">
        <w:rPr>
          <w:rFonts w:ascii="Book Antiqua" w:hAnsi="Book Antiqua"/>
          <w:sz w:val="16"/>
          <w:szCs w:val="16"/>
        </w:rPr>
        <w:t>:10 (1987) 3266.</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[74] B. Setterfield, “Quantized Redshifts and the Zero Point Energy,” </w:t>
      </w:r>
      <w:r w:rsidRPr="005627CB">
        <w:rPr>
          <w:rFonts w:ascii="Book Antiqua" w:hAnsi="Book Antiqua"/>
          <w:i/>
          <w:sz w:val="16"/>
          <w:szCs w:val="16"/>
        </w:rPr>
        <w:t>Journal of Vectorial Reletivity,</w:t>
      </w:r>
      <w:r w:rsidRPr="005627CB">
        <w:rPr>
          <w:rFonts w:ascii="Book Antiqua" w:hAnsi="Book Antiqua"/>
          <w:sz w:val="16"/>
          <w:szCs w:val="16"/>
        </w:rPr>
        <w:t xml:space="preserve"> </w:t>
      </w:r>
      <w:r w:rsidRPr="005627CB">
        <w:rPr>
          <w:rFonts w:ascii="Book Antiqua" w:hAnsi="Book Antiqua"/>
          <w:b/>
          <w:sz w:val="16"/>
          <w:szCs w:val="16"/>
        </w:rPr>
        <w:t>3</w:t>
      </w:r>
      <w:r w:rsidRPr="005627CB">
        <w:rPr>
          <w:rFonts w:ascii="Book Antiqua" w:hAnsi="Book Antiqua"/>
          <w:sz w:val="16"/>
          <w:szCs w:val="16"/>
        </w:rPr>
        <w:t xml:space="preserve"> (2008), No.4, pp.1-32.</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[75] V. Spicka et al.,in "</w:t>
      </w:r>
      <w:r w:rsidRPr="005627CB">
        <w:rPr>
          <w:rFonts w:ascii="Book Antiqua" w:hAnsi="Book Antiqua"/>
          <w:i/>
          <w:sz w:val="16"/>
          <w:szCs w:val="16"/>
        </w:rPr>
        <w:t>Beyond the Quantum,</w:t>
      </w:r>
      <w:r w:rsidRPr="005627CB">
        <w:rPr>
          <w:rFonts w:ascii="Book Antiqua" w:hAnsi="Book Antiqua"/>
          <w:sz w:val="16"/>
          <w:szCs w:val="16"/>
        </w:rPr>
        <w:t>" pp. 247-270, edited by Theo. M. Nieuwenhuizen, (World Scientific, 2007).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[76] F. J. Dyson,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1291-1293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[77] A. Peres,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1293-1294,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[78] J. N. Bahcall, M. Schmidt, </w:t>
      </w:r>
      <w:r w:rsidRPr="005627CB">
        <w:rPr>
          <w:rFonts w:ascii="Book Antiqua" w:hAnsi="Book Antiqua"/>
          <w:i/>
          <w:sz w:val="16"/>
          <w:szCs w:val="16"/>
        </w:rPr>
        <w:t>Phys. Rev. Lett</w:t>
      </w:r>
      <w:r w:rsidRPr="005627CB">
        <w:rPr>
          <w:rFonts w:ascii="Book Antiqua" w:hAnsi="Book Antiqua"/>
          <w:sz w:val="16"/>
          <w:szCs w:val="16"/>
        </w:rPr>
        <w:t xml:space="preserve">., </w:t>
      </w:r>
      <w:r w:rsidRPr="005627CB">
        <w:rPr>
          <w:rFonts w:ascii="Book Antiqua" w:hAnsi="Book Antiqua"/>
          <w:b/>
          <w:sz w:val="16"/>
          <w:szCs w:val="16"/>
        </w:rPr>
        <w:t>19</w:t>
      </w:r>
      <w:r w:rsidRPr="005627CB">
        <w:rPr>
          <w:rFonts w:ascii="Book Antiqua" w:hAnsi="Book Antiqua"/>
          <w:sz w:val="16"/>
          <w:szCs w:val="16"/>
        </w:rPr>
        <w:t>, pp. 1294-1295 (1967).</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[79] P. S. Wesson, </w:t>
      </w:r>
      <w:r w:rsidRPr="005627CB">
        <w:rPr>
          <w:rFonts w:ascii="Book Antiqua" w:hAnsi="Book Antiqua"/>
          <w:i/>
          <w:sz w:val="16"/>
          <w:szCs w:val="16"/>
        </w:rPr>
        <w:t>Cosmology and Geophysics,</w:t>
      </w:r>
      <w:r w:rsidRPr="005627CB">
        <w:rPr>
          <w:rFonts w:ascii="Book Antiqua" w:hAnsi="Book Antiqua"/>
          <w:sz w:val="16"/>
          <w:szCs w:val="16"/>
        </w:rPr>
        <w:t xml:space="preserve"> Monographs on Astronomical Subjects:3. pp.65-66, 88-89, 115-122, 207-208, (Adam Hilger Ltd, Bristol 1978).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[80] B. Setterfield, “General Relativity and the Zero Point Energy,” </w:t>
      </w:r>
      <w:r w:rsidRPr="005627CB">
        <w:rPr>
          <w:rFonts w:ascii="Book Antiqua" w:hAnsi="Book Antiqua"/>
          <w:i/>
          <w:iCs/>
          <w:sz w:val="16"/>
          <w:szCs w:val="16"/>
        </w:rPr>
        <w:t>Journal of Theoretics</w:t>
      </w:r>
      <w:r w:rsidRPr="005627CB">
        <w:rPr>
          <w:rFonts w:ascii="Book Antiqua" w:hAnsi="Book Antiqua"/>
          <w:sz w:val="16"/>
          <w:szCs w:val="16"/>
        </w:rPr>
        <w:t xml:space="preserve">, extensive papers (15 Oct. 2003). Also, B. Setterfield, “Reviewing the Zero Point Energy,” </w:t>
      </w:r>
      <w:r w:rsidRPr="005627CB">
        <w:rPr>
          <w:rFonts w:ascii="Book Antiqua" w:hAnsi="Book Antiqua"/>
          <w:i/>
          <w:sz w:val="16"/>
          <w:szCs w:val="16"/>
        </w:rPr>
        <w:t>JVR</w:t>
      </w:r>
      <w:r w:rsidRPr="005627CB">
        <w:rPr>
          <w:rFonts w:ascii="Book Antiqua" w:hAnsi="Book Antiqua"/>
          <w:sz w:val="16"/>
          <w:szCs w:val="16"/>
        </w:rPr>
        <w:t xml:space="preserve"> </w:t>
      </w:r>
      <w:r w:rsidRPr="005627CB">
        <w:rPr>
          <w:rFonts w:ascii="Book Antiqua" w:hAnsi="Book Antiqua"/>
          <w:b/>
          <w:sz w:val="16"/>
          <w:szCs w:val="16"/>
        </w:rPr>
        <w:t>2</w:t>
      </w:r>
      <w:r w:rsidRPr="005627CB">
        <w:rPr>
          <w:rFonts w:ascii="Book Antiqua" w:hAnsi="Book Antiqua"/>
          <w:sz w:val="16"/>
          <w:szCs w:val="16"/>
        </w:rPr>
        <w:t>(2007)3; 1-28.</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[81] A.P. French, </w:t>
      </w:r>
      <w:r w:rsidRPr="005627CB">
        <w:rPr>
          <w:rFonts w:ascii="Book Antiqua" w:hAnsi="Book Antiqua"/>
          <w:i/>
          <w:sz w:val="16"/>
          <w:szCs w:val="16"/>
        </w:rPr>
        <w:t>Principles of Modern Physics</w:t>
      </w:r>
      <w:r w:rsidRPr="005627CB">
        <w:rPr>
          <w:rFonts w:ascii="Book Antiqua" w:hAnsi="Book Antiqua"/>
          <w:sz w:val="16"/>
          <w:szCs w:val="16"/>
        </w:rPr>
        <w:t>, pp.107 ff. (John Wiley and Sons, New York, 1959).</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[82] WMAP satellite data.  See example at: </w:t>
      </w:r>
      <w:hyperlink r:id="rId247" w:history="1">
        <w:r w:rsidRPr="005627CB">
          <w:rPr>
            <w:rStyle w:val="Hyperlink"/>
            <w:rFonts w:ascii="Book Antiqua" w:hAnsi="Book Antiqua"/>
            <w:i/>
            <w:szCs w:val="16"/>
          </w:rPr>
          <w:t>http://www.astr.ua.edu/keel/galaxies/cmbr.html</w:t>
        </w:r>
      </w:hyperlink>
      <w:r w:rsidRPr="005627CB">
        <w:rPr>
          <w:rFonts w:ascii="Book Antiqua" w:hAnsi="Book Antiqua"/>
          <w:sz w:val="16"/>
          <w:szCs w:val="16"/>
        </w:rPr>
        <w:t>.</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[83] R. M. Eisberg, </w:t>
      </w:r>
      <w:r w:rsidRPr="005627CB">
        <w:rPr>
          <w:rFonts w:ascii="Book Antiqua" w:hAnsi="Book Antiqua"/>
          <w:i/>
          <w:sz w:val="16"/>
          <w:szCs w:val="16"/>
        </w:rPr>
        <w:t>Fundamentals of Modern Physics,</w:t>
      </w:r>
      <w:r w:rsidRPr="005627CB">
        <w:rPr>
          <w:rFonts w:ascii="Book Antiqua" w:hAnsi="Book Antiqua"/>
          <w:sz w:val="16"/>
          <w:szCs w:val="16"/>
        </w:rPr>
        <w:t xml:space="preserve"> p. 137, (John  Wiley &amp; Sons, Inc., New York, 1961).</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[84] A. P. French, op.cit, p.108-109.</w:t>
      </w:r>
    </w:p>
    <w:p w:rsidR="00265840" w:rsidRPr="005627CB" w:rsidRDefault="00265840" w:rsidP="00265840">
      <w:pPr>
        <w:pStyle w:val="NoSpacing"/>
        <w:rPr>
          <w:rFonts w:ascii="Book Antiqua" w:hAnsi="Book Antiqua"/>
          <w:i/>
          <w:sz w:val="16"/>
          <w:szCs w:val="16"/>
        </w:rPr>
      </w:pPr>
      <w:r w:rsidRPr="005627CB">
        <w:rPr>
          <w:rFonts w:ascii="Book Antiqua" w:hAnsi="Book Antiqua"/>
          <w:sz w:val="16"/>
          <w:szCs w:val="16"/>
        </w:rPr>
        <w:t xml:space="preserve">[85] For example see </w:t>
      </w:r>
      <w:hyperlink r:id="rId248" w:history="1">
        <w:r w:rsidRPr="005627CB">
          <w:rPr>
            <w:rStyle w:val="Hyperlink"/>
            <w:rFonts w:ascii="Book Antiqua" w:hAnsi="Book Antiqua"/>
            <w:i/>
            <w:szCs w:val="16"/>
          </w:rPr>
          <w:t>http://en.wikipedia.org/wiki/Recombination_(cosmology)</w:t>
        </w:r>
      </w:hyperlink>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Also M. Longair, </w:t>
      </w:r>
      <w:r w:rsidRPr="005627CB">
        <w:rPr>
          <w:rFonts w:ascii="Book Antiqua" w:hAnsi="Book Antiqua"/>
          <w:i/>
          <w:sz w:val="16"/>
          <w:szCs w:val="16"/>
        </w:rPr>
        <w:t>Galaxy Formation</w:t>
      </w:r>
      <w:r w:rsidRPr="005627CB">
        <w:rPr>
          <w:rFonts w:ascii="Book Antiqua" w:hAnsi="Book Antiqua"/>
          <w:sz w:val="16"/>
          <w:szCs w:val="16"/>
        </w:rPr>
        <w:t xml:space="preserve">, Springer, 2006. And P. Noterdaeme et al., “The evolution of the cosmic microwave background temperature,” </w:t>
      </w:r>
      <w:r w:rsidRPr="005627CB">
        <w:rPr>
          <w:rFonts w:ascii="Book Antiqua" w:hAnsi="Book Antiqua"/>
          <w:i/>
          <w:sz w:val="16"/>
          <w:szCs w:val="16"/>
        </w:rPr>
        <w:t>Astronomy and Astrophysics</w:t>
      </w:r>
      <w:r w:rsidRPr="005627CB">
        <w:rPr>
          <w:rFonts w:ascii="Book Antiqua" w:hAnsi="Book Antiqua"/>
          <w:sz w:val="16"/>
          <w:szCs w:val="16"/>
        </w:rPr>
        <w:t xml:space="preserve">, </w:t>
      </w:r>
      <w:r w:rsidRPr="005627CB">
        <w:rPr>
          <w:rFonts w:ascii="Book Antiqua" w:hAnsi="Book Antiqua"/>
          <w:b/>
          <w:sz w:val="16"/>
          <w:szCs w:val="16"/>
        </w:rPr>
        <w:t>526</w:t>
      </w:r>
      <w:r w:rsidRPr="005627CB">
        <w:rPr>
          <w:rFonts w:ascii="Book Antiqua" w:hAnsi="Book Antiqua"/>
          <w:sz w:val="16"/>
          <w:szCs w:val="16"/>
        </w:rPr>
        <w:t xml:space="preserve">, L7 (February 2011). </w:t>
      </w:r>
    </w:p>
    <w:p w:rsidR="00265840" w:rsidRPr="005627CB" w:rsidRDefault="00265840" w:rsidP="00265840">
      <w:pPr>
        <w:pStyle w:val="NoSpacing"/>
        <w:rPr>
          <w:rFonts w:ascii="Book Antiqua" w:hAnsi="Book Antiqua"/>
          <w:sz w:val="16"/>
          <w:szCs w:val="16"/>
        </w:rPr>
      </w:pPr>
      <w:r w:rsidRPr="005627CB">
        <w:rPr>
          <w:rFonts w:ascii="Book Antiqua" w:hAnsi="Book Antiqua"/>
          <w:sz w:val="16"/>
          <w:szCs w:val="16"/>
        </w:rPr>
        <w:t xml:space="preserve">[86] S. L. Martin, A. K. Connor, </w:t>
      </w:r>
      <w:r w:rsidRPr="005627CB">
        <w:rPr>
          <w:rFonts w:ascii="Book Antiqua" w:hAnsi="Book Antiqua"/>
          <w:i/>
          <w:sz w:val="16"/>
          <w:szCs w:val="16"/>
        </w:rPr>
        <w:t>Basic Physics</w:t>
      </w:r>
      <w:r w:rsidRPr="005627CB">
        <w:rPr>
          <w:rFonts w:ascii="Book Antiqua" w:hAnsi="Book Antiqua"/>
          <w:sz w:val="16"/>
          <w:szCs w:val="16"/>
        </w:rPr>
        <w:t>, Volume 1, p. 473, Whitcombe and Tombs Pty Ltd, Melbourne (1959).</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[87] R. L. Fingerhut et al., </w:t>
      </w:r>
      <w:r w:rsidRPr="005627CB">
        <w:rPr>
          <w:rFonts w:ascii="Book Antiqua" w:hAnsi="Book Antiqua"/>
          <w:i/>
          <w:color w:val="000000"/>
          <w:sz w:val="16"/>
          <w:szCs w:val="16"/>
        </w:rPr>
        <w:t>Astrophysical Journal</w:t>
      </w:r>
      <w:r w:rsidRPr="005627CB">
        <w:rPr>
          <w:rFonts w:ascii="Book Antiqua" w:hAnsi="Book Antiqua"/>
          <w:color w:val="000000"/>
          <w:sz w:val="16"/>
          <w:szCs w:val="16"/>
        </w:rPr>
        <w:t>,</w:t>
      </w:r>
      <w:r w:rsidRPr="005627CB">
        <w:rPr>
          <w:rFonts w:ascii="Book Antiqua" w:hAnsi="Book Antiqua"/>
          <w:b/>
          <w:color w:val="000000"/>
          <w:sz w:val="16"/>
          <w:szCs w:val="16"/>
        </w:rPr>
        <w:t xml:space="preserve"> 655</w:t>
      </w:r>
      <w:r w:rsidRPr="005627CB">
        <w:rPr>
          <w:rFonts w:ascii="Book Antiqua" w:hAnsi="Book Antiqua"/>
          <w:color w:val="000000"/>
          <w:sz w:val="16"/>
          <w:szCs w:val="16"/>
        </w:rPr>
        <w:t xml:space="preserve"> (2):814 (2007).</w:t>
      </w:r>
    </w:p>
    <w:p w:rsidR="00265840" w:rsidRPr="005627CB" w:rsidRDefault="00265840" w:rsidP="00265840">
      <w:pPr>
        <w:pStyle w:val="NoSpacing"/>
        <w:rPr>
          <w:rFonts w:ascii="Book Antiqua" w:hAnsi="Book Antiqua"/>
          <w:i/>
          <w:color w:val="000000"/>
          <w:sz w:val="16"/>
          <w:szCs w:val="16"/>
        </w:rPr>
      </w:pPr>
      <w:r w:rsidRPr="005627CB">
        <w:rPr>
          <w:rFonts w:ascii="Book Antiqua" w:hAnsi="Book Antiqua"/>
          <w:color w:val="000000"/>
          <w:sz w:val="16"/>
          <w:szCs w:val="16"/>
        </w:rPr>
        <w:t>[88] See data and comments at:</w:t>
      </w:r>
      <w:r w:rsidRPr="005627CB">
        <w:rPr>
          <w:rFonts w:ascii="Book Antiqua" w:hAnsi="Book Antiqua"/>
          <w:i/>
          <w:color w:val="000000"/>
          <w:sz w:val="16"/>
          <w:szCs w:val="16"/>
        </w:rPr>
        <w:t xml:space="preserve"> </w:t>
      </w:r>
      <w:hyperlink r:id="rId249" w:history="1">
        <w:r w:rsidRPr="005627CB">
          <w:rPr>
            <w:rStyle w:val="Hyperlink"/>
            <w:rFonts w:ascii="Book Antiqua" w:hAnsi="Book Antiqua"/>
            <w:i/>
            <w:szCs w:val="16"/>
          </w:rPr>
          <w:t>http://www.atlasoftheuniverse.com/galgrps/maffei.html</w:t>
        </w:r>
      </w:hyperlink>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[89] I. D. Karachentsev, “The Local Group and Other Neighboring Galaxy Groups,” </w:t>
      </w:r>
      <w:r w:rsidRPr="005627CB">
        <w:rPr>
          <w:rFonts w:ascii="Book Antiqua" w:hAnsi="Book Antiqua"/>
          <w:i/>
          <w:color w:val="000000"/>
          <w:sz w:val="16"/>
          <w:szCs w:val="16"/>
        </w:rPr>
        <w:t xml:space="preserve">Astronomical Journal </w:t>
      </w:r>
      <w:r w:rsidRPr="005627CB">
        <w:rPr>
          <w:rFonts w:ascii="Book Antiqua" w:hAnsi="Book Antiqua"/>
          <w:b/>
          <w:color w:val="000000"/>
          <w:sz w:val="16"/>
          <w:szCs w:val="16"/>
        </w:rPr>
        <w:t>129</w:t>
      </w:r>
      <w:r w:rsidRPr="005627CB">
        <w:rPr>
          <w:rFonts w:ascii="Book Antiqua" w:hAnsi="Book Antiqua"/>
          <w:color w:val="000000"/>
          <w:sz w:val="16"/>
          <w:szCs w:val="16"/>
        </w:rPr>
        <w:t>(1):178-188, (2005).</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[90] NASA/IPAC “Extragalactic Database” at:</w:t>
      </w:r>
      <w:r w:rsidRPr="005627CB">
        <w:rPr>
          <w:rFonts w:ascii="Book Antiqua" w:hAnsi="Book Antiqua"/>
          <w:i/>
          <w:color w:val="000000"/>
          <w:sz w:val="16"/>
          <w:szCs w:val="16"/>
        </w:rPr>
        <w:t>http://nedwww.ipac.caltech.edu/</w:t>
      </w:r>
      <w:r w:rsidRPr="005627CB">
        <w:rPr>
          <w:rFonts w:ascii="Book Antiqua" w:hAnsi="Book Antiqua"/>
          <w:color w:val="000000"/>
          <w:sz w:val="16"/>
          <w:szCs w:val="16"/>
        </w:rPr>
        <w:t xml:space="preserve">. Also </w:t>
      </w:r>
      <w:hyperlink r:id="rId250" w:history="1">
        <w:r w:rsidRPr="005627CB">
          <w:rPr>
            <w:rStyle w:val="Hyperlink"/>
            <w:rFonts w:ascii="Book Antiqua" w:hAnsi="Book Antiqua"/>
            <w:i/>
            <w:szCs w:val="16"/>
          </w:rPr>
          <w:t>http://en.wikipedia.org/wiki/Sculptor_Group</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[91] Data and comments available from: </w:t>
      </w:r>
      <w:hyperlink r:id="rId251" w:history="1">
        <w:r w:rsidRPr="005627CB">
          <w:rPr>
            <w:rStyle w:val="Hyperlink"/>
            <w:rFonts w:ascii="Book Antiqua" w:hAnsi="Book Antiqua"/>
            <w:i/>
            <w:szCs w:val="16"/>
          </w:rPr>
          <w:t>http://www.atlasoftheuniverse.com/galgrps/m101.html</w:t>
        </w:r>
      </w:hyperlink>
      <w:r w:rsidRPr="005627CB">
        <w:rPr>
          <w:rFonts w:ascii="Book Antiqua" w:hAnsi="Book Antiqua"/>
          <w:color w:val="000000"/>
          <w:sz w:val="16"/>
          <w:szCs w:val="16"/>
        </w:rPr>
        <w:t>.</w:t>
      </w:r>
    </w:p>
    <w:p w:rsidR="00265840" w:rsidRPr="005627CB" w:rsidRDefault="00265840" w:rsidP="00265840">
      <w:pPr>
        <w:pStyle w:val="NoSpacing"/>
        <w:rPr>
          <w:rFonts w:ascii="Book Antiqua" w:hAnsi="Book Antiqua"/>
          <w:color w:val="000000"/>
          <w:sz w:val="16"/>
          <w:szCs w:val="16"/>
        </w:rPr>
      </w:pPr>
      <w:r w:rsidRPr="005627CB">
        <w:rPr>
          <w:rFonts w:ascii="Book Antiqua" w:hAnsi="Book Antiqua"/>
          <w:color w:val="000000"/>
          <w:sz w:val="16"/>
          <w:szCs w:val="16"/>
        </w:rPr>
        <w:t xml:space="preserve">[92] Summary of data and comment available at: </w:t>
      </w:r>
      <w:r w:rsidRPr="005627CB">
        <w:rPr>
          <w:rFonts w:ascii="Book Antiqua" w:hAnsi="Book Antiqua"/>
          <w:i/>
          <w:color w:val="000000"/>
          <w:sz w:val="16"/>
          <w:szCs w:val="16"/>
        </w:rPr>
        <w:t>http://en.wikipedia.org/wiki/M81_Group</w:t>
      </w:r>
    </w:p>
    <w:p w:rsidR="00265840" w:rsidRPr="005627CB" w:rsidRDefault="00265840" w:rsidP="00265840">
      <w:pPr>
        <w:pStyle w:val="reference"/>
        <w:rPr>
          <w:color w:val="000000"/>
          <w:szCs w:val="16"/>
        </w:rPr>
      </w:pPr>
    </w:p>
    <w:p w:rsidR="00265840" w:rsidRPr="005627CB" w:rsidRDefault="00265840" w:rsidP="00265840">
      <w:pPr>
        <w:pStyle w:val="reference"/>
        <w:rPr>
          <w:b/>
          <w:color w:val="000000"/>
          <w:szCs w:val="16"/>
        </w:rPr>
      </w:pPr>
      <w:r w:rsidRPr="005627CB">
        <w:rPr>
          <w:b/>
          <w:color w:val="000000"/>
          <w:szCs w:val="16"/>
        </w:rPr>
        <w:t>Figure References</w:t>
      </w:r>
      <w:r w:rsidRPr="005627CB">
        <w:rPr>
          <w:i/>
          <w:color w:val="000000"/>
          <w:szCs w:val="16"/>
        </w:rPr>
        <w:t xml:space="preserve"> – All URL’s retrieved 9/13/12</w:t>
      </w:r>
    </w:p>
    <w:p w:rsidR="00265840" w:rsidRPr="005627CB" w:rsidRDefault="00265840" w:rsidP="00265840">
      <w:pPr>
        <w:pStyle w:val="reference"/>
        <w:rPr>
          <w:color w:val="000000"/>
          <w:szCs w:val="16"/>
        </w:rPr>
      </w:pPr>
    </w:p>
    <w:p w:rsidR="00265840" w:rsidRPr="005627CB" w:rsidRDefault="00265840" w:rsidP="00265840">
      <w:pPr>
        <w:pStyle w:val="reference"/>
        <w:rPr>
          <w:i/>
          <w:szCs w:val="16"/>
        </w:rPr>
      </w:pPr>
      <w:r w:rsidRPr="005627CB">
        <w:rPr>
          <w:color w:val="000000"/>
          <w:szCs w:val="16"/>
        </w:rPr>
        <w:t xml:space="preserve">Figure 1: Spectral lines of hydrogen, helium, mercury and uranium. </w:t>
      </w:r>
      <w:bookmarkStart w:id="219" w:name="_GoBack"/>
      <w:bookmarkEnd w:id="219"/>
      <w:r w:rsidR="007B3EBC" w:rsidRPr="005627CB">
        <w:rPr>
          <w:i/>
          <w:szCs w:val="16"/>
        </w:rPr>
        <w:fldChar w:fldCharType="begin"/>
      </w:r>
      <w:r w:rsidRPr="005627CB">
        <w:rPr>
          <w:i/>
          <w:szCs w:val="16"/>
        </w:rPr>
        <w:instrText xml:space="preserve"> HYPERLINK "http://www.19thpsalm.org/Ch01/index.html" </w:instrText>
      </w:r>
      <w:r w:rsidR="007B3EBC" w:rsidRPr="005627CB">
        <w:rPr>
          <w:i/>
          <w:szCs w:val="16"/>
        </w:rPr>
        <w:fldChar w:fldCharType="separate"/>
      </w:r>
      <w:r w:rsidRPr="005627CB">
        <w:rPr>
          <w:rStyle w:val="Hyperlink"/>
          <w:i/>
          <w:szCs w:val="16"/>
        </w:rPr>
        <w:t>http://www.19thpsalm.org/Ch01/index.html</w:t>
      </w:r>
      <w:r w:rsidR="007B3EBC" w:rsidRPr="005627CB">
        <w:rPr>
          <w:i/>
          <w:szCs w:val="16"/>
        </w:rPr>
        <w:fldChar w:fldCharType="end"/>
      </w:r>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2: Redshift of spectral lines. </w:t>
      </w:r>
      <w:hyperlink r:id="rId252" w:history="1">
        <w:r w:rsidRPr="005627CB">
          <w:rPr>
            <w:rStyle w:val="Hyperlink"/>
            <w:rFonts w:ascii="Book Antiqua" w:hAnsi="Book Antiqua"/>
            <w:i/>
            <w:szCs w:val="16"/>
          </w:rPr>
          <w:t>http://en.wikipedia.org/wiki/File:Redshift.png</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3: Pulsating brightness curves of four Cepheid variables. </w:t>
      </w:r>
      <w:hyperlink r:id="rId253" w:history="1">
        <w:r w:rsidRPr="005627CB">
          <w:rPr>
            <w:rStyle w:val="Hyperlink"/>
            <w:rFonts w:ascii="Book Antiqua" w:hAnsi="Book Antiqua"/>
            <w:i/>
            <w:szCs w:val="16"/>
          </w:rPr>
          <w:t>http://www.math.lsa.umich.edu/mmss/coursesONLINE/Astro/Ex1.4/</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4: Edwin Hubble's 1929 graph of redshift /distance. </w:t>
      </w:r>
      <w:hyperlink r:id="rId254" w:history="1">
        <w:r w:rsidRPr="005627CB">
          <w:rPr>
            <w:rStyle w:val="Hyperlink"/>
            <w:rFonts w:ascii="Book Antiqua" w:hAnsi="Book Antiqua"/>
            <w:i/>
            <w:szCs w:val="16"/>
          </w:rPr>
          <w:t>http://www.astronomy.ohio-state.edu/~pogge/Ast162/Unit5/expand.html</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5: The Doppler effect. </w:t>
      </w:r>
      <w:hyperlink r:id="rId255" w:history="1">
        <w:r w:rsidRPr="005627CB">
          <w:rPr>
            <w:rStyle w:val="Hyperlink"/>
            <w:rFonts w:ascii="Book Antiqua" w:hAnsi="Book Antiqua"/>
            <w:i/>
            <w:szCs w:val="16"/>
          </w:rPr>
          <w:t>http://www.sciencewriter.net/ncd/d.htm</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6: Stretching of wavelengths as fabric of space is stretched.</w:t>
      </w:r>
    </w:p>
    <w:p w:rsidR="00265840" w:rsidRPr="005627CB" w:rsidRDefault="007B3EBC" w:rsidP="00265840">
      <w:pPr>
        <w:rPr>
          <w:rFonts w:ascii="Book Antiqua" w:hAnsi="Book Antiqua"/>
          <w:sz w:val="16"/>
          <w:szCs w:val="16"/>
        </w:rPr>
      </w:pPr>
      <w:hyperlink r:id="rId256" w:history="1">
        <w:r w:rsidR="00265840" w:rsidRPr="005627CB">
          <w:rPr>
            <w:rStyle w:val="Hyperlink"/>
            <w:rFonts w:ascii="Book Antiqua" w:hAnsi="Book Antiqua"/>
            <w:i/>
            <w:szCs w:val="16"/>
          </w:rPr>
          <w:t>http://www.astrobio.nau.edu/~koerner/ast180/lectures/lec23.html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9: Photographs of William Tifft, Halton Arp, William Napier.</w:t>
      </w:r>
    </w:p>
    <w:p w:rsidR="00265840" w:rsidRPr="005627CB" w:rsidRDefault="007B3EBC" w:rsidP="00265840">
      <w:pPr>
        <w:rPr>
          <w:rFonts w:ascii="Book Antiqua" w:hAnsi="Book Antiqua"/>
          <w:i/>
          <w:sz w:val="16"/>
          <w:szCs w:val="16"/>
        </w:rPr>
      </w:pPr>
      <w:hyperlink r:id="rId257" w:history="1">
        <w:r w:rsidR="00265840" w:rsidRPr="005627CB">
          <w:rPr>
            <w:rStyle w:val="Hyperlink"/>
            <w:rFonts w:ascii="Book Antiqua" w:hAnsi="Book Antiqua"/>
            <w:i/>
            <w:szCs w:val="16"/>
          </w:rPr>
          <w:t>http://www.robert-temple.com/papers/fredHoylesUniverse.html</w:t>
        </w:r>
      </w:hyperlink>
    </w:p>
    <w:p w:rsidR="00265840" w:rsidRPr="005627CB" w:rsidRDefault="007B3EBC" w:rsidP="00265840">
      <w:pPr>
        <w:rPr>
          <w:rFonts w:ascii="Book Antiqua" w:hAnsi="Book Antiqua"/>
          <w:i/>
          <w:sz w:val="16"/>
          <w:szCs w:val="16"/>
        </w:rPr>
      </w:pPr>
      <w:hyperlink r:id="rId258" w:history="1">
        <w:r w:rsidR="00265840" w:rsidRPr="005627CB">
          <w:rPr>
            <w:rStyle w:val="Hyperlink"/>
            <w:rFonts w:ascii="Book Antiqua" w:hAnsi="Book Antiqua"/>
            <w:i/>
            <w:szCs w:val="16"/>
          </w:rPr>
          <w:t>http://www.holoscience.com/wp/the-remarkable-slowness-of-light/</w:t>
        </w:r>
      </w:hyperlink>
    </w:p>
    <w:p w:rsidR="00265840" w:rsidRPr="005627CB" w:rsidRDefault="007B3EBC" w:rsidP="00265840">
      <w:pPr>
        <w:rPr>
          <w:rFonts w:ascii="Book Antiqua" w:hAnsi="Book Antiqua"/>
          <w:i/>
          <w:sz w:val="16"/>
          <w:szCs w:val="16"/>
        </w:rPr>
      </w:pPr>
      <w:hyperlink r:id="rId259" w:history="1">
        <w:r w:rsidR="00265840" w:rsidRPr="005627CB">
          <w:rPr>
            <w:rStyle w:val="Hyperlink"/>
            <w:rFonts w:ascii="Book Antiqua" w:hAnsi="Book Antiqua"/>
            <w:i/>
            <w:szCs w:val="16"/>
          </w:rPr>
          <w:t>http://www.arm.ac.uk/staff/billn.html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10: Quantized redshifts of 48 Virgo spirals at 71.1 km/s.</w:t>
      </w:r>
    </w:p>
    <w:p w:rsidR="00265840" w:rsidRPr="005627CB" w:rsidRDefault="007B3EBC" w:rsidP="00265840">
      <w:pPr>
        <w:rPr>
          <w:rFonts w:ascii="Book Antiqua" w:hAnsi="Book Antiqua"/>
          <w:i/>
          <w:sz w:val="16"/>
          <w:szCs w:val="16"/>
        </w:rPr>
      </w:pPr>
      <w:hyperlink r:id="rId260" w:history="1">
        <w:r w:rsidR="00265840" w:rsidRPr="005627CB">
          <w:rPr>
            <w:rStyle w:val="Hyperlink"/>
            <w:rFonts w:ascii="Book Antiqua" w:hAnsi="Book Antiqua"/>
            <w:i/>
            <w:szCs w:val="16"/>
          </w:rPr>
          <w:t>http://cosmoquest.org/forum/showthread.php/65180-Why-do-astronomers-reject-72-km-s-redshift-quantization-periodicity</w:t>
        </w:r>
      </w:hyperlink>
    </w:p>
    <w:p w:rsidR="00265840" w:rsidRPr="005627CB" w:rsidRDefault="00265840" w:rsidP="00265840">
      <w:pPr>
        <w:rPr>
          <w:rFonts w:ascii="Book Antiqua" w:hAnsi="Book Antiqua"/>
          <w:i/>
          <w:sz w:val="16"/>
          <w:szCs w:val="16"/>
        </w:rPr>
      </w:pPr>
      <w:r w:rsidRPr="005627CB">
        <w:rPr>
          <w:rFonts w:ascii="Book Antiqua" w:hAnsi="Book Antiqua"/>
          <w:sz w:val="16"/>
          <w:szCs w:val="16"/>
        </w:rPr>
        <w:t xml:space="preserve">Figure 11: Quantization of redshifts towards the Virgo Cluster. </w:t>
      </w:r>
      <w:hyperlink r:id="rId261" w:history="1">
        <w:r w:rsidRPr="005627CB">
          <w:rPr>
            <w:rStyle w:val="Hyperlink"/>
            <w:rFonts w:ascii="Book Antiqua" w:hAnsi="Book Antiqua"/>
            <w:i/>
            <w:szCs w:val="16"/>
          </w:rPr>
          <w:t>http://www.setterfield.org/Kiel_Presentation.html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12: bands of redshift going through galaxy cluster Abell 85.</w:t>
      </w:r>
    </w:p>
    <w:p w:rsidR="00265840" w:rsidRPr="005627CB" w:rsidRDefault="007B3EBC" w:rsidP="00265840">
      <w:pPr>
        <w:rPr>
          <w:rFonts w:ascii="Book Antiqua" w:hAnsi="Book Antiqua"/>
          <w:i/>
          <w:sz w:val="16"/>
          <w:szCs w:val="16"/>
        </w:rPr>
      </w:pPr>
      <w:hyperlink r:id="rId262" w:history="1">
        <w:r w:rsidR="00265840" w:rsidRPr="005627CB">
          <w:rPr>
            <w:rStyle w:val="Hyperlink"/>
            <w:rFonts w:ascii="Book Antiqua" w:hAnsi="Book Antiqua"/>
            <w:i/>
            <w:szCs w:val="16"/>
          </w:rPr>
          <w:t>http://arijmaki.wordpress.com/2010/03/02/abell-85-galaxy-sheets-or-quantized-redshifts/</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 xml:space="preserve">Figure 14: Stable atomic orbits and electron de Broglie wavelengths. Segments from two different diagrams found at two different sites: </w:t>
      </w:r>
      <w:hyperlink r:id="rId263" w:history="1">
        <w:r w:rsidRPr="005627CB">
          <w:rPr>
            <w:rStyle w:val="Hyperlink"/>
            <w:rFonts w:ascii="Book Antiqua" w:hAnsi="Book Antiqua"/>
            <w:i/>
            <w:szCs w:val="16"/>
          </w:rPr>
          <w:t>http://thisquantumworld.com/wp/the-technique-of-quantum-mechanics/from-bohr-to-de-broglie/</w:t>
        </w:r>
      </w:hyperlink>
      <w:r w:rsidRPr="005627CB">
        <w:rPr>
          <w:rFonts w:ascii="Book Antiqua" w:hAnsi="Book Antiqua"/>
          <w:sz w:val="16"/>
          <w:szCs w:val="16"/>
        </w:rPr>
        <w:t xml:space="preserve">  and also at:</w:t>
      </w:r>
    </w:p>
    <w:p w:rsidR="00265840" w:rsidRPr="005627CB" w:rsidRDefault="007B3EBC" w:rsidP="00265840">
      <w:pPr>
        <w:rPr>
          <w:rFonts w:ascii="Book Antiqua" w:hAnsi="Book Antiqua"/>
          <w:i/>
          <w:sz w:val="16"/>
          <w:szCs w:val="16"/>
        </w:rPr>
      </w:pPr>
      <w:hyperlink r:id="rId264" w:history="1">
        <w:r w:rsidR="00265840" w:rsidRPr="005627CB">
          <w:rPr>
            <w:rStyle w:val="Hyperlink"/>
            <w:rFonts w:ascii="Book Antiqua" w:hAnsi="Book Antiqua"/>
            <w:i/>
            <w:szCs w:val="16"/>
          </w:rPr>
          <w:t>http://dev.physicslab.org/Document.aspx?doctype=3&amp;filename=AtomicNuclear_deBroglieMatterWaves.xml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6</w:t>
      </w:r>
      <w:r w:rsidRPr="005627CB">
        <w:rPr>
          <w:rFonts w:ascii="Book Antiqua" w:hAnsi="Book Antiqua"/>
          <w:sz w:val="16"/>
          <w:szCs w:val="16"/>
        </w:rPr>
        <w:t xml:space="preserve">: Hydrogen ionization or recombination temperature. </w:t>
      </w:r>
      <w:hyperlink r:id="rId265" w:tgtFrame="_new" w:history="1">
        <w:r w:rsidRPr="005627CB">
          <w:rPr>
            <w:rStyle w:val="Hyperlink"/>
            <w:rFonts w:ascii="Book Antiqua" w:hAnsi="Book Antiqua"/>
            <w:i/>
            <w:szCs w:val="16"/>
          </w:rPr>
          <w:t>http://csep10.phys.utk.edu/astr162/lect/stars/spectra.html</w:t>
        </w:r>
      </w:hyperlink>
    </w:p>
    <w:p w:rsidR="00265840" w:rsidRPr="005627CB" w:rsidRDefault="00265840" w:rsidP="00265840">
      <w:pPr>
        <w:rPr>
          <w:rFonts w:ascii="Book Antiqua" w:hAnsi="Book Antiqua"/>
          <w:sz w:val="16"/>
          <w:szCs w:val="16"/>
        </w:rPr>
      </w:pPr>
      <w:r w:rsidRPr="005627CB">
        <w:rPr>
          <w:rFonts w:ascii="Book Antiqua" w:hAnsi="Book Antiqua"/>
          <w:sz w:val="16"/>
          <w:szCs w:val="16"/>
        </w:rPr>
        <w:t>Figure 1</w:t>
      </w:r>
      <w:r w:rsidR="00DE30DA">
        <w:rPr>
          <w:rFonts w:ascii="Book Antiqua" w:hAnsi="Book Antiqua"/>
          <w:sz w:val="16"/>
          <w:szCs w:val="16"/>
        </w:rPr>
        <w:t>7</w:t>
      </w:r>
      <w:r w:rsidRPr="005627CB">
        <w:rPr>
          <w:rFonts w:ascii="Book Antiqua" w:hAnsi="Book Antiqua"/>
          <w:sz w:val="16"/>
          <w:szCs w:val="16"/>
        </w:rPr>
        <w:t>: Saha equation ionization temperature after diagram in:</w:t>
      </w:r>
    </w:p>
    <w:p w:rsidR="00265840" w:rsidRPr="005627CB" w:rsidRDefault="007B3EBC" w:rsidP="00265840">
      <w:pPr>
        <w:rPr>
          <w:rFonts w:ascii="Book Antiqua" w:hAnsi="Book Antiqua"/>
          <w:sz w:val="16"/>
          <w:szCs w:val="16"/>
        </w:rPr>
      </w:pPr>
      <w:hyperlink r:id="rId266" w:history="1">
        <w:r w:rsidR="00265840" w:rsidRPr="005627CB">
          <w:rPr>
            <w:rStyle w:val="Hyperlink"/>
            <w:rFonts w:ascii="Book Antiqua" w:hAnsi="Book Antiqua"/>
            <w:i/>
            <w:szCs w:val="16"/>
          </w:rPr>
          <w:t>http://people.physics.carleton.ca/~watson/Physics/Astrophysics/4201_essentials/4201_Radiation.html?id=0</w:t>
        </w:r>
      </w:hyperlink>
    </w:p>
    <w:p w:rsidR="00265840" w:rsidRDefault="00265840" w:rsidP="00265840">
      <w:r w:rsidRPr="005627CB">
        <w:rPr>
          <w:rFonts w:ascii="Book Antiqua" w:hAnsi="Book Antiqua"/>
          <w:sz w:val="16"/>
          <w:szCs w:val="16"/>
        </w:rPr>
        <w:t>Figure 1</w:t>
      </w:r>
      <w:r w:rsidR="00DE30DA">
        <w:rPr>
          <w:rFonts w:ascii="Book Antiqua" w:hAnsi="Book Antiqua"/>
          <w:sz w:val="16"/>
          <w:szCs w:val="16"/>
        </w:rPr>
        <w:t>8</w:t>
      </w:r>
      <w:r w:rsidRPr="005627CB">
        <w:rPr>
          <w:rFonts w:ascii="Book Antiqua" w:hAnsi="Book Antiqua"/>
          <w:sz w:val="16"/>
          <w:szCs w:val="16"/>
        </w:rPr>
        <w:t xml:space="preserve">: Position of nearby galaxy groups compared with our Local Group of galaxies. </w:t>
      </w:r>
      <w:hyperlink r:id="rId267" w:tgtFrame="_new" w:history="1">
        <w:r w:rsidRPr="005627CB">
          <w:rPr>
            <w:rStyle w:val="Hyperlink"/>
            <w:rFonts w:ascii="Book Antiqua" w:hAnsi="Book Antiqua"/>
            <w:i/>
            <w:szCs w:val="16"/>
          </w:rPr>
          <w:t>http://en.wikipedia.org/wiki/Local_Supercluster</w:t>
        </w:r>
      </w:hyperlink>
    </w:p>
    <w:p w:rsidR="007F1597" w:rsidRPr="007F1597" w:rsidRDefault="007F1597" w:rsidP="007F1597">
      <w:pPr>
        <w:rPr>
          <w:i/>
        </w:rPr>
      </w:pPr>
      <w:r w:rsidRPr="007F1597">
        <w:rPr>
          <w:rFonts w:ascii="Book Antiqua" w:hAnsi="Book Antiqua"/>
          <w:sz w:val="16"/>
          <w:szCs w:val="16"/>
        </w:rPr>
        <w:t>Figure 19: Ionization/recombination of argon</w:t>
      </w:r>
      <w:r>
        <w:rPr>
          <w:rFonts w:ascii="Book Antiqua" w:hAnsi="Book Antiqua"/>
          <w:sz w:val="16"/>
          <w:szCs w:val="16"/>
        </w:rPr>
        <w:t xml:space="preserve">. </w:t>
      </w:r>
      <w:hyperlink r:id="rId268" w:history="1">
        <w:r w:rsidRPr="007F1597">
          <w:rPr>
            <w:rStyle w:val="Hyperlink"/>
            <w:i/>
          </w:rPr>
          <w:t>http://www.zdplaskin.laplace.univ-tlse.fr/examples/01/</w:t>
        </w:r>
      </w:hyperlink>
    </w:p>
    <w:p w:rsidR="007F1597" w:rsidRPr="007F1597" w:rsidRDefault="007F1597" w:rsidP="00265840">
      <w:pPr>
        <w:rPr>
          <w:rFonts w:ascii="Book Antiqua" w:hAnsi="Book Antiqua"/>
          <w:i/>
          <w:sz w:val="16"/>
          <w:szCs w:val="16"/>
        </w:rPr>
      </w:pPr>
    </w:p>
    <w:p w:rsidR="00265840" w:rsidRPr="007F1597" w:rsidRDefault="00265840" w:rsidP="00265840">
      <w:pPr>
        <w:rPr>
          <w:rFonts w:ascii="Book Antiqua" w:hAnsi="Book Antiqua"/>
          <w:sz w:val="16"/>
          <w:szCs w:val="16"/>
        </w:rPr>
      </w:pPr>
    </w:p>
    <w:p w:rsidR="00265840" w:rsidRDefault="00265840" w:rsidP="00265840">
      <w:pPr>
        <w:pStyle w:val="reference"/>
        <w:jc w:val="center"/>
        <w:rPr>
          <w:b/>
          <w:color w:val="000000"/>
          <w:sz w:val="28"/>
          <w:szCs w:val="28"/>
        </w:rPr>
      </w:pPr>
      <w:r w:rsidRPr="005627CB">
        <w:rPr>
          <w:b/>
          <w:color w:val="000000"/>
          <w:sz w:val="28"/>
          <w:szCs w:val="28"/>
        </w:rPr>
        <w:t>*  *  *  *  *  *  *</w:t>
      </w:r>
    </w:p>
    <w:p w:rsidR="00022213" w:rsidRDefault="001E6C68" w:rsidP="001E6C68">
      <w:pPr>
        <w:widowControl/>
        <w:spacing w:after="200" w:line="276" w:lineRule="auto"/>
        <w:rPr>
          <w:b/>
          <w:color w:val="000000"/>
          <w:sz w:val="28"/>
          <w:szCs w:val="28"/>
        </w:rPr>
      </w:pPr>
      <w:r>
        <w:rPr>
          <w:b/>
          <w:color w:val="000000"/>
          <w:sz w:val="28"/>
          <w:szCs w:val="28"/>
        </w:rPr>
        <w:br w:type="page"/>
      </w:r>
    </w:p>
    <w:p w:rsidR="005359B2" w:rsidRPr="00370948" w:rsidRDefault="005359B2" w:rsidP="005359B2">
      <w:pPr>
        <w:pStyle w:val="NoSpacing"/>
        <w:jc w:val="center"/>
        <w:rPr>
          <w:rFonts w:ascii="Book Antiqua" w:hAnsi="Book Antiqua"/>
          <w:b/>
          <w:bCs/>
          <w:iCs/>
          <w:color w:val="000000"/>
          <w:szCs w:val="24"/>
        </w:rPr>
      </w:pPr>
      <w:r w:rsidRPr="00370948">
        <w:rPr>
          <w:rFonts w:ascii="Book Antiqua" w:hAnsi="Book Antiqua"/>
          <w:b/>
          <w:bCs/>
          <w:iCs/>
          <w:color w:val="000000"/>
          <w:szCs w:val="24"/>
        </w:rPr>
        <w:lastRenderedPageBreak/>
        <w:t xml:space="preserve">Chapter 6: </w:t>
      </w:r>
      <w:r w:rsidRPr="00912D2D">
        <w:rPr>
          <w:rFonts w:ascii="Book Antiqua" w:hAnsi="Book Antiqua"/>
          <w:b/>
          <w:bCs/>
          <w:i/>
          <w:iCs/>
          <w:color w:val="000000"/>
          <w:szCs w:val="24"/>
        </w:rPr>
        <w:t>The ZPE, Plasma Behavior, and Some Astronomical Implications</w:t>
      </w:r>
      <w:r w:rsidRPr="00370948">
        <w:rPr>
          <w:rFonts w:ascii="Book Antiqua" w:hAnsi="Book Antiqua"/>
          <w:b/>
          <w:bCs/>
          <w:iCs/>
          <w:color w:val="000000"/>
          <w:szCs w:val="24"/>
        </w:rPr>
        <w:t xml:space="preserve"> </w:t>
      </w:r>
    </w:p>
    <w:p w:rsidR="005359B2" w:rsidRPr="00370948" w:rsidRDefault="005359B2" w:rsidP="005359B2">
      <w:pPr>
        <w:pStyle w:val="NoSpacing"/>
        <w:rPr>
          <w:rFonts w:ascii="Book Antiqua" w:hAnsi="Book Antiqua"/>
          <w:b/>
          <w:bCs/>
          <w:iCs/>
          <w:color w:val="000000"/>
          <w:sz w:val="20"/>
          <w:u w:val="single"/>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1.  Introducing Plasma Physics. </w:t>
      </w:r>
    </w:p>
    <w:p w:rsidR="005359B2" w:rsidRPr="00370948" w:rsidRDefault="005359B2" w:rsidP="005359B2">
      <w:pPr>
        <w:pStyle w:val="NoSpacing"/>
        <w:rPr>
          <w:rFonts w:ascii="Book Antiqua" w:hAnsi="Book Antiqua"/>
          <w:b/>
          <w:bCs/>
          <w:i/>
          <w:iCs/>
          <w:color w:val="000000"/>
          <w:sz w:val="20"/>
        </w:rPr>
      </w:pPr>
    </w:p>
    <w:p w:rsidR="005359B2" w:rsidRPr="00370948" w:rsidRDefault="005359B2" w:rsidP="005359B2">
      <w:pPr>
        <w:pStyle w:val="NoSpacing"/>
        <w:rPr>
          <w:rFonts w:ascii="Book Antiqua" w:hAnsi="Book Antiqua"/>
          <w:b/>
          <w:bCs/>
          <w:i/>
          <w:iCs/>
          <w:color w:val="000000"/>
          <w:sz w:val="20"/>
        </w:rPr>
      </w:pPr>
      <w:r w:rsidRPr="00370948">
        <w:rPr>
          <w:rFonts w:ascii="Book Antiqua" w:hAnsi="Book Antiqua"/>
          <w:b/>
          <w:bCs/>
          <w:i/>
          <w:iCs/>
          <w:color w:val="000000"/>
          <w:sz w:val="20"/>
        </w:rPr>
        <w:t xml:space="preserve">1.1  Historical considerations.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As far back as ancient Greece, four basic forms of matter were classified:  earth, water, air, and fire.  Earth we can identify as ‘solid,’ water as ‘liquid, air as ‘gas,’ but what about fire?  In 1879, the English physicist, Sir William Crookes, discovered what turned out to be a new fundamental state of matter. In 1923, Nobel Laureate, Irving Langmuir, gave this state of matter the name plasma. Plasma is now considered to be the fourth fundamental state of matter. Most people are familiar with the other three states of matter: solids, liquids and gases. As the Greeks recognized, however, fire is not any of them.  It is something different.  For example, when we see </w:t>
      </w:r>
      <m:oMath>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oMath>
      <w:r w:rsidRPr="00370948">
        <w:rPr>
          <w:rFonts w:ascii="Book Antiqua" w:hAnsi="Book Antiqua"/>
          <w:sz w:val="20"/>
        </w:rPr>
        <w:t xml:space="preserve"> in its solid state we call it ice. When it is in liquid form it is called water. When that liquid is heated until it boils to a gas</w:t>
      </w:r>
      <w:r>
        <w:rPr>
          <w:rFonts w:ascii="Book Antiqua" w:hAnsi="Book Antiqua"/>
          <w:sz w:val="20"/>
        </w:rPr>
        <w:t>,</w:t>
      </w:r>
      <w:r w:rsidRPr="00370948">
        <w:rPr>
          <w:rFonts w:ascii="Book Antiqua" w:hAnsi="Book Antiqua"/>
          <w:sz w:val="20"/>
        </w:rPr>
        <w:t xml:space="preserve"> we call it steam. However, if that gas is now heated to very high temperatures, or is otherwise highly energized, so that electrons are stripped off the atoms, this causes the gas to become ionized. It then consists of positively charged atomic nuclei and negatively charged electrons, and we have plasma.  Fire is also a plasma.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181350" cy="1524000"/>
            <wp:effectExtent l="19050" t="0" r="0" b="0"/>
            <wp:docPr id="5" name="il_fi" descr="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tates"/>
                    <pic:cNvPicPr>
                      <a:picLocks noChangeAspect="1" noChangeArrowheads="1"/>
                    </pic:cNvPicPr>
                  </pic:nvPicPr>
                  <pic:blipFill>
                    <a:blip r:embed="rId269" cstate="print"/>
                    <a:srcRect t="3339" b="4275"/>
                    <a:stretch>
                      <a:fillRect/>
                    </a:stretch>
                  </pic:blipFill>
                  <pic:spPr bwMode="auto">
                    <a:xfrm>
                      <a:off x="0" y="0"/>
                      <a:ext cx="3181350" cy="152400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sz w:val="18"/>
          <w:szCs w:val="18"/>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Figure 1:</w:t>
      </w:r>
      <w:r w:rsidRPr="00793FB3">
        <w:rPr>
          <w:rFonts w:ascii="Book Antiqua" w:hAnsi="Book Antiqua"/>
          <w:i/>
          <w:sz w:val="18"/>
          <w:szCs w:val="18"/>
        </w:rPr>
        <w:t xml:space="preserve"> The 4 states of matter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Because of this ionization, plasmas are better conductors of electricity than copper or any other metal. Their conductivity and response to electric and magnetic influences mark them as being distinctly different from a gas. A weakly ionized (1%) gas may be considered a plasma since it will behave in the same way as fully ionized plasma. Even weakly ionized plasma has a strong reaction to electric and magnetic fields.</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L. Peratt in </w:t>
      </w:r>
      <w:r w:rsidRPr="00370948">
        <w:rPr>
          <w:rFonts w:ascii="Book Antiqua" w:hAnsi="Book Antiqua"/>
          <w:i/>
          <w:sz w:val="20"/>
        </w:rPr>
        <w:t>“Physics of the Plasma Universe,”</w:t>
      </w:r>
      <w:r w:rsidRPr="00370948">
        <w:rPr>
          <w:rFonts w:ascii="Book Antiqua" w:hAnsi="Book Antiqua"/>
          <w:sz w:val="20"/>
        </w:rPr>
        <w:t xml:space="preserve"> p.17, Springer-Verlag, New York (1991), stated that the ratio of the electromagnetic force to the gravitational force </w:t>
      </w:r>
      <w:r>
        <w:rPr>
          <w:rFonts w:ascii="Book Antiqua" w:hAnsi="Book Antiqua"/>
          <w:sz w:val="20"/>
        </w:rPr>
        <w:t>can be up to</w:t>
      </w:r>
      <w:r w:rsidRPr="00370948">
        <w:rPr>
          <w:rFonts w:ascii="Book Antiqua" w:hAnsi="Book Antiqua"/>
          <w:sz w:val="20"/>
        </w:rPr>
        <w:t xml:space="preserve"> 39 orders of magnitude</w:t>
      </w:r>
      <w:r>
        <w:rPr>
          <w:rFonts w:ascii="Book Antiqua" w:hAnsi="Book Antiqua"/>
          <w:sz w:val="20"/>
        </w:rPr>
        <w:t xml:space="preserve"> in space</w:t>
      </w:r>
      <w:r w:rsidRPr="00370948">
        <w:rPr>
          <w:rFonts w:ascii="Book Antiqua" w:hAnsi="Book Antiqua"/>
          <w:sz w:val="20"/>
        </w:rPr>
        <w:t xml:space="preserve">. This means that electromagnetic forces </w:t>
      </w:r>
      <w:r>
        <w:rPr>
          <w:rFonts w:ascii="Book Antiqua" w:hAnsi="Book Antiqua"/>
          <w:sz w:val="20"/>
        </w:rPr>
        <w:t>can be</w:t>
      </w:r>
      <w:r w:rsidRPr="00370948">
        <w:rPr>
          <w:rFonts w:ascii="Book Antiqua" w:hAnsi="Book Antiqua"/>
          <w:sz w:val="20"/>
        </w:rPr>
        <w:t xml:space="preserve"> 10</w:t>
      </w:r>
      <w:r w:rsidRPr="00370948">
        <w:rPr>
          <w:rFonts w:ascii="Book Antiqua" w:hAnsi="Book Antiqua"/>
          <w:sz w:val="20"/>
          <w:vertAlign w:val="superscript"/>
        </w:rPr>
        <w:t>39</w:t>
      </w:r>
      <w:r w:rsidRPr="00370948">
        <w:rPr>
          <w:rFonts w:ascii="Book Antiqua" w:hAnsi="Book Antiqua"/>
          <w:sz w:val="20"/>
        </w:rPr>
        <w:t xml:space="preserve"> times as strong as gravity (That is a 1 with 39 zeros after it).  This means all plasma phenomena will act</w:t>
      </w:r>
      <w:r>
        <w:rPr>
          <w:rFonts w:ascii="Book Antiqua" w:hAnsi="Book Antiqua"/>
          <w:sz w:val="20"/>
        </w:rPr>
        <w:t xml:space="preserve"> more strongly and</w:t>
      </w:r>
      <w:r w:rsidRPr="00370948">
        <w:rPr>
          <w:rFonts w:ascii="Book Antiqua" w:hAnsi="Book Antiqua"/>
          <w:sz w:val="20"/>
        </w:rPr>
        <w:t xml:space="preserve"> more rapidly over vaster distances than any gravitational phenomena can. This has significant implications for astronomy and cosmology.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Using an instrument called a spectroscope, which can easily discern ionized gases, astronomers have found that 99% of all matter in the universe is in a plasma state.  The sun and stars are gravitationally bound plasmas.  Many of the beautiful photographs from the Hubble Space Telescope reveal formations of gas clouds in space which have also been shown to be plasmas, much to the surprise of some astronomers.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We deal with plasmas on a daily basis.  The electric current in fluorescent lights generates plasma by ionizing the gas in there. Neon signs glow because an electric current excites plasma in the tube. However, when very weak electric currents flow in plasma, it normally does not glow. This is called the </w:t>
      </w:r>
      <w:r w:rsidRPr="00F0258E">
        <w:rPr>
          <w:rFonts w:ascii="Book Antiqua" w:hAnsi="Book Antiqua"/>
          <w:b/>
          <w:sz w:val="20"/>
        </w:rPr>
        <w:t>dark current mode</w:t>
      </w:r>
      <w:r w:rsidRPr="00370948">
        <w:rPr>
          <w:rFonts w:ascii="Book Antiqua" w:hAnsi="Book Antiqua"/>
          <w:sz w:val="20"/>
        </w:rPr>
        <w:t xml:space="preserve"> for plasma. It is only when the current is stronger that the plasma begins to emit light and is in </w:t>
      </w:r>
      <w:r w:rsidRPr="00F0258E">
        <w:rPr>
          <w:rFonts w:ascii="Book Antiqua" w:hAnsi="Book Antiqua"/>
          <w:b/>
          <w:sz w:val="20"/>
        </w:rPr>
        <w:t>glow mode</w:t>
      </w:r>
      <w:r w:rsidRPr="00370948">
        <w:rPr>
          <w:rFonts w:ascii="Book Antiqua" w:hAnsi="Book Antiqua"/>
          <w:sz w:val="20"/>
        </w:rPr>
        <w:t xml:space="preserve">, just like the neon signs. For extremely strong currents, the plasma goes into </w:t>
      </w:r>
      <w:r w:rsidRPr="00F0258E">
        <w:rPr>
          <w:rFonts w:ascii="Book Antiqua" w:hAnsi="Book Antiqua"/>
          <w:b/>
          <w:sz w:val="20"/>
        </w:rPr>
        <w:t>arc mode</w:t>
      </w:r>
      <w:r w:rsidRPr="00370948">
        <w:rPr>
          <w:rFonts w:ascii="Book Antiqua" w:hAnsi="Book Antiqua"/>
          <w:sz w:val="20"/>
        </w:rPr>
        <w:t xml:space="preserve"> in the same way it does in a welder’s torch, or a lightning bolt.  Lightning bolts we see are comprised of atoms in the atmosphere that are about 20% ionized and act as channels of plasma for </w:t>
      </w:r>
      <w:r>
        <w:rPr>
          <w:rFonts w:ascii="Book Antiqua" w:hAnsi="Book Antiqua"/>
          <w:sz w:val="20"/>
        </w:rPr>
        <w:t>an</w:t>
      </w:r>
      <w:r w:rsidRPr="00370948">
        <w:rPr>
          <w:rFonts w:ascii="Book Antiqua" w:hAnsi="Book Antiqua"/>
          <w:sz w:val="20"/>
        </w:rPr>
        <w:t xml:space="preserve"> electric </w:t>
      </w:r>
      <w:r w:rsidRPr="00370948">
        <w:rPr>
          <w:rFonts w:ascii="Book Antiqua" w:hAnsi="Book Antiqua"/>
          <w:sz w:val="20"/>
        </w:rPr>
        <w:lastRenderedPageBreak/>
        <w:t xml:space="preserve">current that may reach 200,000 Amperes and expend an energy of </w:t>
      </w:r>
      <m:oMath>
        <m:r>
          <w:rPr>
            <w:rFonts w:ascii="Cambria Math" w:hAnsi="Book Antiqua"/>
            <w:sz w:val="20"/>
          </w:rPr>
          <m:t xml:space="preserve">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370948">
        <w:rPr>
          <w:rFonts w:ascii="Book Antiqua" w:hAnsi="Book Antiqua"/>
          <w:sz w:val="20"/>
        </w:rPr>
        <w:t xml:space="preserve"> Joules. (In contrast, lightning bolts on Jupiter release about 4,000 times as much energy.)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are all familiar with the aurora borealis. In 1908, Birkeland found that luminous rings and streamers were produced around the poles of a magnetized metal globe into which a current was flowing in a near vacuum. He concluded from this classic experiment with his “terrella” that auroras are the result of plasma in our upper atmosphere being excited by electrical currents from the Sun [1]. The Triad satellite confirmed this in 1973 and 1974 [2, 3]. The earth is actually encased in this protective shell of plasma, called the earth’s plasma-sphere, which </w:t>
      </w:r>
      <w:r>
        <w:rPr>
          <w:rFonts w:ascii="Book Antiqua" w:hAnsi="Book Antiqua"/>
          <w:sz w:val="20"/>
        </w:rPr>
        <w:t>includes</w:t>
      </w:r>
      <w:r w:rsidRPr="00370948">
        <w:rPr>
          <w:rFonts w:ascii="Book Antiqua" w:hAnsi="Book Antiqua"/>
          <w:sz w:val="20"/>
        </w:rPr>
        <w:t xml:space="preserve"> the ionosphere and magnetosphere</w:t>
      </w:r>
      <w:r>
        <w:rPr>
          <w:rFonts w:ascii="Book Antiqua" w:hAnsi="Book Antiqua"/>
          <w:sz w:val="20"/>
        </w:rPr>
        <w:t>,</w:t>
      </w:r>
      <w:r w:rsidRPr="00370948">
        <w:rPr>
          <w:rFonts w:ascii="Book Antiqua" w:hAnsi="Book Antiqua"/>
          <w:sz w:val="20"/>
        </w:rPr>
        <w:t xml:space="preserve"> and shields life on earth from high energy radiation that comes from space.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Data from the Themis mission, a quintet of satellites that NASA launched in late 2006, has confirmed Birkeland’s </w:t>
      </w:r>
      <w:r>
        <w:rPr>
          <w:rFonts w:ascii="Book Antiqua" w:hAnsi="Book Antiqua"/>
          <w:sz w:val="20"/>
        </w:rPr>
        <w:t>conclusion</w:t>
      </w:r>
      <w:r w:rsidRPr="00370948">
        <w:rPr>
          <w:rFonts w:ascii="Book Antiqua" w:hAnsi="Book Antiqua"/>
          <w:sz w:val="20"/>
        </w:rPr>
        <w:t xml:space="preserve"> and added more detail. They have found that </w:t>
      </w:r>
      <w:r w:rsidRPr="00370948">
        <w:rPr>
          <w:rFonts w:ascii="Book Antiqua" w:hAnsi="Book Antiqua"/>
          <w:i/>
          <w:sz w:val="20"/>
        </w:rPr>
        <w:t>“a stream of charged particles from the sun flowing like a current through twisted bundles of magnetic fields connecting Earth’s upper atmosphere to the sun”</w:t>
      </w:r>
      <w:r w:rsidRPr="00370948">
        <w:rPr>
          <w:rFonts w:ascii="Book Antiqua" w:hAnsi="Book Antiqua"/>
          <w:sz w:val="20"/>
        </w:rPr>
        <w:t xml:space="preserve"> abruptly released the energy to produce the aurora. </w:t>
      </w:r>
      <w:r w:rsidRPr="00370948">
        <w:rPr>
          <w:rFonts w:ascii="Book Antiqua" w:hAnsi="Book Antiqua"/>
          <w:color w:val="000000"/>
          <w:sz w:val="20"/>
        </w:rPr>
        <w:t>Vassilis Angelopoulos, at an American Geophysical Union meeting in 2007,</w:t>
      </w:r>
      <w:r w:rsidRPr="00370948">
        <w:rPr>
          <w:rFonts w:ascii="Book Antiqua" w:hAnsi="Book Antiqua"/>
          <w:sz w:val="20"/>
        </w:rPr>
        <w:t xml:space="preserve"> commented that </w:t>
      </w:r>
      <w:r w:rsidRPr="00370948">
        <w:rPr>
          <w:rFonts w:ascii="Book Antiqua" w:hAnsi="Book Antiqua"/>
          <w:i/>
          <w:sz w:val="20"/>
        </w:rPr>
        <w:t xml:space="preserve">“Although researchers have suspected the existence of wound-up bundles of magnetic fields that provide energy for the auroras, the phenomenon was not confirmed until May, when the satellites became the first to map their structure some 40,000 miles above the earth’s surface.” </w:t>
      </w:r>
      <w:r w:rsidRPr="00370948">
        <w:rPr>
          <w:rFonts w:ascii="Book Antiqua" w:hAnsi="Book Antiqua"/>
          <w:sz w:val="20"/>
        </w:rPr>
        <w:t>[4]</w:t>
      </w:r>
      <w:r>
        <w:rPr>
          <w:rFonts w:ascii="Book Antiqua" w:hAnsi="Book Antiqua"/>
          <w:sz w:val="20"/>
        </w:rPr>
        <w:t xml:space="preserve"> Examples of plasmas in glow and arc mode are shown in Figure 2.</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i/>
          <w:sz w:val="20"/>
        </w:rPr>
      </w:pPr>
      <w:r w:rsidRPr="008C2B7D">
        <w:rPr>
          <w:rFonts w:ascii="Book Antiqua" w:hAnsi="Book Antiqua"/>
          <w:i/>
          <w:sz w:val="20"/>
        </w:rPr>
        <w:object w:dxaOrig="7191" w:dyaOrig="5390">
          <v:shape id="_x0000_i1048" type="#_x0000_t75" style="width:382.4pt;height:286.2pt" o:ole="">
            <v:imagedata r:id="rId270" o:title=""/>
          </v:shape>
          <o:OLEObject Type="Embed" ProgID="PowerPoint.Slide.12" ShapeID="_x0000_i1048" DrawAspect="Content" ObjectID="_1433920200" r:id="rId271"/>
        </w:object>
      </w:r>
    </w:p>
    <w:p w:rsidR="005359B2" w:rsidRPr="00F0258E" w:rsidRDefault="005359B2" w:rsidP="005359B2">
      <w:pPr>
        <w:pStyle w:val="NoSpacing"/>
        <w:jc w:val="center"/>
        <w:rPr>
          <w:rFonts w:ascii="Book Antiqua" w:hAnsi="Book Antiqua"/>
          <w:i/>
          <w:sz w:val="18"/>
          <w:szCs w:val="18"/>
        </w:rPr>
      </w:pPr>
      <w:r w:rsidRPr="00F0258E">
        <w:rPr>
          <w:rFonts w:ascii="Book Antiqua" w:hAnsi="Book Antiqua"/>
          <w:b/>
          <w:i/>
          <w:sz w:val="18"/>
          <w:szCs w:val="18"/>
        </w:rPr>
        <w:t>Figure 2:</w:t>
      </w:r>
      <w:r w:rsidRPr="00F0258E">
        <w:rPr>
          <w:rFonts w:ascii="Book Antiqua" w:hAnsi="Book Antiqua"/>
          <w:i/>
          <w:sz w:val="18"/>
          <w:szCs w:val="18"/>
        </w:rPr>
        <w:t xml:space="preserve"> </w:t>
      </w:r>
      <w:r w:rsidRPr="00F0258E">
        <w:rPr>
          <w:rFonts w:ascii="Book Antiqua" w:hAnsi="Book Antiqua"/>
          <w:b/>
          <w:i/>
          <w:sz w:val="18"/>
          <w:szCs w:val="18"/>
        </w:rPr>
        <w:t>(Top)</w:t>
      </w:r>
      <w:r w:rsidRPr="00F0258E">
        <w:rPr>
          <w:rFonts w:ascii="Book Antiqua" w:hAnsi="Book Antiqua"/>
          <w:i/>
          <w:sz w:val="18"/>
          <w:szCs w:val="18"/>
        </w:rPr>
        <w:t xml:space="preserve"> Plasma in glow mode in neon signs and in the Aurora Borealis. </w:t>
      </w:r>
      <w:r w:rsidRPr="00F0258E">
        <w:rPr>
          <w:rFonts w:ascii="Book Antiqua" w:hAnsi="Book Antiqua"/>
          <w:b/>
          <w:i/>
          <w:sz w:val="18"/>
          <w:szCs w:val="18"/>
        </w:rPr>
        <w:t>(Bottom)</w:t>
      </w:r>
      <w:r w:rsidRPr="00F0258E">
        <w:rPr>
          <w:rFonts w:ascii="Book Antiqua" w:hAnsi="Book Antiqua"/>
          <w:i/>
          <w:sz w:val="18"/>
          <w:szCs w:val="18"/>
        </w:rPr>
        <w:t xml:space="preserve"> Arc mode plasmas in lightning and on the Sun</w:t>
      </w:r>
      <w:r>
        <w:rPr>
          <w:rFonts w:ascii="Book Antiqua" w:hAnsi="Book Antiqua"/>
          <w:i/>
          <w:sz w:val="18"/>
          <w:szCs w:val="18"/>
        </w:rPr>
        <w:t>.</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numPr>
          <w:ilvl w:val="1"/>
          <w:numId w:val="31"/>
        </w:numPr>
        <w:rPr>
          <w:rFonts w:ascii="Book Antiqua" w:hAnsi="Book Antiqua"/>
          <w:bCs/>
          <w:i/>
          <w:iCs/>
          <w:sz w:val="20"/>
        </w:rPr>
      </w:pPr>
      <w:r w:rsidRPr="00370948">
        <w:rPr>
          <w:rFonts w:ascii="Book Antiqua" w:hAnsi="Book Antiqua"/>
          <w:bCs/>
          <w:i/>
          <w:iCs/>
          <w:sz w:val="20"/>
        </w:rPr>
        <w:t xml:space="preserve">The Plasma Controversy. </w:t>
      </w:r>
    </w:p>
    <w:p w:rsidR="005359B2" w:rsidRPr="00370948" w:rsidRDefault="005359B2" w:rsidP="005359B2">
      <w:pPr>
        <w:pStyle w:val="NoSpacing"/>
        <w:jc w:val="both"/>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However, when Birkeland first proposed his concept of the auroras, his ideas of electric currents in plasma were vehemently opposed by Sydney Chapman, a British mathematician and geophysicist.  As a result, the idea of currents in plasmas became mired in scientific politics [5]. </w:t>
      </w: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31"/>
        <w:gridCol w:w="4130"/>
      </w:tblGrid>
      <w:tr w:rsidR="005359B2" w:rsidRPr="00370948" w:rsidTr="003442EA">
        <w:trPr>
          <w:trHeight w:val="3835"/>
          <w:jc w:val="center"/>
        </w:trPr>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2466975" cy="3311647"/>
                  <wp:effectExtent l="19050" t="0" r="0" b="0"/>
                  <wp:docPr id="11" name="il_fi" descr="birkelandk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irkelandkristian"/>
                          <pic:cNvPicPr>
                            <a:picLocks noChangeAspect="1" noChangeArrowheads="1"/>
                          </pic:cNvPicPr>
                        </pic:nvPicPr>
                        <pic:blipFill>
                          <a:blip r:embed="rId272" cstate="print"/>
                          <a:srcRect/>
                          <a:stretch>
                            <a:fillRect/>
                          </a:stretch>
                        </pic:blipFill>
                        <pic:spPr bwMode="auto">
                          <a:xfrm>
                            <a:off x="0" y="0"/>
                            <a:ext cx="2470615" cy="3316534"/>
                          </a:xfrm>
                          <a:prstGeom prst="rect">
                            <a:avLst/>
                          </a:prstGeom>
                          <a:noFill/>
                          <a:ln w="9525">
                            <a:noFill/>
                            <a:miter lim="800000"/>
                            <a:headEnd/>
                            <a:tailEnd/>
                          </a:ln>
                        </pic:spPr>
                      </pic:pic>
                    </a:graphicData>
                  </a:graphic>
                </wp:inline>
              </w:drawing>
            </w:r>
          </w:p>
        </w:tc>
        <w:tc>
          <w:tcPr>
            <w:tcW w:w="3006" w:type="dxa"/>
          </w:tcPr>
          <w:p w:rsidR="005359B2" w:rsidRPr="00370948" w:rsidRDefault="005359B2" w:rsidP="003442EA">
            <w:pPr>
              <w:pStyle w:val="NoSpacing"/>
              <w:jc w:val="center"/>
              <w:rPr>
                <w:rFonts w:ascii="Book Antiqua" w:hAnsi="Book Antiqua"/>
                <w:sz w:val="20"/>
              </w:rPr>
            </w:pPr>
            <w:r w:rsidRPr="00370948">
              <w:rPr>
                <w:rFonts w:ascii="Book Antiqua" w:hAnsi="Book Antiqua"/>
                <w:noProof/>
                <w:sz w:val="20"/>
              </w:rPr>
              <w:drawing>
                <wp:inline distT="0" distB="0" distL="0" distR="0">
                  <wp:extent cx="2465858" cy="3324225"/>
                  <wp:effectExtent l="19050" t="0" r="0" b="0"/>
                  <wp:docPr id="792" name="il_fi" descr="sydneychapman1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sydneychapman1_500"/>
                          <pic:cNvPicPr>
                            <a:picLocks noChangeAspect="1" noChangeArrowheads="1"/>
                          </pic:cNvPicPr>
                        </pic:nvPicPr>
                        <pic:blipFill>
                          <a:blip r:embed="rId273" cstate="print"/>
                          <a:srcRect l="23264" t="4620" r="13809" b="10599"/>
                          <a:stretch>
                            <a:fillRect/>
                          </a:stretch>
                        </pic:blipFill>
                        <pic:spPr bwMode="auto">
                          <a:xfrm>
                            <a:off x="0" y="0"/>
                            <a:ext cx="2465858" cy="33242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b/>
          <w:i/>
          <w:sz w:val="20"/>
        </w:rPr>
      </w:pPr>
    </w:p>
    <w:p w:rsidR="005359B2" w:rsidRPr="00793FB3" w:rsidRDefault="005359B2" w:rsidP="005359B2">
      <w:pPr>
        <w:pStyle w:val="NoSpacing"/>
        <w:jc w:val="center"/>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3</w:t>
      </w:r>
      <w:r w:rsidRPr="00793FB3">
        <w:rPr>
          <w:rFonts w:ascii="Book Antiqua" w:hAnsi="Book Antiqua"/>
          <w:b/>
          <w:i/>
          <w:sz w:val="18"/>
          <w:szCs w:val="18"/>
        </w:rPr>
        <w:t xml:space="preserve"> Left:</w:t>
      </w:r>
      <w:r w:rsidRPr="00793FB3">
        <w:rPr>
          <w:rFonts w:ascii="Book Antiqua" w:hAnsi="Book Antiqua"/>
          <w:i/>
          <w:sz w:val="18"/>
          <w:szCs w:val="18"/>
        </w:rPr>
        <w:t xml:space="preserve"> Kristian Birkeland (1867-1917). </w:t>
      </w:r>
      <w:r w:rsidRPr="00793FB3">
        <w:rPr>
          <w:rFonts w:ascii="Book Antiqua" w:hAnsi="Book Antiqua"/>
          <w:b/>
          <w:i/>
          <w:sz w:val="18"/>
          <w:szCs w:val="18"/>
        </w:rPr>
        <w:t>Right:</w:t>
      </w:r>
      <w:r w:rsidRPr="00793FB3">
        <w:rPr>
          <w:rFonts w:ascii="Book Antiqua" w:hAnsi="Book Antiqua"/>
          <w:i/>
          <w:sz w:val="18"/>
          <w:szCs w:val="18"/>
        </w:rPr>
        <w:t xml:space="preserve"> Sydney Chapman (1888-1970)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sz w:val="20"/>
        </w:rPr>
        <w:tab/>
        <w:t>NASA summarized the situation regarding Chapman’s theories</w:t>
      </w:r>
      <w:r>
        <w:rPr>
          <w:rFonts w:ascii="Book Antiqua" w:hAnsi="Book Antiqua"/>
          <w:sz w:val="20"/>
        </w:rPr>
        <w:t xml:space="preserve"> thus</w:t>
      </w:r>
      <w:r w:rsidRPr="00370948">
        <w:rPr>
          <w:rFonts w:ascii="Book Antiqua" w:hAnsi="Book Antiqua"/>
          <w:sz w:val="20"/>
        </w:rPr>
        <w:t xml:space="preserve">: </w:t>
      </w:r>
      <w:r w:rsidRPr="00370948">
        <w:rPr>
          <w:rFonts w:ascii="Book Antiqua" w:hAnsi="Book Antiqua"/>
          <w:i/>
          <w:sz w:val="20"/>
        </w:rPr>
        <w:t xml:space="preserve">“[Chapman’s] Theories about plasmas, at that time called ionized gases, were developed without any contact with laboratory plasma work. In spite of this, the belief in such theories was so strong that they were applied directly to space. … The dominance of this experimentally unsupported theoretical approach lasted as long as a confrontation with reality could be avoided. … Although the theories were generally accepted, the plasma itself [in the laboratories] refused to behave accordingly. Instead, it displayed a large number of important effects that were not included in the theory. It was slowly realized that new theories had to be constructed, but this time in close contact with experiments. …”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i/>
          <w:sz w:val="20"/>
        </w:rPr>
        <w:tab/>
        <w:t xml:space="preserve">“The second confrontation came when space missions made the magnetosphere and interplanetary space accessible to physical instruments. The first results were interpreted in terms of the generally accepted theories or new theories built up on the same [old] basis. However, when the observational technique became more advanced it became obvious that these theories were not applicable. The plasma in space was just as complicated as laboratory plasmas. Today, in reality, very little is left of the Chapman-Ferraro theory and nothing of the Chapman-Vestine current system (although there are still many scientists who support them). Many theories that have been built on a similar basis are likely to share their fate.” </w:t>
      </w:r>
      <w:r w:rsidRPr="00370948">
        <w:rPr>
          <w:rFonts w:ascii="Book Antiqua" w:hAnsi="Book Antiqua"/>
          <w:sz w:val="20"/>
        </w:rPr>
        <w:t xml:space="preserve">[6] Because of this controversy, the term “Birkeland current” was not used until 1969. In that year, Birkeand’s prediction of the existence of these currents in auroras was being experimentally </w:t>
      </w:r>
      <w:r w:rsidRPr="00666F1C">
        <w:rPr>
          <w:rFonts w:ascii="Book Antiqua" w:hAnsi="Book Antiqua"/>
          <w:sz w:val="20"/>
        </w:rPr>
        <w:t>verified [7].</w:t>
      </w:r>
      <w:r w:rsidRPr="00370948">
        <w:rPr>
          <w:rFonts w:ascii="Book Antiqua" w:hAnsi="Book Antiqua"/>
          <w:sz w:val="20"/>
        </w:rPr>
        <w:t xml:space="preserve"> Hannes Alfvén, the Swedish physicist, also became involved in the controversy.  In 1942 he calculated that if a plasma cloud passed through a cloud of neutral gas with sufficient relative velocity, the neutral gas would itself become ionized and thereby become plasma. This </w:t>
      </w:r>
      <w:r w:rsidRPr="00370948">
        <w:rPr>
          <w:rFonts w:ascii="Book Antiqua" w:hAnsi="Book Antiqua"/>
          <w:i/>
          <w:sz w:val="20"/>
        </w:rPr>
        <w:t>“critical ionization velocity”</w:t>
      </w:r>
      <w:r w:rsidRPr="00370948">
        <w:rPr>
          <w:rFonts w:ascii="Book Antiqua" w:hAnsi="Book Antiqua"/>
          <w:sz w:val="20"/>
        </w:rPr>
        <w:t xml:space="preserve"> was predicted to be in the range of 5 to 50 kilometers per second. In 1961 this prediction was verified in a plasma laboratory, and this cloud velocity is now often called the Alfvén velocity. (This is one reason why gas clouds in space are usually ionized.)</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Alfvén's approach was to build from experiment to theory and then apply it to astronomical phenomena. In 1961, Alfvén explained the Sun’s visible features in terms of current filaments and sheets [9]. This explanation is currently being verified as a result of photographs obtained in July 2004 from the Swedish one-meter Solar Telescope (SST) at La Palma in the Canary Islands, and from the Japanese Hinode space telescope in March 2007. </w:t>
      </w:r>
      <w:r>
        <w:rPr>
          <w:rFonts w:ascii="Book Antiqua" w:hAnsi="Book Antiqua"/>
          <w:sz w:val="20"/>
        </w:rPr>
        <w:t xml:space="preserve"> Recent photographs of the sun’s activity continue to verify this.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Alfvén's work included the prediction, in 1963, that the large scale structure of the universe was filamentary [8]. This was proven to be correct in 1991</w:t>
      </w:r>
      <w:r>
        <w:rPr>
          <w:rFonts w:ascii="Book Antiqua" w:hAnsi="Book Antiqua"/>
          <w:sz w:val="20"/>
        </w:rPr>
        <w:t>.  It</w:t>
      </w:r>
      <w:r w:rsidRPr="00370948">
        <w:rPr>
          <w:rFonts w:ascii="Book Antiqua" w:hAnsi="Book Antiqua"/>
          <w:sz w:val="20"/>
        </w:rPr>
        <w:t xml:space="preserve"> came as a shock to a many astrophysicists.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1970, Alfvén was awarded the Nobel Prize in Physics for his work. On 16th June that same year, Chapman died and the vigorous opposition he led against the plasma pioneers slowly began to wane. As the above quote from NASA indicates, the tide is beginning to turn in favor of the new plasma physics which is slowly divesting itself of Chapman’s incorrect approach. As a result, many astrophysicists are now becoming more conscious of the role of electric currents and magnetic fields in astronomical phenomena in general.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b/>
          <w:sz w:val="20"/>
        </w:rPr>
      </w:pPr>
      <w:r w:rsidRPr="00370948">
        <w:rPr>
          <w:rFonts w:ascii="Book Antiqua" w:hAnsi="Book Antiqua"/>
          <w:b/>
          <w:sz w:val="20"/>
        </w:rPr>
        <w:t xml:space="preserve">1.3 </w:t>
      </w:r>
      <w:r w:rsidRPr="00370948">
        <w:rPr>
          <w:rFonts w:ascii="Book Antiqua" w:hAnsi="Book Antiqua"/>
          <w:bCs/>
          <w:i/>
          <w:iCs/>
          <w:color w:val="000000"/>
          <w:sz w:val="20"/>
        </w:rPr>
        <w:t xml:space="preserve">The Origin Of Magnetic Fields.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Plasmas exhibit electromagnetic effects.  Plasma is the only state of matter where neutral atoms are ionized into positive ions and negative electrons. The movement of these ions and electrons forms an electric current</w:t>
      </w:r>
      <w:r>
        <w:rPr>
          <w:rFonts w:ascii="Book Antiqua" w:hAnsi="Book Antiqua"/>
          <w:sz w:val="20"/>
        </w:rPr>
        <w:t xml:space="preserve"> (Figure 4 left and center)</w:t>
      </w:r>
      <w:r w:rsidRPr="00370948">
        <w:rPr>
          <w:rFonts w:ascii="Book Antiqua" w:hAnsi="Book Antiqua"/>
          <w:sz w:val="20"/>
        </w:rPr>
        <w:t>. Electric currents always have an intrinsic circling magnetic field</w:t>
      </w:r>
      <w:r>
        <w:rPr>
          <w:rFonts w:ascii="Book Antiqua" w:hAnsi="Book Antiqua"/>
          <w:sz w:val="20"/>
        </w:rPr>
        <w:t xml:space="preserve"> (see Figure 4 right). </w:t>
      </w:r>
      <w:r w:rsidRPr="00370948">
        <w:rPr>
          <w:rFonts w:ascii="Book Antiqua" w:hAnsi="Book Antiqua"/>
          <w:sz w:val="20"/>
        </w:rPr>
        <w:t xml:space="preserve">The presence of a magnetic field </w:t>
      </w:r>
      <w:r>
        <w:rPr>
          <w:rFonts w:ascii="Book Antiqua" w:hAnsi="Book Antiqua"/>
          <w:sz w:val="20"/>
        </w:rPr>
        <w:t xml:space="preserve">also </w:t>
      </w:r>
      <w:r w:rsidRPr="00370948">
        <w:rPr>
          <w:rFonts w:ascii="Book Antiqua" w:hAnsi="Book Antiqua"/>
          <w:sz w:val="20"/>
        </w:rPr>
        <w:t xml:space="preserve">necessarily implies that there is an electric current since this is the only known mechanism whereby magnetic fields are produced. This is true in space just as it is true on earth. A stream of moving ions or electrons constitutes an electric current. The circling magnetic field associated with this current confines the plasma to a filamentary shape.  In the case of a bar magnet, an electric current is produced by the motion of electrons in their orbit and/or by them spinning on their axes. The atoms of the magnet are aligned so that their respective electron currents are also aligned, giving it its magnetism. In either case, the electron, with its negative charge, is in motion, and a charge in motion is an electric current. </w: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tbl>
      <w:tblPr>
        <w:tblStyle w:val="TableGrid"/>
        <w:tblW w:w="0" w:type="auto"/>
        <w:tblLook w:val="04A0"/>
      </w:tblPr>
      <w:tblGrid>
        <w:gridCol w:w="4222"/>
        <w:gridCol w:w="3836"/>
        <w:gridCol w:w="2958"/>
      </w:tblGrid>
      <w:tr w:rsidR="005359B2" w:rsidTr="003442EA">
        <w:tc>
          <w:tcPr>
            <w:tcW w:w="4248" w:type="dxa"/>
          </w:tcPr>
          <w:p w:rsidR="005359B2" w:rsidRDefault="005359B2" w:rsidP="003442EA">
            <w:pPr>
              <w:pStyle w:val="NoSpacing"/>
              <w:jc w:val="both"/>
              <w:rPr>
                <w:rFonts w:ascii="Book Antiqua" w:hAnsi="Book Antiqua"/>
                <w:sz w:val="20"/>
              </w:rPr>
            </w:pPr>
            <w:r w:rsidRPr="00580158">
              <w:rPr>
                <w:rFonts w:ascii="Book Antiqua" w:hAnsi="Book Antiqua"/>
                <w:noProof/>
                <w:sz w:val="20"/>
              </w:rPr>
              <w:drawing>
                <wp:inline distT="0" distB="0" distL="0" distR="0">
                  <wp:extent cx="2541270" cy="1494737"/>
                  <wp:effectExtent l="19050" t="0" r="0" b="0"/>
                  <wp:docPr id="793" name="Picture 3"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4" cstate="print"/>
                          <a:srcRect r="-78" b="47134"/>
                          <a:stretch>
                            <a:fillRect/>
                          </a:stretch>
                        </pic:blipFill>
                        <pic:spPr bwMode="auto">
                          <a:xfrm>
                            <a:off x="0" y="0"/>
                            <a:ext cx="2544087" cy="1496394"/>
                          </a:xfrm>
                          <a:prstGeom prst="rect">
                            <a:avLst/>
                          </a:prstGeom>
                          <a:noFill/>
                          <a:ln w="9525">
                            <a:noFill/>
                            <a:miter lim="800000"/>
                            <a:headEnd/>
                            <a:tailEnd/>
                          </a:ln>
                        </pic:spPr>
                      </pic:pic>
                    </a:graphicData>
                  </a:graphic>
                </wp:inline>
              </w:drawing>
            </w:r>
          </w:p>
        </w:tc>
        <w:tc>
          <w:tcPr>
            <w:tcW w:w="3780" w:type="dxa"/>
          </w:tcPr>
          <w:p w:rsidR="005359B2" w:rsidRDefault="005359B2" w:rsidP="003442EA">
            <w:pPr>
              <w:pStyle w:val="NoSpacing"/>
              <w:jc w:val="both"/>
              <w:rPr>
                <w:rFonts w:ascii="Book Antiqua" w:hAnsi="Book Antiqua"/>
                <w:sz w:val="20"/>
              </w:rPr>
            </w:pPr>
            <w:r w:rsidRPr="005B2916">
              <w:rPr>
                <w:rFonts w:ascii="Book Antiqua" w:hAnsi="Book Antiqua"/>
                <w:noProof/>
                <w:sz w:val="20"/>
              </w:rPr>
              <w:drawing>
                <wp:inline distT="0" distB="0" distL="0" distR="0">
                  <wp:extent cx="2294779" cy="1405346"/>
                  <wp:effectExtent l="19050" t="0" r="0" b="0"/>
                  <wp:docPr id="794" name="Picture 6" descr="http://cnx.org/content/m42341/latest/Figure_21_01_03a.jpg"/>
                  <wp:cNvGraphicFramePr/>
                  <a:graphic xmlns:a="http://schemas.openxmlformats.org/drawingml/2006/main">
                    <a:graphicData uri="http://schemas.openxmlformats.org/drawingml/2006/picture">
                      <pic:pic xmlns:pic="http://schemas.openxmlformats.org/drawingml/2006/picture">
                        <pic:nvPicPr>
                          <pic:cNvPr id="4" name="irc_mi" descr="http://cnx.org/content/m42341/latest/Figure_21_01_03a.jpg"/>
                          <pic:cNvPicPr/>
                        </pic:nvPicPr>
                        <pic:blipFill>
                          <a:blip r:embed="rId274" cstate="print"/>
                          <a:srcRect t="51826" r="1576"/>
                          <a:stretch>
                            <a:fillRect/>
                          </a:stretch>
                        </pic:blipFill>
                        <pic:spPr bwMode="auto">
                          <a:xfrm>
                            <a:off x="0" y="0"/>
                            <a:ext cx="2298100" cy="1407380"/>
                          </a:xfrm>
                          <a:prstGeom prst="rect">
                            <a:avLst/>
                          </a:prstGeom>
                          <a:noFill/>
                          <a:ln w="9525">
                            <a:noFill/>
                            <a:miter lim="800000"/>
                            <a:headEnd/>
                            <a:tailEnd/>
                          </a:ln>
                        </pic:spPr>
                      </pic:pic>
                    </a:graphicData>
                  </a:graphic>
                </wp:inline>
              </w:drawing>
            </w:r>
          </w:p>
        </w:tc>
        <w:tc>
          <w:tcPr>
            <w:tcW w:w="2988" w:type="dxa"/>
          </w:tcPr>
          <w:p w:rsidR="005359B2" w:rsidRDefault="005359B2" w:rsidP="003442EA">
            <w:pPr>
              <w:pStyle w:val="NoSpacing"/>
              <w:jc w:val="both"/>
              <w:rPr>
                <w:rFonts w:ascii="Book Antiqua" w:hAnsi="Book Antiqua"/>
                <w:sz w:val="20"/>
              </w:rPr>
            </w:pPr>
            <w:r w:rsidRPr="00612842">
              <w:rPr>
                <w:rFonts w:ascii="Book Antiqua" w:hAnsi="Book Antiqua"/>
                <w:noProof/>
                <w:sz w:val="20"/>
              </w:rPr>
              <w:drawing>
                <wp:inline distT="0" distB="0" distL="0" distR="0">
                  <wp:extent cx="1725433" cy="1494845"/>
                  <wp:effectExtent l="19050" t="0" r="8117" b="0"/>
                  <wp:docPr id="795" name="Picture 7" descr="http://www.thunderbolts.info/wp/wp-content/uploads/2011/08/mag_field_current_450x370.jpg"/>
                  <wp:cNvGraphicFramePr/>
                  <a:graphic xmlns:a="http://schemas.openxmlformats.org/drawingml/2006/main">
                    <a:graphicData uri="http://schemas.openxmlformats.org/drawingml/2006/picture">
                      <pic:pic xmlns:pic="http://schemas.openxmlformats.org/drawingml/2006/picture">
                        <pic:nvPicPr>
                          <pic:cNvPr id="4" name="irc_mi" descr="http://www.thunderbolts.info/wp/wp-content/uploads/2011/08/mag_field_current_450x370.jpg"/>
                          <pic:cNvPicPr/>
                        </pic:nvPicPr>
                        <pic:blipFill>
                          <a:blip r:embed="rId275" cstate="print"/>
                          <a:srcRect l="5899"/>
                          <a:stretch>
                            <a:fillRect/>
                          </a:stretch>
                        </pic:blipFill>
                        <pic:spPr bwMode="auto">
                          <a:xfrm>
                            <a:off x="0" y="0"/>
                            <a:ext cx="1725433" cy="149484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Pr="00DB7D9D" w:rsidRDefault="005359B2" w:rsidP="005359B2">
      <w:pPr>
        <w:pStyle w:val="NoSpacing"/>
        <w:jc w:val="both"/>
        <w:rPr>
          <w:rFonts w:ascii="Book Antiqua" w:hAnsi="Book Antiqua"/>
          <w:i/>
          <w:sz w:val="18"/>
          <w:szCs w:val="18"/>
        </w:rPr>
      </w:pPr>
      <w:r w:rsidRPr="00DB7D9D">
        <w:rPr>
          <w:rFonts w:ascii="Book Antiqua" w:hAnsi="Book Antiqua"/>
          <w:b/>
          <w:i/>
          <w:sz w:val="18"/>
          <w:szCs w:val="18"/>
        </w:rPr>
        <w:t>Figure 4</w:t>
      </w:r>
      <w:r w:rsidRPr="00DB7D9D">
        <w:rPr>
          <w:rFonts w:ascii="Book Antiqua" w:hAnsi="Book Antiqua"/>
          <w:i/>
          <w:sz w:val="18"/>
          <w:szCs w:val="18"/>
        </w:rPr>
        <w:t xml:space="preserve">: </w:t>
      </w:r>
      <w:r w:rsidRPr="00DB7D9D">
        <w:rPr>
          <w:rFonts w:ascii="Book Antiqua" w:hAnsi="Book Antiqua"/>
          <w:b/>
          <w:i/>
          <w:sz w:val="18"/>
          <w:szCs w:val="18"/>
        </w:rPr>
        <w:t>(Left)</w:t>
      </w:r>
      <w:r w:rsidRPr="00DB7D9D">
        <w:rPr>
          <w:rFonts w:ascii="Book Antiqua" w:hAnsi="Book Antiqua"/>
          <w:i/>
          <w:sz w:val="18"/>
          <w:szCs w:val="18"/>
        </w:rPr>
        <w:t xml:space="preserve"> Positive ions</w:t>
      </w:r>
      <w:r>
        <w:rPr>
          <w:rFonts w:ascii="Book Antiqua" w:hAnsi="Book Antiqua"/>
          <w:i/>
          <w:sz w:val="18"/>
          <w:szCs w:val="18"/>
        </w:rPr>
        <w:t xml:space="preserve"> (5 in this case)</w:t>
      </w:r>
      <w:r w:rsidRPr="00DB7D9D">
        <w:rPr>
          <w:rFonts w:ascii="Book Antiqua" w:hAnsi="Book Antiqua"/>
          <w:i/>
          <w:sz w:val="18"/>
          <w:szCs w:val="18"/>
        </w:rPr>
        <w:t xml:space="preserve"> </w:t>
      </w:r>
      <w:r>
        <w:rPr>
          <w:rFonts w:ascii="Book Antiqua" w:hAnsi="Book Antiqua"/>
          <w:i/>
          <w:sz w:val="18"/>
          <w:szCs w:val="18"/>
        </w:rPr>
        <w:t xml:space="preserve">moving from left to right through a given area, A, in unit time </w:t>
      </w:r>
      <w:r w:rsidRPr="00DB7D9D">
        <w:rPr>
          <w:rFonts w:ascii="Book Antiqua" w:hAnsi="Book Antiqua"/>
          <w:i/>
          <w:sz w:val="18"/>
          <w:szCs w:val="18"/>
        </w:rPr>
        <w:t>form</w:t>
      </w:r>
      <w:r>
        <w:rPr>
          <w:rFonts w:ascii="Book Antiqua" w:hAnsi="Book Antiqua"/>
          <w:i/>
          <w:sz w:val="18"/>
          <w:szCs w:val="18"/>
        </w:rPr>
        <w:t>s</w:t>
      </w:r>
      <w:r w:rsidRPr="00DB7D9D">
        <w:rPr>
          <w:rFonts w:ascii="Book Antiqua" w:hAnsi="Book Antiqua"/>
          <w:i/>
          <w:sz w:val="18"/>
          <w:szCs w:val="18"/>
        </w:rPr>
        <w:t xml:space="preserve"> an electric curren</w:t>
      </w:r>
      <w:r>
        <w:rPr>
          <w:rFonts w:ascii="Book Antiqua" w:hAnsi="Book Antiqua"/>
          <w:i/>
          <w:sz w:val="18"/>
          <w:szCs w:val="18"/>
        </w:rPr>
        <w:t>t, I.(</w:t>
      </w:r>
      <w:r w:rsidRPr="00DB7D9D">
        <w:rPr>
          <w:rFonts w:ascii="Book Antiqua" w:hAnsi="Book Antiqua"/>
          <w:b/>
          <w:i/>
          <w:sz w:val="18"/>
          <w:szCs w:val="18"/>
        </w:rPr>
        <w:t>Center)</w:t>
      </w:r>
      <w:r w:rsidRPr="00DB7D9D">
        <w:rPr>
          <w:rFonts w:ascii="Book Antiqua" w:hAnsi="Book Antiqua"/>
          <w:i/>
          <w:sz w:val="18"/>
          <w:szCs w:val="18"/>
        </w:rPr>
        <w:t xml:space="preserve"> </w:t>
      </w:r>
      <w:r>
        <w:rPr>
          <w:rFonts w:ascii="Book Antiqua" w:hAnsi="Book Antiqua"/>
          <w:i/>
          <w:sz w:val="18"/>
          <w:szCs w:val="18"/>
        </w:rPr>
        <w:t>Five n</w:t>
      </w:r>
      <w:r w:rsidRPr="00DB7D9D">
        <w:rPr>
          <w:rFonts w:ascii="Book Antiqua" w:hAnsi="Book Antiqua"/>
          <w:i/>
          <w:sz w:val="18"/>
          <w:szCs w:val="18"/>
        </w:rPr>
        <w:t xml:space="preserve">egative electrons </w:t>
      </w:r>
      <w:r>
        <w:rPr>
          <w:rFonts w:ascii="Book Antiqua" w:hAnsi="Book Antiqua"/>
          <w:i/>
          <w:sz w:val="18"/>
          <w:szCs w:val="18"/>
        </w:rPr>
        <w:t xml:space="preserve">moving from right to left through an area A in unit time </w:t>
      </w:r>
      <w:r w:rsidRPr="00DB7D9D">
        <w:rPr>
          <w:rFonts w:ascii="Book Antiqua" w:hAnsi="Book Antiqua"/>
          <w:i/>
          <w:sz w:val="18"/>
          <w:szCs w:val="18"/>
        </w:rPr>
        <w:t>form an equivalent positive current</w:t>
      </w:r>
      <w:r>
        <w:rPr>
          <w:rFonts w:ascii="Book Antiqua" w:hAnsi="Book Antiqua"/>
          <w:i/>
          <w:sz w:val="18"/>
          <w:szCs w:val="18"/>
        </w:rPr>
        <w:t>, I.</w:t>
      </w:r>
      <w:r w:rsidRPr="00DB7D9D">
        <w:rPr>
          <w:rFonts w:ascii="Book Antiqua" w:hAnsi="Book Antiqua"/>
          <w:i/>
          <w:sz w:val="18"/>
          <w:szCs w:val="18"/>
        </w:rPr>
        <w:t xml:space="preserve"> </w:t>
      </w:r>
      <w:r w:rsidRPr="00DB7D9D">
        <w:rPr>
          <w:rFonts w:ascii="Book Antiqua" w:hAnsi="Book Antiqua"/>
          <w:b/>
          <w:i/>
          <w:sz w:val="18"/>
          <w:szCs w:val="18"/>
        </w:rPr>
        <w:t>(Right)</w:t>
      </w:r>
      <w:r w:rsidRPr="00DB7D9D">
        <w:rPr>
          <w:rFonts w:ascii="Book Antiqua" w:hAnsi="Book Antiqua"/>
          <w:i/>
          <w:sz w:val="18"/>
          <w:szCs w:val="18"/>
        </w:rPr>
        <w:t xml:space="preserve"> All electric currents, I, no matter how they are formed</w:t>
      </w:r>
      <w:r>
        <w:rPr>
          <w:rFonts w:ascii="Book Antiqua" w:hAnsi="Book Antiqua"/>
          <w:i/>
          <w:sz w:val="18"/>
          <w:szCs w:val="18"/>
        </w:rPr>
        <w:t>,</w:t>
      </w:r>
      <w:r w:rsidRPr="00DB7D9D">
        <w:rPr>
          <w:rFonts w:ascii="Book Antiqua" w:hAnsi="Book Antiqua"/>
          <w:i/>
          <w:sz w:val="18"/>
          <w:szCs w:val="18"/>
        </w:rPr>
        <w:t xml:space="preserve"> have a circling magnetic field (B).</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Just like an electron in its orbit, if </w:t>
      </w:r>
      <w:r>
        <w:rPr>
          <w:rFonts w:ascii="Book Antiqua" w:hAnsi="Book Antiqua"/>
          <w:sz w:val="20"/>
        </w:rPr>
        <w:t>an electric</w:t>
      </w:r>
      <w:r w:rsidRPr="00370948">
        <w:rPr>
          <w:rFonts w:ascii="Book Antiqua" w:hAnsi="Book Antiqua"/>
          <w:sz w:val="20"/>
        </w:rPr>
        <w:t xml:space="preserve"> current is traveling in a loop, such as in the wire of a cylindrically wound solenoid, it will also produce a magnetic field. The polarity of that field depends on whether the electric charge is positive or negative.</w:t>
      </w:r>
      <w:r>
        <w:rPr>
          <w:rFonts w:ascii="Book Antiqua" w:hAnsi="Book Antiqua"/>
          <w:sz w:val="20"/>
        </w:rPr>
        <w:t xml:space="preserve"> </w:t>
      </w:r>
      <w:r w:rsidRPr="00370948">
        <w:rPr>
          <w:rFonts w:ascii="Book Antiqua" w:hAnsi="Book Antiqua"/>
          <w:sz w:val="20"/>
        </w:rPr>
        <w:t xml:space="preserve"> In the 19</w:t>
      </w:r>
      <w:r w:rsidRPr="00370948">
        <w:rPr>
          <w:rFonts w:ascii="Book Antiqua" w:hAnsi="Book Antiqua"/>
          <w:sz w:val="20"/>
          <w:vertAlign w:val="superscript"/>
        </w:rPr>
        <w:t>th</w:t>
      </w:r>
      <w:r w:rsidRPr="00370948">
        <w:rPr>
          <w:rFonts w:ascii="Book Antiqua" w:hAnsi="Book Antiqua"/>
          <w:sz w:val="20"/>
        </w:rPr>
        <w:t xml:space="preserve"> century, a convention was agreed upon that if one looks at the loop of the current from the top, and the current is going anticlockwise, then the end you are looking at is the magnetic north pole.  If, looking down at the loop, it is going clockwise, then you are looking at the magnetic south pole,.  </w:t>
      </w:r>
      <w:r>
        <w:rPr>
          <w:rFonts w:ascii="Book Antiqua" w:hAnsi="Book Antiqua"/>
          <w:sz w:val="20"/>
        </w:rPr>
        <w:t>In this way a magnetic north and south are defined for any object in the universe.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This convention, as stated above, defined the direction of the current only as the direction of motion of the positive charge.  Later experiments concluded, however, that an electron current, such as we see in a bar magnet, is simply the reverse of the motion of the positive current (positive ions).  This means if you are looking at a negative loop, the counterclockwise motion will indicate the south magnetic pole and the clockwise the north.</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 xml:space="preserve">The same is true for the motions of positive ions or negative electrons in plasma out in space. Their motion will produce an electric current, and this current will, in turn, produce a magnetic field.  This is true even if the current direction is linear rather than circular.  It follows, therefore, that the existence of either an electric current or a magnetic field in space necessarily implies that plasma is present with the ions and electrons in motion.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dealing with astronomical objects, we are often only aware of magnetic fields</w:t>
      </w:r>
      <w:r>
        <w:rPr>
          <w:rFonts w:ascii="Book Antiqua" w:hAnsi="Book Antiqua"/>
          <w:sz w:val="20"/>
        </w:rPr>
        <w:t xml:space="preserve">.  We often do not associate them with the electric currents, or plasma filaments, that have generated them.  These filaments exist on a much larger scale than the magnetic field we are seeing.  </w:t>
      </w:r>
      <w:r w:rsidRPr="00370948">
        <w:rPr>
          <w:rFonts w:ascii="Book Antiqua" w:hAnsi="Book Antiqua"/>
          <w:sz w:val="20"/>
        </w:rPr>
        <w:t xml:space="preserve"> So it is often considered that the magnetic field is intrinsic to that part of space without looking for the larger scale current circuit that produced it.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Cs/>
          <w:i/>
          <w:iCs/>
          <w:color w:val="000000"/>
          <w:sz w:val="20"/>
        </w:rPr>
        <w:t>1.4. Plasma And Magnetic Constriction</w:t>
      </w:r>
      <w:r w:rsidRPr="00370948">
        <w:rPr>
          <w:rFonts w:ascii="Book Antiqua" w:hAnsi="Book Antiqua"/>
          <w:b/>
          <w:bCs/>
          <w:iCs/>
          <w:color w:val="000000"/>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However these</w:t>
      </w:r>
      <w:r>
        <w:rPr>
          <w:rFonts w:ascii="Book Antiqua" w:hAnsi="Book Antiqua"/>
          <w:sz w:val="20"/>
        </w:rPr>
        <w:t xml:space="preserve"> massive</w:t>
      </w:r>
      <w:r w:rsidRPr="00370948">
        <w:rPr>
          <w:rFonts w:ascii="Book Antiqua" w:hAnsi="Book Antiqua"/>
          <w:sz w:val="20"/>
        </w:rPr>
        <w:t xml:space="preserve"> currents do exist.  They are made up of the positive ions (atomic nuclei) and negative electrons in motion.  These giant, primary, electric currents exist on a galactic scale and even larger.  They have giant magnetic fields associated with them.  These magnetic fields are defined as the primary magnetic fields.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charged particles making up the plasmas in the galaxies tend to follow these primary magnetic lines.  Th</w:t>
      </w:r>
      <w:r>
        <w:rPr>
          <w:rFonts w:ascii="Book Antiqua" w:hAnsi="Book Antiqua"/>
          <w:sz w:val="20"/>
        </w:rPr>
        <w:t>is</w:t>
      </w:r>
      <w:r w:rsidRPr="00370948">
        <w:rPr>
          <w:rFonts w:ascii="Book Antiqua" w:hAnsi="Book Antiqua"/>
          <w:sz w:val="20"/>
        </w:rPr>
        <w:t xml:space="preserve"> result</w:t>
      </w:r>
      <w:r>
        <w:rPr>
          <w:rFonts w:ascii="Book Antiqua" w:hAnsi="Book Antiqua"/>
          <w:sz w:val="20"/>
        </w:rPr>
        <w:t>s</w:t>
      </w:r>
      <w:r w:rsidRPr="00370948">
        <w:rPr>
          <w:rFonts w:ascii="Book Antiqua" w:hAnsi="Book Antiqua"/>
          <w:sz w:val="20"/>
        </w:rPr>
        <w:t xml:space="preserve"> in secondary electric currents which then produce </w:t>
      </w:r>
      <w:r>
        <w:rPr>
          <w:rFonts w:ascii="Book Antiqua" w:hAnsi="Book Antiqua"/>
          <w:sz w:val="20"/>
        </w:rPr>
        <w:t xml:space="preserve">the </w:t>
      </w:r>
      <w:r w:rsidRPr="00370948">
        <w:rPr>
          <w:rFonts w:ascii="Book Antiqua" w:hAnsi="Book Antiqua"/>
          <w:sz w:val="20"/>
        </w:rPr>
        <w:t>secondary magnetic fields</w:t>
      </w:r>
      <w:r>
        <w:rPr>
          <w:rFonts w:ascii="Book Antiqua" w:hAnsi="Book Antiqua"/>
          <w:sz w:val="20"/>
        </w:rPr>
        <w:t xml:space="preserve"> which are the ones we usually are aware of</w:t>
      </w:r>
      <w:r w:rsidRPr="00370948">
        <w:rPr>
          <w:rFonts w:ascii="Book Antiqua" w:hAnsi="Book Antiqua"/>
          <w:sz w:val="20"/>
        </w:rPr>
        <w:t xml:space="preserve">.  These secondary currents are called field-aligned currents since they are forced to follow the primary magnetic field.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the existence of such field-aligned currents in space was first anticipated by Kristian Birkeland, they are now called Birkeland currents [10]. </w:t>
      </w:r>
      <w:r>
        <w:rPr>
          <w:rFonts w:ascii="Book Antiqua" w:hAnsi="Book Antiqua"/>
          <w:sz w:val="20"/>
        </w:rPr>
        <w:t xml:space="preserve">Each </w:t>
      </w:r>
      <w:r w:rsidRPr="00370948">
        <w:rPr>
          <w:rFonts w:ascii="Book Antiqua" w:hAnsi="Book Antiqua"/>
          <w:sz w:val="20"/>
        </w:rPr>
        <w:t xml:space="preserve"> field-aligned current</w:t>
      </w:r>
      <w:r>
        <w:rPr>
          <w:rFonts w:ascii="Book Antiqua" w:hAnsi="Book Antiqua"/>
          <w:sz w:val="20"/>
        </w:rPr>
        <w:t>s</w:t>
      </w:r>
      <w:r w:rsidRPr="00370948">
        <w:rPr>
          <w:rFonts w:ascii="Book Antiqua" w:hAnsi="Book Antiqua"/>
          <w:sz w:val="20"/>
        </w:rPr>
        <w:t xml:space="preserve"> generate</w:t>
      </w:r>
      <w:r>
        <w:rPr>
          <w:rFonts w:ascii="Book Antiqua" w:hAnsi="Book Antiqua"/>
          <w:sz w:val="20"/>
        </w:rPr>
        <w:t>s</w:t>
      </w:r>
      <w:r w:rsidRPr="00370948">
        <w:rPr>
          <w:rFonts w:ascii="Book Antiqua" w:hAnsi="Book Antiqua"/>
          <w:sz w:val="20"/>
        </w:rPr>
        <w:t xml:space="preserve"> </w:t>
      </w:r>
      <w:r>
        <w:rPr>
          <w:rFonts w:ascii="Book Antiqua" w:hAnsi="Book Antiqua"/>
          <w:sz w:val="20"/>
        </w:rPr>
        <w:t>its</w:t>
      </w:r>
      <w:r w:rsidRPr="00370948">
        <w:rPr>
          <w:rFonts w:ascii="Book Antiqua" w:hAnsi="Book Antiqua"/>
          <w:sz w:val="20"/>
        </w:rPr>
        <w:t xml:space="preserve"> own magnetic field</w:t>
      </w:r>
      <w:r>
        <w:rPr>
          <w:rFonts w:ascii="Book Antiqua" w:hAnsi="Book Antiqua"/>
          <w:sz w:val="20"/>
        </w:rPr>
        <w:t>s which</w:t>
      </w:r>
      <w:r w:rsidRPr="00370948">
        <w:rPr>
          <w:rFonts w:ascii="Book Antiqua" w:hAnsi="Book Antiqua"/>
          <w:sz w:val="20"/>
        </w:rPr>
        <w:t xml:space="preserve"> wrap</w:t>
      </w:r>
      <w:r>
        <w:rPr>
          <w:rFonts w:ascii="Book Antiqua" w:hAnsi="Book Antiqua"/>
          <w:sz w:val="20"/>
        </w:rPr>
        <w:t>s</w:t>
      </w:r>
      <w:r w:rsidRPr="00370948">
        <w:rPr>
          <w:rFonts w:ascii="Book Antiqua" w:hAnsi="Book Antiqua"/>
          <w:sz w:val="20"/>
        </w:rPr>
        <w:t xml:space="preserve"> </w:t>
      </w:r>
      <w:r>
        <w:rPr>
          <w:rFonts w:ascii="Book Antiqua" w:hAnsi="Book Antiqua"/>
          <w:sz w:val="20"/>
        </w:rPr>
        <w:t>itself</w:t>
      </w:r>
      <w:r w:rsidRPr="00370948">
        <w:rPr>
          <w:rFonts w:ascii="Book Antiqua" w:hAnsi="Book Antiqua"/>
          <w:sz w:val="20"/>
        </w:rPr>
        <w:t xml:space="preserve"> around the current circumferentially, constricting the plasma into a stringy rope-like structure shaped like a filamentary cable, or fiber</w:t>
      </w:r>
      <w:r>
        <w:rPr>
          <w:rFonts w:ascii="Book Antiqua" w:hAnsi="Book Antiqua"/>
          <w:sz w:val="20"/>
        </w:rPr>
        <w:t xml:space="preserve"> or strands of spaghetti</w:t>
      </w:r>
      <w:r w:rsidRPr="00370948">
        <w:rPr>
          <w:rFonts w:ascii="Book Antiqua" w:hAnsi="Book Antiqua"/>
          <w:sz w:val="20"/>
        </w:rPr>
        <w:t xml:space="preserve">.  With an electric current of high intensity, this filamentary cable will itself often twist, producing a helical pinch that spirals like a corkscrew or a twisted, braided rope. These varieties of rope-like structures are also typical characteristics of Birkeland currents in plasma.  We can see an approximation of what is happening when we look at lightning, which is plasma in arc mode.  The twisting and forking are in response to disturbances to </w:t>
      </w:r>
      <w:r w:rsidRPr="00F8009C">
        <w:rPr>
          <w:rFonts w:ascii="Book Antiqua" w:hAnsi="Book Antiqua"/>
          <w:sz w:val="20"/>
        </w:rPr>
        <w:t>its magnetic field.</w:t>
      </w:r>
      <w:r>
        <w:rPr>
          <w:rFonts w:ascii="Book Antiqua" w:hAnsi="Book Antiqua"/>
          <w:sz w:val="20"/>
        </w:rPr>
        <w:t xml:space="preserve"> These characteristics can be seen in objects in space such as the Cygnus Loop (Fig 5).</w:t>
      </w:r>
    </w:p>
    <w:p w:rsidR="005359B2" w:rsidRDefault="005359B2" w:rsidP="005359B2">
      <w:pPr>
        <w:pStyle w:val="NoSpacing"/>
        <w:jc w:val="both"/>
        <w:rPr>
          <w:rFonts w:ascii="Book Antiqua" w:hAnsi="Book Antiqua"/>
          <w:sz w:val="20"/>
        </w:rPr>
      </w:pPr>
    </w:p>
    <w:p w:rsidR="005359B2" w:rsidRDefault="005359B2" w:rsidP="005359B2">
      <w:pPr>
        <w:pStyle w:val="NoSpacing"/>
        <w:jc w:val="center"/>
        <w:rPr>
          <w:rFonts w:ascii="Book Antiqua" w:hAnsi="Book Antiqua"/>
          <w:sz w:val="20"/>
        </w:rPr>
      </w:pPr>
      <w:r w:rsidRPr="00F8009C">
        <w:rPr>
          <w:rFonts w:ascii="Book Antiqua" w:hAnsi="Book Antiqua"/>
          <w:noProof/>
          <w:sz w:val="20"/>
        </w:rPr>
        <w:drawing>
          <wp:inline distT="0" distB="0" distL="0" distR="0">
            <wp:extent cx="3623182" cy="1475335"/>
            <wp:effectExtent l="19050" t="0" r="0" b="0"/>
            <wp:docPr id="796" name="Picture 2" descr="http://t0.gstatic.com/images?q=tbn:ANd9GcTkVFuMQlXi5N0yn3ioFhzdDx75bNwuOXgqXGAFWbt_CbMAsCkqEw"/>
            <wp:cNvGraphicFramePr/>
            <a:graphic xmlns:a="http://schemas.openxmlformats.org/drawingml/2006/main">
              <a:graphicData uri="http://schemas.openxmlformats.org/drawingml/2006/picture">
                <pic:pic xmlns:pic="http://schemas.openxmlformats.org/drawingml/2006/picture">
                  <pic:nvPicPr>
                    <pic:cNvPr id="1026" name="Picture 2" descr="http://t0.gstatic.com/images?q=tbn:ANd9GcTkVFuMQlXi5N0yn3ioFhzdDx75bNwuOXgqXGAFWbt_CbMAsCkqEw"/>
                    <pic:cNvPicPr>
                      <a:picLocks noChangeAspect="1" noChangeArrowheads="1"/>
                    </pic:cNvPicPr>
                  </pic:nvPicPr>
                  <pic:blipFill>
                    <a:blip r:embed="rId276" cstate="print"/>
                    <a:srcRect/>
                    <a:stretch>
                      <a:fillRect/>
                    </a:stretch>
                  </pic:blipFill>
                  <pic:spPr bwMode="auto">
                    <a:xfrm>
                      <a:off x="0" y="0"/>
                      <a:ext cx="3625578" cy="1476311"/>
                    </a:xfrm>
                    <a:prstGeom prst="rect">
                      <a:avLst/>
                    </a:prstGeom>
                    <a:noFill/>
                  </pic:spPr>
                </pic:pic>
              </a:graphicData>
            </a:graphic>
          </wp:inline>
        </w:drawing>
      </w:r>
    </w:p>
    <w:p w:rsidR="005359B2" w:rsidRDefault="005359B2" w:rsidP="005359B2">
      <w:pPr>
        <w:pStyle w:val="NoSpacing"/>
        <w:jc w:val="center"/>
        <w:rPr>
          <w:rFonts w:ascii="Book Antiqua" w:hAnsi="Book Antiqua"/>
          <w:sz w:val="20"/>
        </w:rPr>
      </w:pPr>
    </w:p>
    <w:p w:rsidR="005359B2" w:rsidRPr="00F8009C" w:rsidRDefault="005359B2" w:rsidP="005359B2">
      <w:pPr>
        <w:pStyle w:val="NoSpacing"/>
        <w:jc w:val="center"/>
        <w:rPr>
          <w:rFonts w:ascii="Book Antiqua" w:hAnsi="Book Antiqua"/>
          <w:i/>
          <w:sz w:val="18"/>
          <w:szCs w:val="18"/>
        </w:rPr>
      </w:pPr>
      <w:r w:rsidRPr="00F8009C">
        <w:rPr>
          <w:rFonts w:ascii="Book Antiqua" w:hAnsi="Book Antiqua"/>
          <w:b/>
          <w:i/>
          <w:sz w:val="18"/>
          <w:szCs w:val="18"/>
        </w:rPr>
        <w:t xml:space="preserve">Figure </w:t>
      </w:r>
      <w:r>
        <w:rPr>
          <w:rFonts w:ascii="Book Antiqua" w:hAnsi="Book Antiqua"/>
          <w:b/>
          <w:i/>
          <w:sz w:val="18"/>
          <w:szCs w:val="18"/>
        </w:rPr>
        <w:t>5</w:t>
      </w:r>
      <w:r w:rsidRPr="00F8009C">
        <w:rPr>
          <w:rFonts w:ascii="Book Antiqua" w:hAnsi="Book Antiqua"/>
          <w:b/>
          <w:i/>
          <w:sz w:val="18"/>
          <w:szCs w:val="18"/>
        </w:rPr>
        <w:t>:</w:t>
      </w:r>
      <w:r w:rsidRPr="00F8009C">
        <w:rPr>
          <w:rFonts w:ascii="Book Antiqua" w:hAnsi="Book Antiqua"/>
          <w:i/>
          <w:sz w:val="18"/>
          <w:szCs w:val="18"/>
        </w:rPr>
        <w:t xml:space="preserve">  A plasma filament in the constellation Cygnus</w:t>
      </w:r>
      <w:r>
        <w:rPr>
          <w:rFonts w:ascii="Book Antiqua" w:hAnsi="Book Antiqua"/>
          <w:i/>
          <w:sz w:val="18"/>
          <w:szCs w:val="18"/>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These phenomena were not generally understood in the early 20</w:t>
      </w:r>
      <w:r w:rsidRPr="00370948">
        <w:rPr>
          <w:rFonts w:ascii="Book Antiqua" w:hAnsi="Book Antiqua"/>
          <w:sz w:val="20"/>
          <w:vertAlign w:val="superscript"/>
        </w:rPr>
        <w:t>th</w:t>
      </w:r>
      <w:r w:rsidRPr="00370948">
        <w:rPr>
          <w:rFonts w:ascii="Book Antiqua" w:hAnsi="Book Antiqua"/>
          <w:sz w:val="20"/>
        </w:rPr>
        <w:t xml:space="preserve"> century, even though the first clue was perceived by Pollock and Barraclough in 1905. They investigated a copper rod that had been struck by lightning near Sydney, Australia. The rod had been compressed and distorted by the strike. Their analysis established that the interaction between the large current flow in the lightning bolt and its own magnetic field had produced compressive forces that caused the distortion [11]. It was not until 1934 that an analysis performed by Bennett dealt with the radial pressure exerted in such instances [12]. The characteristic constrictive action, which is the product of the circumferential (or azimuthal) magnetic field, pinching the plasma filaments, is now called the Bennett pinch or Z-pinch [13]. This pinching or bunching is usually accompanied by the accumulation of matter. This explains why interstellar matter </w:t>
      </w:r>
      <w:r w:rsidRPr="00370948">
        <w:rPr>
          <w:rFonts w:ascii="Book Antiqua" w:hAnsi="Book Antiqua"/>
          <w:sz w:val="20"/>
        </w:rPr>
        <w:lastRenderedPageBreak/>
        <w:t xml:space="preserve">displays such a variety of filamentary structures. The standard Bennett pinch due to the gradient of magnetic pressure </w:t>
      </w: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oMath>
      <w:r w:rsidRPr="00370948">
        <w:rPr>
          <w:rFonts w:ascii="Book Antiqua" w:hAnsi="Book Antiqua"/>
          <w:sz w:val="20"/>
        </w:rPr>
        <w:t xml:space="preserve"> is given by</w:t>
      </w:r>
    </w:p>
    <w:p w:rsidR="005359B2" w:rsidRPr="00370948" w:rsidRDefault="005359B2" w:rsidP="005359B2">
      <w:pPr>
        <w:pStyle w:val="NoSpacing"/>
        <w:jc w:val="both"/>
        <w:rPr>
          <w:rFonts w:ascii="Book Antiqua" w:hAnsi="Book Antiqua"/>
          <w:sz w:val="20"/>
        </w:rPr>
      </w:pPr>
    </w:p>
    <w:p w:rsidR="005359B2" w:rsidRPr="00370948" w:rsidRDefault="007B3EBC" w:rsidP="005359B2">
      <w:pPr>
        <w:pStyle w:val="NoSpacing"/>
        <w:jc w:val="right"/>
        <w:rPr>
          <w:rFonts w:ascii="Book Antiqua" w:hAnsi="Book Antiqua"/>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m:t>
        </m:r>
      </m:oMath>
      <w:r w:rsidR="005359B2" w:rsidRPr="00370948">
        <w:rPr>
          <w:rFonts w:ascii="Book Antiqua" w:hAnsi="Book Antiqua"/>
          <w:sz w:val="20"/>
        </w:rPr>
        <w:t xml:space="preserve">,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t xml:space="preserve">    </w:t>
      </w:r>
      <w:r w:rsidR="005359B2" w:rsidRPr="00370948">
        <w:rPr>
          <w:rFonts w:ascii="Book Antiqua" w:hAnsi="Book Antiqua"/>
          <w:i/>
          <w:sz w:val="20"/>
        </w:rPr>
        <w:t xml:space="preserve">   (1)</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B</m:t>
        </m:r>
      </m:oMath>
      <w:r w:rsidRPr="00370948">
        <w:rPr>
          <w:rFonts w:ascii="Book Antiqua" w:hAnsi="Book Antiqua"/>
          <w:sz w:val="20"/>
        </w:rPr>
        <w:t xml:space="preserve"> is the magnetic flux density or magnetic induction, and </w:t>
      </w:r>
      <m:oMath>
        <m:r>
          <w:rPr>
            <w:rFonts w:ascii="Cambria Math" w:hAnsi="Cambria Math"/>
            <w:sz w:val="20"/>
          </w:rPr>
          <m:t>μ</m:t>
        </m:r>
      </m:oMath>
      <w:r w:rsidRPr="00370948">
        <w:rPr>
          <w:rFonts w:ascii="Book Antiqua" w:hAnsi="Book Antiqua"/>
          <w:sz w:val="20"/>
        </w:rPr>
        <w:t xml:space="preserve"> is the magnetic permeability of the vacuum. Bennett also noted that the compression occurred whether or not the material was fully ionized</w:t>
      </w:r>
      <w:r>
        <w:rPr>
          <w:rFonts w:ascii="Book Antiqua" w:hAnsi="Book Antiqua"/>
          <w:sz w:val="20"/>
        </w:rPr>
        <w:t xml:space="preserve"> (see Figure 6)</w:t>
      </w:r>
      <w:r w:rsidRPr="00370948">
        <w:rPr>
          <w:rFonts w:ascii="Book Antiqua" w:hAnsi="Book Antiqua"/>
          <w:sz w:val="20"/>
        </w:rPr>
        <w:t>.  Since then</w:t>
      </w:r>
      <w:r>
        <w:rPr>
          <w:rFonts w:ascii="Book Antiqua" w:hAnsi="Book Antiqua"/>
          <w:sz w:val="20"/>
        </w:rPr>
        <w:t>,</w:t>
      </w:r>
      <w:r w:rsidRPr="00370948">
        <w:rPr>
          <w:rFonts w:ascii="Book Antiqua" w:hAnsi="Book Antiqua"/>
          <w:sz w:val="20"/>
        </w:rPr>
        <w:t xml:space="preserve"> other pinch effects have been discovered that differ in their geometry and/or operating forces. However, all such pinched-current filaments are </w:t>
      </w:r>
      <w:r>
        <w:rPr>
          <w:rFonts w:ascii="Book Antiqua" w:hAnsi="Book Antiqua"/>
          <w:sz w:val="20"/>
        </w:rPr>
        <w:t xml:space="preserve">now </w:t>
      </w:r>
      <w:r w:rsidRPr="00370948">
        <w:rPr>
          <w:rFonts w:ascii="Book Antiqua" w:hAnsi="Book Antiqua"/>
          <w:sz w:val="20"/>
        </w:rPr>
        <w:t>given the name ‘Birkeland currents.’</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9725AF">
        <w:rPr>
          <w:rFonts w:ascii="Book Antiqua" w:hAnsi="Book Antiqua"/>
          <w:noProof/>
          <w:sz w:val="20"/>
        </w:rPr>
        <w:drawing>
          <wp:inline distT="0" distB="0" distL="0" distR="0">
            <wp:extent cx="3238980" cy="2285728"/>
            <wp:effectExtent l="19050" t="0" r="0" b="0"/>
            <wp:docPr id="797" name="Picture 4" descr="Instability"/>
            <wp:cNvGraphicFramePr/>
            <a:graphic xmlns:a="http://schemas.openxmlformats.org/drawingml/2006/main">
              <a:graphicData uri="http://schemas.openxmlformats.org/drawingml/2006/picture">
                <pic:pic xmlns:pic="http://schemas.openxmlformats.org/drawingml/2006/picture">
                  <pic:nvPicPr>
                    <pic:cNvPr id="99333" name="Picture 4" descr="Instability"/>
                    <pic:cNvPicPr>
                      <a:picLocks noChangeAspect="1" noChangeArrowheads="1"/>
                    </pic:cNvPicPr>
                  </pic:nvPicPr>
                  <pic:blipFill>
                    <a:blip r:embed="rId277" cstate="print"/>
                    <a:srcRect/>
                    <a:stretch>
                      <a:fillRect/>
                    </a:stretch>
                  </pic:blipFill>
                  <pic:spPr bwMode="auto">
                    <a:xfrm>
                      <a:off x="0" y="0"/>
                      <a:ext cx="3239366" cy="2286000"/>
                    </a:xfrm>
                    <a:prstGeom prst="rect">
                      <a:avLst/>
                    </a:prstGeom>
                    <a:noFill/>
                    <a:ln w="9525">
                      <a:noFill/>
                      <a:miter lim="800000"/>
                      <a:headEnd/>
                      <a:tailEnd/>
                    </a:ln>
                  </pic:spPr>
                </pic:pic>
              </a:graphicData>
            </a:graphic>
          </wp:inline>
        </w:drawing>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9D6132">
        <w:rPr>
          <w:rFonts w:ascii="Book Antiqua" w:hAnsi="Book Antiqua"/>
          <w:b/>
          <w:i/>
          <w:sz w:val="18"/>
          <w:szCs w:val="18"/>
        </w:rPr>
        <w:t>Figure 6:</w:t>
      </w:r>
      <w:r w:rsidRPr="009D6132">
        <w:rPr>
          <w:rFonts w:ascii="Book Antiqua" w:hAnsi="Book Antiqua"/>
          <w:i/>
          <w:sz w:val="18"/>
          <w:szCs w:val="18"/>
        </w:rPr>
        <w:t xml:space="preserve"> When current flow or temperature varies along a plasma filament, the magnetic field becomes unstable. In the top example there is the compression of material by the Bennett pinch, </w:t>
      </w:r>
      <w:r>
        <w:rPr>
          <w:rFonts w:ascii="Book Antiqua" w:hAnsi="Book Antiqua"/>
          <w:i/>
          <w:sz w:val="18"/>
          <w:szCs w:val="18"/>
        </w:rPr>
        <w:t xml:space="preserve">or “Z-pinch,” </w:t>
      </w:r>
      <w:r w:rsidRPr="009D6132">
        <w:rPr>
          <w:rFonts w:ascii="Book Antiqua" w:hAnsi="Book Antiqua"/>
          <w:i/>
          <w:sz w:val="18"/>
          <w:szCs w:val="18"/>
        </w:rPr>
        <w:t>while the bottom example is known as a</w:t>
      </w:r>
      <w:r>
        <w:rPr>
          <w:rFonts w:ascii="Book Antiqua" w:hAnsi="Book Antiqua"/>
          <w:i/>
          <w:sz w:val="18"/>
          <w:szCs w:val="18"/>
        </w:rPr>
        <w:t xml:space="preserve"> </w:t>
      </w:r>
      <w:r w:rsidRPr="009D6132">
        <w:rPr>
          <w:rFonts w:ascii="Book Antiqua" w:hAnsi="Book Antiqua"/>
          <w:i/>
          <w:sz w:val="18"/>
          <w:szCs w:val="18"/>
        </w:rPr>
        <w:t>“kink instability</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By 1985, Birkeland currents had become well-known and discussion of their role in an astronomical context was opening up. In that year, Fälthammer made an important comment. He wrote, </w:t>
      </w:r>
      <w:r w:rsidRPr="00370948">
        <w:rPr>
          <w:rFonts w:ascii="Book Antiqua" w:hAnsi="Book Antiqua"/>
          <w:i/>
          <w:sz w:val="20"/>
        </w:rPr>
        <w:t>“A reason why Birkeland currents are particularly interesting is that, in the plasma forced to carry them, they cause a number of plasma physical processes to occur (waves, instabilities, fine structure formation). These in turn lead to consequences such as acceleration of charged particles, both positive and negative, and element separation (such as preferential ejection of oxygen ions). Both of these classes of phenomena should have a general astrophysical interest far beyond that of understanding the space environment of our own earth.”</w:t>
      </w:r>
      <w:r w:rsidRPr="00370948">
        <w:rPr>
          <w:rFonts w:ascii="Book Antiqua" w:hAnsi="Book Antiqua"/>
          <w:sz w:val="20"/>
        </w:rPr>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6B5906">
        <w:rPr>
          <w:rFonts w:ascii="Book Antiqua" w:hAnsi="Book Antiqua"/>
          <w:bCs/>
          <w:i/>
          <w:iCs/>
          <w:sz w:val="20"/>
        </w:rPr>
        <w:t>1.5. The Size Range Of Plasma Phenomena.</w:t>
      </w:r>
      <w:r w:rsidRPr="00370948">
        <w:rPr>
          <w:rFonts w:ascii="Book Antiqua" w:hAnsi="Book Antiqua"/>
          <w:bCs/>
          <w:i/>
          <w:iCs/>
          <w:sz w:val="20"/>
        </w:rPr>
        <w:t xml:space="preserve"> </w:t>
      </w:r>
    </w:p>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plasmas commonly display the typical filamentary, rope-like, structure mentioned earlier, as well as occurring as thin current sheets. On a cosmic scale, plasmas exhibit the same filamentary structures that are associated with field-aligned Birkeland currents. There are many examples in nature of such electric currents aligned with magnetic fields. For instance, there are those in our atmosphere and the near space environment of our own earth. As Scott points out, </w:t>
      </w:r>
      <w:r w:rsidRPr="00370948">
        <w:rPr>
          <w:rFonts w:ascii="Book Antiqua" w:hAnsi="Book Antiqua"/>
          <w:i/>
          <w:sz w:val="20"/>
        </w:rPr>
        <w:t>“The strange ‘sprites’, ‘ELVES,’ and ‘blue jets’ associated with electrical storms on Earth are examples of Birkeland currents within the plasma of our upper atmosphere.”</w:t>
      </w:r>
      <w:r w:rsidRPr="00370948">
        <w:rPr>
          <w:rFonts w:ascii="Book Antiqua" w:hAnsi="Book Antiqua"/>
          <w:sz w:val="20"/>
        </w:rPr>
        <w:t xml:space="preserve"> [15] Again, as Peratt notes, auroras have been observed that have filaments parallel to the magnetic field with dimensions that range in length from about 100 meters to 100 kilometers [16, 17]. In auroras, these Birkeland current filaments are often called “auroral electro-jets” and carry currents of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m:t>
            </m:r>
          </m:sup>
        </m:sSup>
      </m:oMath>
      <w:r w:rsidRPr="00370948">
        <w:rPr>
          <w:rFonts w:ascii="Book Antiqua" w:hAnsi="Book Antiqua"/>
          <w:sz w:val="20"/>
        </w:rPr>
        <w:t xml:space="preserve"> amperes [18]. By contrast, current filaments in solar prominences can carry</w:t>
      </w:r>
      <w:r>
        <w:rPr>
          <w:rFonts w:ascii="Book Antiqua" w:hAnsi="Book Antiqua"/>
          <w:sz w:val="20"/>
        </w:rPr>
        <w:t xml:space="preserve"> up to</w:t>
      </w:r>
      <w:r w:rsidRPr="00370948">
        <w:rPr>
          <w:rFonts w:ascii="Book Antiqua" w:hAnsi="Book Antiqua"/>
          <w:sz w:val="20"/>
        </w:rPr>
        <w:t xml:space="preserve">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11</m:t>
            </m:r>
          </m:sup>
        </m:sSup>
      </m:oMath>
      <w:r w:rsidRPr="00370948">
        <w:rPr>
          <w:rFonts w:ascii="Book Antiqua" w:hAnsi="Book Antiqua"/>
          <w:sz w:val="20"/>
        </w:rPr>
        <w:t xml:space="preserve"> amps</w:t>
      </w:r>
      <w:r>
        <w:rPr>
          <w:rFonts w:ascii="Book Antiqua" w:hAnsi="Book Antiqua"/>
          <w:sz w:val="20"/>
        </w:rPr>
        <w:t>. (S</w:t>
      </w:r>
      <w:r w:rsidRPr="00370948">
        <w:rPr>
          <w:rFonts w:ascii="Book Antiqua" w:hAnsi="Book Antiqua"/>
          <w:sz w:val="20"/>
        </w:rPr>
        <w:t xml:space="preserve">ee </w:t>
      </w:r>
      <w:r>
        <w:rPr>
          <w:rFonts w:ascii="Book Antiqua" w:hAnsi="Book Antiqua"/>
          <w:sz w:val="20"/>
        </w:rPr>
        <w:t>the following URL:</w:t>
      </w:r>
    </w:p>
    <w:p w:rsidR="005359B2" w:rsidRPr="00370948" w:rsidRDefault="007B3EBC" w:rsidP="005359B2">
      <w:pPr>
        <w:pStyle w:val="NoSpacing"/>
        <w:jc w:val="both"/>
        <w:rPr>
          <w:rFonts w:ascii="Book Antiqua" w:hAnsi="Book Antiqua"/>
          <w:sz w:val="20"/>
        </w:rPr>
      </w:pPr>
      <w:hyperlink r:id="rId278" w:history="1">
        <w:r w:rsidR="005359B2" w:rsidRPr="00F11A91">
          <w:rPr>
            <w:rStyle w:val="Hyperlink"/>
            <w:rFonts w:ascii="Book Antiqua" w:hAnsi="Book Antiqua"/>
            <w:i/>
            <w:sz w:val="20"/>
          </w:rPr>
          <w:t>http://www.thunderbolts.info/tpod/2005/arch05/051031plasma.htm</w:t>
        </w:r>
      </w:hyperlink>
      <w:r w:rsidR="005359B2">
        <w:t>).</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 xml:space="preserve">Photographs of the Sun by the Swedish Solar Telescope revealed Birkeland currents called </w:t>
      </w:r>
      <w:r w:rsidRPr="00370948">
        <w:rPr>
          <w:rFonts w:ascii="Book Antiqua" w:hAnsi="Book Antiqua"/>
          <w:i/>
          <w:sz w:val="20"/>
        </w:rPr>
        <w:t>“spicule jets [that measure] about 300 miles in diameter, and a length of 2000 to 5000 miles.”</w:t>
      </w:r>
      <w:r w:rsidRPr="00370948">
        <w:rPr>
          <w:rFonts w:ascii="Book Antiqua" w:hAnsi="Book Antiqua"/>
          <w:sz w:val="20"/>
        </w:rPr>
        <w:t xml:space="preserve"> [19] During March 2007, the Hinode Space Telescope sent back solar images that also confirm Alfvén’s analysis and reveal Birkeland currents on the sun of 8000 kilometers long. At a NASA Press Conference in 2007, Leon Golub from the Harvard-Smithsonian Center for Astrophysics (CfA) said, </w:t>
      </w:r>
      <w:r w:rsidRPr="00370948">
        <w:rPr>
          <w:rFonts w:ascii="Book Antiqua" w:hAnsi="Book Antiqua"/>
          <w:i/>
          <w:sz w:val="20"/>
        </w:rPr>
        <w:t>“We’ve seen many new and unexpected things. Everything we thought we knew about X-ray images of the Sun is now out of date.”</w:t>
      </w:r>
      <w:r w:rsidRPr="00370948">
        <w:rPr>
          <w:rFonts w:ascii="Book Antiqua" w:hAnsi="Book Antiqua"/>
          <w:sz w:val="20"/>
        </w:rPr>
        <w:t xml:space="preserve"> [20] Additional images emphasizing the role of Birkeland currents on the Sun are available on the </w:t>
      </w:r>
      <w:r w:rsidRPr="00370948">
        <w:rPr>
          <w:rFonts w:ascii="Book Antiqua" w:hAnsi="Book Antiqua"/>
          <w:i/>
          <w:sz w:val="20"/>
        </w:rPr>
        <w:t xml:space="preserve">Nature </w:t>
      </w:r>
      <w:r w:rsidRPr="00370948">
        <w:rPr>
          <w:rFonts w:ascii="Book Antiqua" w:hAnsi="Book Antiqua"/>
          <w:sz w:val="20"/>
        </w:rPr>
        <w:t xml:space="preserve">website [21].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Peratt also mentions that space probes have found “flux ropes” in the ionosphere of Venus whose filamentary diameters are of the order of 20 kilometers [16, 17].  On a larger scale he lists examples of plasma filaments in the Veil, Orion, and Crab nebulas. Additionally, at the 1999 International Conference on Plasma Science in Monterey, California, radio astronomer Gerrit Verschuur announced that after high resolution processing of the data from about 2000 clouds of so-called ‘neutral hydrogen’ in our galaxy, he found they were actually made up of plasma filaments which twisted and wound like helices over enormous distances. He estimated that the interstellar filaments conducted electricity having currents as high as ten-thousand-billion amperes [22].</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12th January, 2006, astronomers announced discovery of a helical magnetic field in interstellar space, coiled like a snake around a gas cloud in the constellation of Orion. </w:t>
      </w:r>
      <w:r w:rsidRPr="00370948">
        <w:rPr>
          <w:rFonts w:ascii="Book Antiqua" w:hAnsi="Book Antiqua"/>
          <w:i/>
          <w:sz w:val="20"/>
        </w:rPr>
        <w:t>"You can think of this structure as a giant, magnetic Slinky wrapped around a long, finger-like interstellar cloud,"</w:t>
      </w:r>
      <w:r w:rsidRPr="00370948">
        <w:rPr>
          <w:rFonts w:ascii="Book Antiqua" w:hAnsi="Book Antiqua"/>
          <w:sz w:val="20"/>
        </w:rPr>
        <w:t xml:space="preserve"> said Timothy Robishaw, a graduate student in astronomy at the University of California, Berkeley. </w:t>
      </w:r>
      <w:r w:rsidRPr="00370948">
        <w:rPr>
          <w:rFonts w:ascii="Book Antiqua" w:hAnsi="Book Antiqua"/>
          <w:i/>
          <w:sz w:val="20"/>
        </w:rPr>
        <w:t>"The magnetic field lines are like stretched rubber bands; the tension squeezes the cloud into its filamentary shape."</w:t>
      </w:r>
      <w:r w:rsidRPr="00370948">
        <w:rPr>
          <w:rFonts w:ascii="Book Antiqua" w:hAnsi="Book Antiqua"/>
          <w:sz w:val="20"/>
        </w:rPr>
        <w:t xml:space="preserve"> This announcement by Robishaw and Carl Heiles, UC Berkeley professor of astronomy, was made during a presentation at the American Astronomical Society meeting in Washington, D.C. The results of the examination of the Orion Molecular Cloud using the Green Bank Radio Telescope in West Virginia were presented visually in Figure </w:t>
      </w:r>
      <w:r>
        <w:rPr>
          <w:rFonts w:ascii="Book Antiqua" w:hAnsi="Book Antiqua"/>
          <w:sz w:val="20"/>
        </w:rPr>
        <w:t>7</w:t>
      </w:r>
      <w:r w:rsidRPr="00370948">
        <w:rPr>
          <w:rFonts w:ascii="Book Antiqua" w:hAnsi="Book Antiqua"/>
          <w:sz w:val="20"/>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color w:val="000000"/>
          <w:sz w:val="20"/>
        </w:rPr>
        <w:drawing>
          <wp:inline distT="0" distB="0" distL="0" distR="0">
            <wp:extent cx="4376218" cy="3427788"/>
            <wp:effectExtent l="19050" t="0" r="5282" b="0"/>
            <wp:docPr id="798" name="Picture 1" descr="Helical magnetic field wrapping around molecular cloud in O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ical magnetic field wrapping around molecular cloud in Orion"/>
                    <pic:cNvPicPr>
                      <a:picLocks noChangeAspect="1" noChangeArrowheads="1"/>
                    </pic:cNvPicPr>
                  </pic:nvPicPr>
                  <pic:blipFill>
                    <a:blip r:embed="rId279" cstate="print"/>
                    <a:srcRect/>
                    <a:stretch>
                      <a:fillRect/>
                    </a:stretch>
                  </pic:blipFill>
                  <pic:spPr bwMode="auto">
                    <a:xfrm>
                      <a:off x="0" y="0"/>
                      <a:ext cx="4385018" cy="3434681"/>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7</w:t>
      </w:r>
      <w:r w:rsidRPr="00793FB3">
        <w:rPr>
          <w:rFonts w:ascii="Book Antiqua" w:hAnsi="Book Antiqua"/>
          <w:b/>
          <w:i/>
          <w:sz w:val="18"/>
          <w:szCs w:val="18"/>
        </w:rPr>
        <w:t>:</w:t>
      </w:r>
      <w:r w:rsidRPr="00793FB3">
        <w:rPr>
          <w:rFonts w:ascii="Book Antiqua" w:hAnsi="Book Antiqua"/>
          <w:i/>
          <w:sz w:val="18"/>
          <w:szCs w:val="18"/>
        </w:rPr>
        <w:t xml:space="preserve"> The Orion Molecular Cloud superimposed on the Orion constellation, with the orange star Betelgeuse at the top corner and the blue star Rigel at the bottom. The inset shows the Slinky-like coils of the helical magnetic field surrounding the filamentary cloud.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Many years earlier, in 1984, Yusef-Zudeh et al. had pointed out that twisting filaments, held by a magnetic field, extend for nearly 500 light years in the center of our galaxy and were characteristically 3 light years wide [23]. About the same time Perley et al. demonstrated that filaments may exceed a length of 65,000 light years within the radio bright lobes of double radio galaxies [24]. Thus the magnetic pinch of a Birkeland current can maintain filaments of glowing matter over distances of thousands of light years.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Additional research has yielded more evidence of plasma interactions in our solar system.  Space probes have shown that Jupiter’s rings and moons exist within an intense region of ions and electrons trapped in the planet’s magnetic field. These particles and fields comprise the Jovian magnetosphere and plasmasphere which extends 3 to 7 million kilometers towards the Sun and stretches in a windsock shape past Saturn’s orbit. Saturn sometimes passes through it. If this plasmasphere were in glow mode, it would appear larger than the full moon to us. Indeed, the Sun itself would easily fit within its limits [25].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NASA’s Spitzer space telescope gives another example.  One of the first images it returned after launch was of the spiral galaxy M81. The Spitzer space telescope detected faint infra-red or heat radiation through clouds of obscuring material. In this way it was able to give an excellent view of the filaments that form the entire galactic structure of the galaxy M81. This can be viewed in Fig</w:t>
      </w:r>
      <w:r>
        <w:rPr>
          <w:rFonts w:ascii="Book Antiqua" w:hAnsi="Book Antiqua"/>
          <w:sz w:val="20"/>
        </w:rPr>
        <w:t>ure</w:t>
      </w:r>
      <w:r w:rsidRPr="00370948">
        <w:rPr>
          <w:rFonts w:ascii="Book Antiqua" w:hAnsi="Book Antiqua"/>
          <w:sz w:val="20"/>
        </w:rPr>
        <w:t xml:space="preserve"> </w:t>
      </w:r>
      <w:r>
        <w:rPr>
          <w:rFonts w:ascii="Book Antiqua" w:hAnsi="Book Antiqua"/>
          <w:sz w:val="20"/>
        </w:rPr>
        <w:t>8</w:t>
      </w:r>
      <w:r w:rsidRPr="00370948">
        <w:rPr>
          <w:rFonts w:ascii="Book Antiqua" w:hAnsi="Book Antiqua"/>
          <w:sz w:val="20"/>
        </w:rPr>
        <w:t xml:space="preserve"> and at [26] or [27].</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noProof/>
          <w:sz w:val="20"/>
        </w:rPr>
      </w:pPr>
      <w:r w:rsidRPr="00370948">
        <w:rPr>
          <w:rFonts w:ascii="Book Antiqua" w:hAnsi="Book Antiqua"/>
          <w:noProof/>
          <w:sz w:val="20"/>
        </w:rPr>
        <w:drawing>
          <wp:inline distT="0" distB="0" distL="0" distR="0">
            <wp:extent cx="5290252" cy="3219450"/>
            <wp:effectExtent l="19050" t="0" r="5648" b="0"/>
            <wp:docPr id="799" name="il_fi" descr="http://www.athenaeum.athenaverse.com/archives/galaxy_86big_M81_spitzer-telescope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henaeum.athenaverse.com/archives/galaxy_86big_M81_spitzer-telescope_nasa.jpg"/>
                    <pic:cNvPicPr>
                      <a:picLocks noChangeAspect="1" noChangeArrowheads="1"/>
                    </pic:cNvPicPr>
                  </pic:nvPicPr>
                  <pic:blipFill>
                    <a:blip r:embed="rId280" cstate="print"/>
                    <a:srcRect l="10052" t="15801" r="2922" b="13987"/>
                    <a:stretch>
                      <a:fillRect/>
                    </a:stretch>
                  </pic:blipFill>
                  <pic:spPr bwMode="auto">
                    <a:xfrm>
                      <a:off x="0" y="0"/>
                      <a:ext cx="5306190" cy="322914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noProof/>
          <w:sz w:val="18"/>
          <w:szCs w:val="18"/>
        </w:rPr>
        <w:t xml:space="preserve">Figure </w:t>
      </w:r>
      <w:r>
        <w:rPr>
          <w:rFonts w:ascii="Book Antiqua" w:hAnsi="Book Antiqua"/>
          <w:b/>
          <w:i/>
          <w:noProof/>
          <w:sz w:val="18"/>
          <w:szCs w:val="18"/>
        </w:rPr>
        <w:t>8</w:t>
      </w:r>
      <w:r w:rsidRPr="00793FB3">
        <w:rPr>
          <w:rFonts w:ascii="Book Antiqua" w:hAnsi="Book Antiqua"/>
          <w:b/>
          <w:i/>
          <w:noProof/>
          <w:sz w:val="18"/>
          <w:szCs w:val="18"/>
        </w:rPr>
        <w:t>:</w:t>
      </w:r>
      <w:r w:rsidRPr="00793FB3">
        <w:rPr>
          <w:rFonts w:ascii="Book Antiqua" w:hAnsi="Book Antiqua"/>
          <w:i/>
          <w:noProof/>
          <w:sz w:val="18"/>
          <w:szCs w:val="18"/>
        </w:rPr>
        <w:t xml:space="preserve"> Spitzer Space Telescope image of galaxy M81. The plasma filaments making up the spiral arms are prominent in this photo. The stars along these filaments have a classical “beads on a string” appearance which is typical of Z-pinches in plasma filaments.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Galaxies like this can extend to 150,000 light years in diameter. With these examples in mind, it is clear that plasma filaments and Birkeland currents behave in a consistent way at all scales, from laboratory experiments up to at least the size of galaxies. That is consistent behavior on a scale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On 3 November, 2009 ESO astronomers found over 150 galaxies some 6.7 billion light years away in a filamentary structure 60 million light years long [28]. On 18 May, 2012, astronomers using the Herschel Space Observatory found that two of the galaxy clusters within the RCS 2319+00 supercluster at </w:t>
      </w:r>
      <m:oMath>
        <m:r>
          <w:rPr>
            <w:rFonts w:ascii="Cambria Math" w:hAnsi="Cambria Math"/>
            <w:sz w:val="20"/>
          </w:rPr>
          <m:t>z</m:t>
        </m:r>
        <m:r>
          <w:rPr>
            <w:rFonts w:ascii="Cambria Math" w:hAnsi="Book Antiqua"/>
            <w:sz w:val="20"/>
          </w:rPr>
          <m:t xml:space="preserve"> = 0.9</m:t>
        </m:r>
      </m:oMath>
      <w:r w:rsidRPr="00370948">
        <w:rPr>
          <w:rFonts w:ascii="Book Antiqua" w:hAnsi="Book Antiqua"/>
          <w:sz w:val="20"/>
        </w:rPr>
        <w:t xml:space="preserve"> are connected by a filament 1.85 million light </w:t>
      </w:r>
      <w:r w:rsidRPr="00370948">
        <w:rPr>
          <w:rFonts w:ascii="Book Antiqua" w:hAnsi="Book Antiqua"/>
          <w:sz w:val="20"/>
        </w:rPr>
        <w:lastRenderedPageBreak/>
        <w:t xml:space="preserve">years long containing billions of stars. These findings confirm that the basic structure of the universe is filamentary with consistent behavior up to a scale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370948">
        <w:rPr>
          <w:rFonts w:ascii="Book Antiqua" w:hAnsi="Book Antiqua"/>
          <w:sz w:val="20"/>
        </w:rPr>
        <w:t xml:space="preserve"> [29].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t>1.6. Plasma Sheets And Double Layers.</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laboratory, as well as in space, plasma current sheets and double layers frequently occur. When an electric current flows through part of the volume of an extensive plasma, magnetic forces tend to compress the current into thin layers that pass through this volume.  In this way, electrical currents are confined to a surface within the plasma rather than spread throughout a volume of space. The presence of such a plasma sheet that extends throughout </w:t>
      </w:r>
      <w:r>
        <w:rPr>
          <w:rFonts w:ascii="Book Antiqua" w:hAnsi="Book Antiqua"/>
          <w:sz w:val="20"/>
        </w:rPr>
        <w:t>our</w:t>
      </w:r>
      <w:r w:rsidRPr="00370948">
        <w:rPr>
          <w:rFonts w:ascii="Book Antiqua" w:hAnsi="Book Antiqua"/>
          <w:sz w:val="20"/>
        </w:rPr>
        <w:t xml:space="preserve"> Solar System was first verified in 1965 [30].  It is now called the Heliospheric Current Sheet.   It is about 10,000 kilometers thick and is known to extend from the Sun to the regions beyond Pluto.</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sun’s corona contains plasma current sheets that typically have an aspect ratio, or breadth divided by thickness, of 100,000:1. However, the Heliospheric Current Sheet has an aspect ratio that is significantly greater than that. An illustration of this current sheet is in Figure </w:t>
      </w:r>
      <w:r>
        <w:rPr>
          <w:rFonts w:ascii="Book Antiqua" w:hAnsi="Book Antiqua"/>
          <w:sz w:val="20"/>
        </w:rPr>
        <w:t>9</w:t>
      </w:r>
      <w:r w:rsidRPr="00370948">
        <w:rPr>
          <w:rFonts w:ascii="Book Antiqua" w:hAnsi="Book Antiqua"/>
          <w:sz w:val="20"/>
        </w:rPr>
        <w:t xml:space="preserve"> and appropriate comment and discussion can be found at the link given in the Figure references.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690528" cy="2435838"/>
            <wp:effectExtent l="19050" t="0" r="0" b="0"/>
            <wp:docPr id="41" name="il_fi" descr="615px-Heliospheric-current-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15px-Heliospheric-current-sheet"/>
                    <pic:cNvPicPr>
                      <a:picLocks noChangeAspect="1" noChangeArrowheads="1"/>
                    </pic:cNvPicPr>
                  </pic:nvPicPr>
                  <pic:blipFill>
                    <a:blip r:embed="rId281" cstate="print"/>
                    <a:srcRect t="7358" r="1585" b="6126"/>
                    <a:stretch>
                      <a:fillRect/>
                    </a:stretch>
                  </pic:blipFill>
                  <pic:spPr bwMode="auto">
                    <a:xfrm>
                      <a:off x="0" y="0"/>
                      <a:ext cx="4690095" cy="243561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9</w:t>
      </w:r>
      <w:r w:rsidRPr="00793FB3">
        <w:rPr>
          <w:rFonts w:ascii="Book Antiqua" w:hAnsi="Book Antiqua"/>
          <w:b/>
          <w:i/>
          <w:sz w:val="18"/>
          <w:szCs w:val="18"/>
        </w:rPr>
        <w:t>:</w:t>
      </w:r>
      <w:r w:rsidRPr="00793FB3">
        <w:rPr>
          <w:rFonts w:ascii="Book Antiqua" w:hAnsi="Book Antiqua"/>
          <w:i/>
          <w:sz w:val="18"/>
          <w:szCs w:val="18"/>
        </w:rPr>
        <w:t xml:space="preserve"> The Sun’s heliospheric current sheet is the surface within the </w:t>
      </w:r>
      <w:hyperlink r:id="rId282" w:tooltip="Solar System" w:history="1">
        <w:r w:rsidRPr="00793FB3">
          <w:rPr>
            <w:rFonts w:ascii="Book Antiqua" w:hAnsi="Book Antiqua"/>
            <w:i/>
            <w:sz w:val="18"/>
            <w:szCs w:val="18"/>
          </w:rPr>
          <w:t>Solar System</w:t>
        </w:r>
      </w:hyperlink>
      <w:r w:rsidRPr="00793FB3">
        <w:rPr>
          <w:rFonts w:ascii="Book Antiqua" w:hAnsi="Book Antiqua"/>
          <w:i/>
          <w:sz w:val="18"/>
          <w:szCs w:val="18"/>
        </w:rPr>
        <w:t xml:space="preserve"> where the </w:t>
      </w:r>
      <w:hyperlink r:id="rId283" w:tooltip="Magnet" w:history="1">
        <w:r w:rsidRPr="00793FB3">
          <w:rPr>
            <w:rFonts w:ascii="Book Antiqua" w:hAnsi="Book Antiqua"/>
            <w:i/>
            <w:sz w:val="18"/>
            <w:szCs w:val="18"/>
          </w:rPr>
          <w:t>polarity</w:t>
        </w:r>
      </w:hyperlink>
      <w:r w:rsidRPr="00793FB3">
        <w:rPr>
          <w:rFonts w:ascii="Book Antiqua" w:hAnsi="Book Antiqua"/>
          <w:i/>
          <w:sz w:val="18"/>
          <w:szCs w:val="18"/>
        </w:rPr>
        <w:t xml:space="preserve"> of the </w:t>
      </w:r>
      <w:hyperlink r:id="rId284" w:tooltip="Sun" w:history="1">
        <w:r w:rsidRPr="00793FB3">
          <w:rPr>
            <w:rFonts w:ascii="Book Antiqua" w:hAnsi="Book Antiqua"/>
            <w:i/>
            <w:sz w:val="18"/>
            <w:szCs w:val="18"/>
          </w:rPr>
          <w:t>Sun</w:t>
        </w:r>
      </w:hyperlink>
      <w:r w:rsidRPr="00793FB3">
        <w:rPr>
          <w:rFonts w:ascii="Book Antiqua" w:hAnsi="Book Antiqua"/>
          <w:i/>
          <w:sz w:val="18"/>
          <w:szCs w:val="18"/>
        </w:rPr>
        <w:t xml:space="preserve">'s </w:t>
      </w:r>
      <w:hyperlink r:id="rId285" w:tooltip="Magnetic field" w:history="1">
        <w:r w:rsidRPr="00793FB3">
          <w:rPr>
            <w:rFonts w:ascii="Book Antiqua" w:hAnsi="Book Antiqua"/>
            <w:i/>
            <w:sz w:val="18"/>
            <w:szCs w:val="18"/>
          </w:rPr>
          <w:t>magnetic field</w:t>
        </w:r>
      </w:hyperlink>
      <w:r w:rsidRPr="00793FB3">
        <w:rPr>
          <w:rFonts w:ascii="Book Antiqua" w:hAnsi="Book Antiqua"/>
          <w:i/>
          <w:sz w:val="18"/>
          <w:szCs w:val="18"/>
        </w:rPr>
        <w:t xml:space="preserve"> changes from north to south. Its shape comes from the Sun’s rotating magnetic field which is at an angle to the plane of the orbits of the planets.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 related phenomenon is the formation of a Double Layer in plasma (abbreviated as DL).  Irving Langmuir discovered that current-carrying plasmas isolate themselves electrically. Wherever there is a significant voltage difference between sections of plasma, it will be largely confined by the formation of two parallel layers within that plasma which have opposite charges. One layer will have an excess of positive ions while the other layer will consist of an excess of negative charges. Because this protective double layer forms so readily and spontaneously in ionized gases, it appears as if it almost has a life of its own. As a result, Langmuir was moved to call this ionized gas “plasma” as it was reminiscent of blood plasma. He then invented his ingenious probe to measure DL voltage differences.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Since most of the voltage drop within a given section of plasma will be contained in the DL, it follows that this is where the strongest electric field will be found. This also means that these double layers can accelerate charged particles to very high energies. Thus, with DL in our earth’s magnetosphere, kilovolt energies are common for charged particles [31 – 34]. In space, the energies are even higher. It should also be noted that Birkeland currents are usually sheathed in a double layer. Therefore such currents can be associated with high particle energies and velocities.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ab/>
        <w:t>Several mechanisms exist whereby a DL can be formed. One such mechanism occurs if plasma is divided into two regions having temperature or density differences, and a surface, plane or interface separating them. If we consider temperature differences, we find that electrons from the hot side of the plasma will travel at a higher velocity than those in the cooler side. Although electrons may stream freely in either direction, the flux of electrons from the hot area to the cooler area will be greater than the flux of the electrons in the other direction. This occurs because the electrons from the hot side have a greater average speed. Since more electrons enter the cool plasma than exit it, part of the cool region becomes negatively charged as the number of electrons there increases. The hot region will then become positively charged. This results in a potential difference between the two regions, causing an electric field to build.  This field then starts to accelerate electrons towards the hot region of plasma, reducing the net flux. In the end, the electric field increases until the fluxes of electrons in either direction are equal, preventing further charge build up in the two plasma regions. The DL which has formed has a drop in electric potential that is exactly balanced by the difference in thermal potential between the two plasma regions. In general, the oppositely charged DL are usually maintained because their electric potential difference is balanced by a compensating pressure which may have a variety of origins.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1.7. Cosmological Plasma Filaments And Sheets. </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Surveys have shown cosmos-wide examples of plasma filaments and sheets occur. The Cambridge Cosmology group reproduces the diagram from the CfA survey of large-scale structures of the universe and comment that:</w:t>
      </w:r>
      <w:r>
        <w:rPr>
          <w:rFonts w:ascii="Book Antiqua" w:hAnsi="Book Antiqua"/>
          <w:sz w:val="20"/>
        </w:rPr>
        <w:t xml:space="preserve"> </w:t>
      </w:r>
      <w:r w:rsidRPr="00370948">
        <w:rPr>
          <w:rFonts w:ascii="Book Antiqua" w:hAnsi="Book Antiqua"/>
          <w:sz w:val="20"/>
        </w:rPr>
        <w:t>“</w:t>
      </w:r>
      <w:r w:rsidRPr="00370948">
        <w:rPr>
          <w:rFonts w:ascii="Book Antiqua" w:hAnsi="Book Antiqua"/>
          <w:i/>
          <w:iCs/>
          <w:sz w:val="20"/>
        </w:rPr>
        <w:t xml:space="preserve">Galaxy positions are plotted as white points and large filamentary and sheet-like structures are evident, as well as bubble-like voids.” </w:t>
      </w:r>
      <w:r w:rsidRPr="00370948">
        <w:rPr>
          <w:rFonts w:ascii="Book Antiqua" w:hAnsi="Book Antiqua"/>
          <w:iCs/>
          <w:sz w:val="20"/>
        </w:rPr>
        <w:t>[35]</w:t>
      </w:r>
      <w:r w:rsidRPr="00370948">
        <w:rPr>
          <w:rFonts w:ascii="Book Antiqua" w:hAnsi="Book Antiqua"/>
          <w:sz w:val="20"/>
        </w:rPr>
        <w:t xml:space="preserve"> They state </w:t>
      </w:r>
      <w:r w:rsidRPr="00370948">
        <w:rPr>
          <w:rFonts w:ascii="Book Antiqua" w:hAnsi="Book Antiqua"/>
          <w:i/>
          <w:sz w:val="20"/>
        </w:rPr>
        <w:t xml:space="preserve">“Deep redshift surveys reveal a very bubbly structure to the universe with galaxies primarily confined to sheets and filaments.” </w:t>
      </w:r>
      <w:r w:rsidRPr="00370948">
        <w:rPr>
          <w:rFonts w:ascii="Book Antiqua" w:hAnsi="Book Antiqua"/>
          <w:sz w:val="20"/>
        </w:rPr>
        <w:t xml:space="preserve">[35] Similarly, the Particle Physics and Astronomy Research Council (PPARC) website states that large-scale surveys of the cosmos </w:t>
      </w:r>
      <w:r w:rsidRPr="00370948">
        <w:rPr>
          <w:rFonts w:ascii="Book Antiqua" w:hAnsi="Book Antiqua"/>
          <w:i/>
          <w:sz w:val="20"/>
        </w:rPr>
        <w:t xml:space="preserve">“reveal the hierarchical structure of galaxies, galaxy clusters and superclusters linked by filaments and sheets surrounding huge voids.” </w:t>
      </w:r>
      <w:r w:rsidRPr="00370948">
        <w:rPr>
          <w:rFonts w:ascii="Book Antiqua" w:hAnsi="Book Antiqua"/>
          <w:sz w:val="20"/>
        </w:rPr>
        <w:t>[36]</w:t>
      </w:r>
      <w:r w:rsidRPr="00370948">
        <w:rPr>
          <w:rFonts w:ascii="Book Antiqua" w:hAnsi="Book Antiqua"/>
          <w:i/>
          <w:sz w:val="20"/>
        </w:rPr>
        <w:t xml:space="preserve"> </w:t>
      </w:r>
      <w:r w:rsidRPr="00370948">
        <w:rPr>
          <w:rFonts w:ascii="Book Antiqua" w:hAnsi="Book Antiqua"/>
          <w:sz w:val="20"/>
        </w:rPr>
        <w:t xml:space="preserve">Their three dimensional diagram of filaments can be found at [36] with comments on their website [37]. Figure </w:t>
      </w:r>
      <w:r>
        <w:rPr>
          <w:rFonts w:ascii="Book Antiqua" w:hAnsi="Book Antiqua"/>
          <w:sz w:val="20"/>
        </w:rPr>
        <w:t>10</w:t>
      </w:r>
      <w:r w:rsidRPr="00370948">
        <w:rPr>
          <w:rFonts w:ascii="Book Antiqua" w:hAnsi="Book Antiqua"/>
          <w:sz w:val="20"/>
        </w:rPr>
        <w:t xml:space="preserve"> plots galaxy positions using USA and European facilities.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center"/>
        <w:rPr>
          <w:rFonts w:ascii="Book Antiqua" w:hAnsi="Book Antiqua" w:cs="Arial"/>
          <w:sz w:val="18"/>
          <w:szCs w:val="18"/>
        </w:rPr>
      </w:pPr>
      <w:r w:rsidRPr="00370948">
        <w:rPr>
          <w:rFonts w:ascii="Book Antiqua" w:hAnsi="Book Antiqua" w:cs="Arial"/>
          <w:noProof/>
          <w:sz w:val="20"/>
        </w:rPr>
        <w:drawing>
          <wp:inline distT="0" distB="0" distL="0" distR="0">
            <wp:extent cx="3943692" cy="3334871"/>
            <wp:effectExtent l="19050" t="0" r="0" b="0"/>
            <wp:docPr id="51" name="il_fi" descr="ZPE-Plasma_model_clip_image002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ZPE-Plasma_model_clip_image002_0001"/>
                    <pic:cNvPicPr>
                      <a:picLocks noChangeAspect="1" noChangeArrowheads="1"/>
                    </pic:cNvPicPr>
                  </pic:nvPicPr>
                  <pic:blipFill>
                    <a:blip r:embed="rId286" cstate="print"/>
                    <a:srcRect l="2785" t="6261" r="8653" b="1788"/>
                    <a:stretch>
                      <a:fillRect/>
                    </a:stretch>
                  </pic:blipFill>
                  <pic:spPr bwMode="auto">
                    <a:xfrm>
                      <a:off x="0" y="0"/>
                      <a:ext cx="3946848" cy="3337540"/>
                    </a:xfrm>
                    <a:prstGeom prst="rect">
                      <a:avLst/>
                    </a:prstGeom>
                    <a:noFill/>
                    <a:ln w="9525">
                      <a:noFill/>
                      <a:miter lim="800000"/>
                      <a:headEnd/>
                      <a:tailEnd/>
                    </a:ln>
                  </pic:spPr>
                </pic:pic>
              </a:graphicData>
            </a:graphic>
          </wp:inline>
        </w:drawing>
      </w:r>
    </w:p>
    <w:p w:rsidR="005359B2" w:rsidRPr="00370948" w:rsidRDefault="005359B2" w:rsidP="005359B2">
      <w:pPr>
        <w:pStyle w:val="NoSpacing"/>
        <w:rPr>
          <w:rFonts w:ascii="Book Antiqua" w:hAnsi="Book Antiqua" w:cs="Arial"/>
          <w:sz w:val="18"/>
          <w:szCs w:val="18"/>
        </w:rPr>
      </w:pPr>
    </w:p>
    <w:p w:rsidR="005359B2" w:rsidRPr="00793FB3" w:rsidRDefault="005359B2" w:rsidP="005359B2">
      <w:pPr>
        <w:pStyle w:val="NoSpacing"/>
        <w:rPr>
          <w:rFonts w:ascii="Book Antiqua" w:hAnsi="Book Antiqua"/>
          <w:i/>
          <w:sz w:val="18"/>
          <w:szCs w:val="18"/>
        </w:rPr>
      </w:pPr>
      <w:r w:rsidRPr="00793FB3">
        <w:rPr>
          <w:rFonts w:ascii="Book Antiqua" w:hAnsi="Book Antiqua"/>
          <w:b/>
          <w:i/>
          <w:sz w:val="18"/>
          <w:szCs w:val="18"/>
        </w:rPr>
        <w:t xml:space="preserve">Figure </w:t>
      </w:r>
      <w:r>
        <w:rPr>
          <w:rFonts w:ascii="Book Antiqua" w:hAnsi="Book Antiqua"/>
          <w:b/>
          <w:i/>
          <w:sz w:val="18"/>
          <w:szCs w:val="18"/>
        </w:rPr>
        <w:t>10</w:t>
      </w:r>
      <w:r w:rsidRPr="00793FB3">
        <w:rPr>
          <w:rFonts w:ascii="Book Antiqua" w:hAnsi="Book Antiqua"/>
          <w:b/>
          <w:i/>
          <w:sz w:val="18"/>
          <w:szCs w:val="18"/>
        </w:rPr>
        <w:t>:</w:t>
      </w:r>
      <w:r w:rsidRPr="00793FB3">
        <w:rPr>
          <w:rFonts w:ascii="Book Antiqua" w:hAnsi="Book Antiqua"/>
          <w:i/>
          <w:sz w:val="18"/>
          <w:szCs w:val="18"/>
        </w:rPr>
        <w:t xml:space="preserve"> Plot of observed galaxy positions from European and USA facilities, October 2006. The yellow and green dots are galaxies and the red dots are galaxy clusters. Blue lines mark the filamentary structure.</w:t>
      </w:r>
    </w:p>
    <w:p w:rsidR="005359B2" w:rsidRPr="00370948" w:rsidRDefault="005359B2" w:rsidP="005359B2">
      <w:pPr>
        <w:pStyle w:val="NoSpacing"/>
        <w:jc w:val="both"/>
        <w:rPr>
          <w:rFonts w:ascii="Book Antiqua" w:hAnsi="Book Antiqua" w:cs="Arial"/>
          <w:i/>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structures trace out the behavior of plasma filaments and sheets on a cosmological scale. This was just what Alfvén had predicted, yet it caught many astrophysicists unprepared. Some still try to account for these structures using gravity, but they require the very finely tuned action </w:t>
      </w:r>
      <w:r w:rsidRPr="006B5906">
        <w:rPr>
          <w:rFonts w:ascii="Book Antiqua" w:hAnsi="Book Antiqua"/>
          <w:sz w:val="20"/>
        </w:rPr>
        <w:t>of</w:t>
      </w:r>
      <w:r>
        <w:rPr>
          <w:rFonts w:ascii="Book Antiqua" w:hAnsi="Book Antiqua"/>
          <w:sz w:val="20"/>
        </w:rPr>
        <w:t xml:space="preserve"> the unseen and unfound</w:t>
      </w:r>
      <w:r w:rsidRPr="006B5906">
        <w:rPr>
          <w:rFonts w:ascii="Book Antiqua" w:hAnsi="Book Antiqua"/>
          <w:sz w:val="20"/>
        </w:rPr>
        <w:t xml:space="preserve"> “dark matter</w:t>
      </w:r>
      <w:r w:rsidRPr="00370948">
        <w:rPr>
          <w:rFonts w:ascii="Book Antiqua" w:hAnsi="Book Antiqua"/>
          <w:sz w:val="20"/>
        </w:rPr>
        <w:t xml:space="preserve">” to produce the desired result. Nevertheless, if these structures are compared with typical plasma behavior, one cannot avoid the conclusion that the inception of the cosmos involved plasma sheets, filaments and Birkeland currents. They also show consistent plasma behavior from the laboratory to cosmos-wide scales.  </w:t>
      </w:r>
    </w:p>
    <w:p w:rsidR="005359B2" w:rsidRPr="00370948" w:rsidRDefault="005359B2" w:rsidP="005359B2">
      <w:pPr>
        <w:pStyle w:val="NoSpacing"/>
        <w:jc w:val="both"/>
        <w:rPr>
          <w:rFonts w:ascii="Book Antiqua" w:hAnsi="Book Antiqua"/>
          <w:sz w:val="20"/>
        </w:rPr>
      </w:pPr>
      <w:r w:rsidRPr="00370948">
        <w:rPr>
          <w:rFonts w:ascii="Book Antiqua" w:hAnsi="Book Antiqua" w:cs="Arial"/>
          <w:sz w:val="18"/>
          <w:szCs w:val="18"/>
        </w:rPr>
        <w:t xml:space="preserve"> </w:t>
      </w: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1.8. Sorting Of Elements By Plasma Currents.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Currents flowing in an ionized or partially ionized plasma can cause a separation of elements. When there are a variety of ions in a filament, there tends to be a preferential, radial transportation of ions. Elements with the lowest ionization potential are brought closest to the axis of the current. Peratt pointed out that the most abundant elements will be sorted into a layered structure in plasma filaments. He states: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370948">
        <w:rPr>
          <w:rFonts w:ascii="Book Antiqua" w:hAnsi="Book Antiqua"/>
          <w:i/>
          <w:sz w:val="20"/>
        </w:rPr>
        <w:t xml:space="preserve">“Helium will make up the most widely distributed outer layer; hydrogen, oxygen and nitrogen should form the middle layers; and iron silicon and magnesium will make up the inner layers. Interlap between the layers can be expected and, for the case of galaxies, the metal-to-hydrogen ratio should be maximum near center and decrease outwardly.” </w:t>
      </w:r>
      <w:r w:rsidRPr="00370948">
        <w:rPr>
          <w:rFonts w:ascii="Book Antiqua" w:hAnsi="Book Antiqua"/>
          <w:sz w:val="20"/>
        </w:rPr>
        <w:t xml:space="preserve">[38]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Going in the other direction, and starting in the center, the order of elements in terms of their ionization potentials in electron volts (eV) will begin with the radioactive elements Rubidium, Potassium, Radium, Uranium, Plutonium and Thorium (4.5 to 6 eV).  Continuing out, still in order of ionization potential are Nickel, Iron and metals (7.7 eV); then Silicon (8.2 eV);  followed by Sulfur and Carbon (10.5 to 11.3 eV). The outermost elements would be Hydrogen and Oxygen (13.6 eV), followed by Nitrogen (14.5 eV) and Helium (24.5 eV). As Peratt points out, this mechanism provides an efficient means to accumulate matter within a plasma [39]. This property of plasma filaments, which causes different  elements to distribute themselves radially according to their ionization potentials, was initially studied in detail by Marklund, and is now called Marklund convection [40]</w:t>
      </w:r>
      <w:r>
        <w:rPr>
          <w:rFonts w:ascii="Book Antiqua" w:hAnsi="Book Antiqua"/>
          <w:sz w:val="20"/>
        </w:rPr>
        <w:t xml:space="preserve"> (Figure 11)</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49" type="#_x0000_t75" style="width:327.35pt;height:265pt" o:ole="">
            <v:imagedata r:id="rId287" o:title=""/>
          </v:shape>
          <o:OLEObject Type="Embed" ProgID="PowerPoint.Slide.12" ShapeID="_x0000_i1049" DrawAspect="Content" ObjectID="_1433920201" r:id="rId288"/>
        </w:object>
      </w:r>
    </w:p>
    <w:p w:rsidR="005359B2" w:rsidRDefault="005359B2" w:rsidP="005359B2">
      <w:pPr>
        <w:pStyle w:val="NoSpacing"/>
        <w:rPr>
          <w:rFonts w:ascii="Book Antiqua" w:hAnsi="Book Antiqua"/>
          <w:i/>
          <w:sz w:val="18"/>
          <w:szCs w:val="18"/>
        </w:rPr>
      </w:pPr>
      <w:r w:rsidRPr="00370948">
        <w:rPr>
          <w:rFonts w:ascii="Book Antiqua" w:hAnsi="Book Antiqua"/>
          <w:sz w:val="18"/>
          <w:szCs w:val="18"/>
        </w:rPr>
        <w:t xml:space="preserve"> </w:t>
      </w:r>
      <w:r w:rsidRPr="00793FB3">
        <w:rPr>
          <w:rFonts w:ascii="Book Antiqua" w:hAnsi="Book Antiqua"/>
          <w:b/>
          <w:i/>
          <w:sz w:val="18"/>
          <w:szCs w:val="18"/>
        </w:rPr>
        <w:t xml:space="preserve">Figure </w:t>
      </w:r>
      <w:r>
        <w:rPr>
          <w:rFonts w:ascii="Book Antiqua" w:hAnsi="Book Antiqua"/>
          <w:b/>
          <w:i/>
          <w:sz w:val="18"/>
          <w:szCs w:val="18"/>
        </w:rPr>
        <w:t>11</w:t>
      </w:r>
      <w:r w:rsidRPr="00793FB3">
        <w:rPr>
          <w:rFonts w:ascii="Book Antiqua" w:hAnsi="Book Antiqua"/>
          <w:b/>
          <w:i/>
          <w:sz w:val="18"/>
          <w:szCs w:val="18"/>
        </w:rPr>
        <w:t>:</w:t>
      </w:r>
      <w:r w:rsidRPr="00793FB3">
        <w:rPr>
          <w:rFonts w:ascii="Book Antiqua" w:hAnsi="Book Antiqua"/>
          <w:i/>
          <w:sz w:val="18"/>
          <w:szCs w:val="18"/>
        </w:rPr>
        <w:t xml:space="preserve"> Element sorting by Marklund Convection</w:t>
      </w:r>
      <w:r>
        <w:rPr>
          <w:rFonts w:ascii="Book Antiqua" w:hAnsi="Book Antiqua"/>
          <w:i/>
          <w:sz w:val="18"/>
          <w:szCs w:val="18"/>
        </w:rPr>
        <w:t xml:space="preserve">. Th elements iron and nickel will accumulate in the filament center with helium on the outside. </w:t>
      </w:r>
    </w:p>
    <w:p w:rsidR="005359B2" w:rsidRDefault="005359B2" w:rsidP="005359B2">
      <w:pPr>
        <w:pStyle w:val="NoSpacing"/>
        <w:rPr>
          <w:rFonts w:ascii="Book Antiqua" w:hAnsi="Book Antiqua"/>
          <w:i/>
          <w:sz w:val="18"/>
          <w:szCs w:val="18"/>
        </w:rPr>
      </w:pPr>
    </w:p>
    <w:p w:rsidR="005359B2" w:rsidRDefault="005359B2" w:rsidP="005359B2">
      <w:pPr>
        <w:pStyle w:val="NoSpacing"/>
        <w:jc w:val="both"/>
        <w:rPr>
          <w:rFonts w:ascii="Book Antiqua" w:hAnsi="Book Antiqua"/>
          <w:sz w:val="20"/>
        </w:rPr>
      </w:pPr>
      <w:r w:rsidRPr="00370948">
        <w:rPr>
          <w:rFonts w:ascii="Book Antiqua" w:hAnsi="Book Antiqua"/>
          <w:sz w:val="20"/>
        </w:rPr>
        <w:t xml:space="preserve">Marklund stated </w:t>
      </w:r>
      <w:r w:rsidRPr="00370948">
        <w:rPr>
          <w:rFonts w:ascii="Book Antiqua" w:hAnsi="Book Antiqua"/>
          <w:i/>
          <w:sz w:val="20"/>
        </w:rPr>
        <w:t>“In my paper in Nature the plasma convects radially inwards, with the normal [predicted] velocity, towards the center of a cylindrical flux tube. During this convection inwards, the different chemical constituents of the plasma, each having its specific ionization potential, enter into a progressively cooler region. The plasma constituents will recombine and become neutral, and thus no longer be under the influence of the electromagnetic forcing. The ionization potentials will thus determine where the different species will be deposited, or stopped in their motion.”</w:t>
      </w:r>
      <w:r w:rsidRPr="00370948">
        <w:rPr>
          <w:rFonts w:ascii="Book Antiqua" w:hAnsi="Book Antiqua"/>
          <w:sz w:val="20"/>
        </w:rPr>
        <w:t xml:space="preserve"> [</w:t>
      </w:r>
      <w:r w:rsidRPr="00BB1CFE">
        <w:rPr>
          <w:rFonts w:ascii="Book Antiqua" w:hAnsi="Book Antiqua"/>
          <w:sz w:val="20"/>
        </w:rPr>
        <w:t xml:space="preserve">41] Figure </w:t>
      </w:r>
      <w:r>
        <w:rPr>
          <w:rFonts w:ascii="Book Antiqua" w:hAnsi="Book Antiqua"/>
          <w:sz w:val="20"/>
        </w:rPr>
        <w:t>11</w:t>
      </w:r>
      <w:r w:rsidRPr="00BB1CFE">
        <w:rPr>
          <w:rFonts w:ascii="Book Antiqua" w:hAnsi="Book Antiqua"/>
          <w:sz w:val="20"/>
        </w:rPr>
        <w:t xml:space="preserve"> illustrates this.</w:t>
      </w:r>
    </w:p>
    <w:p w:rsidR="005359B2" w:rsidRPr="00793FB3" w:rsidRDefault="005359B2" w:rsidP="005359B2">
      <w:pPr>
        <w:pStyle w:val="NoSpacing"/>
        <w:rPr>
          <w:rFonts w:ascii="Book Antiqua" w:hAnsi="Book Antiqua"/>
          <w:i/>
          <w:sz w:val="18"/>
          <w:szCs w:val="18"/>
        </w:rPr>
      </w:pPr>
    </w:p>
    <w:p w:rsidR="005359B2" w:rsidRPr="00370948" w:rsidRDefault="005359B2" w:rsidP="005359B2">
      <w:pPr>
        <w:pStyle w:val="NoSpacing"/>
        <w:rPr>
          <w:rFonts w:ascii="Book Antiqua" w:hAnsi="Book Antiqua"/>
          <w:i/>
          <w:color w:val="FF0000"/>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Ionization potential charts show where, in a layered filament, the highest concentration of any element will probably be found. The velocity, </w:t>
      </w:r>
      <m:oMath>
        <m:r>
          <w:rPr>
            <w:rFonts w:ascii="Cambria Math" w:hAnsi="Cambria Math"/>
            <w:sz w:val="20"/>
          </w:rPr>
          <m:t>v</m:t>
        </m:r>
      </m:oMath>
      <w:r w:rsidRPr="00370948">
        <w:rPr>
          <w:rFonts w:ascii="Book Antiqua" w:hAnsi="Book Antiqua"/>
          <w:sz w:val="20"/>
        </w:rPr>
        <w:t>, with which the various ions will drift towards the center is given by [38]: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oMath>
      <w:r w:rsidRPr="00370948">
        <w:rPr>
          <w:rFonts w:ascii="Book Antiqua" w:hAnsi="Book Antiqua"/>
          <w:sz w:val="20"/>
        </w:rPr>
        <w:t xml:space="preserve">   .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B</m:t>
        </m:r>
      </m:oMath>
      <w:r w:rsidRPr="00370948">
        <w:rPr>
          <w:rFonts w:ascii="Book Antiqua" w:hAnsi="Book Antiqua"/>
          <w:sz w:val="20"/>
        </w:rPr>
        <w:t xml:space="preserve"> is the magnetic flux density or magnetic induction, and the electromagnetic force on ions causing them to drift is given by </w:t>
      </w:r>
      <m:oMath>
        <m:r>
          <w:rPr>
            <w:rFonts w:ascii="Cambria Math" w:hAnsi="Book Antiqua"/>
            <w:sz w:val="20"/>
          </w:rPr>
          <m:t>(</m:t>
        </m:r>
        <m:r>
          <w:rPr>
            <w:rFonts w:ascii="Cambria Math" w:hAnsi="Cambria Math"/>
            <w:sz w:val="20"/>
          </w:rPr>
          <m:t>E</m:t>
        </m:r>
        <m:r>
          <w:rPr>
            <w:rFonts w:ascii="Cambria Math" w:hAnsi="Book Antiqua"/>
            <w:sz w:val="20"/>
          </w:rPr>
          <m:t xml:space="preserve"> </m:t>
        </m:r>
        <m:r>
          <w:rPr>
            <w:rFonts w:ascii="Cambria Math" w:hAnsi="Cambria Math"/>
            <w:sz w:val="20"/>
          </w:rPr>
          <m:t>x</m:t>
        </m:r>
        <m:r>
          <w:rPr>
            <w:rFonts w:ascii="Cambria Math" w:hAnsi="Book Antiqua"/>
            <w:sz w:val="20"/>
          </w:rPr>
          <m:t xml:space="preserve"> </m:t>
        </m:r>
        <m:r>
          <w:rPr>
            <w:rFonts w:ascii="Cambria Math" w:hAnsi="Cambria Math"/>
            <w:sz w:val="20"/>
          </w:rPr>
          <m:t>B</m:t>
        </m:r>
        <m:r>
          <w:rPr>
            <w:rFonts w:ascii="Cambria Math" w:hAnsi="Book Antiqua"/>
            <w:sz w:val="20"/>
          </w:rPr>
          <m:t>)</m:t>
        </m:r>
      </m:oMath>
      <w:r w:rsidRPr="00370948">
        <w:rPr>
          <w:rFonts w:ascii="Book Antiqua" w:hAnsi="Book Antiqua"/>
          <w:sz w:val="20"/>
        </w:rPr>
        <w:t xml:space="preserve">. It is generally true that the ion drift velocity in a system is given by the ratio of the electric field to the magnetic field, that is: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oMath>
      <w:r w:rsidRPr="00370948">
        <w:rPr>
          <w:rFonts w:ascii="Book Antiqua" w:hAnsi="Book Antiqua"/>
          <w:i/>
          <w:sz w:val="20"/>
        </w:rPr>
        <w:t xml:space="preserve">  . </w:t>
      </w:r>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(3)</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For electromagnetic waves, </w:t>
      </w:r>
      <m:oMath>
        <m:r>
          <w:rPr>
            <w:rFonts w:ascii="Cambria Math" w:hAnsi="Cambria Math"/>
            <w:sz w:val="20"/>
          </w:rPr>
          <m:t>v</m:t>
        </m:r>
        <m:r>
          <w:rPr>
            <w:rFonts w:ascii="Cambria Math" w:hAnsi="Book Antiqua"/>
            <w:sz w:val="20"/>
          </w:rPr>
          <m:t xml:space="preserve"> = </m:t>
        </m:r>
        <m:r>
          <w:rPr>
            <w:rFonts w:ascii="Cambria Math" w:hAnsi="Cambria Math"/>
            <w:sz w:val="20"/>
          </w:rPr>
          <m:t>c</m:t>
        </m:r>
      </m:oMath>
      <w:r w:rsidRPr="00370948">
        <w:rPr>
          <w:rFonts w:ascii="Book Antiqua" w:hAnsi="Book Antiqua"/>
          <w:sz w:val="20"/>
        </w:rPr>
        <w:t xml:space="preserve">, where </w:t>
      </w:r>
      <m:oMath>
        <m:r>
          <w:rPr>
            <w:rFonts w:ascii="Cambria Math" w:hAnsi="Cambria Math"/>
            <w:sz w:val="20"/>
          </w:rPr>
          <m:t>c</m:t>
        </m:r>
      </m:oMath>
      <w:r w:rsidRPr="00370948">
        <w:rPr>
          <w:rFonts w:ascii="Book Antiqua" w:hAnsi="Book Antiqua"/>
          <w:sz w:val="20"/>
        </w:rPr>
        <w:t xml:space="preserve"> is the velocity of light. In plasma out in space, the typical drift velocity of ions can often approach the speed of light, or at least a significant fraction of it. The formula for the rate of accumulation of ions in a filament is given by </w:t>
      </w:r>
      <m:oMath>
        <m:r>
          <w:rPr>
            <w:rFonts w:ascii="Cambria Math" w:hAnsi="Cambria Math"/>
            <w:sz w:val="20"/>
          </w:rPr>
          <m:t>dM</m:t>
        </m:r>
        <m:r>
          <w:rPr>
            <w:rFonts w:ascii="Cambria Math" w:hAnsi="Book Antiqua"/>
            <w:sz w:val="20"/>
          </w:rPr>
          <m:t>/</m:t>
        </m:r>
        <m:r>
          <w:rPr>
            <w:rFonts w:ascii="Cambria Math" w:hAnsi="Cambria Math"/>
            <w:sz w:val="20"/>
          </w:rPr>
          <m:t>dt</m:t>
        </m:r>
      </m:oMath>
      <w:r w:rsidRPr="00370948">
        <w:rPr>
          <w:rFonts w:ascii="Book Antiqua" w:hAnsi="Book Antiqua"/>
          <w:sz w:val="20"/>
        </w:rPr>
        <w:t xml:space="preserve"> which is defined as [42]: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where </w:t>
      </w:r>
      <m:oMath>
        <m:r>
          <w:rPr>
            <w:rFonts w:ascii="Cambria Math" w:hAnsi="Cambria Math"/>
            <w:sz w:val="20"/>
          </w:rPr>
          <m:t>r</m:t>
        </m:r>
      </m:oMath>
      <w:r w:rsidRPr="00370948">
        <w:rPr>
          <w:rFonts w:ascii="Book Antiqua" w:hAnsi="Book Antiqua"/>
          <w:sz w:val="20"/>
        </w:rPr>
        <w:t xml:space="preserve"> is the radius of the filament, </w:t>
      </w:r>
      <m:oMath>
        <m:r>
          <w:rPr>
            <w:rFonts w:ascii="Cambria Math" w:hAnsi="Cambria Math"/>
            <w:sz w:val="20"/>
          </w:rPr>
          <m:t>E</m:t>
        </m:r>
      </m:oMath>
      <w:r w:rsidRPr="00370948">
        <w:rPr>
          <w:rFonts w:ascii="Book Antiqua" w:hAnsi="Book Antiqua"/>
          <w:sz w:val="20"/>
        </w:rPr>
        <w:t xml:space="preserve"> is the electric field strength, </w:t>
      </w:r>
      <m:oMath>
        <m:r>
          <w:rPr>
            <w:rFonts w:ascii="Cambria Math" w:hAnsi="Cambria Math"/>
            <w:sz w:val="20"/>
          </w:rPr>
          <m:t>I</m:t>
        </m:r>
      </m:oMath>
      <w:r w:rsidRPr="00370948">
        <w:rPr>
          <w:rFonts w:ascii="Book Antiqua" w:hAnsi="Book Antiqua"/>
          <w:sz w:val="20"/>
        </w:rPr>
        <w:t xml:space="preserve"> is the electric current, </w:t>
      </w:r>
      <m:oMath>
        <m:r>
          <w:rPr>
            <w:rFonts w:ascii="Cambria Math" w:hAnsi="Cambria Math"/>
            <w:sz w:val="20"/>
          </w:rPr>
          <m:t>μ</m:t>
        </m:r>
      </m:oMath>
      <w:r w:rsidRPr="00370948">
        <w:rPr>
          <w:rFonts w:ascii="Book Antiqua" w:hAnsi="Book Antiqua"/>
          <w:sz w:val="20"/>
        </w:rPr>
        <w:t xml:space="preserve"> is the magnetic permeability of the vacuum and</w:t>
      </w:r>
      <m:oMath>
        <m:r>
          <w:rPr>
            <w:rFonts w:ascii="Cambria Math" w:hAnsi="Book Antiqua"/>
            <w:sz w:val="20"/>
          </w:rPr>
          <m:t xml:space="preserve"> </m:t>
        </m:r>
        <m:r>
          <w:rPr>
            <w:rFonts w:ascii="Cambria Math" w:hAnsi="Cambria Math"/>
            <w:sz w:val="20"/>
          </w:rPr>
          <m:t>ρ</m:t>
        </m:r>
      </m:oMath>
      <w:r w:rsidRPr="00370948">
        <w:rPr>
          <w:rFonts w:ascii="Book Antiqua" w:hAnsi="Book Antiqua"/>
          <w:sz w:val="20"/>
        </w:rPr>
        <w:t xml:space="preserve"> is the number density of ions.</w:t>
      </w:r>
    </w:p>
    <w:p w:rsidR="005359B2" w:rsidRPr="00370948" w:rsidRDefault="005359B2" w:rsidP="005359B2">
      <w:pPr>
        <w:pStyle w:val="NoSpacing"/>
        <w:rPr>
          <w:rFonts w:ascii="Book Antiqua" w:hAnsi="Book Antiqua"/>
          <w:b/>
          <w:bCs/>
          <w:iCs/>
          <w:sz w:val="20"/>
        </w:rPr>
      </w:pPr>
    </w:p>
    <w:p w:rsidR="005359B2" w:rsidRDefault="005359B2" w:rsidP="005359B2">
      <w:pPr>
        <w:pStyle w:val="NoSpacing"/>
        <w:rPr>
          <w:rFonts w:ascii="Book Antiqua" w:hAnsi="Book Antiqua"/>
          <w:bCs/>
          <w:i/>
          <w:iCs/>
          <w:sz w:val="20"/>
        </w:rPr>
      </w:pPr>
      <w:r w:rsidRPr="00370948">
        <w:rPr>
          <w:rFonts w:ascii="Book Antiqua" w:hAnsi="Book Antiqua"/>
          <w:bCs/>
          <w:i/>
          <w:iCs/>
          <w:sz w:val="20"/>
        </w:rPr>
        <w:t>1.9. Interactions Between Plasma Currents.</w:t>
      </w:r>
    </w:p>
    <w:p w:rsidR="005359B2" w:rsidRPr="00370948" w:rsidRDefault="005359B2" w:rsidP="005359B2">
      <w:pPr>
        <w:pStyle w:val="NoSpacing"/>
        <w:jc w:val="center"/>
        <w:rPr>
          <w:rFonts w:ascii="Book Antiqua" w:hAnsi="Book Antiqua"/>
          <w:bCs/>
          <w:i/>
          <w:iCs/>
          <w:sz w:val="20"/>
        </w:rPr>
      </w:pPr>
    </w:p>
    <w:p w:rsidR="005359B2" w:rsidRDefault="005359B2" w:rsidP="005359B2">
      <w:pPr>
        <w:pStyle w:val="NoSpacing"/>
        <w:jc w:val="center"/>
        <w:rPr>
          <w:rFonts w:ascii="Book Antiqua" w:hAnsi="Book Antiqua"/>
          <w:sz w:val="20"/>
        </w:rPr>
      </w:pPr>
      <w:r w:rsidRPr="009D7B14">
        <w:rPr>
          <w:rFonts w:ascii="Book Antiqua" w:hAnsi="Book Antiqua"/>
          <w:sz w:val="20"/>
        </w:rPr>
        <w:object w:dxaOrig="7191" w:dyaOrig="5390">
          <v:shape id="_x0000_i1050" type="#_x0000_t75" style="width:359.4pt;height:197.25pt" o:ole="">
            <v:imagedata r:id="rId289" o:title=""/>
          </v:shape>
          <o:OLEObject Type="Embed" ProgID="PowerPoint.Slide.12" ShapeID="_x0000_i1050" DrawAspect="Content" ObjectID="_1433920202" r:id="rId290"/>
        </w:object>
      </w:r>
    </w:p>
    <w:p w:rsidR="005359B2"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i/>
          <w:sz w:val="18"/>
          <w:szCs w:val="18"/>
        </w:rPr>
      </w:pPr>
      <w:r w:rsidRPr="00BB1EEF">
        <w:rPr>
          <w:rFonts w:ascii="Book Antiqua" w:hAnsi="Book Antiqua"/>
          <w:b/>
          <w:i/>
          <w:sz w:val="18"/>
          <w:szCs w:val="18"/>
        </w:rPr>
        <w:t>Figure 12:</w:t>
      </w:r>
      <w:r w:rsidRPr="00BB1EEF">
        <w:rPr>
          <w:rFonts w:ascii="Book Antiqua" w:hAnsi="Book Antiqua"/>
          <w:i/>
          <w:sz w:val="18"/>
          <w:szCs w:val="18"/>
        </w:rPr>
        <w:t xml:space="preserve"> The behavior of two parallel wires carrying a current. Wires with parallel currents attract, while anti-parallel currents repel. This occurs because of the attraction or repulsion of the circling magnetic fields in both wires. The same results occur for parallel plasma filaments</w:t>
      </w:r>
      <w:r>
        <w:rPr>
          <w:rFonts w:ascii="Book Antiqua" w:hAnsi="Book Antiqua"/>
          <w:i/>
          <w:sz w:val="18"/>
          <w:szCs w:val="18"/>
        </w:rPr>
        <w:t>.</w:t>
      </w:r>
    </w:p>
    <w:p w:rsidR="005359B2" w:rsidRPr="00BB1EEF" w:rsidRDefault="005359B2" w:rsidP="005359B2">
      <w:pPr>
        <w:pStyle w:val="NoSpacing"/>
        <w:jc w:val="both"/>
        <w:rPr>
          <w:rFonts w:ascii="Book Antiqua" w:hAnsi="Book Antiqua"/>
          <w:i/>
          <w:sz w:val="18"/>
          <w:szCs w:val="18"/>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lastRenderedPageBreak/>
        <w:t xml:space="preserve">Birkeland currents can interact with each other in different ways.  Two parallel Birkeland currents moving in the same direction will attract each other with a force that is inversely proportional to the distance between them. The attractive force is also proportional to the strength of each current multiplied together [43]. Thus stronger currents result in even stronger attractive forces. If the currents are moving in opposite directions, the same proportionalities hold but the force is repulsive. This also holds true for electric currents in parallel wires as Ampere first demonstrated in 1820. This can be expressed mathematically. If the attractive or repulsive force is </w:t>
      </w:r>
      <m:oMath>
        <m:r>
          <w:rPr>
            <w:rFonts w:ascii="Cambria Math" w:hAnsi="Cambria Math"/>
            <w:sz w:val="20"/>
          </w:rPr>
          <m:t>δF</m:t>
        </m:r>
      </m:oMath>
      <w:r w:rsidRPr="00370948">
        <w:rPr>
          <w:rFonts w:ascii="Book Antiqua" w:hAnsi="Book Antiqua"/>
          <w:sz w:val="20"/>
        </w:rPr>
        <w:t xml:space="preserve">, on a length </w:t>
      </w:r>
      <m:oMath>
        <m:r>
          <w:rPr>
            <w:rFonts w:ascii="Cambria Math" w:hAnsi="Cambria Math"/>
            <w:sz w:val="20"/>
          </w:rPr>
          <m:t>δl</m:t>
        </m:r>
      </m:oMath>
      <w:r w:rsidRPr="00370948">
        <w:rPr>
          <w:rFonts w:ascii="Book Antiqua" w:hAnsi="Book Antiqua"/>
          <w:sz w:val="20"/>
        </w:rPr>
        <w:t xml:space="preserve"> of either current whose distance apart is </w:t>
      </w:r>
      <m:oMath>
        <m:r>
          <w:rPr>
            <w:rFonts w:ascii="Cambria Math" w:hAnsi="Cambria Math"/>
            <w:sz w:val="20"/>
          </w:rPr>
          <m:t>r</m:t>
        </m:r>
      </m:oMath>
      <w:r w:rsidRPr="00370948">
        <w:rPr>
          <w:rFonts w:ascii="Book Antiqua" w:hAnsi="Book Antiqua"/>
          <w:sz w:val="20"/>
        </w:rPr>
        <w:t>, with the currents being</w:t>
      </w:r>
      <m:oMath>
        <m:sSub>
          <m:sSubPr>
            <m:ctrlPr>
              <w:rPr>
                <w:rFonts w:ascii="Cambria Math" w:hAnsi="Book Antiqua"/>
                <w:i/>
                <w:sz w:val="20"/>
              </w:rPr>
            </m:ctrlPr>
          </m:sSubPr>
          <m:e>
            <m:r>
              <w:rPr>
                <w:rFonts w:ascii="Cambria Math" w:hAnsi="Book Antiqua"/>
                <w:sz w:val="20"/>
              </w:rPr>
              <m:t xml:space="preserve"> </m:t>
            </m:r>
            <m:r>
              <w:rPr>
                <w:rFonts w:ascii="Cambria Math" w:hAnsi="Cambria Math"/>
                <w:sz w:val="20"/>
              </w:rPr>
              <m:t>I</m:t>
            </m:r>
          </m:e>
          <m:sub>
            <m:r>
              <w:rPr>
                <w:rFonts w:ascii="Cambria Math" w:hAnsi="Book Antiqua"/>
                <w:sz w:val="20"/>
              </w:rPr>
              <m:t>1</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oMath>
      <w:r w:rsidRPr="00370948">
        <w:rPr>
          <w:rFonts w:ascii="Book Antiqua" w:hAnsi="Book Antiqua"/>
          <w:sz w:val="20"/>
        </w:rPr>
        <w:t xml:space="preserve"> respectively, then we can write [44]: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(5)</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equation (5) the quantity </w:t>
      </w:r>
      <m:oMath>
        <m:r>
          <w:rPr>
            <w:rFonts w:ascii="Cambria Math" w:hAnsi="Cambria Math"/>
            <w:sz w:val="20"/>
          </w:rPr>
          <m:t>μ</m:t>
        </m:r>
      </m:oMath>
      <w:r w:rsidRPr="00370948">
        <w:rPr>
          <w:rFonts w:ascii="Book Antiqua" w:hAnsi="Book Antiqua"/>
          <w:sz w:val="20"/>
        </w:rPr>
        <w:t xml:space="preserve"> is again the magnetic permeability of the vacuum, as previously dealt with in Chapters 1 and 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The interactions which take place with electromagnetic forces contrasts sharply with gravitational forces.   Gravitational force is inversely proportional to the square of the distance [43]. Electromagnetic forces in plasma, however, can exceed gravitational forces by a factor of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39</m:t>
            </m:r>
          </m:sup>
        </m:sSup>
      </m:oMath>
      <w:r w:rsidRPr="00370948">
        <w:rPr>
          <w:rFonts w:ascii="Book Antiqua" w:hAnsi="Book Antiqua"/>
          <w:sz w:val="20"/>
        </w:rPr>
        <w:t>. Even in neutral hydrogen regions of space where the ionization is as low as 1 part in 10,000, electromagnetism is nevertheless still about</w:t>
      </w:r>
      <m:oMath>
        <m:sSup>
          <m:sSupPr>
            <m:ctrlPr>
              <w:rPr>
                <w:rFonts w:ascii="Cambria Math" w:hAnsi="Book Antiqua"/>
                <w:i/>
                <w:sz w:val="20"/>
              </w:rPr>
            </m:ctrlPr>
          </m:sSupPr>
          <m:e>
            <m:r>
              <w:rPr>
                <w:rFonts w:ascii="Cambria Math" w:hAnsi="Book Antiqua"/>
                <w:sz w:val="20"/>
              </w:rPr>
              <m:t xml:space="preserve"> 10</m:t>
            </m:r>
          </m:e>
          <m:sup>
            <m:r>
              <w:rPr>
                <w:rFonts w:ascii="Cambria Math" w:hAnsi="Book Antiqua"/>
                <w:sz w:val="20"/>
              </w:rPr>
              <m:t>7</m:t>
            </m:r>
          </m:sup>
        </m:sSup>
      </m:oMath>
      <w:r w:rsidRPr="00370948">
        <w:rPr>
          <w:rFonts w:ascii="Book Antiqua" w:hAnsi="Book Antiqua"/>
          <w:sz w:val="20"/>
        </w:rPr>
        <w:t xml:space="preserve"> times stronger than gravity [43].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1.10. Dusty Plasmas.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tendency is to think of a plasma as a ‘pure’ state of matter.  But plasmas can be ‘dusty.’ The role of dust in plasmas was initially discussed by Irving Langmuir in 1924 [45]. He described the result when minute drops of tungsten vapor were inserted into plasma.  He concluded that the experimental results indicated that electrons from the plasma attached themselves to the minute drops causing them to become negatively charged.  This caused them to move about under the influence of the electric fields in the plasma. In 1941 Lyman Spitzer discussed a similar process whereby interstellar dust particles acquire a negative charge because they are immersed in an ionized gas or plasma [46].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The negative charge is imparted because the electrons in plasmas move more swiftly than ions, and so the number of encounters with the electrons is greater than with the positive ions. This results in a net negative charge even if the plasma is in an electrically neutral state overall. In 1954, Hannes Alfvén considered how this process could build up large bodies in the early Solar System [47]. Peratt has discussed the size of particles that have become electrically charged and can then be influenced by that charge rather than by gravity [38]. However, when the ZPE strength was significantly lower, this size may have been significantly increased for charged particles in the early universe.  This is discussed later.</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In the early 1980’s, Voyager 2 gave us information regarding the rings of Saturn which opened up the discussion about dusty plasmas.  The images of Saturn revealed a pattern of nearly radial “spokes” rotating around the outer portion of the dense B ring. This was something that observers on earth had glimpsed for decades when conditions were favorable, but the spokes were often dismissed as illusory. But as the spacecraft approached Saturn, the spokes appeared dark against the bright background of the rings. As the craft pulled away the effect was reversed. This means that the material making up the spokes scatters sunlight preferentially in the forward direction.  This is a property of fine dust. Furthermore, the spokes were not stationary structures, but showed they could form in as little as five minutes.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Gravitational effects alone cannot achieve this, but electric and magnetic fields can. In 1983, Goertz and Morfill demonstrated that these spokes were a dusty plasma of micron sized particles that appeared to be about 80 km above the plane of the rings [48]. It was later noted that the formation and disappearance of these spokes coincided with powerful bursts of radio waves originating within Saturn’s magnetic field and extending out beyond the rings.  Called Saturn Kilometric Radiation</w:t>
      </w:r>
      <w:r>
        <w:rPr>
          <w:rFonts w:ascii="Book Antiqua" w:hAnsi="Book Antiqua"/>
          <w:sz w:val="20"/>
        </w:rPr>
        <w:t xml:space="preserve"> (SKR)</w:t>
      </w:r>
      <w:r w:rsidRPr="00370948">
        <w:rPr>
          <w:rFonts w:ascii="Book Antiqua" w:hAnsi="Book Antiqua"/>
          <w:sz w:val="20"/>
        </w:rPr>
        <w:t xml:space="preserve">, these bursts of radiation cause dust particles to gain electrons and become electrostatically suspended above the plane of the rings [49], while the SKR itself is due to lightning in Saturn’s atmosphere.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can come a lot closer to home and see a good example of a dusty plasma.  At an altitude of 85 km above the earth are noctilucent or ‘night-shining’ clouds. These clouds are typically seen at high latitudes during early summer. </w:t>
      </w:r>
      <w:r w:rsidRPr="00370948">
        <w:rPr>
          <w:rFonts w:ascii="Book Antiqua" w:hAnsi="Book Antiqua"/>
          <w:sz w:val="20"/>
        </w:rPr>
        <w:lastRenderedPageBreak/>
        <w:t xml:space="preserve">They are composed of ice crystals formed around meteoritic dust as nuclei in the polar mesosphere at temperatures around 100 K. Because these crystals are near the ionospheric plasma, free electrons from there attach to the crystals to form a dusty plasma of charged ice crystals about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Cambria Math"/>
                <w:sz w:val="20"/>
              </w:rPr>
              <m:t>-</m:t>
            </m:r>
            <m:r>
              <w:rPr>
                <w:rFonts w:ascii="Cambria Math" w:hAnsi="Book Antiqua"/>
                <w:sz w:val="20"/>
              </w:rPr>
              <m:t>8</m:t>
            </m:r>
          </m:sup>
        </m:sSup>
      </m:oMath>
      <w:r w:rsidRPr="00370948">
        <w:rPr>
          <w:rFonts w:ascii="Book Antiqua" w:hAnsi="Book Antiqua"/>
          <w:sz w:val="20"/>
        </w:rPr>
        <w:t xml:space="preserve"> meters across [50]. In general, if it is assumed that the capacitance of a dust grain of radius, </w:t>
      </w:r>
      <m:oMath>
        <m:r>
          <w:rPr>
            <w:rFonts w:ascii="Cambria Math" w:hAnsi="Cambria Math"/>
            <w:sz w:val="20"/>
          </w:rPr>
          <m:t>a</m:t>
        </m:r>
      </m:oMath>
      <w:r w:rsidRPr="00370948">
        <w:rPr>
          <w:rFonts w:ascii="Book Antiqua" w:hAnsi="Book Antiqua"/>
          <w:sz w:val="20"/>
        </w:rPr>
        <w:t xml:space="preserve">, is that of a spherical charged conductor of the same size, then the charge, </w:t>
      </w:r>
      <m:oMath>
        <m:r>
          <w:rPr>
            <w:rFonts w:ascii="Cambria Math" w:hAnsi="Cambria Math"/>
            <w:sz w:val="20"/>
          </w:rPr>
          <m:t>Q</m:t>
        </m:r>
      </m:oMath>
      <w:r w:rsidRPr="00370948">
        <w:rPr>
          <w:rFonts w:ascii="Book Antiqua" w:hAnsi="Book Antiqua"/>
          <w:sz w:val="20"/>
        </w:rPr>
        <w:t>, acquired by the grain is given by [50]: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Q</m:t>
        </m:r>
        <m:r>
          <w:rPr>
            <w:rFonts w:ascii="Cambria Math" w:hAnsi="Book Antiqua"/>
            <w:sz w:val="20"/>
          </w:rPr>
          <m:t xml:space="preserve">  = 4 </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a</m:t>
        </m:r>
        <m:r>
          <w:rPr>
            <w:rFonts w:ascii="Cambria Math" w:hAnsi="Book Antiqua"/>
            <w:sz w:val="20"/>
          </w:rPr>
          <m:t xml:space="preserve"> </m:t>
        </m:r>
        <m:r>
          <w:rPr>
            <w:rFonts w:ascii="Cambria Math" w:hAnsi="Cambria Math"/>
            <w:sz w:val="20"/>
          </w:rPr>
          <m:t>V</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(6)</w:t>
      </w:r>
    </w:p>
    <w:p w:rsidR="005359B2"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V</m:t>
        </m:r>
      </m:oMath>
      <w:r w:rsidRPr="00370948">
        <w:rPr>
          <w:rFonts w:ascii="Book Antiqua" w:hAnsi="Book Antiqua"/>
          <w:sz w:val="20"/>
        </w:rPr>
        <w:t xml:space="preserve"> is the electrical potential difference between the grain and the plasma and ε is the electrical permittivity of the vacuum. In the case of a particle or grain at rest in a dilute plasma, the electron and ion currents will result in a potential difference for the grain or particle of</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oMath>
      <w:r w:rsidRPr="00370948">
        <w:rPr>
          <w:rFonts w:ascii="Book Antiqua" w:hAnsi="Book Antiqua"/>
          <w:i/>
          <w:sz w:val="20"/>
        </w:rPr>
        <w:tab/>
        <w:t>.</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m:oMath>
        <m:r>
          <w:rPr>
            <w:rFonts w:ascii="Cambria Math" w:hAnsi="Cambria Math"/>
            <w:sz w:val="20"/>
          </w:rPr>
          <m:t>T</m:t>
        </m:r>
        <m:r>
          <w:rPr>
            <w:rFonts w:ascii="Cambria Math" w:hAnsi="Book Antiqua"/>
            <w:sz w:val="20"/>
          </w:rPr>
          <m:t xml:space="preserve"> </m:t>
        </m:r>
      </m:oMath>
      <w:r w:rsidRPr="00370948">
        <w:rPr>
          <w:rFonts w:ascii="Book Antiqua" w:hAnsi="Book Antiqua"/>
          <w:sz w:val="20"/>
        </w:rPr>
        <w:t>is the temperature of the ions or electrons,</w:t>
      </w:r>
      <m:oMath>
        <m:r>
          <w:rPr>
            <w:rFonts w:ascii="Cambria Math" w:hAnsi="Book Antiqua"/>
            <w:sz w:val="20"/>
          </w:rPr>
          <m:t xml:space="preserve"> </m:t>
        </m:r>
        <m:r>
          <w:rPr>
            <w:rFonts w:ascii="Cambria Math" w:hAnsi="Cambria Math"/>
            <w:sz w:val="20"/>
          </w:rPr>
          <m:t>k</m:t>
        </m:r>
      </m:oMath>
      <w:r w:rsidRPr="00370948">
        <w:rPr>
          <w:rFonts w:ascii="Book Antiqua" w:hAnsi="Book Antiqua"/>
          <w:sz w:val="20"/>
        </w:rPr>
        <w:t xml:space="preserve"> is Boltzmann’s constant and </w:t>
      </w:r>
      <m:oMath>
        <m:r>
          <w:rPr>
            <w:rFonts w:ascii="Cambria Math" w:hAnsi="Cambria Math"/>
            <w:sz w:val="20"/>
          </w:rPr>
          <m:t>e</m:t>
        </m:r>
      </m:oMath>
      <w:r w:rsidRPr="00370948">
        <w:rPr>
          <w:rFonts w:ascii="Book Antiqua" w:hAnsi="Book Antiqua"/>
          <w:sz w:val="20"/>
        </w:rPr>
        <w:t xml:space="preserve"> is the electronic charge. When this is applied to hydrogen plasma with </w:t>
      </w:r>
      <m:oMath>
        <m:r>
          <w:rPr>
            <w:rFonts w:ascii="Cambria Math" w:hAnsi="Cambria Math"/>
            <w:sz w:val="20"/>
          </w:rPr>
          <m:t>kT</m:t>
        </m:r>
      </m:oMath>
      <w:r w:rsidRPr="00370948">
        <w:rPr>
          <w:rFonts w:ascii="Book Antiqua" w:hAnsi="Book Antiqua"/>
          <w:sz w:val="20"/>
        </w:rPr>
        <w:t xml:space="preserve"> equal to 3 eV (electron Volts), equations (6) and (7) suggest that a particle of radius of </w:t>
      </w:r>
      <m:oMath>
        <m:sSup>
          <m:sSupPr>
            <m:ctrlPr>
              <w:rPr>
                <w:rFonts w:ascii="Cambria Math" w:hAnsi="Cambria Math"/>
                <w:i/>
                <w:sz w:val="20"/>
              </w:rPr>
            </m:ctrlPr>
          </m:sSupPr>
          <m:e>
            <m:r>
              <w:rPr>
                <w:rFonts w:ascii="Cambria Math" w:hAnsi="Cambria Math"/>
                <w:sz w:val="20"/>
              </w:rPr>
              <m:t xml:space="preserve">10 </m:t>
            </m:r>
          </m:e>
          <m:sup>
            <m:r>
              <w:rPr>
                <w:rFonts w:ascii="Cambria Math" w:hAnsi="Cambria Math"/>
                <w:sz w:val="20"/>
              </w:rPr>
              <m:t xml:space="preserve">-6 </m:t>
            </m:r>
          </m:sup>
        </m:sSup>
      </m:oMath>
      <w:r w:rsidRPr="00370948">
        <w:rPr>
          <w:rFonts w:ascii="Book Antiqua" w:hAnsi="Book Antiqua"/>
          <w:sz w:val="20"/>
        </w:rPr>
        <w:t>meters will carry a charge equivalent to 5000 electrons [50]. This means that electrostatic forces on dust grains can be seen to be significant.</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This depletion of electrons by absorption on dust particles affects the plasma waves. For example, sound waves in plasma, also known as ion-acoustic waves, propagate at higher velocities and with significantly less damping in plasmas that contain negatively charged dust particles. The first physics experiment, known as the Nefedov Plasma Crystal Experiment [51], done in the weightlessness of the International Space Station in February of 2001, was with dusty-plasmas to see how they behaved in the depths of space. A typical structure formed in this dusty plasma was a sharply defined void surrounded by a dusty plasma region which was constrained by fluid vortices along the outer edges of the container and along its central horizontal axis [50]. The result was similar to the honeycomb or bubble structure, formed by filaments, typical of macroscopic galaxy cluster distribution.</w:t>
      </w:r>
    </w:p>
    <w:p w:rsidR="005359B2"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Cs/>
          <w:i/>
          <w:iCs/>
          <w:sz w:val="20"/>
        </w:rPr>
      </w:pPr>
      <w:r w:rsidRPr="00370948">
        <w:rPr>
          <w:rFonts w:ascii="Book Antiqua" w:hAnsi="Book Antiqua"/>
          <w:bCs/>
          <w:i/>
          <w:iCs/>
          <w:sz w:val="20"/>
        </w:rPr>
        <w:t xml:space="preserve">1.11. Plasma Instabilities And Vortex Formation. </w:t>
      </w:r>
    </w:p>
    <w:p w:rsidR="005359B2" w:rsidRPr="00370948" w:rsidRDefault="005359B2" w:rsidP="005359B2">
      <w:pPr>
        <w:pStyle w:val="NoSpacing"/>
        <w:rPr>
          <w:rFonts w:ascii="Book Antiqua" w:hAnsi="Book Antiqua"/>
          <w:b/>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We have already mentioned the Bennett or Z-pinch instability that leads to the bunching of currents and magnetic fields in filaments on a cosmic scale. There are a variety of plasma instabilities, of which over forty different types have been listed, often depending on the method of classification. They may be broadly classified as macroscopic or microscopic instabilities, although the distinction is not sharp. Macroscopic instabilities influence the spatial distribution of the plasma filament and are often classified according to the geometry of the distortion. Using this approach, there are then four sub-categories under this heading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First, there is </w:t>
      </w:r>
      <w:r w:rsidRPr="00370948">
        <w:rPr>
          <w:rFonts w:ascii="Book Antiqua" w:hAnsi="Book Antiqua"/>
          <w:b/>
          <w:sz w:val="20"/>
        </w:rPr>
        <w:t>sausage mode</w:t>
      </w:r>
      <w:r w:rsidRPr="00370948">
        <w:rPr>
          <w:rFonts w:ascii="Book Antiqua" w:hAnsi="Book Antiqua"/>
          <w:sz w:val="20"/>
        </w:rPr>
        <w:t xml:space="preserve"> in which plasma filaments contract at regular intervals. Here, the filament radius varies along the axis of the filament. There can be standard sausaging by this process or, alternatively, sausaging with either axial hollowing or axial bunching.  Second is the </w:t>
      </w:r>
      <w:r w:rsidRPr="00370948">
        <w:rPr>
          <w:rFonts w:ascii="Book Antiqua" w:hAnsi="Book Antiqua"/>
          <w:b/>
          <w:sz w:val="20"/>
        </w:rPr>
        <w:t>sinuous, hose or kink mode</w:t>
      </w:r>
      <w:r w:rsidRPr="00370948">
        <w:rPr>
          <w:rFonts w:ascii="Book Antiqua" w:hAnsi="Book Antiqua"/>
          <w:sz w:val="20"/>
        </w:rPr>
        <w:t xml:space="preserve"> in which the filament bends sideways without any change in the form of the filament other than the position of its center of mass. Third, the </w:t>
      </w:r>
      <w:r w:rsidRPr="00370948">
        <w:rPr>
          <w:rFonts w:ascii="Book Antiqua" w:hAnsi="Book Antiqua"/>
          <w:b/>
          <w:sz w:val="20"/>
        </w:rPr>
        <w:t>filamentation mode</w:t>
      </w:r>
      <w:r w:rsidRPr="00370948">
        <w:rPr>
          <w:rFonts w:ascii="Book Antiqua" w:hAnsi="Book Antiqua"/>
          <w:sz w:val="20"/>
        </w:rPr>
        <w:t xml:space="preserve"> can occur in which the main filament breaks up into a number of smaller filaments</w:t>
      </w:r>
      <w:r>
        <w:rPr>
          <w:rFonts w:ascii="Book Antiqua" w:hAnsi="Book Antiqua"/>
          <w:sz w:val="20"/>
        </w:rPr>
        <w:t>. Something like a cable with a lot of wires running through it</w:t>
      </w:r>
      <w:r w:rsidRPr="00370948">
        <w:rPr>
          <w:rFonts w:ascii="Book Antiqua" w:hAnsi="Book Antiqua"/>
          <w:sz w:val="20"/>
        </w:rPr>
        <w:t xml:space="preserve">. These smaller filaments may have an elliptical cross-section or a pear-shaped (pyriform) cross-section. Fourth is a </w:t>
      </w:r>
      <w:r w:rsidRPr="00370948">
        <w:rPr>
          <w:rFonts w:ascii="Book Antiqua" w:hAnsi="Book Antiqua"/>
          <w:b/>
          <w:sz w:val="20"/>
        </w:rPr>
        <w:t>ripple mode</w:t>
      </w:r>
      <w:r w:rsidRPr="00370948">
        <w:rPr>
          <w:rFonts w:ascii="Book Antiqua" w:hAnsi="Book Antiqua"/>
          <w:sz w:val="20"/>
        </w:rPr>
        <w:t xml:space="preserve"> where the filament is distorted by small-scale ripples on the surface. Sometimes these macroscopic instabilities are labeled as magnetohydrodynamic, hydrodynamic, or low frequency instabilities.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Microscopic</w:t>
      </w:r>
      <w:r w:rsidRPr="00370948">
        <w:rPr>
          <w:rFonts w:ascii="Book Antiqua" w:hAnsi="Book Antiqua"/>
          <w:sz w:val="20"/>
        </w:rPr>
        <w:t xml:space="preserve"> instabilities usually excite local fluctuations of density and electro-magnetic fields in plasma. These micro-instabilities can sometimes grow and be directly linked with a macroscopic counterpart. For example, the </w:t>
      </w:r>
      <w:r w:rsidRPr="00370948">
        <w:rPr>
          <w:rFonts w:ascii="Book Antiqua" w:hAnsi="Book Antiqua"/>
          <w:sz w:val="20"/>
        </w:rPr>
        <w:lastRenderedPageBreak/>
        <w:t xml:space="preserve">filamentation mode can be the macroscopic stage of a growing transverse electrostatic micro-instability known as the Weibel instability [52].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When ions or electrons propagate along an axial magnetic field in a filament, a threshold can be passed with the resultant plasma current that causes the break-up of the beam into discrete vortex-like current bundles. This is called a “slipping stream” or </w:t>
      </w:r>
      <w:r w:rsidRPr="00370948">
        <w:rPr>
          <w:rFonts w:ascii="Book Antiqua" w:hAnsi="Book Antiqua"/>
          <w:b/>
          <w:sz w:val="20"/>
        </w:rPr>
        <w:t>diocotron</w:t>
      </w:r>
      <w:r w:rsidRPr="00370948">
        <w:rPr>
          <w:rFonts w:ascii="Book Antiqua" w:hAnsi="Book Antiqua"/>
          <w:sz w:val="20"/>
        </w:rPr>
        <w:t xml:space="preserve"> instability. This type of instability may also arise if charge neutrality is not locally maintained such as when electrons and ions separate. There then arises a shear velocity which azimuthally results in vortex phenomena and also axially forms current bundles or filaments. The instability can occur in solid or annular filaments as well as in sheet beams. On earth, this azimuthal vortex can be seen as auroral curtains [53].  As Peratt indicates [54], the axial vorticity component of this type of instability is given by </w:t>
      </w:r>
      <m:oMath>
        <m:r>
          <w:rPr>
            <w:rFonts w:ascii="Cambria Math" w:hAnsi="Cambria Math"/>
            <w:sz w:val="20"/>
          </w:rPr>
          <m:t>W</m:t>
        </m:r>
      </m:oMath>
      <w:r w:rsidRPr="00370948">
        <w:rPr>
          <w:rFonts w:ascii="Book Antiqua" w:hAnsi="Book Antiqua"/>
          <w:i/>
          <w:sz w:val="20"/>
        </w:rPr>
        <w:t>,</w:t>
      </w:r>
      <w:r w:rsidRPr="00370948">
        <w:rPr>
          <w:rFonts w:ascii="Book Antiqua" w:hAnsi="Book Antiqua"/>
          <w:sz w:val="20"/>
        </w:rPr>
        <w:t xml:space="preserve"> which is mathematically described as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(8)</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is the permittivity of free space while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oMath>
      <w:r w:rsidRPr="00370948">
        <w:rPr>
          <w:rFonts w:ascii="Book Antiqua" w:hAnsi="Book Antiqua"/>
          <w:sz w:val="20"/>
        </w:rPr>
        <w:t xml:space="preserve"> and </w:t>
      </w:r>
      <m:oMath>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oMath>
      <w:r w:rsidRPr="00370948">
        <w:rPr>
          <w:rFonts w:ascii="Book Antiqua" w:hAnsi="Book Antiqua"/>
          <w:sz w:val="20"/>
        </w:rPr>
        <w:t xml:space="preserve"> are the numbers of electrons and ions respectively. These instabilities result in profound cosmological effects when coupled with other plasma phenomena and the behavior of the Zero Point Energy.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2. The Zero Point Energy And Plasma Physics. </w:t>
      </w:r>
    </w:p>
    <w:p w:rsidR="005359B2" w:rsidRPr="00370948" w:rsidRDefault="005359B2" w:rsidP="005359B2">
      <w:pPr>
        <w:pStyle w:val="NoSpacing"/>
        <w:rPr>
          <w:rFonts w:ascii="Book Antiqua" w:hAnsi="Book Antiqua"/>
          <w:bCs/>
          <w:i/>
          <w:iCs/>
          <w:color w:val="000000"/>
          <w:sz w:val="20"/>
        </w:rPr>
      </w:pPr>
    </w:p>
    <w:p w:rsidR="005359B2" w:rsidRPr="00370948" w:rsidRDefault="005359B2" w:rsidP="005359B2">
      <w:pPr>
        <w:pStyle w:val="NoSpacing"/>
        <w:rPr>
          <w:rFonts w:ascii="Book Antiqua" w:hAnsi="Book Antiqua"/>
          <w:bCs/>
          <w:i/>
          <w:iCs/>
          <w:color w:val="000000"/>
          <w:sz w:val="20"/>
        </w:rPr>
      </w:pPr>
      <w:r w:rsidRPr="00370948">
        <w:rPr>
          <w:rFonts w:ascii="Book Antiqua" w:hAnsi="Book Antiqua"/>
          <w:bCs/>
          <w:i/>
          <w:iCs/>
          <w:color w:val="000000"/>
          <w:sz w:val="20"/>
        </w:rPr>
        <w:t xml:space="preserve">2.1. Behavior Of Electric &amp; Magnetic Quantities.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Our starting points for the effects of increasing ZPE on quantities in plasma physics comes from the relationship which has been shown above in </w:t>
      </w:r>
      <w:r>
        <w:rPr>
          <w:rFonts w:ascii="Book Antiqua" w:hAnsi="Book Antiqua"/>
          <w:sz w:val="20"/>
        </w:rPr>
        <w:t>Chapter</w:t>
      </w:r>
      <w:r w:rsidRPr="00370948">
        <w:rPr>
          <w:rFonts w:ascii="Book Antiqua" w:hAnsi="Book Antiqua"/>
          <w:sz w:val="20"/>
        </w:rPr>
        <w:t xml:space="preserve"> 2 to hold cosmologically, namely that</w:t>
      </w:r>
    </w:p>
    <w:p w:rsidR="005359B2" w:rsidRPr="00370948" w:rsidRDefault="005359B2" w:rsidP="005359B2">
      <w:pPr>
        <w:pStyle w:val="NoSpacing"/>
        <w:jc w:val="both"/>
        <w:rPr>
          <w:rFonts w:ascii="Book Antiqua" w:hAnsi="Book Antiqua"/>
          <w:i/>
          <w:iCs/>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hc</m:t>
        </m:r>
        <m:r>
          <w:rPr>
            <w:rFonts w:ascii="Cambria Math" w:hAnsi="Book Antiqua"/>
            <w:sz w:val="20"/>
          </w:rPr>
          <m:t xml:space="preserve"> = </m:t>
        </m:r>
        <m:r>
          <w:rPr>
            <w:rFonts w:ascii="Cambria Math" w:hAnsi="Cambria Math"/>
            <w:sz w:val="20"/>
          </w:rPr>
          <m:t>invariant</m:t>
        </m:r>
        <m:r>
          <w:rPr>
            <w:rFonts w:ascii="Cambria Math" w:hAnsi="Book Antiqua"/>
            <w:sz w:val="20"/>
          </w:rPr>
          <m:t xml:space="preserve">       </m:t>
        </m:r>
        <m:r>
          <m:rPr>
            <m:sty m:val="b"/>
          </m:rPr>
          <w:rPr>
            <w:rFonts w:ascii="Cambria Math" w:hAnsi="Cambria Math"/>
            <w:sz w:val="20"/>
          </w:rPr>
          <m:t>so</m:t>
        </m:r>
        <m:r>
          <m:rPr>
            <m:sty m:val="b"/>
          </m:rPr>
          <w:rPr>
            <w:rFonts w:ascii="Cambria Math" w:hAnsi="Book Antiqua"/>
            <w:sz w:val="20"/>
          </w:rPr>
          <m:t xml:space="preserve"> </m:t>
        </m:r>
        <m:r>
          <m:rPr>
            <m:sty m:val="b"/>
          </m:rPr>
          <w:rPr>
            <w:rFonts w:ascii="Cambria Math" w:hAnsi="Cambria Math"/>
            <w:sz w:val="20"/>
          </w:rPr>
          <m:t>that</m:t>
        </m:r>
        <m:r>
          <w:rPr>
            <w:rFonts w:ascii="Cambria Math" w:hAnsi="Book Antiqua"/>
            <w:sz w:val="20"/>
          </w:rPr>
          <m:t xml:space="preserve">       </m:t>
        </m:r>
        <m:r>
          <w:rPr>
            <w:rFonts w:ascii="Cambria Math" w:hAnsi="Cambria Math"/>
            <w:sz w:val="20"/>
          </w:rPr>
          <m:t>h</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sz w:val="20"/>
        </w:rPr>
        <w:t xml:space="preserve">(9)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As pointed out, data out to the frontiers of the cosmos support this to parts per million.  Data revealed that the fine structure constant, </w:t>
      </w:r>
      <w:r w:rsidRPr="00370948">
        <w:rPr>
          <w:rFonts w:ascii="Book Antiqua" w:hAnsi="Book Antiqua"/>
          <w:i/>
          <w:iCs/>
          <w:sz w:val="20"/>
        </w:rPr>
        <w:t xml:space="preserve">α  ( </w:t>
      </w:r>
      <w:r w:rsidRPr="00370948">
        <w:rPr>
          <w:rFonts w:ascii="Book Antiqua" w:hAnsi="Book Antiqua"/>
          <w:sz w:val="20"/>
        </w:rPr>
        <w:t>[</w:t>
      </w:r>
      <w:r w:rsidRPr="00370948">
        <w:rPr>
          <w:rFonts w:ascii="Book Antiqua" w:hAnsi="Book Antiqua"/>
          <w:i/>
          <w:iCs/>
          <w:sz w:val="20"/>
        </w:rPr>
        <w:t>e</w:t>
      </w:r>
      <w:r w:rsidRPr="00370948">
        <w:rPr>
          <w:rFonts w:ascii="Book Antiqua" w:hAnsi="Book Antiqua"/>
          <w:i/>
          <w:iCs/>
          <w:sz w:val="20"/>
          <w:vertAlign w:val="superscript"/>
        </w:rPr>
        <w:t>2</w:t>
      </w:r>
      <w:r w:rsidRPr="00370948">
        <w:rPr>
          <w:rFonts w:ascii="Book Antiqua" w:hAnsi="Book Antiqua"/>
          <w:i/>
          <w:iCs/>
          <w:sz w:val="20"/>
        </w:rPr>
        <w:t>/ε</w:t>
      </w:r>
      <w:r w:rsidRPr="00370948">
        <w:rPr>
          <w:rFonts w:ascii="Book Antiqua" w:hAnsi="Book Antiqua"/>
          <w:sz w:val="20"/>
        </w:rPr>
        <w:t>][1</w:t>
      </w:r>
      <w:r w:rsidRPr="00370948">
        <w:rPr>
          <w:rFonts w:ascii="Book Antiqua" w:hAnsi="Book Antiqua"/>
          <w:i/>
          <w:iCs/>
          <w:sz w:val="20"/>
        </w:rPr>
        <w:t>/</w:t>
      </w:r>
      <w:r w:rsidRPr="00370948">
        <w:rPr>
          <w:rFonts w:ascii="Book Antiqua" w:hAnsi="Book Antiqua"/>
          <w:sz w:val="20"/>
        </w:rPr>
        <w:t>(2</w:t>
      </w:r>
      <w:r w:rsidRPr="00370948">
        <w:rPr>
          <w:rFonts w:ascii="Book Antiqua" w:hAnsi="Book Antiqua"/>
          <w:i/>
          <w:iCs/>
          <w:sz w:val="20"/>
        </w:rPr>
        <w:t>hc</w:t>
      </w:r>
      <w:r w:rsidRPr="00370948">
        <w:rPr>
          <w:rFonts w:ascii="Book Antiqua" w:hAnsi="Book Antiqua"/>
          <w:sz w:val="20"/>
        </w:rPr>
        <w:t xml:space="preserve">)] ), is constant too, which means </w:t>
      </w:r>
    </w:p>
    <w:p w:rsidR="005359B2" w:rsidRPr="00370948" w:rsidRDefault="005359B2" w:rsidP="005359B2">
      <w:pPr>
        <w:pStyle w:val="NoSpacing"/>
        <w:jc w:val="both"/>
        <w:rPr>
          <w:rFonts w:ascii="Book Antiqua" w:hAnsi="Book Antiqua"/>
          <w:i/>
          <w:iCs/>
          <w:sz w:val="20"/>
        </w:rPr>
      </w:pPr>
    </w:p>
    <w:p w:rsidR="005359B2" w:rsidRPr="00370948" w:rsidRDefault="007B3EBC"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i/>
          <w:iCs/>
          <w:sz w:val="20"/>
        </w:rPr>
        <w:t>.</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(10)</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w:t>
      </w:r>
      <m:oMath>
        <m:r>
          <w:rPr>
            <w:rFonts w:ascii="Cambria Math" w:hAnsi="Cambria Math"/>
            <w:sz w:val="20"/>
          </w:rPr>
          <m:t>e</m:t>
        </m:r>
      </m:oMath>
      <w:r w:rsidRPr="00370948">
        <w:rPr>
          <w:rFonts w:ascii="Book Antiqua" w:hAnsi="Book Antiqua"/>
          <w:sz w:val="20"/>
        </w:rPr>
        <w:t xml:space="preserve"> is the electronic charge and </w:t>
      </w:r>
      <m:oMath>
        <m:r>
          <w:rPr>
            <w:rFonts w:ascii="Cambria Math" w:hAnsi="Cambria Math"/>
            <w:sz w:val="20"/>
          </w:rPr>
          <m:t>ε</m:t>
        </m:r>
      </m:oMath>
      <w:r w:rsidRPr="00370948">
        <w:rPr>
          <w:rFonts w:ascii="Book Antiqua" w:hAnsi="Book Antiqua"/>
          <w:sz w:val="20"/>
        </w:rPr>
        <w:t xml:space="preserve"> the electrical permittivity of free space.  However, in Chapter 2, it was shown that </w:t>
      </w:r>
      <m:oMath>
        <m:r>
          <w:rPr>
            <w:rFonts w:ascii="Cambria Math" w:hAnsi="Cambria Math"/>
            <w:sz w:val="20"/>
          </w:rPr>
          <m:t>ε</m:t>
        </m:r>
      </m:oMath>
      <w:r w:rsidRPr="00370948">
        <w:rPr>
          <w:rFonts w:ascii="Book Antiqua" w:hAnsi="Book Antiqua"/>
          <w:i/>
          <w:iCs/>
          <w:sz w:val="20"/>
        </w:rPr>
        <w:t xml:space="preserve"> </w:t>
      </w:r>
      <w:r w:rsidRPr="00370948">
        <w:rPr>
          <w:rFonts w:ascii="Book Antiqua" w:hAnsi="Book Antiqua"/>
          <w:iCs/>
          <w:sz w:val="20"/>
        </w:rPr>
        <w:t xml:space="preserve">is </w:t>
      </w:r>
      <w:r w:rsidRPr="00370948">
        <w:rPr>
          <w:rFonts w:ascii="Book Antiqua" w:hAnsi="Book Antiqua"/>
          <w:sz w:val="20"/>
        </w:rPr>
        <w:t xml:space="preserve">proportional to the ZPE strength, </w:t>
      </w:r>
      <m:oMath>
        <m:r>
          <w:rPr>
            <w:rFonts w:ascii="Cambria Math" w:hAnsi="Cambria Math"/>
            <w:sz w:val="20"/>
          </w:rPr>
          <m:t>U</m:t>
        </m:r>
      </m:oMath>
      <w:r w:rsidRPr="00370948">
        <w:rPr>
          <w:rFonts w:ascii="Book Antiqua" w:hAnsi="Book Antiqua"/>
          <w:sz w:val="20"/>
        </w:rPr>
        <w:t xml:space="preserve">. This means (10) requires that: </w:t>
      </w:r>
    </w:p>
    <w:p w:rsidR="005359B2" w:rsidRPr="00370948" w:rsidRDefault="005359B2" w:rsidP="005359B2">
      <w:pPr>
        <w:pStyle w:val="NoSpacing"/>
        <w:jc w:val="both"/>
        <w:rPr>
          <w:rFonts w:ascii="Book Antiqua" w:hAnsi="Book Antiqua"/>
          <w:i/>
          <w:iCs/>
          <w:sz w:val="20"/>
        </w:rPr>
      </w:pPr>
    </w:p>
    <w:p w:rsidR="005359B2" w:rsidRPr="00370948" w:rsidRDefault="007B3EBC" w:rsidP="005359B2">
      <w:pPr>
        <w:pStyle w:val="NoSpacing"/>
        <w:jc w:val="right"/>
        <w:rPr>
          <w:rFonts w:ascii="Book Antiqua" w:hAnsi="Book Antiqua"/>
          <w:sz w:val="20"/>
        </w:rPr>
      </w:pPr>
      <m:oMath>
        <m:sSup>
          <m:sSupPr>
            <m:ctrlPr>
              <w:rPr>
                <w:rFonts w:ascii="Cambria Math" w:hAnsi="Book Antiqua"/>
                <w:i/>
                <w:iCs/>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 xml:space="preserve"> ~ </m:t>
        </m:r>
        <m:r>
          <w:rPr>
            <w:rFonts w:ascii="Cambria Math" w:hAnsi="Cambria Math"/>
            <w:sz w:val="20"/>
          </w:rPr>
          <m:t>U</m:t>
        </m:r>
      </m:oMath>
      <w:r w:rsidR="005359B2" w:rsidRPr="00370948">
        <w:rPr>
          <w:rFonts w:ascii="Book Antiqua" w:hAnsi="Book Antiqua"/>
          <w:i/>
          <w:iCs/>
          <w:sz w:val="20"/>
        </w:rPr>
        <w:t xml:space="preserve"> .</w:t>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r>
      <w:r w:rsidR="005359B2" w:rsidRPr="00370948">
        <w:rPr>
          <w:rFonts w:ascii="Book Antiqua" w:hAnsi="Book Antiqua"/>
          <w:i/>
          <w:iCs/>
          <w:sz w:val="20"/>
        </w:rPr>
        <w:tab/>
        <w:t xml:space="preserve"> </w:t>
      </w:r>
      <w:r w:rsidR="005359B2" w:rsidRPr="00370948">
        <w:rPr>
          <w:rFonts w:ascii="Book Antiqua" w:hAnsi="Book Antiqua"/>
          <w:i/>
          <w:sz w:val="20"/>
        </w:rPr>
        <w:t>(11)</w:t>
      </w:r>
      <w:r w:rsidR="005359B2"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Since electrostatic force, </w:t>
      </w:r>
      <m:oMath>
        <m:r>
          <w:rPr>
            <w:rFonts w:ascii="Cambria Math" w:hAnsi="Cambria Math"/>
            <w:sz w:val="20"/>
          </w:rPr>
          <m:t>F</m:t>
        </m:r>
      </m:oMath>
      <w:r w:rsidRPr="00370948">
        <w:rPr>
          <w:rFonts w:ascii="Book Antiqua" w:hAnsi="Book Antiqua"/>
          <w:sz w:val="20"/>
        </w:rPr>
        <w:t xml:space="preserve">, is given by the terms </w:t>
      </w:r>
      <m:oMath>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m:t>
        </m:r>
      </m:oMath>
      <w:r w:rsidRPr="00370948">
        <w:rPr>
          <w:rFonts w:ascii="Book Antiqua" w:hAnsi="Book Antiqua"/>
          <w:sz w:val="20"/>
        </w:rPr>
        <w:t xml:space="preserve">], which is constant when </w:t>
      </w:r>
      <m:oMath>
        <m:r>
          <w:rPr>
            <w:rFonts w:ascii="Cambria Math" w:hAnsi="Cambria Math"/>
            <w:sz w:val="20"/>
          </w:rPr>
          <m:t>r</m:t>
        </m:r>
      </m:oMath>
      <w:r w:rsidRPr="00370948">
        <w:rPr>
          <w:rFonts w:ascii="Book Antiqua" w:hAnsi="Book Antiqua"/>
          <w:sz w:val="20"/>
        </w:rPr>
        <w:t xml:space="preserve"> (distance) is constant, then we can write</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F</m:t>
        </m:r>
        <m:r>
          <w:rPr>
            <w:rFonts w:ascii="Cambria Math" w:hAnsi="Book Antiqua"/>
            <w:sz w:val="20"/>
            <w:lang w:val="en-CA"/>
          </w:rPr>
          <m:t xml:space="preserve">  =  </m:t>
        </m:r>
        <m:r>
          <w:rPr>
            <w:rFonts w:ascii="Cambria Math" w:hAnsi="Book Antiqua"/>
            <w:sz w:val="20"/>
          </w:rPr>
          <m:t>(</m:t>
        </m:r>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But if </w:t>
      </w:r>
      <m:oMath>
        <m:r>
          <w:rPr>
            <w:rFonts w:ascii="Cambria Math" w:hAnsi="Cambria Math"/>
            <w:sz w:val="20"/>
          </w:rPr>
          <m:t>E</m:t>
        </m:r>
      </m:oMath>
      <w:r w:rsidRPr="00370948">
        <w:rPr>
          <w:rFonts w:ascii="Book Antiqua" w:hAnsi="Book Antiqua"/>
          <w:sz w:val="20"/>
        </w:rPr>
        <w:t xml:space="preserve"> is the magnitude of the electric field strength, then the electrostatic force </w:t>
      </w:r>
      <m:oMath>
        <m:r>
          <w:rPr>
            <w:rFonts w:ascii="Cambria Math" w:hAnsi="Cambria Math"/>
            <w:sz w:val="20"/>
          </w:rPr>
          <m:t>F</m:t>
        </m:r>
      </m:oMath>
      <w:r w:rsidRPr="00370948">
        <w:rPr>
          <w:rFonts w:ascii="Book Antiqua" w:hAnsi="Book Antiqua"/>
          <w:sz w:val="20"/>
        </w:rPr>
        <w:t xml:space="preserve"> is also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F</m:t>
        </m:r>
        <m:r>
          <w:rPr>
            <w:rFonts w:ascii="Cambria Math" w:hAnsi="Book Antiqua"/>
            <w:sz w:val="20"/>
          </w:rPr>
          <m:t xml:space="preserve"> = </m:t>
        </m:r>
        <m:r>
          <w:rPr>
            <w:rFonts w:ascii="Cambria Math" w:hAnsi="Cambria Math"/>
            <w:sz w:val="20"/>
          </w:rPr>
          <m:t>e</m:t>
        </m:r>
        <m:r>
          <w:rPr>
            <w:rFonts w:ascii="Cambria Math" w:hAnsi="Book Antiqua"/>
            <w:sz w:val="20"/>
          </w:rPr>
          <m:t xml:space="preserve"> </m:t>
        </m:r>
        <m:r>
          <w:rPr>
            <w:rFonts w:ascii="Cambria Math" w:hAnsi="Cambria Math"/>
            <w:sz w:val="20"/>
          </w:rPr>
          <m:t>E</m:t>
        </m:r>
        <m:r>
          <w:rPr>
            <w:rFonts w:ascii="Cambria Math" w:hAnsi="Book Antiqua"/>
            <w:sz w:val="20"/>
          </w:rPr>
          <m:t xml:space="preserve">  =  </m:t>
        </m:r>
        <m:r>
          <w:rPr>
            <w:rFonts w:ascii="Cambria Math" w:hAnsi="Cambria Math"/>
            <w:sz w:val="20"/>
          </w:rPr>
          <m:t>constant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Therefore, from (11) and (13), it follows that the magnitude of the field strength, </w:t>
      </w:r>
      <m:oMath>
        <m:r>
          <w:rPr>
            <w:rFonts w:ascii="Cambria Math" w:hAnsi="Cambria Math"/>
            <w:sz w:val="20"/>
          </w:rPr>
          <m:t>E</m:t>
        </m:r>
      </m:oMath>
      <w:r w:rsidRPr="00370948">
        <w:rPr>
          <w:rFonts w:ascii="Book Antiqua" w:hAnsi="Book Antiqua"/>
          <w:sz w:val="20"/>
        </w:rPr>
        <w:t>,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ab/>
        <w:t xml:space="preserve"> (14)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Field strengths can also be written as </w:t>
      </w:r>
      <m:oMath>
        <m:r>
          <w:rPr>
            <w:rFonts w:ascii="Cambria Math" w:hAnsi="Cambria Math"/>
            <w:sz w:val="20"/>
          </w:rPr>
          <m:t>E</m:t>
        </m:r>
        <m:r>
          <w:rPr>
            <w:rFonts w:ascii="Cambria Math" w:hAnsi="Book Antiqua"/>
            <w:sz w:val="20"/>
          </w:rPr>
          <m:t xml:space="preserve"> = </m:t>
        </m:r>
        <m:r>
          <w:rPr>
            <w:rFonts w:ascii="Cambria Math" w:hAnsi="Cambria Math"/>
            <w:sz w:val="20"/>
          </w:rPr>
          <m:t>V</m:t>
        </m:r>
        <m:r>
          <w:rPr>
            <w:rFonts w:ascii="Cambria Math" w:hAnsi="Book Antiqua"/>
            <w:sz w:val="20"/>
          </w:rPr>
          <m:t>/</m:t>
        </m:r>
        <m:r>
          <w:rPr>
            <w:rFonts w:ascii="Cambria Math" w:hAnsi="Cambria Math"/>
            <w:sz w:val="20"/>
          </w:rPr>
          <m:t>r</m:t>
        </m:r>
      </m:oMath>
      <w:r w:rsidRPr="00370948">
        <w:rPr>
          <w:rFonts w:ascii="Book Antiqua" w:hAnsi="Book Antiqua"/>
          <w:sz w:val="20"/>
        </w:rPr>
        <w:t xml:space="preserve"> in volts per meter. Since distance, </w:t>
      </w:r>
      <m:oMath>
        <m:r>
          <w:rPr>
            <w:rFonts w:ascii="Cambria Math" w:hAnsi="Cambria Math"/>
            <w:sz w:val="20"/>
          </w:rPr>
          <m:t>r</m:t>
        </m:r>
      </m:oMath>
      <w:r w:rsidRPr="00370948">
        <w:rPr>
          <w:rFonts w:ascii="Book Antiqua" w:hAnsi="Book Antiqua"/>
          <w:sz w:val="20"/>
        </w:rPr>
        <w:t>, is unchanged, then: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w:lastRenderedPageBreak/>
          <m:t>V</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(15)</w:t>
      </w:r>
    </w:p>
    <w:p w:rsidR="005359B2" w:rsidRPr="00370948" w:rsidRDefault="005359B2" w:rsidP="005359B2">
      <w:pPr>
        <w:pStyle w:val="NoSpacing"/>
        <w:jc w:val="both"/>
        <w:rPr>
          <w:rFonts w:ascii="Book Antiqua" w:hAnsi="Book Antiqua"/>
          <w:i/>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There is, however, an alternative derivation, since the potential at a given point is defined in [55] as: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V</m:t>
        </m:r>
        <m:r>
          <w:rPr>
            <w:rFonts w:ascii="Cambria Math" w:hAnsi="Book Antiqua"/>
            <w:sz w:val="20"/>
            <w:lang w:val="en-CA"/>
          </w:rPr>
          <m:t xml:space="preserve">  =   </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ε</m:t>
        </m:r>
        <m:r>
          <w:rPr>
            <w:rFonts w:ascii="Cambria Math" w:hAnsi="Book Antiqua"/>
            <w:sz w:val="20"/>
          </w:rPr>
          <m:t>)[1/(4</m:t>
        </m:r>
        <m:r>
          <w:rPr>
            <w:rFonts w:ascii="Cambria Math" w:hAnsi="Cambria Math"/>
            <w:sz w:val="20"/>
          </w:rPr>
          <m:t>π</m:t>
        </m:r>
        <m:r>
          <w:rPr>
            <w:rFonts w:ascii="Cambria Math" w:hAnsi="Book Antiqua"/>
            <w:sz w:val="20"/>
          </w:rPr>
          <m:t xml:space="preserve"> </m:t>
        </m:r>
        <m:r>
          <w:rPr>
            <w:rFonts w:ascii="Cambria Math" w:hAnsi="Cambria Math"/>
            <w:sz w:val="20"/>
          </w:rPr>
          <m:t>r</m:t>
        </m:r>
        <m:r>
          <w:rPr>
            <w:rFonts w:ascii="Cambria Math" w:hAnsi="Book Antiqua"/>
            <w:sz w:val="20"/>
          </w:rPr>
          <m:t xml:space="preserve">)] </m:t>
        </m:r>
        <m:r>
          <w:rPr>
            <w:rFonts w:ascii="Cambria Math" w:hAnsi="Cambria Math"/>
            <w:sz w:val="20"/>
          </w:rPr>
          <m:t>volts</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u w:val="single"/>
          <w:lang w:val="en-CA"/>
        </w:rPr>
        <w:t>(16)</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 xml:space="preserve">This means that the energy of a charged conductor, </w:t>
      </w:r>
      <m:oMath>
        <m:r>
          <w:rPr>
            <w:rFonts w:ascii="Cambria Math" w:hAnsi="Cambria Math"/>
            <w:sz w:val="20"/>
            <w:lang w:val="en-CA"/>
          </w:rPr>
          <m:t>½</m:t>
        </m:r>
        <m:r>
          <w:rPr>
            <w:rFonts w:ascii="Cambria Math" w:hAnsi="Book Antiqua"/>
            <w:sz w:val="20"/>
            <w:lang w:val="en-CA"/>
          </w:rPr>
          <m:t xml:space="preserve"> </m:t>
        </m:r>
        <m:r>
          <w:rPr>
            <w:rFonts w:ascii="Cambria Math" w:hAnsi="Cambria Math"/>
            <w:sz w:val="20"/>
            <w:lang w:val="en-CA"/>
          </w:rPr>
          <m:t>eV</m:t>
        </m:r>
      </m:oMath>
      <w:r w:rsidRPr="00370948">
        <w:rPr>
          <w:rFonts w:ascii="Book Antiqua" w:hAnsi="Book Antiqua"/>
          <w:i/>
          <w:sz w:val="20"/>
          <w:lang w:val="en-CA"/>
        </w:rPr>
        <w:t xml:space="preserve">, </w:t>
      </w:r>
      <w:r w:rsidRPr="00370948">
        <w:rPr>
          <w:rFonts w:ascii="Book Antiqua" w:hAnsi="Book Antiqua"/>
          <w:sz w:val="20"/>
          <w:lang w:val="en-CA"/>
        </w:rPr>
        <w:t xml:space="preserve">is constant from (11) and (15). Therefore, from the definition of capacitance, </w:t>
      </w: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oMath>
      <w:r w:rsidRPr="00370948">
        <w:rPr>
          <w:rFonts w:ascii="Book Antiqua" w:hAnsi="Book Antiqua"/>
          <w:i/>
          <w:sz w:val="20"/>
          <w:lang w:val="en-CA"/>
        </w:rPr>
        <w:t>,</w:t>
      </w:r>
      <w:r w:rsidRPr="00370948">
        <w:rPr>
          <w:rFonts w:ascii="Book Antiqua" w:hAnsi="Book Antiqua"/>
          <w:sz w:val="20"/>
          <w:lang w:val="en-CA"/>
        </w:rPr>
        <w:t xml:space="preserve"> and from (16), it will behave as follows:</w:t>
      </w:r>
    </w:p>
    <w:p w:rsidR="005359B2" w:rsidRPr="00370948" w:rsidRDefault="005359B2" w:rsidP="005359B2">
      <w:pPr>
        <w:pStyle w:val="NoSpacing"/>
        <w:jc w:val="both"/>
        <w:rPr>
          <w:rFonts w:ascii="Book Antiqua" w:hAnsi="Book Antiqua"/>
          <w:sz w:val="20"/>
          <w:lang w:val="en-CA"/>
        </w:rPr>
      </w:pPr>
      <w:r w:rsidRPr="00370948">
        <w:rPr>
          <w:rFonts w:ascii="Book Antiqua" w:hAnsi="Book Antiqua"/>
          <w:sz w:val="20"/>
          <w:lang w:val="en-CA"/>
        </w:rPr>
        <w:t xml:space="preserve"> </w:t>
      </w: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C</m:t>
        </m:r>
        <m:r>
          <w:rPr>
            <w:rFonts w:ascii="Cambria Math" w:hAnsi="Book Antiqua"/>
            <w:sz w:val="20"/>
            <w:lang w:val="en-CA"/>
          </w:rPr>
          <m:t xml:space="preserve">  =  </m:t>
        </m:r>
        <m:r>
          <w:rPr>
            <w:rFonts w:ascii="Cambria Math" w:hAnsi="Cambria Math"/>
            <w:sz w:val="20"/>
            <w:lang w:val="en-CA"/>
          </w:rPr>
          <m:t>e</m:t>
        </m:r>
        <m:r>
          <w:rPr>
            <w:rFonts w:ascii="Cambria Math" w:hAnsi="Book Antiqua"/>
            <w:sz w:val="20"/>
            <w:lang w:val="en-CA"/>
          </w:rPr>
          <m:t>/</m:t>
        </m:r>
        <m:r>
          <w:rPr>
            <w:rFonts w:ascii="Cambria Math" w:hAnsi="Cambria Math"/>
            <w:sz w:val="20"/>
            <w:lang w:val="en-CA"/>
          </w:rPr>
          <m:t>V</m:t>
        </m:r>
        <m:r>
          <w:rPr>
            <w:rFonts w:ascii="Cambria Math" w:hAnsi="Book Antiqua"/>
            <w:sz w:val="20"/>
            <w:lang w:val="en-CA"/>
          </w:rPr>
          <m:t xml:space="preserve"> = </m:t>
        </m:r>
        <m:r>
          <w:rPr>
            <w:rFonts w:ascii="Cambria Math" w:hAnsi="Book Antiqua"/>
            <w:sz w:val="20"/>
          </w:rPr>
          <m:t>4</m:t>
        </m:r>
        <m:r>
          <w:rPr>
            <w:rFonts w:ascii="Cambria Math" w:hAnsi="Cambria Math"/>
            <w:sz w:val="20"/>
          </w:rPr>
          <m:t>π</m:t>
        </m:r>
        <m:r>
          <w:rPr>
            <w:rFonts w:ascii="Cambria Math" w:hAnsi="Book Antiqua"/>
            <w:sz w:val="20"/>
          </w:rPr>
          <m:t xml:space="preserve"> </m:t>
        </m:r>
        <m:r>
          <w:rPr>
            <w:rFonts w:ascii="Cambria Math" w:hAnsi="Cambria Math"/>
            <w:sz w:val="20"/>
          </w:rPr>
          <m:t>ε</m:t>
        </m:r>
        <m:r>
          <w:rPr>
            <w:rFonts w:ascii="Cambria Math" w:hAnsi="Book Antiqua"/>
            <w:sz w:val="20"/>
          </w:rPr>
          <m:t xml:space="preserve"> </m:t>
        </m:r>
        <m:r>
          <w:rPr>
            <w:rFonts w:ascii="Cambria Math" w:hAnsi="Cambria Math"/>
            <w:sz w:val="20"/>
          </w:rPr>
          <m:t>r</m:t>
        </m:r>
        <m:r>
          <w:rPr>
            <w:rFonts w:ascii="Cambria Math" w:hAnsi="Book Antiqua"/>
            <w:sz w:val="20"/>
          </w:rPr>
          <m:t xml:space="preserve">   ~  1/ </m:t>
        </m:r>
        <m:r>
          <w:rPr>
            <w:rFonts w:ascii="Cambria Math" w:hAnsi="Cambria Math"/>
            <w:sz w:val="20"/>
          </w:rPr>
          <m:t>c</m:t>
        </m:r>
        <m:r>
          <w:rPr>
            <w:rFonts w:ascii="Cambria Math" w:hAnsi="Book Antiqua"/>
            <w:sz w:val="20"/>
          </w:rPr>
          <m:t xml:space="preserve">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w:t>
      </w:r>
      <w:r w:rsidRPr="00370948">
        <w:rPr>
          <w:rFonts w:ascii="Book Antiqua" w:hAnsi="Book Antiqua"/>
          <w:i/>
          <w:sz w:val="20"/>
          <w:lang w:val="en-CA"/>
        </w:rPr>
        <w:t>(17)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Since forces are constant in this scenario (see above), then (5) can be written</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jc w:val="right"/>
        <w:rPr>
          <w:rFonts w:ascii="Book Antiqua" w:hAnsi="Book Antiqua"/>
          <w:i/>
          <w:sz w:val="20"/>
        </w:rPr>
      </w:pPr>
      <m:oMath>
        <m:r>
          <w:rPr>
            <w:rFonts w:ascii="Cambria Math" w:hAnsi="Cambria Math"/>
            <w:sz w:val="20"/>
          </w:rPr>
          <m:t>δF</m:t>
        </m:r>
        <m:r>
          <w:rPr>
            <w:rFonts w:ascii="Cambria Math" w:hAnsi="Book Antiqua"/>
            <w:sz w:val="20"/>
          </w:rPr>
          <m:t xml:space="preserve"> </m:t>
        </m:r>
        <m:r>
          <m:rPr>
            <m:sty m:val="bi"/>
          </m:rPr>
          <w:rPr>
            <w:rFonts w:ascii="Cambria Math" w:hAnsi="Book Antiqua"/>
            <w:sz w:val="20"/>
          </w:rPr>
          <m:t>/</m:t>
        </m:r>
        <m:r>
          <w:rPr>
            <w:rFonts w:ascii="Cambria Math" w:hAnsi="Book Antiqua"/>
            <w:sz w:val="20"/>
          </w:rPr>
          <m:t xml:space="preserve"> </m:t>
        </m:r>
        <m:r>
          <w:rPr>
            <w:rFonts w:ascii="Cambria Math" w:hAnsi="Cambria Math"/>
            <w:sz w:val="20"/>
          </w:rPr>
          <m:t>δl</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m:rPr>
            <m:sty m:val="bi"/>
          </m:rPr>
          <w:rPr>
            <w:rFonts w:ascii="Cambria Math" w:hAnsi="Book Antiqua"/>
            <w:sz w:val="20"/>
            <w:vertAlign w:val="subscript"/>
          </w:rPr>
          <m:t xml:space="preserve"> </m:t>
        </m:r>
        <m:r>
          <m:rPr>
            <m:sty m:val="bi"/>
          </m:rPr>
          <w:rPr>
            <w:rFonts w:ascii="Cambria Math" w:hAnsi="Book Antiqua"/>
            <w:sz w:val="20"/>
          </w:rPr>
          <m:t xml:space="preserve">/ </m:t>
        </m:r>
        <m:r>
          <w:rPr>
            <w:rFonts w:ascii="Cambria Math" w:hAnsi="Cambria Math"/>
            <w:sz w:val="20"/>
          </w:rPr>
          <m:t>r</m:t>
        </m:r>
        <m:r>
          <w:rPr>
            <w:rFonts w:ascii="Cambria Math" w:hAnsi="Book Antiqua"/>
            <w:sz w:val="20"/>
          </w:rPr>
          <m:t>)(</m:t>
        </m:r>
        <m:r>
          <w:rPr>
            <w:rFonts w:ascii="Cambria Math" w:hAnsi="Cambria Math"/>
            <w:sz w:val="20"/>
          </w:rPr>
          <m:t>μ</m:t>
        </m:r>
        <m:r>
          <m:rPr>
            <m:sty m:val="bi"/>
          </m:rPr>
          <w:rPr>
            <w:rFonts w:ascii="Cambria Math" w:hAnsi="Book Antiqua"/>
            <w:sz w:val="20"/>
          </w:rPr>
          <m:t>/</m:t>
        </m:r>
        <m:r>
          <w:rPr>
            <w:rFonts w:ascii="Cambria Math" w:hAnsi="Book Antiqua"/>
            <w:sz w:val="20"/>
          </w:rPr>
          <m:t>2</m:t>
        </m:r>
        <m:r>
          <w:rPr>
            <w:rFonts w:ascii="Cambria Math" w:hAnsi="Cambria Math"/>
            <w:sz w:val="20"/>
          </w:rPr>
          <m:t>π</m:t>
        </m:r>
        <m:r>
          <w:rPr>
            <w:rFonts w:ascii="Cambria Math" w:hAnsi="Book Antiqua"/>
            <w:sz w:val="20"/>
          </w:rPr>
          <m:t xml:space="preserve">)  =  </m:t>
        </m:r>
        <m:r>
          <w:rPr>
            <w:rFonts w:ascii="Cambria Math" w:hAnsi="Cambria Math"/>
            <w:sz w:val="20"/>
          </w:rPr>
          <m:t>constant</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(18)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means that </w:t>
      </w: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μ</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1</m:t>
            </m:r>
          </m:sub>
        </m:sSub>
        <m:r>
          <w:rPr>
            <w:rFonts w:ascii="Cambria Math" w:hAnsi="Book Antiqua"/>
            <w:sz w:val="20"/>
            <w:vertAlign w:val="subscript"/>
          </w:rPr>
          <m:t xml:space="preserve"> </m:t>
        </m:r>
        <m:sSub>
          <m:sSubPr>
            <m:ctrlPr>
              <w:rPr>
                <w:rFonts w:ascii="Cambria Math" w:hAnsi="Book Antiqua"/>
                <w:i/>
                <w:sz w:val="20"/>
              </w:rPr>
            </m:ctrlPr>
          </m:sSubPr>
          <m:e>
            <m:r>
              <w:rPr>
                <w:rFonts w:ascii="Cambria Math" w:hAnsi="Cambria Math"/>
                <w:sz w:val="20"/>
              </w:rPr>
              <m:t>I</m:t>
            </m:r>
          </m:e>
          <m:sub>
            <m:r>
              <w:rPr>
                <w:rFonts w:ascii="Cambria Math" w:hAnsi="Book Antiqua"/>
                <w:sz w:val="20"/>
              </w:rPr>
              <m:t>2</m:t>
            </m:r>
          </m:sub>
        </m:sSub>
        <m:r>
          <w:rPr>
            <w:rFonts w:ascii="Cambria Math" w:hAnsi="Book Antiqua"/>
            <w:sz w:val="20"/>
          </w:rPr>
          <m:t>=</m:t>
        </m:r>
        <m:r>
          <w:rPr>
            <w:rFonts w:ascii="Cambria Math" w:hAnsi="Cambria Math"/>
            <w:sz w:val="20"/>
          </w:rPr>
          <m:t>constant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(19)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If the currents are of equal magnitude, and in line with Chapter 2,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μ</m:t>
        </m:r>
        <m:r>
          <w:rPr>
            <w:rFonts w:ascii="Cambria Math" w:hAnsi="Book Antiqua"/>
            <w:sz w:val="20"/>
          </w:rPr>
          <m:t xml:space="preserve"> ~ 1/</m:t>
        </m:r>
        <m:r>
          <w:rPr>
            <w:rFonts w:ascii="Cambria Math" w:hAnsi="Cambria Math"/>
            <w:sz w:val="20"/>
          </w:rPr>
          <m:t>c</m:t>
        </m:r>
      </m:oMath>
      <w:r w:rsidRPr="00370948">
        <w:rPr>
          <w:rFonts w:ascii="Book Antiqua" w:hAnsi="Book Antiqua"/>
          <w:i/>
          <w:iCs/>
          <w:sz w:val="20"/>
        </w:rPr>
        <w:t xml:space="preserve">  .  </w:t>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r>
      <w:r w:rsidRPr="00370948">
        <w:rPr>
          <w:rFonts w:ascii="Book Antiqua" w:hAnsi="Book Antiqua"/>
          <w:i/>
          <w:iCs/>
          <w:sz w:val="20"/>
        </w:rPr>
        <w:tab/>
        <w:t>(20)</w:t>
      </w:r>
      <w:r w:rsidRPr="00370948">
        <w:rPr>
          <w:rFonts w:ascii="Book Antiqua" w:hAnsi="Book Antiqua"/>
          <w:i/>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Then, applying (20) to (19) requires </w:t>
      </w:r>
      <m:oMath>
        <m:r>
          <w:rPr>
            <w:rFonts w:ascii="Cambria Math" w:hAnsi="Cambria Math"/>
            <w:sz w:val="20"/>
          </w:rPr>
          <m:t>I</m:t>
        </m:r>
      </m:oMath>
      <w:r w:rsidRPr="00370948">
        <w:rPr>
          <w:rFonts w:ascii="Book Antiqua" w:hAnsi="Book Antiqua"/>
          <w:sz w:val="20"/>
        </w:rPr>
        <w:t xml:space="preserve"> to behave as follows:</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sz w:val="20"/>
          <w:lang w:val="en-CA"/>
        </w:rPr>
      </w:pPr>
      <m:oMath>
        <m:r>
          <w:rPr>
            <w:rFonts w:ascii="Cambria Math" w:hAnsi="Cambria Math"/>
            <w:sz w:val="20"/>
            <w:lang w:val="en-CA"/>
          </w:rPr>
          <m:t>I</m:t>
        </m:r>
        <m:r>
          <w:rPr>
            <w:rFonts w:ascii="Cambria Math" w:hAnsi="Book Antiqua"/>
            <w:sz w:val="20"/>
            <w:lang w:val="en-CA"/>
          </w:rPr>
          <m:t xml:space="preserve">  </m:t>
        </m:r>
        <m:r>
          <w:rPr>
            <w:rFonts w:ascii="Cambria Math" w:hAnsi="Book Antiqua"/>
            <w:sz w:val="20"/>
          </w:rPr>
          <m:t xml:space="preserve">~  </m:t>
        </m:r>
        <m:r>
          <w:rPr>
            <w:rFonts w:ascii="Cambria Math" w:hAnsi="Cambria Math"/>
            <w:sz w:val="20"/>
          </w:rPr>
          <m:t>√c</m:t>
        </m:r>
        <m:r>
          <w:rPr>
            <w:rFonts w:ascii="Cambria Math" w:hAnsi="Book Antiqua"/>
            <w:sz w:val="20"/>
          </w:rPr>
          <m:t xml:space="preserve">  ~  1/ (</m:t>
        </m:r>
        <m:r>
          <w:rPr>
            <w:rFonts w:ascii="Cambria Math" w:hAnsi="Cambria Math"/>
            <w:sz w:val="20"/>
          </w:rPr>
          <m:t>√U</m:t>
        </m:r>
        <m:r>
          <w:rPr>
            <w:rFonts w:ascii="Cambria Math" w:hAnsi="Book Antiqua"/>
            <w:sz w:val="20"/>
          </w:rPr>
          <m:t>)</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above equation indicates electric currents generally will be proportional to </w:t>
      </w:r>
      <m:oMath>
        <m:r>
          <w:rPr>
            <w:rFonts w:ascii="Cambria Math" w:hAnsi="Cambria Math"/>
            <w:sz w:val="20"/>
          </w:rPr>
          <m:t>√c</m:t>
        </m:r>
      </m:oMath>
      <w:r w:rsidRPr="00370948">
        <w:rPr>
          <w:rFonts w:ascii="Book Antiqua" w:hAnsi="Book Antiqua"/>
          <w:sz w:val="20"/>
        </w:rPr>
        <w:t xml:space="preserve">. Equations in Chapter 2 support this. Further, as power, </w:t>
      </w:r>
      <m:oMath>
        <m:r>
          <w:rPr>
            <w:rFonts w:ascii="Cambria Math" w:hAnsi="Cambria Math"/>
            <w:sz w:val="20"/>
          </w:rPr>
          <m:t>P</m:t>
        </m:r>
      </m:oMath>
      <w:r w:rsidRPr="00370948">
        <w:rPr>
          <w:rFonts w:ascii="Book Antiqua" w:hAnsi="Book Antiqua"/>
          <w:sz w:val="20"/>
        </w:rPr>
        <w:t xml:space="preserve">, equals current, </w:t>
      </w:r>
      <m:oMath>
        <m:r>
          <w:rPr>
            <w:rFonts w:ascii="Cambria Math" w:hAnsi="Cambria Math"/>
            <w:sz w:val="20"/>
          </w:rPr>
          <m:t>I</m:t>
        </m:r>
      </m:oMath>
      <w:r w:rsidRPr="00370948">
        <w:rPr>
          <w:rFonts w:ascii="Book Antiqua" w:hAnsi="Book Antiqua"/>
          <w:sz w:val="20"/>
        </w:rPr>
        <w:t xml:space="preserve">, multiplied by voltage, </w:t>
      </w:r>
      <m:oMath>
        <m:r>
          <w:rPr>
            <w:rFonts w:ascii="Cambria Math" w:hAnsi="Cambria Math"/>
            <w:sz w:val="20"/>
          </w:rPr>
          <m:t>V</m:t>
        </m:r>
      </m:oMath>
      <w:r w:rsidRPr="00370948">
        <w:rPr>
          <w:rFonts w:ascii="Book Antiqua" w:hAnsi="Book Antiqua"/>
          <w:sz w:val="20"/>
        </w:rPr>
        <w:t>, then from (15), (16) and (21) we have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V</m:t>
        </m:r>
        <m:r>
          <w:rPr>
            <w:rFonts w:ascii="Cambria Math" w:hAnsi="Book Antiqua"/>
            <w:sz w:val="20"/>
          </w:rPr>
          <m:t xml:space="preserve">  ~  </m:t>
        </m:r>
        <m:r>
          <w:rPr>
            <w:rFonts w:ascii="Cambria Math" w:hAnsi="Cambria Math"/>
            <w:sz w:val="20"/>
          </w:rPr>
          <m:t>c</m:t>
        </m:r>
        <m:r>
          <w:rPr>
            <w:rFonts w:ascii="Cambria Math" w:hAnsi="Book Antiqua"/>
            <w:sz w:val="20"/>
          </w:rPr>
          <m:t xml:space="preserve">  ~  1/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(22)</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means that power in watts is inversely proportional to ZPE strength. Continuing, the resistance,</w:t>
      </w:r>
      <m:oMath>
        <m:r>
          <w:rPr>
            <w:rFonts w:ascii="Cambria Math" w:hAnsi="Book Antiqua"/>
            <w:sz w:val="20"/>
          </w:rPr>
          <m:t xml:space="preserve"> </m:t>
        </m:r>
        <m:r>
          <w:rPr>
            <w:rFonts w:ascii="Cambria Math" w:hAnsi="Cambria Math"/>
            <w:sz w:val="20"/>
          </w:rPr>
          <m:t>R</m:t>
        </m:r>
      </m:oMath>
      <w:r w:rsidRPr="00370948">
        <w:rPr>
          <w:rFonts w:ascii="Book Antiqua" w:hAnsi="Book Antiqua"/>
          <w:sz w:val="20"/>
        </w:rPr>
        <w:t>, in ohms, is given by:</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m:t>R</m:t>
        </m:r>
        <m:r>
          <w:rPr>
            <w:rFonts w:ascii="Cambria Math" w:hAnsi="Book Antiqua"/>
            <w:sz w:val="20"/>
            <w:lang w:val="en-CA"/>
          </w:rPr>
          <m:t xml:space="preserve">  =  </m:t>
        </m:r>
        <m:r>
          <w:rPr>
            <w:rFonts w:ascii="Cambria Math" w:hAnsi="Cambria Math"/>
            <w:sz w:val="20"/>
            <w:lang w:val="en-CA"/>
          </w:rPr>
          <m:t>V</m:t>
        </m:r>
        <m:r>
          <w:rPr>
            <w:rFonts w:ascii="Cambria Math" w:hAnsi="Book Antiqua"/>
            <w:sz w:val="20"/>
            <w:lang w:val="en-CA"/>
          </w:rPr>
          <m:t xml:space="preserve"> / </m:t>
        </m:r>
        <m:r>
          <w:rPr>
            <w:rFonts w:ascii="Cambria Math" w:hAnsi="Cambria Math"/>
            <w:sz w:val="20"/>
            <w:lang w:val="en-CA"/>
          </w:rPr>
          <m:t>I</m:t>
        </m:r>
        <m:r>
          <w:rPr>
            <w:rFonts w:ascii="Cambria Math" w:hAnsi="Book Antiqua"/>
            <w:sz w:val="20"/>
            <w:lang w:val="en-CA"/>
          </w:rPr>
          <m:t xml:space="preserve">  =  </m:t>
        </m:r>
        <m:r>
          <w:rPr>
            <w:rFonts w:ascii="Cambria Math" w:hAnsi="Cambria Math"/>
            <w:sz w:val="20"/>
            <w:lang w:val="en-CA"/>
          </w:rPr>
          <m:t>constant</m:t>
        </m:r>
      </m:oMath>
      <w:r w:rsidRPr="00370948">
        <w:rPr>
          <w:rFonts w:ascii="Book Antiqua" w:hAnsi="Book Antiqua"/>
          <w:i/>
          <w:sz w:val="20"/>
          <w:lang w:val="en-CA"/>
        </w:rPr>
        <w:t xml:space="preserve">  .</w:t>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i/>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sz w:val="20"/>
          <w:lang w:val="en-CA"/>
        </w:rPr>
        <w:tab/>
      </w:r>
      <w:r w:rsidRPr="00370948">
        <w:rPr>
          <w:rFonts w:ascii="Book Antiqua" w:hAnsi="Book Antiqua"/>
          <w:i/>
          <w:sz w:val="20"/>
          <w:lang w:val="en-CA"/>
        </w:rPr>
        <w:t xml:space="preserve"> (23)</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Resistances thus remain fixed as the ZPE varies. This is experimentally supported by Hall resistance values given by the Von Klitzing constant. Therefore, both resistivity and conductivity are also constant. Note that magnetic field strengths have magnitudes defined as (</w:t>
      </w:r>
      <m:oMath>
        <m:r>
          <w:rPr>
            <w:rFonts w:ascii="Cambria Math" w:hAnsi="Cambria Math"/>
            <w:sz w:val="20"/>
          </w:rPr>
          <m:t>H</m:t>
        </m:r>
        <m:r>
          <w:rPr>
            <w:rFonts w:ascii="Cambria Math" w:hAnsi="Book Antiqua"/>
            <w:sz w:val="20"/>
          </w:rPr>
          <m:t xml:space="preserve">  =  </m:t>
        </m:r>
        <m:r>
          <w:rPr>
            <w:rFonts w:ascii="Cambria Math" w:hAnsi="Cambria Math"/>
            <w:sz w:val="20"/>
          </w:rPr>
          <m:t>I</m:t>
        </m:r>
        <m:r>
          <w:rPr>
            <w:rFonts w:ascii="Cambria Math" w:hAnsi="Book Antiqua"/>
            <w:sz w:val="20"/>
          </w:rPr>
          <m:t xml:space="preserve"> / </m:t>
        </m:r>
        <m:r>
          <w:rPr>
            <w:rFonts w:ascii="Cambria Math" w:hAnsi="Cambria Math"/>
            <w:sz w:val="20"/>
          </w:rPr>
          <m:t>r</m:t>
        </m:r>
      </m:oMath>
      <w:r w:rsidRPr="00370948">
        <w:rPr>
          <w:rFonts w:ascii="Book Antiqua" w:hAnsi="Book Antiqua"/>
          <w:sz w:val="20"/>
        </w:rPr>
        <w:t xml:space="preserve">) in units of amperes/meter, while magnetic moments,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oMath>
      <w:r w:rsidRPr="00370948">
        <w:rPr>
          <w:rFonts w:ascii="Book Antiqua" w:hAnsi="Book Antiqua"/>
          <w:sz w:val="20"/>
        </w:rPr>
        <w:t xml:space="preserve">, are proportional to current </w:t>
      </w:r>
      <w:r w:rsidRPr="00370948">
        <w:rPr>
          <w:rFonts w:ascii="Book Antiqua" w:hAnsi="Book Antiqua"/>
          <w:i/>
          <w:sz w:val="20"/>
        </w:rPr>
        <w:t>I</w:t>
      </w:r>
      <w:r w:rsidRPr="00370948">
        <w:rPr>
          <w:rFonts w:ascii="Book Antiqua" w:hAnsi="Book Antiqua"/>
          <w:sz w:val="20"/>
        </w:rPr>
        <w:t xml:space="preserve"> times area or amps meter</w:t>
      </w:r>
      <w:r w:rsidRPr="00370948">
        <w:rPr>
          <w:rFonts w:ascii="Book Antiqua" w:hAnsi="Book Antiqua"/>
          <w:sz w:val="20"/>
          <w:vertAlign w:val="superscript"/>
        </w:rPr>
        <w:t>2</w:t>
      </w:r>
      <w:r w:rsidRPr="00370948">
        <w:rPr>
          <w:rFonts w:ascii="Book Antiqua" w:hAnsi="Book Antiqua"/>
          <w:sz w:val="20"/>
        </w:rPr>
        <w:t xml:space="preserve">. Since </w:t>
      </w:r>
      <m:oMath>
        <m:r>
          <w:rPr>
            <w:rFonts w:ascii="Cambria Math" w:hAnsi="Cambria Math"/>
            <w:sz w:val="20"/>
          </w:rPr>
          <m:t>r</m:t>
        </m:r>
      </m:oMath>
      <w:r w:rsidRPr="00370948">
        <w:rPr>
          <w:rFonts w:ascii="Book Antiqua" w:hAnsi="Book Antiqua"/>
          <w:sz w:val="20"/>
        </w:rPr>
        <w:t xml:space="preserve"> is unchanged, then from (21) it follows that</w:t>
      </w:r>
      <m:oMath>
        <m:r>
          <w:rPr>
            <w:rFonts w:ascii="Cambria Math" w:hAnsi="Book Antiqua"/>
            <w:sz w:val="20"/>
          </w:rPr>
          <m:t xml:space="preserve"> </m:t>
        </m:r>
        <m:r>
          <w:rPr>
            <w:rFonts w:ascii="Cambria Math" w:hAnsi="Cambria Math"/>
            <w:sz w:val="20"/>
          </w:rPr>
          <m:t>H</m:t>
        </m:r>
      </m:oMath>
      <w:r w:rsidRPr="00370948">
        <w:rPr>
          <w:rFonts w:ascii="Book Antiqua" w:hAnsi="Book Antiqua"/>
          <w:sz w:val="20"/>
        </w:rPr>
        <w:t xml:space="preserve"> &amp; </w:t>
      </w:r>
      <m:oMath>
        <m:sSup>
          <m:sSupPr>
            <m:ctrlPr>
              <w:rPr>
                <w:rFonts w:ascii="Cambria Math" w:hAnsi="Book Antiqua"/>
                <w:i/>
                <w:sz w:val="20"/>
              </w:rPr>
            </m:ctrlPr>
          </m:sSupPr>
          <m:e>
            <m:r>
              <w:rPr>
                <w:rFonts w:ascii="Cambria Math" w:hAnsi="Cambria Math"/>
                <w:sz w:val="20"/>
              </w:rPr>
              <m:t>M</m:t>
            </m:r>
          </m:e>
          <m:sup>
            <m:r>
              <w:rPr>
                <w:rFonts w:ascii="Cambria Math" w:hAnsi="Cambria Math"/>
                <w:sz w:val="20"/>
              </w:rPr>
              <m:t>*</m:t>
            </m:r>
          </m:sup>
        </m:sSup>
        <m:r>
          <w:rPr>
            <w:rFonts w:ascii="Cambria Math" w:hAnsi="Book Antiqua"/>
            <w:sz w:val="20"/>
          </w:rPr>
          <m:t xml:space="preserve"> </m:t>
        </m:r>
      </m:oMath>
      <w:r w:rsidRPr="00370948">
        <w:rPr>
          <w:rFonts w:ascii="Book Antiqua" w:hAnsi="Book Antiqua"/>
          <w:sz w:val="20"/>
        </w:rPr>
        <w:t xml:space="preserve">are proportional to </w:t>
      </w:r>
      <m:oMath>
        <m:r>
          <w:rPr>
            <w:rFonts w:ascii="Cambria Math" w:hAnsi="Cambria Math"/>
            <w:sz w:val="20"/>
          </w:rPr>
          <m:t>I</m:t>
        </m:r>
      </m:oMath>
      <w:r w:rsidRPr="00370948">
        <w:rPr>
          <w:rFonts w:ascii="Book Antiqua" w:hAnsi="Book Antiqua"/>
          <w:sz w:val="20"/>
        </w:rPr>
        <w:t>. So we have:</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H</m:t>
        </m:r>
        <m:r>
          <w:rPr>
            <w:rFonts w:ascii="Cambria Math" w:hAnsi="Book Antiqua"/>
            <w:sz w:val="20"/>
          </w:rPr>
          <m:t xml:space="preserve">  ~  </m:t>
        </m:r>
        <m:rad>
          <m:radPr>
            <m:degHide m:val="on"/>
            <m:ctrlPr>
              <w:rPr>
                <w:rFonts w:ascii="Cambria Math" w:hAnsi="Book Antiqua"/>
                <w:i/>
                <w:sz w:val="20"/>
              </w:rPr>
            </m:ctrlPr>
          </m:radPr>
          <m:deg/>
          <m:e>
            <m:r>
              <w:rPr>
                <w:rFonts w:ascii="Cambria Math" w:hAnsi="Cambria Math"/>
                <w:sz w:val="20"/>
              </w:rPr>
              <m:t>c</m:t>
            </m:r>
          </m:e>
        </m:rad>
        <m:r>
          <w:rPr>
            <w:rFonts w:ascii="Cambria Math" w:hAnsi="Book Antiqua"/>
            <w:sz w:val="20"/>
          </w:rPr>
          <m:t xml:space="preserve"> ~ 1/</m:t>
        </m:r>
        <m:d>
          <m:dPr>
            <m:ctrlPr>
              <w:rPr>
                <w:rFonts w:ascii="Cambria Math" w:hAnsi="Book Antiqua"/>
                <w:i/>
                <w:sz w:val="20"/>
              </w:rPr>
            </m:ctrlPr>
          </m:dPr>
          <m:e>
            <m:rad>
              <m:radPr>
                <m:degHide m:val="on"/>
                <m:ctrlPr>
                  <w:rPr>
                    <w:rFonts w:ascii="Cambria Math" w:hAnsi="Book Antiqua"/>
                    <w:i/>
                    <w:sz w:val="20"/>
                  </w:rPr>
                </m:ctrlPr>
              </m:radPr>
              <m:deg/>
              <m:e>
                <m:r>
                  <w:rPr>
                    <w:rFonts w:ascii="Cambria Math" w:hAnsi="Cambria Math"/>
                    <w:sz w:val="20"/>
                  </w:rPr>
                  <m:t>U</m:t>
                </m:r>
              </m:e>
            </m:rad>
          </m:e>
        </m:d>
        <m:r>
          <w:rPr>
            <w:rFonts w:ascii="Cambria Math" w:hAnsi="Book Antiqua"/>
            <w:sz w:val="20"/>
          </w:rPr>
          <m:t xml:space="preserve"> ~ </m:t>
        </m:r>
        <m:r>
          <w:rPr>
            <w:rFonts w:ascii="Cambria Math" w:hAnsi="Cambria Math"/>
            <w:sz w:val="20"/>
          </w:rPr>
          <m:t>M*</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(24)</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This result for </w:t>
      </w:r>
      <m:oMath>
        <m:r>
          <w:rPr>
            <w:rFonts w:ascii="Cambria Math" w:hAnsi="Cambria Math"/>
            <w:sz w:val="20"/>
          </w:rPr>
          <m:t>H</m:t>
        </m:r>
      </m:oMath>
      <w:r w:rsidRPr="00370948">
        <w:rPr>
          <w:rFonts w:ascii="Book Antiqua" w:hAnsi="Book Antiqua"/>
          <w:sz w:val="20"/>
        </w:rPr>
        <w:t xml:space="preserve"> gives uniformity with the magnitude of the electric field strength, </w:t>
      </w:r>
      <m:oMath>
        <m:r>
          <w:rPr>
            <w:rFonts w:ascii="Cambria Math" w:hAnsi="Cambria Math"/>
            <w:sz w:val="20"/>
          </w:rPr>
          <m:t>E</m:t>
        </m:r>
      </m:oMath>
      <w:r w:rsidRPr="00370948">
        <w:rPr>
          <w:rFonts w:ascii="Book Antiqua" w:hAnsi="Book Antiqua"/>
          <w:sz w:val="20"/>
        </w:rPr>
        <w:t xml:space="preserve">. They both bear the same proportionality with </w:t>
      </w:r>
      <m:oMath>
        <m:r>
          <w:rPr>
            <w:rFonts w:ascii="Cambria Math" w:hAnsi="Cambria Math"/>
            <w:sz w:val="20"/>
          </w:rPr>
          <m:t>c</m:t>
        </m:r>
      </m:oMath>
      <w:r w:rsidRPr="00370948">
        <w:rPr>
          <w:rFonts w:ascii="Book Antiqua" w:hAnsi="Book Antiqua"/>
          <w:sz w:val="20"/>
        </w:rPr>
        <w:t xml:space="preserve"> and </w:t>
      </w:r>
      <m:oMath>
        <m:r>
          <w:rPr>
            <w:rFonts w:ascii="Cambria Math" w:hAnsi="Cambria Math"/>
            <w:sz w:val="20"/>
          </w:rPr>
          <m:t>U</m:t>
        </m:r>
      </m:oMath>
      <w:r w:rsidRPr="00370948">
        <w:rPr>
          <w:rFonts w:ascii="Book Antiqua" w:hAnsi="Book Antiqua"/>
          <w:i/>
          <w:sz w:val="20"/>
        </w:rPr>
        <w:t>,</w:t>
      </w:r>
      <w:r w:rsidRPr="00370948">
        <w:rPr>
          <w:rFonts w:ascii="Book Antiqua" w:hAnsi="Book Antiqua"/>
          <w:sz w:val="20"/>
        </w:rPr>
        <w:t xml:space="preserve"> thereby maintaining symmetry between electric and magnetic phenomena. From these results, the magnetic flux density or magnetic induction, </w:t>
      </w:r>
      <m:oMath>
        <m:r>
          <w:rPr>
            <w:rFonts w:ascii="Cambria Math" w:hAnsi="Cambria Math"/>
            <w:sz w:val="20"/>
          </w:rPr>
          <m:t>B</m:t>
        </m:r>
      </m:oMath>
      <w:r w:rsidRPr="00370948">
        <w:rPr>
          <w:rFonts w:ascii="Book Antiqua" w:hAnsi="Book Antiqua"/>
          <w:sz w:val="20"/>
        </w:rPr>
        <w:t>, is given by [56]: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lang w:val="en-CA"/>
        </w:rPr>
      </w:pPr>
      <m:oMath>
        <m:r>
          <w:rPr>
            <w:rFonts w:ascii="Cambria Math" w:hAnsi="Cambria Math"/>
            <w:sz w:val="20"/>
            <w:lang w:val="en-CA"/>
          </w:rPr>
          <w:lastRenderedPageBreak/>
          <m:t>B</m:t>
        </m:r>
        <m:r>
          <w:rPr>
            <w:rFonts w:ascii="Cambria Math" w:hAnsi="Book Antiqua"/>
            <w:sz w:val="20"/>
            <w:lang w:val="en-CA"/>
          </w:rPr>
          <m:t xml:space="preserve">  =  </m:t>
        </m:r>
        <m:r>
          <w:rPr>
            <w:rFonts w:ascii="Cambria Math" w:hAnsi="Cambria Math"/>
            <w:sz w:val="20"/>
          </w:rPr>
          <m:t>μ</m:t>
        </m:r>
        <m:r>
          <w:rPr>
            <w:rFonts w:ascii="Cambria Math" w:hAnsi="Book Antiqua"/>
            <w:sz w:val="20"/>
          </w:rPr>
          <m:t xml:space="preserve"> </m:t>
        </m:r>
        <m:r>
          <w:rPr>
            <w:rFonts w:ascii="Cambria Math" w:hAnsi="Cambria Math"/>
            <w:sz w:val="20"/>
            <w:lang w:val="en-CA"/>
          </w:rPr>
          <m:t>H</m:t>
        </m:r>
        <m:r>
          <w:rPr>
            <w:rFonts w:ascii="Cambria Math" w:hAnsi="Book Antiqua"/>
            <w:sz w:val="20"/>
            <w:lang w:val="en-CA"/>
          </w:rPr>
          <m:t xml:space="preserve">  </m:t>
        </m:r>
        <m:r>
          <w:rPr>
            <w:rFonts w:ascii="Cambria Math" w:hAnsi="Book Antiqua"/>
            <w:sz w:val="20"/>
          </w:rPr>
          <m:t>~  1/(</m:t>
        </m:r>
        <m:r>
          <w:rPr>
            <w:rFonts w:ascii="Cambria Math" w:hAnsi="Cambria Math"/>
            <w:sz w:val="20"/>
          </w:rPr>
          <m:t>√c</m:t>
        </m:r>
        <m:r>
          <w:rPr>
            <w:rFonts w:ascii="Cambria Math" w:hAnsi="Book Antiqua"/>
            <w:sz w:val="20"/>
          </w:rPr>
          <m:t xml:space="preserve">)  ~  </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(25)</w:t>
      </w:r>
    </w:p>
    <w:p w:rsidR="005359B2" w:rsidRPr="00370948" w:rsidRDefault="005359B2" w:rsidP="005359B2">
      <w:pPr>
        <w:pStyle w:val="NoSpacing"/>
        <w:jc w:val="both"/>
        <w:rPr>
          <w:rFonts w:ascii="Book Antiqua" w:hAnsi="Book Antiqua"/>
          <w:sz w:val="20"/>
          <w:lang w:val="en-CA"/>
        </w:rPr>
      </w:pPr>
    </w:p>
    <w:p w:rsidR="005359B2" w:rsidRPr="00370948" w:rsidRDefault="005359B2" w:rsidP="005359B2">
      <w:pPr>
        <w:pStyle w:val="NoSpacing"/>
        <w:jc w:val="both"/>
        <w:rPr>
          <w:rFonts w:ascii="Book Antiqua" w:hAnsi="Book Antiqua"/>
          <w:sz w:val="20"/>
          <w:lang w:val="en-CA"/>
        </w:rPr>
      </w:pPr>
      <w:r>
        <w:rPr>
          <w:rFonts w:ascii="Book Antiqua" w:hAnsi="Book Antiqua"/>
          <w:sz w:val="20"/>
          <w:lang w:val="en-CA"/>
        </w:rPr>
        <w:t xml:space="preserve">In plasma cosmology, </w:t>
      </w:r>
      <w:r w:rsidRPr="00370948">
        <w:rPr>
          <w:rFonts w:ascii="Book Antiqua" w:hAnsi="Book Antiqua"/>
          <w:sz w:val="20"/>
          <w:lang w:val="en-CA"/>
        </w:rPr>
        <w:t xml:space="preserve">the attractive force is the long range force between two current filaments. This is proportional to </w:t>
      </w:r>
      <m:oMath>
        <m:r>
          <w:rPr>
            <w:rFonts w:ascii="Cambria Math" w:hAnsi="Book Antiqua"/>
            <w:sz w:val="20"/>
            <w:lang w:val="en-CA"/>
          </w:rPr>
          <m:t>1/</m:t>
        </m:r>
        <m:r>
          <w:rPr>
            <w:rFonts w:ascii="Cambria Math" w:hAnsi="Cambria Math"/>
            <w:sz w:val="20"/>
            <w:lang w:val="en-CA"/>
          </w:rPr>
          <m:t>r</m:t>
        </m:r>
      </m:oMath>
      <w:r w:rsidRPr="00370948">
        <w:rPr>
          <w:rFonts w:ascii="Book Antiqua" w:hAnsi="Book Antiqua"/>
          <w:i/>
          <w:sz w:val="20"/>
          <w:lang w:val="en-CA"/>
        </w:rPr>
        <w:t>,</w:t>
      </w:r>
      <w:r w:rsidRPr="00370948">
        <w:rPr>
          <w:rFonts w:ascii="Book Antiqua" w:hAnsi="Book Antiqua"/>
          <w:sz w:val="20"/>
          <w:lang w:val="en-CA"/>
        </w:rPr>
        <w:t xml:space="preserve"> while the short-range repulsive force between them is proportional to </w:t>
      </w:r>
      <m:oMath>
        <m:r>
          <w:rPr>
            <w:rFonts w:ascii="Cambria Math" w:hAnsi="Book Antiqua"/>
            <w:sz w:val="20"/>
            <w:lang w:val="en-CA"/>
          </w:rPr>
          <m:t>1/</m:t>
        </m:r>
        <m:sSup>
          <m:sSupPr>
            <m:ctrlPr>
              <w:rPr>
                <w:rFonts w:ascii="Cambria Math" w:hAnsi="Book Antiqua"/>
                <w:i/>
                <w:sz w:val="20"/>
                <w:lang w:val="en-CA"/>
              </w:rPr>
            </m:ctrlPr>
          </m:sSupPr>
          <m:e>
            <m:r>
              <w:rPr>
                <w:rFonts w:ascii="Cambria Math" w:hAnsi="Cambria Math"/>
                <w:sz w:val="20"/>
                <w:lang w:val="en-CA"/>
              </w:rPr>
              <m:t>r</m:t>
            </m:r>
          </m:e>
          <m:sup>
            <m:r>
              <w:rPr>
                <w:rFonts w:ascii="Cambria Math" w:hAnsi="Book Antiqua"/>
                <w:sz w:val="20"/>
                <w:lang w:val="en-CA"/>
              </w:rPr>
              <m:t>4</m:t>
            </m:r>
          </m:sup>
        </m:sSup>
        <m:r>
          <w:rPr>
            <w:rFonts w:ascii="Cambria Math" w:hAnsi="Book Antiqua"/>
            <w:sz w:val="20"/>
            <w:lang w:val="en-CA"/>
          </w:rPr>
          <m:t xml:space="preserve"> </m:t>
        </m:r>
      </m:oMath>
      <w:r w:rsidRPr="00370948">
        <w:rPr>
          <w:rFonts w:ascii="Book Antiqua" w:hAnsi="Book Antiqua"/>
          <w:sz w:val="20"/>
          <w:lang w:val="en-CA"/>
        </w:rPr>
        <w:t xml:space="preserve">. The forces remain unchanged with ZPE variation, but other behavior does not. </w:t>
      </w:r>
    </w:p>
    <w:p w:rsidR="005359B2" w:rsidRPr="00370948" w:rsidRDefault="005359B2" w:rsidP="005359B2">
      <w:pPr>
        <w:pStyle w:val="NoSpacing"/>
        <w:jc w:val="both"/>
        <w:rPr>
          <w:rFonts w:ascii="Book Antiqua" w:hAnsi="Book Antiqua"/>
          <w:i/>
          <w:sz w:val="20"/>
          <w:lang w:val="en-CA"/>
        </w:rPr>
      </w:pPr>
    </w:p>
    <w:p w:rsidR="005359B2" w:rsidRDefault="005359B2" w:rsidP="005359B2">
      <w:pPr>
        <w:pStyle w:val="NoSpacing"/>
        <w:jc w:val="both"/>
        <w:rPr>
          <w:rFonts w:ascii="Book Antiqua" w:hAnsi="Book Antiqua"/>
          <w:b/>
          <w:sz w:val="20"/>
        </w:rPr>
      </w:pPr>
      <w:r>
        <w:rPr>
          <w:rFonts w:ascii="Book Antiqua" w:hAnsi="Book Antiqua"/>
          <w:b/>
          <w:sz w:val="20"/>
        </w:rPr>
        <w:t>3.</w:t>
      </w:r>
      <w:r w:rsidRPr="004159A5">
        <w:rPr>
          <w:rFonts w:ascii="Book Antiqua" w:hAnsi="Book Antiqua"/>
          <w:b/>
          <w:sz w:val="20"/>
        </w:rPr>
        <w:t xml:space="preserve"> Earth and Planetary Magnetic fields</w:t>
      </w:r>
    </w:p>
    <w:p w:rsidR="005359B2" w:rsidRPr="004159A5" w:rsidRDefault="005359B2" w:rsidP="005359B2">
      <w:pPr>
        <w:pStyle w:val="NoSpacing"/>
        <w:jc w:val="both"/>
        <w:rPr>
          <w:rFonts w:ascii="Book Antiqua" w:hAnsi="Book Antiqua"/>
          <w:b/>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As has</w:t>
      </w:r>
      <w:r w:rsidRPr="00370948">
        <w:rPr>
          <w:rFonts w:ascii="Book Antiqua" w:hAnsi="Book Antiqua"/>
          <w:color w:val="000000"/>
          <w:sz w:val="20"/>
        </w:rPr>
        <w:t xml:space="preserve"> been pointed out, when the ZPE was lower, currents were stronger and voltages greater. </w:t>
      </w:r>
      <w:r>
        <w:rPr>
          <w:rFonts w:ascii="Book Antiqua" w:hAnsi="Book Antiqua"/>
          <w:color w:val="000000"/>
          <w:sz w:val="20"/>
        </w:rPr>
        <w:t>This also</w:t>
      </w:r>
      <w:r w:rsidRPr="00370948">
        <w:rPr>
          <w:rFonts w:ascii="Book Antiqua" w:hAnsi="Book Antiqua"/>
          <w:color w:val="000000"/>
          <w:sz w:val="20"/>
        </w:rPr>
        <w:t xml:space="preserve"> means from equation (24) </w:t>
      </w:r>
      <w:r>
        <w:rPr>
          <w:rFonts w:ascii="Book Antiqua" w:hAnsi="Book Antiqua"/>
          <w:color w:val="000000"/>
          <w:sz w:val="20"/>
        </w:rPr>
        <w:t xml:space="preserve">that </w:t>
      </w:r>
      <w:r w:rsidRPr="00370948">
        <w:rPr>
          <w:rFonts w:ascii="Book Antiqua" w:hAnsi="Book Antiqua"/>
          <w:color w:val="000000"/>
          <w:sz w:val="20"/>
        </w:rPr>
        <w:t xml:space="preserve">all magnetic moments,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will be greater </w:t>
      </w:r>
      <w:r>
        <w:rPr>
          <w:rFonts w:ascii="Book Antiqua" w:hAnsi="Book Antiqua"/>
          <w:color w:val="000000"/>
          <w:sz w:val="20"/>
        </w:rPr>
        <w:t xml:space="preserve">(with a lower ZPE) </w:t>
      </w:r>
      <w:r w:rsidRPr="00370948">
        <w:rPr>
          <w:rFonts w:ascii="Book Antiqua" w:hAnsi="Book Antiqua"/>
          <w:color w:val="000000"/>
          <w:sz w:val="20"/>
        </w:rPr>
        <w:t>as both their derivation and their units of amps-meters</w:t>
      </w:r>
      <w:r w:rsidRPr="00370948">
        <w:rPr>
          <w:rFonts w:ascii="Book Antiqua" w:hAnsi="Book Antiqua"/>
          <w:color w:val="000000"/>
          <w:sz w:val="20"/>
          <w:vertAlign w:val="superscript"/>
        </w:rPr>
        <w:t>2</w:t>
      </w:r>
      <w:r w:rsidRPr="00370948">
        <w:rPr>
          <w:rFonts w:ascii="Book Antiqua" w:hAnsi="Book Antiqua"/>
          <w:color w:val="000000"/>
          <w:sz w:val="20"/>
        </w:rPr>
        <w:t xml:space="preserve"> shows. The meters </w:t>
      </w:r>
      <w:r>
        <w:rPr>
          <w:rFonts w:ascii="Book Antiqua" w:hAnsi="Book Antiqua"/>
          <w:color w:val="000000"/>
          <w:sz w:val="20"/>
        </w:rPr>
        <w:t>remain</w:t>
      </w:r>
      <w:r w:rsidRPr="00370948">
        <w:rPr>
          <w:rFonts w:ascii="Book Antiqua" w:hAnsi="Book Antiqua"/>
          <w:color w:val="000000"/>
          <w:sz w:val="20"/>
        </w:rPr>
        <w:t xml:space="preserve"> constant, but the amps </w:t>
      </w:r>
      <w:r>
        <w:rPr>
          <w:rFonts w:ascii="Book Antiqua" w:hAnsi="Book Antiqua"/>
          <w:color w:val="000000"/>
          <w:sz w:val="20"/>
        </w:rPr>
        <w:t>are</w:t>
      </w:r>
      <w:r w:rsidRPr="00370948">
        <w:rPr>
          <w:rFonts w:ascii="Book Antiqua" w:hAnsi="Book Antiqua"/>
          <w:color w:val="000000"/>
          <w:sz w:val="20"/>
        </w:rPr>
        <w:t xml:space="preserve"> proportional to the inverse square root of the ZPE strength. </w:t>
      </w:r>
      <w:r>
        <w:rPr>
          <w:rFonts w:ascii="Book Antiqua" w:hAnsi="Book Antiqua"/>
          <w:color w:val="000000"/>
          <w:sz w:val="20"/>
        </w:rPr>
        <w:t>Thus, the amps are</w:t>
      </w:r>
      <w:r w:rsidRPr="00370948">
        <w:rPr>
          <w:rFonts w:ascii="Book Antiqua" w:hAnsi="Book Antiqua"/>
          <w:color w:val="000000"/>
          <w:sz w:val="20"/>
        </w:rPr>
        <w:t xml:space="preserve"> directly proportional to the square root of light-speed, </w:t>
      </w:r>
      <m:oMath>
        <m:r>
          <w:rPr>
            <w:rFonts w:ascii="Cambria Math" w:hAnsi="Cambria Math"/>
            <w:color w:val="000000"/>
            <w:sz w:val="20"/>
          </w:rPr>
          <m:t>c</m:t>
        </m:r>
      </m:oMath>
      <w:r w:rsidRPr="00370948">
        <w:rPr>
          <w:rFonts w:ascii="Book Antiqua" w:hAnsi="Book Antiqua"/>
          <w:color w:val="000000"/>
          <w:sz w:val="20"/>
        </w:rPr>
        <w:t xml:space="preserve">.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These are</w:t>
      </w:r>
      <w:r w:rsidRPr="00370948">
        <w:rPr>
          <w:rFonts w:ascii="Book Antiqua" w:hAnsi="Book Antiqua"/>
          <w:color w:val="000000"/>
          <w:sz w:val="20"/>
        </w:rPr>
        <w:t xml:space="preserve"> the same relationship</w:t>
      </w:r>
      <w:r>
        <w:rPr>
          <w:rFonts w:ascii="Book Antiqua" w:hAnsi="Book Antiqua"/>
          <w:color w:val="000000"/>
          <w:sz w:val="20"/>
        </w:rPr>
        <w:t>s</w:t>
      </w:r>
      <w:r w:rsidRPr="00370948">
        <w:rPr>
          <w:rFonts w:ascii="Book Antiqua" w:hAnsi="Book Antiqua"/>
          <w:color w:val="000000"/>
          <w:sz w:val="20"/>
        </w:rPr>
        <w:t xml:space="preserve"> that the magnetic field strength, </w:t>
      </w:r>
      <m:oMath>
        <m:r>
          <w:rPr>
            <w:rFonts w:ascii="Cambria Math" w:hAnsi="Cambria Math"/>
            <w:color w:val="000000"/>
            <w:sz w:val="20"/>
          </w:rPr>
          <m:t>H</m:t>
        </m:r>
      </m:oMath>
      <w:r w:rsidRPr="00370948">
        <w:rPr>
          <w:rFonts w:ascii="Book Antiqua" w:hAnsi="Book Antiqua"/>
          <w:color w:val="000000"/>
          <w:sz w:val="20"/>
        </w:rPr>
        <w:t>, has with</w:t>
      </w:r>
      <w:r>
        <w:rPr>
          <w:rFonts w:ascii="Book Antiqua" w:hAnsi="Book Antiqua"/>
          <w:color w:val="000000"/>
          <w:sz w:val="20"/>
        </w:rPr>
        <w:t xml:space="preserve"> </w:t>
      </w:r>
      <m:oMath>
        <m:r>
          <w:rPr>
            <w:rFonts w:ascii="Cambria Math" w:hAnsi="Cambria Math"/>
            <w:color w:val="000000"/>
            <w:sz w:val="20"/>
          </w:rPr>
          <m:t>c</m:t>
        </m:r>
      </m:oMath>
      <w:r w:rsidRPr="00370948">
        <w:rPr>
          <w:rFonts w:ascii="Book Antiqua" w:hAnsi="Book Antiqua"/>
          <w:color w:val="000000"/>
          <w:sz w:val="20"/>
        </w:rPr>
        <w:t xml:space="preserve"> and the ZPE</w:t>
      </w:r>
      <w:r>
        <w:rPr>
          <w:rFonts w:ascii="Book Antiqua" w:hAnsi="Book Antiqua"/>
          <w:color w:val="000000"/>
          <w:sz w:val="20"/>
        </w:rPr>
        <w:t xml:space="preserve">. </w:t>
      </w:r>
      <w:r w:rsidRPr="00370948">
        <w:rPr>
          <w:rFonts w:ascii="Book Antiqua" w:hAnsi="Book Antiqua"/>
          <w:color w:val="000000"/>
          <w:sz w:val="20"/>
        </w:rPr>
        <w:t xml:space="preserve"> </w:t>
      </w:r>
      <w:r>
        <w:rPr>
          <w:rFonts w:ascii="Book Antiqua" w:hAnsi="Book Antiqua"/>
          <w:color w:val="000000"/>
          <w:sz w:val="20"/>
        </w:rPr>
        <w:t>There are natural instabilities in the dynamo driving the earth’s magnetic field. With or without these instabilities</w:t>
      </w:r>
      <w:r w:rsidRPr="00370948">
        <w:rPr>
          <w:rFonts w:ascii="Book Antiqua" w:hAnsi="Book Antiqua"/>
          <w:color w:val="000000"/>
          <w:sz w:val="20"/>
        </w:rPr>
        <w:t xml:space="preserve">, the earth's magnetic field strength will decay in the same way as the square-root of </w:t>
      </w:r>
      <m:oMath>
        <m:r>
          <w:rPr>
            <w:rFonts w:ascii="Cambria Math" w:hAnsi="Cambria Math"/>
            <w:color w:val="000000"/>
            <w:sz w:val="20"/>
          </w:rPr>
          <m:t>c</m:t>
        </m:r>
      </m:oMath>
      <w:r w:rsidRPr="00370948">
        <w:rPr>
          <w:rFonts w:ascii="Book Antiqua" w:hAnsi="Book Antiqua"/>
          <w:color w:val="000000"/>
          <w:sz w:val="20"/>
        </w:rPr>
        <w:t xml:space="preserve">, or the inverse square root of the ZPE strength, </w:t>
      </w:r>
      <m:oMath>
        <m:r>
          <w:rPr>
            <w:rFonts w:ascii="Cambria Math" w:hAnsi="Cambria Math"/>
            <w:color w:val="000000"/>
            <w:sz w:val="20"/>
          </w:rPr>
          <m:t>U</m:t>
        </m:r>
      </m:oMath>
      <w:r w:rsidRPr="00370948">
        <w:rPr>
          <w:rFonts w:ascii="Book Antiqua" w:hAnsi="Book Antiqua"/>
          <w:color w:val="000000"/>
          <w:sz w:val="20"/>
        </w:rPr>
        <w:t xml:space="preserve">. </w:t>
      </w:r>
      <w:r>
        <w:rPr>
          <w:rFonts w:ascii="Book Antiqua" w:hAnsi="Book Antiqua"/>
          <w:color w:val="000000"/>
          <w:sz w:val="20"/>
        </w:rPr>
        <w:t>This</w:t>
      </w:r>
      <w:r w:rsidRPr="00370948">
        <w:rPr>
          <w:rFonts w:ascii="Book Antiqua" w:hAnsi="Book Antiqua"/>
          <w:color w:val="000000"/>
          <w:sz w:val="20"/>
        </w:rPr>
        <w:t xml:space="preserve"> has been verified by measurements of </w:t>
      </w:r>
      <m:oMath>
        <m:sSup>
          <m:sSupPr>
            <m:ctrlPr>
              <w:rPr>
                <w:rFonts w:ascii="Cambria Math" w:hAnsi="Book Antiqua"/>
                <w:i/>
                <w:color w:val="000000"/>
                <w:sz w:val="20"/>
              </w:rPr>
            </m:ctrlPr>
          </m:sSupPr>
          <m:e>
            <m:r>
              <w:rPr>
                <w:rFonts w:ascii="Cambria Math" w:hAnsi="Cambria Math"/>
                <w:color w:val="000000"/>
                <w:sz w:val="20"/>
              </w:rPr>
              <m:t>M</m:t>
            </m:r>
          </m:e>
          <m:sup>
            <m:r>
              <w:rPr>
                <w:rFonts w:ascii="Cambria Math" w:hAnsi="Cambria Math"/>
                <w:color w:val="000000"/>
                <w:sz w:val="20"/>
              </w:rPr>
              <m:t>*</m:t>
            </m:r>
          </m:sup>
        </m:sSup>
      </m:oMath>
      <w:r w:rsidRPr="00370948">
        <w:rPr>
          <w:rFonts w:ascii="Book Antiqua" w:hAnsi="Book Antiqua"/>
          <w:color w:val="000000"/>
          <w:sz w:val="20"/>
        </w:rPr>
        <w:t xml:space="preserve"> since the time of Gauss in 1835. </w:t>
      </w:r>
    </w:p>
    <w:p w:rsidR="005359B2"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color w:val="000000"/>
          <w:sz w:val="20"/>
        </w:rPr>
      </w:pPr>
      <w:r>
        <w:rPr>
          <w:rFonts w:ascii="Book Antiqua" w:hAnsi="Book Antiqua"/>
          <w:color w:val="000000"/>
          <w:sz w:val="20"/>
        </w:rPr>
        <w:t>However, data back to 1550 was published by</w:t>
      </w:r>
      <w:r w:rsidRPr="00370948">
        <w:rPr>
          <w:rFonts w:ascii="Book Antiqua" w:hAnsi="Book Antiqua"/>
          <w:color w:val="000000"/>
          <w:sz w:val="20"/>
        </w:rPr>
        <w:t xml:space="preserve"> David Gubbins of Leeds University, UK, </w:t>
      </w:r>
      <w:r>
        <w:rPr>
          <w:rFonts w:ascii="Book Antiqua" w:hAnsi="Book Antiqua"/>
          <w:color w:val="000000"/>
          <w:sz w:val="20"/>
        </w:rPr>
        <w:t xml:space="preserve">in 2006 in </w:t>
      </w:r>
      <w:r w:rsidRPr="00370948">
        <w:rPr>
          <w:rFonts w:ascii="Book Antiqua" w:hAnsi="Book Antiqua"/>
          <w:i/>
          <w:color w:val="000000"/>
          <w:sz w:val="20"/>
        </w:rPr>
        <w:t>Science</w:t>
      </w:r>
      <w:r w:rsidRPr="00370948">
        <w:rPr>
          <w:rFonts w:ascii="Book Antiqua" w:hAnsi="Book Antiqua"/>
          <w:color w:val="000000"/>
          <w:sz w:val="20"/>
        </w:rPr>
        <w:t xml:space="preserve"> (vol. </w:t>
      </w:r>
      <w:r w:rsidRPr="00370948">
        <w:rPr>
          <w:rFonts w:ascii="Book Antiqua" w:hAnsi="Book Antiqua"/>
          <w:b/>
          <w:color w:val="000000"/>
          <w:sz w:val="20"/>
        </w:rPr>
        <w:t>312</w:t>
      </w:r>
      <w:r>
        <w:rPr>
          <w:rFonts w:ascii="Book Antiqua" w:hAnsi="Book Antiqua"/>
          <w:color w:val="000000"/>
          <w:sz w:val="20"/>
        </w:rPr>
        <w:t>, p.900). His article involved an examination of</w:t>
      </w:r>
      <w:r w:rsidRPr="00370948">
        <w:rPr>
          <w:rFonts w:ascii="Book Antiqua" w:hAnsi="Book Antiqua"/>
          <w:color w:val="000000"/>
          <w:sz w:val="20"/>
        </w:rPr>
        <w:t xml:space="preserve"> the log-books of ancient ships which recorded the direction of the Earth’s magnetic field. </w:t>
      </w:r>
      <w:r>
        <w:rPr>
          <w:rFonts w:ascii="Book Antiqua" w:hAnsi="Book Antiqua"/>
          <w:color w:val="000000"/>
          <w:sz w:val="20"/>
        </w:rPr>
        <w:t xml:space="preserve"> I</w:t>
      </w:r>
      <w:r w:rsidRPr="00370948">
        <w:rPr>
          <w:rFonts w:ascii="Book Antiqua" w:hAnsi="Book Antiqua"/>
          <w:color w:val="000000"/>
          <w:sz w:val="20"/>
        </w:rPr>
        <w:t xml:space="preserve">t was standard to calibrate ships compasses relative to true north, and sometimes, in addition, to measure the angle at which the magnetic field lines entered the Earth’s surface. </w:t>
      </w:r>
      <w:r>
        <w:rPr>
          <w:rFonts w:ascii="Book Antiqua" w:hAnsi="Book Antiqua"/>
          <w:color w:val="000000"/>
          <w:sz w:val="20"/>
        </w:rPr>
        <w:t xml:space="preserve"> His results are listed as the first six entries in Table 1, below.  </w:t>
      </w:r>
    </w:p>
    <w:p w:rsidR="005359B2" w:rsidRDefault="005359B2" w:rsidP="005359B2">
      <w:pPr>
        <w:pStyle w:val="NoSpacing"/>
        <w:ind w:firstLine="360"/>
        <w:jc w:val="both"/>
        <w:rPr>
          <w:rFonts w:ascii="Book Antiqua" w:hAnsi="Book Antiqua"/>
          <w:color w:val="000000"/>
          <w:sz w:val="20"/>
        </w:rPr>
      </w:pPr>
    </w:p>
    <w:p w:rsidR="005359B2" w:rsidRPr="00370948" w:rsidRDefault="005359B2" w:rsidP="005359B2">
      <w:pPr>
        <w:pStyle w:val="NoSpacing"/>
        <w:ind w:firstLine="720"/>
        <w:jc w:val="both"/>
        <w:rPr>
          <w:rFonts w:ascii="Book Antiqua" w:hAnsi="Book Antiqua"/>
          <w:color w:val="000000"/>
          <w:sz w:val="20"/>
        </w:rPr>
      </w:pPr>
      <w:r>
        <w:rPr>
          <w:rFonts w:ascii="Book Antiqua" w:hAnsi="Book Antiqua"/>
          <w:color w:val="000000"/>
          <w:sz w:val="20"/>
        </w:rPr>
        <w:t>T</w:t>
      </w:r>
      <w:r w:rsidRPr="00370948">
        <w:rPr>
          <w:rFonts w:ascii="Book Antiqua" w:hAnsi="Book Antiqua"/>
          <w:color w:val="000000"/>
          <w:sz w:val="20"/>
        </w:rPr>
        <w:t xml:space="preserve">hese measurements had to be accurate to within half a degree or the ship would be so far off course that lives would be endangered. So, using the locations of the ships at the time these measurements were taken, plus indirect magnetic measurements from volcanic rocks and bricks, </w:t>
      </w:r>
      <w:r>
        <w:rPr>
          <w:rFonts w:ascii="Book Antiqua" w:hAnsi="Book Antiqua"/>
          <w:color w:val="000000"/>
          <w:sz w:val="20"/>
        </w:rPr>
        <w:t>we have been able</w:t>
      </w:r>
      <w:r w:rsidRPr="00370948">
        <w:rPr>
          <w:rFonts w:ascii="Book Antiqua" w:hAnsi="Book Antiqua"/>
          <w:color w:val="000000"/>
          <w:sz w:val="20"/>
        </w:rPr>
        <w:t xml:space="preserve"> to get good measurements of the magnetic moment of the earth’s field from 1550 to 1850. The results of these studies appear in Table 1 and are graphed in Figure </w:t>
      </w:r>
      <w:r>
        <w:rPr>
          <w:rFonts w:ascii="Book Antiqua" w:hAnsi="Book Antiqua"/>
          <w:color w:val="000000"/>
          <w:sz w:val="20"/>
        </w:rPr>
        <w:t>13</w:t>
      </w:r>
      <w:r w:rsidRPr="00370948">
        <w:rPr>
          <w:rFonts w:ascii="Book Antiqua" w:hAnsi="Book Antiqua"/>
          <w:color w:val="000000"/>
          <w:sz w:val="20"/>
        </w:rPr>
        <w:t>.</w:t>
      </w:r>
    </w:p>
    <w:p w:rsidR="005359B2" w:rsidRDefault="005359B2" w:rsidP="005359B2">
      <w:pPr>
        <w:pStyle w:val="NoSpacing"/>
        <w:ind w:firstLine="360"/>
        <w:jc w:val="both"/>
        <w:rPr>
          <w:rFonts w:ascii="Book Antiqua" w:hAnsi="Book Antiqua"/>
          <w:color w:val="000000"/>
          <w:sz w:val="20"/>
        </w:rPr>
      </w:pPr>
    </w:p>
    <w:p w:rsidR="005359B2" w:rsidRPr="00370948" w:rsidRDefault="005359B2" w:rsidP="005359B2">
      <w:pPr>
        <w:pStyle w:val="NoSpacing"/>
        <w:ind w:firstLine="720"/>
        <w:jc w:val="both"/>
        <w:rPr>
          <w:rFonts w:ascii="Book Antiqua" w:hAnsi="Book Antiqua"/>
          <w:color w:val="000000"/>
          <w:sz w:val="20"/>
        </w:rPr>
      </w:pPr>
      <w:r w:rsidRPr="00370948">
        <w:rPr>
          <w:rFonts w:ascii="Book Antiqua" w:hAnsi="Book Antiqua"/>
          <w:color w:val="000000"/>
          <w:sz w:val="20"/>
        </w:rPr>
        <w:t xml:space="preserve">Figure </w:t>
      </w:r>
      <w:r>
        <w:rPr>
          <w:rFonts w:ascii="Book Antiqua" w:hAnsi="Book Antiqua"/>
          <w:color w:val="000000"/>
          <w:sz w:val="20"/>
        </w:rPr>
        <w:t>13</w:t>
      </w:r>
      <w:r w:rsidRPr="00370948">
        <w:rPr>
          <w:rFonts w:ascii="Book Antiqua" w:hAnsi="Book Antiqua"/>
          <w:color w:val="000000"/>
          <w:sz w:val="20"/>
        </w:rPr>
        <w:t xml:space="preserve"> shows the overall behavior of the Earth’s dipole magnetic moment. This means that the effects of the change in the ZPE on the magnetic moment and any additional effects from the intrinsic behavior of the Earth’s geo-magnetic dynamo have been lumped together. Despite this, the trend towards a lower geomagnetic moment is plainly in evidence</w:t>
      </w:r>
      <w:r>
        <w:rPr>
          <w:rFonts w:ascii="Book Antiqua" w:hAnsi="Book Antiqua"/>
          <w:color w:val="000000"/>
          <w:sz w:val="20"/>
        </w:rPr>
        <w:t>.</w:t>
      </w:r>
      <w:r w:rsidRPr="00370948">
        <w:rPr>
          <w:rFonts w:ascii="Book Antiqua" w:hAnsi="Book Antiqua"/>
          <w:color w:val="000000"/>
          <w:sz w:val="20"/>
        </w:rPr>
        <w:t xml:space="preserve"> </w:t>
      </w:r>
      <w:r>
        <w:rPr>
          <w:rFonts w:ascii="Book Antiqua" w:hAnsi="Book Antiqua"/>
          <w:color w:val="000000"/>
          <w:sz w:val="20"/>
        </w:rPr>
        <w:t>A</w:t>
      </w:r>
      <w:r w:rsidRPr="00370948">
        <w:rPr>
          <w:rFonts w:ascii="Book Antiqua" w:hAnsi="Book Antiqua"/>
          <w:color w:val="000000"/>
          <w:sz w:val="20"/>
        </w:rPr>
        <w:t xml:space="preserve"> significant proportion of this will be due to the increasing ZPE strength. To emphasize this, the period around 1955-1975 contains the evidence of a flattening, or slight reversal in the ZPE strength, </w:t>
      </w:r>
      <w:r>
        <w:rPr>
          <w:rFonts w:ascii="Book Antiqua" w:hAnsi="Book Antiqua"/>
          <w:color w:val="000000"/>
          <w:sz w:val="20"/>
        </w:rPr>
        <w:t>which</w:t>
      </w:r>
      <w:r w:rsidRPr="00370948">
        <w:rPr>
          <w:rFonts w:ascii="Book Antiqua" w:hAnsi="Book Antiqua"/>
          <w:color w:val="000000"/>
          <w:sz w:val="20"/>
        </w:rPr>
        <w:t xml:space="preserve"> has definitely been picked up by other measurements</w:t>
      </w:r>
      <w:r>
        <w:rPr>
          <w:rFonts w:ascii="Book Antiqua" w:hAnsi="Book Antiqua"/>
          <w:color w:val="000000"/>
          <w:sz w:val="20"/>
        </w:rPr>
        <w:t>, as shown previously</w:t>
      </w:r>
      <w:r w:rsidRPr="00370948">
        <w:rPr>
          <w:rFonts w:ascii="Book Antiqua" w:hAnsi="Book Antiqua"/>
          <w:color w:val="000000"/>
          <w:sz w:val="20"/>
        </w:rPr>
        <w:t>.</w:t>
      </w:r>
    </w:p>
    <w:p w:rsidR="005359B2" w:rsidRPr="00370948" w:rsidRDefault="005359B2" w:rsidP="005359B2">
      <w:pPr>
        <w:pStyle w:val="NoSpacing"/>
        <w:ind w:firstLine="720"/>
        <w:jc w:val="both"/>
        <w:rPr>
          <w:rFonts w:ascii="Book Antiqua" w:hAnsi="Book Antiqua"/>
          <w:color w:val="000000"/>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We conclude, then, that measurement of the Earth’s dipole moment is consistent with a decrease in the ZPE strength over the last 450 years, even though other factors may be involved in the trend with this data set. This also has implications for the measurements of carbon 14 dates, which are discussed in Chapter 8.</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If this is true for the Earth, it will also be true for the behavior of the magnetic fields of the other planets with changing ZPE. This may be why the planet Mars shows evidence of the action of a magnetic field in the past, but does not seem to possess one at the moment. </w:t>
      </w:r>
      <w:r>
        <w:rPr>
          <w:rFonts w:ascii="Book Antiqua" w:hAnsi="Book Antiqua"/>
          <w:sz w:val="20"/>
        </w:rPr>
        <w:t>Further research needs to be done here</w:t>
      </w:r>
      <w:r w:rsidRPr="00370948">
        <w:rPr>
          <w:rFonts w:ascii="Book Antiqua" w:hAnsi="Book Antiqua"/>
          <w:sz w:val="20"/>
        </w:rPr>
        <w:t xml:space="preserve">. </w:t>
      </w:r>
      <w:r>
        <w:rPr>
          <w:rFonts w:ascii="Book Antiqua" w:hAnsi="Book Antiqua"/>
          <w:sz w:val="20"/>
        </w:rPr>
        <w:t>Nevertheless, there seems to be no way of avoiding the fact that the data indicate the ZPE strength has increased since 1550 AD.</w:t>
      </w:r>
    </w:p>
    <w:p w:rsidR="005359B2" w:rsidRPr="00370948" w:rsidRDefault="005359B2" w:rsidP="005359B2">
      <w:pPr>
        <w:pStyle w:val="NoSpacing"/>
        <w:ind w:left="720"/>
        <w:rPr>
          <w:rFonts w:ascii="Book Antiqua" w:hAnsi="Book Antiqua"/>
          <w:b/>
          <w:bCs/>
          <w:iCs/>
          <w:color w:val="000000"/>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jc w:val="center"/>
        <w:rPr>
          <w:rFonts w:ascii="Book Antiqua" w:hAnsi="Book Antiqua"/>
          <w:b/>
          <w:color w:val="000000"/>
          <w:sz w:val="18"/>
          <w:szCs w:val="18"/>
        </w:rPr>
      </w:pPr>
    </w:p>
    <w:p w:rsidR="005359B2" w:rsidRPr="00B77EF0" w:rsidRDefault="005359B2" w:rsidP="005359B2">
      <w:pPr>
        <w:pStyle w:val="NoSpacing"/>
        <w:jc w:val="center"/>
        <w:rPr>
          <w:rFonts w:ascii="Book Antiqua" w:hAnsi="Book Antiqua"/>
          <w:b/>
          <w:i/>
          <w:color w:val="000000"/>
          <w:sz w:val="18"/>
          <w:szCs w:val="18"/>
        </w:rPr>
      </w:pPr>
      <w:r w:rsidRPr="00B77EF0">
        <w:rPr>
          <w:rFonts w:ascii="Book Antiqua" w:hAnsi="Book Antiqua"/>
          <w:b/>
          <w:color w:val="000000"/>
          <w:sz w:val="18"/>
          <w:szCs w:val="18"/>
        </w:rPr>
        <w:t>Table 1:</w:t>
      </w:r>
      <w:r w:rsidRPr="00B77EF0">
        <w:rPr>
          <w:rFonts w:ascii="Book Antiqua" w:hAnsi="Book Antiqua"/>
          <w:b/>
          <w:i/>
          <w:color w:val="000000"/>
          <w:sz w:val="18"/>
          <w:szCs w:val="18"/>
        </w:rPr>
        <w:t xml:space="preserve"> The Earth’s dipole magnetic moment, M*, in amp-</w:t>
      </w:r>
      <w:r w:rsidRPr="00B77EF0">
        <w:rPr>
          <w:rFonts w:ascii="Book Antiqua" w:hAnsi="Book Antiqua"/>
          <w:b/>
          <w:i/>
          <w:sz w:val="18"/>
          <w:szCs w:val="18"/>
        </w:rPr>
        <w:t>meters</w:t>
      </w:r>
      <w:r w:rsidRPr="00B77EF0">
        <w:rPr>
          <w:rFonts w:ascii="Book Antiqua" w:hAnsi="Book Antiqua"/>
          <w:b/>
          <w:i/>
          <w:sz w:val="18"/>
          <w:szCs w:val="18"/>
          <w:vertAlign w:val="superscript"/>
        </w:rPr>
        <w:t>2</w:t>
      </w:r>
      <w:r w:rsidRPr="00B77EF0">
        <w:rPr>
          <w:rFonts w:ascii="Book Antiqua" w:hAnsi="Book Antiqua"/>
          <w:b/>
          <w:i/>
          <w:sz w:val="18"/>
          <w:szCs w:val="18"/>
        </w:rPr>
        <w:t>. [97]</w:t>
      </w:r>
    </w:p>
    <w:p w:rsidR="005359B2" w:rsidRPr="00370948" w:rsidRDefault="005359B2" w:rsidP="005359B2">
      <w:pPr>
        <w:pStyle w:val="NoSpacing"/>
        <w:jc w:val="both"/>
        <w:rPr>
          <w:rFonts w:ascii="Book Antiqua" w:hAnsi="Book Antiqua"/>
          <w:color w:val="000000"/>
          <w:sz w:val="20"/>
        </w:rPr>
      </w:pPr>
    </w:p>
    <w:tbl>
      <w:tblPr>
        <w:tblStyle w:val="TableGrid"/>
        <w:tblW w:w="0" w:type="auto"/>
        <w:jc w:val="center"/>
        <w:tblLayout w:type="fixed"/>
        <w:tblLook w:val="04A0"/>
      </w:tblPr>
      <w:tblGrid>
        <w:gridCol w:w="3183"/>
        <w:gridCol w:w="873"/>
        <w:gridCol w:w="1167"/>
      </w:tblGrid>
      <w:tr w:rsidR="005359B2" w:rsidRPr="00370948" w:rsidTr="003442EA">
        <w:trPr>
          <w:trHeight w:val="250"/>
          <w:jc w:val="center"/>
        </w:trPr>
        <w:tc>
          <w:tcPr>
            <w:tcW w:w="318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Observer</w:t>
            </w:r>
          </w:p>
        </w:tc>
        <w:tc>
          <w:tcPr>
            <w:tcW w:w="873"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Year</w:t>
            </w:r>
          </w:p>
        </w:tc>
        <w:tc>
          <w:tcPr>
            <w:tcW w:w="1167" w:type="dxa"/>
          </w:tcPr>
          <w:p w:rsidR="005359B2" w:rsidRPr="00B77EF0" w:rsidRDefault="005359B2" w:rsidP="003442EA">
            <w:pPr>
              <w:rPr>
                <w:rFonts w:ascii="Book Antiqua" w:hAnsi="Book Antiqua"/>
                <w:b/>
                <w:i/>
                <w:sz w:val="18"/>
                <w:szCs w:val="18"/>
              </w:rPr>
            </w:pPr>
            <w:r w:rsidRPr="00B77EF0">
              <w:rPr>
                <w:rFonts w:ascii="Book Antiqua" w:hAnsi="Book Antiqua"/>
                <w:b/>
                <w:i/>
                <w:sz w:val="18"/>
                <w:szCs w:val="18"/>
              </w:rPr>
              <w:t>M</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1550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9.54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1650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9.18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9.00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1750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8.84</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8.61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Erman &amp; Petersen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1829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Gauss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8.558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Ships’ log books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8.363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Neumayer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8.336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Fritsche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8.347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Schmidt</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1885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8.375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1905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8.291</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1915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8.225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Dyson-Furner</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1922</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8.149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1935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Jones-Melotte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1942.5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8.009</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Vestine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Afanasieva</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Fanselau-Kautzleben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1945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8.090</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U.S.C &amp; G.S.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Finch-Leaton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8.067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Nagata-Oguti</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1958.5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8.038</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Cain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1959</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8.086</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Fougere</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8.053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Adam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8.037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Jensen-Cain</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8.025</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Leaton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8.013</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Hurwitz et al</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1965</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8.017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1970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7.97</w:t>
            </w:r>
          </w:p>
        </w:tc>
      </w:tr>
      <w:tr w:rsidR="005359B2" w:rsidRPr="00370948" w:rsidTr="003442EA">
        <w:trPr>
          <w:trHeight w:val="25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Barton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1980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7.91</w:t>
            </w:r>
          </w:p>
        </w:tc>
      </w:tr>
      <w:tr w:rsidR="005359B2" w:rsidRPr="00370948" w:rsidTr="003442EA">
        <w:trPr>
          <w:trHeight w:val="70"/>
          <w:jc w:val="center"/>
        </w:trPr>
        <w:tc>
          <w:tcPr>
            <w:tcW w:w="318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Wang analysis</w:t>
            </w:r>
          </w:p>
        </w:tc>
        <w:tc>
          <w:tcPr>
            <w:tcW w:w="873"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1990</w:t>
            </w:r>
          </w:p>
        </w:tc>
        <w:tc>
          <w:tcPr>
            <w:tcW w:w="1167" w:type="dxa"/>
          </w:tcPr>
          <w:p w:rsidR="005359B2" w:rsidRPr="00B77EF0" w:rsidRDefault="005359B2" w:rsidP="003442EA">
            <w:pPr>
              <w:rPr>
                <w:rFonts w:ascii="Book Antiqua" w:hAnsi="Book Antiqua"/>
                <w:b/>
                <w:sz w:val="18"/>
                <w:szCs w:val="18"/>
              </w:rPr>
            </w:pPr>
            <w:r w:rsidRPr="00B77EF0">
              <w:rPr>
                <w:rFonts w:ascii="Book Antiqua" w:hAnsi="Book Antiqua"/>
                <w:b/>
                <w:sz w:val="18"/>
                <w:szCs w:val="18"/>
              </w:rPr>
              <w:t>7.84</w:t>
            </w:r>
          </w:p>
        </w:tc>
      </w:tr>
    </w:tbl>
    <w:p w:rsidR="005359B2" w:rsidRPr="00370948" w:rsidRDefault="005359B2" w:rsidP="005359B2">
      <w:pPr>
        <w:pStyle w:val="NoSpacing"/>
        <w:jc w:val="both"/>
        <w:rPr>
          <w:rFonts w:ascii="Book Antiqua" w:hAnsi="Book Antiqua"/>
          <w:b/>
          <w:sz w:val="20"/>
        </w:rPr>
      </w:pPr>
    </w:p>
    <w:p w:rsidR="005359B2" w:rsidRPr="00370948" w:rsidRDefault="005359B2" w:rsidP="005359B2">
      <w:pPr>
        <w:pStyle w:val="NoSpacing"/>
        <w:jc w:val="center"/>
        <w:rPr>
          <w:rFonts w:ascii="Book Antiqua" w:hAnsi="Book Antiqua"/>
          <w:b/>
          <w:sz w:val="20"/>
        </w:rPr>
      </w:pPr>
      <w:r w:rsidRPr="00370948">
        <w:rPr>
          <w:rFonts w:ascii="Book Antiqua" w:hAnsi="Book Antiqua"/>
          <w:b/>
          <w:noProof/>
          <w:sz w:val="20"/>
        </w:rPr>
        <w:lastRenderedPageBreak/>
        <w:drawing>
          <wp:inline distT="0" distB="0" distL="0" distR="0">
            <wp:extent cx="4619625" cy="3686175"/>
            <wp:effectExtent l="19050" t="0" r="9525" b="0"/>
            <wp:docPr id="5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5359B2" w:rsidRPr="00370948" w:rsidRDefault="005359B2" w:rsidP="005359B2">
      <w:pPr>
        <w:pStyle w:val="NoSpacing"/>
        <w:rPr>
          <w:rFonts w:ascii="Book Antiqua" w:hAnsi="Book Antiqua"/>
          <w:b/>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13</w:t>
      </w:r>
      <w:r w:rsidRPr="00841C44">
        <w:rPr>
          <w:rFonts w:ascii="Book Antiqua" w:hAnsi="Book Antiqua"/>
          <w:b/>
          <w:i/>
          <w:sz w:val="18"/>
          <w:szCs w:val="18"/>
        </w:rPr>
        <w:t>:</w:t>
      </w:r>
      <w:r w:rsidRPr="00841C44">
        <w:rPr>
          <w:rFonts w:ascii="Book Antiqua" w:hAnsi="Book Antiqua"/>
          <w:i/>
          <w:sz w:val="18"/>
          <w:szCs w:val="18"/>
        </w:rPr>
        <w:t xml:space="preserve"> Behavior of Earth’s dipole magnetic moment, M*, in amp-meters</w:t>
      </w:r>
      <w:r w:rsidRPr="00841C44">
        <w:rPr>
          <w:rFonts w:ascii="Book Antiqua" w:hAnsi="Book Antiqua"/>
          <w:i/>
          <w:sz w:val="18"/>
          <w:szCs w:val="18"/>
          <w:vertAlign w:val="superscript"/>
        </w:rPr>
        <w:t>2</w:t>
      </w:r>
      <w:r w:rsidRPr="00841C44">
        <w:rPr>
          <w:rFonts w:ascii="Book Antiqua" w:hAnsi="Book Antiqua"/>
          <w:i/>
          <w:sz w:val="18"/>
          <w:szCs w:val="18"/>
        </w:rPr>
        <w:t>.</w:t>
      </w:r>
    </w:p>
    <w:p w:rsidR="005359B2" w:rsidRDefault="005359B2" w:rsidP="005359B2">
      <w:pPr>
        <w:pStyle w:val="NoSpacing"/>
        <w:jc w:val="both"/>
        <w:rPr>
          <w:rFonts w:ascii="Book Antiqua" w:hAnsi="Book Antiqua"/>
          <w:color w:val="000000"/>
          <w:sz w:val="20"/>
        </w:rPr>
      </w:pPr>
    </w:p>
    <w:p w:rsidR="005359B2" w:rsidRPr="00370948" w:rsidRDefault="005359B2" w:rsidP="005359B2">
      <w:pPr>
        <w:pStyle w:val="NoSpacing"/>
        <w:jc w:val="both"/>
        <w:rPr>
          <w:rFonts w:ascii="Book Antiqua" w:hAnsi="Book Antiqua"/>
          <w:color w:val="000000"/>
          <w:sz w:val="20"/>
        </w:rPr>
      </w:pPr>
    </w:p>
    <w:p w:rsidR="005359B2" w:rsidRPr="004159A5" w:rsidRDefault="005359B2" w:rsidP="005359B2">
      <w:pPr>
        <w:pStyle w:val="NoSpacing"/>
        <w:rPr>
          <w:rFonts w:ascii="Book Antiqua" w:hAnsi="Book Antiqua"/>
          <w:b/>
          <w:sz w:val="20"/>
        </w:rPr>
      </w:pPr>
      <w:r w:rsidRPr="00C57949">
        <w:rPr>
          <w:rFonts w:ascii="Book Antiqua" w:hAnsi="Book Antiqua"/>
          <w:b/>
          <w:bCs/>
          <w:iCs/>
          <w:color w:val="000000"/>
          <w:sz w:val="20"/>
        </w:rPr>
        <w:t>4.  Examining Plasma Equations.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From the foregoing discussion and equations, the following results emerge. The Bennett pinch in equation (1), due to the gradient of magnetic pressure, behaves as follows:</w:t>
      </w:r>
    </w:p>
    <w:p w:rsidR="005359B2" w:rsidRPr="00370948" w:rsidRDefault="005359B2" w:rsidP="005359B2">
      <w:pPr>
        <w:pStyle w:val="NoSpacing"/>
        <w:jc w:val="both"/>
        <w:rPr>
          <w:rFonts w:ascii="Book Antiqua" w:hAnsi="Book Antiqua"/>
          <w:sz w:val="20"/>
        </w:rPr>
      </w:pPr>
    </w:p>
    <w:p w:rsidR="005359B2" w:rsidRPr="00370948" w:rsidRDefault="007B3EBC" w:rsidP="005359B2">
      <w:pPr>
        <w:pStyle w:val="NoSpacing"/>
        <w:jc w:val="right"/>
        <w:rPr>
          <w:rFonts w:ascii="Book Antiqua" w:hAnsi="Book Antiqua"/>
          <w:i/>
          <w:sz w:val="20"/>
        </w:rPr>
      </w:pPr>
      <m:oMath>
        <m:sSub>
          <m:sSubPr>
            <m:ctrlPr>
              <w:rPr>
                <w:rFonts w:ascii="Cambria Math" w:hAnsi="Book Antiqua"/>
                <w:i/>
                <w:sz w:val="20"/>
              </w:rPr>
            </m:ctrlPr>
          </m:sSubPr>
          <m:e>
            <m:r>
              <w:rPr>
                <w:rFonts w:ascii="Cambria Math" w:hAnsi="Cambria Math"/>
                <w:sz w:val="20"/>
              </w:rPr>
              <m:t>p</m:t>
            </m:r>
          </m:e>
          <m:sub>
            <m:r>
              <w:rPr>
                <w:rFonts w:ascii="Cambria Math" w:hAnsi="Cambria Math"/>
                <w:sz w:val="20"/>
              </w:rPr>
              <m:t>m</m:t>
            </m:r>
          </m:sub>
        </m:sSub>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B</m:t>
            </m:r>
          </m:e>
          <m:sup>
            <m:r>
              <w:rPr>
                <w:rFonts w:ascii="Cambria Math" w:hAnsi="Book Antiqua"/>
                <w:sz w:val="20"/>
              </w:rPr>
              <m:t>2</m:t>
            </m:r>
          </m:sup>
        </m:sSup>
        <m:r>
          <w:rPr>
            <w:rFonts w:ascii="Cambria Math" w:hAnsi="Book Antiqua"/>
            <w:sz w:val="20"/>
          </w:rPr>
          <m:t>/(2</m:t>
        </m:r>
        <m:r>
          <w:rPr>
            <w:rFonts w:ascii="Cambria Math" w:hAnsi="Cambria Math"/>
            <w:sz w:val="20"/>
          </w:rPr>
          <m:t>μ</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005359B2" w:rsidRPr="00370948">
        <w:rPr>
          <w:rFonts w:ascii="Book Antiqua" w:hAnsi="Book Antiqua"/>
          <w:sz w:val="20"/>
        </w:rPr>
        <w:t xml:space="preserve"> . </w:t>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sz w:val="20"/>
        </w:rPr>
        <w:tab/>
      </w:r>
      <w:r w:rsidR="005359B2" w:rsidRPr="00370948">
        <w:rPr>
          <w:rFonts w:ascii="Book Antiqua" w:hAnsi="Book Antiqua"/>
          <w:i/>
          <w:sz w:val="20"/>
        </w:rPr>
        <w:t xml:space="preserve">    (26)</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Equation (3), the drift velocity of ions linked with Marklund convection, is given by the relationship</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v</m:t>
        </m:r>
        <m:r>
          <w:rPr>
            <w:rFonts w:ascii="Cambria Math" w:hAnsi="Book Antiqua"/>
            <w:sz w:val="20"/>
          </w:rPr>
          <m:t xml:space="preserve"> = </m:t>
        </m:r>
        <m:r>
          <w:rPr>
            <w:rFonts w:ascii="Cambria Math" w:hAnsi="Cambria Math"/>
            <w:sz w:val="20"/>
          </w:rPr>
          <m:t>E</m:t>
        </m:r>
        <m:r>
          <w:rPr>
            <w:rFonts w:ascii="Cambria Math" w:hAnsi="Book Antiqua"/>
            <w:sz w:val="20"/>
          </w:rPr>
          <m:t>/</m:t>
        </m:r>
        <m:r>
          <w:rPr>
            <w:rFonts w:ascii="Cambria Math" w:hAnsi="Cambria Math"/>
            <w:sz w:val="20"/>
          </w:rPr>
          <m:t>B</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 xml:space="preserve"> (27)</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The proportionality follows from (14) and (25). Thus, in the early universe, drift velocities were higher when ZPE strengths were lower.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9604E8">
        <w:rPr>
          <w:rFonts w:ascii="Book Antiqua" w:hAnsi="Book Antiqua"/>
          <w:sz w:val="20"/>
        </w:rPr>
        <w:t>One of the effects</w:t>
      </w:r>
      <w:r w:rsidRPr="00370948">
        <w:rPr>
          <w:rFonts w:ascii="Book Antiqua" w:hAnsi="Book Antiqua"/>
          <w:sz w:val="20"/>
        </w:rPr>
        <w:t xml:space="preserve"> of a higher drift velocity is the accumulation of matter.  In the ‘sausage’ mode of instability, as well as in the Z, or Bennett, pinches, matter is accumulated and concentrated. Consequently, matter could accumulate in plasma filaments much more readily than it does now.  </w:t>
      </w:r>
      <w:r>
        <w:rPr>
          <w:rFonts w:ascii="Book Antiqua" w:hAnsi="Book Antiqua"/>
          <w:sz w:val="20"/>
        </w:rPr>
        <w:t>This</w:t>
      </w:r>
      <w:r w:rsidRPr="00370948">
        <w:rPr>
          <w:rFonts w:ascii="Book Antiqua" w:hAnsi="Book Antiqua"/>
          <w:sz w:val="20"/>
        </w:rPr>
        <w:t xml:space="preserve"> mechanism, even now, is much more efficient than gravity. Equation (4) reinforces that contention as the rate of accumulation of material in filaments becomes: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dM</m:t>
        </m:r>
        <m:r>
          <w:rPr>
            <w:rFonts w:ascii="Cambria Math" w:hAnsi="Book Antiqua"/>
            <w:sz w:val="20"/>
          </w:rPr>
          <m:t>/</m:t>
        </m:r>
        <m:r>
          <w:rPr>
            <w:rFonts w:ascii="Cambria Math" w:hAnsi="Cambria Math"/>
            <w:sz w:val="20"/>
          </w:rPr>
          <m:t>dt</m:t>
        </m:r>
        <m:r>
          <w:rPr>
            <w:rFonts w:ascii="Cambria Math" w:hAnsi="Book Antiqua"/>
            <w:sz w:val="20"/>
          </w:rPr>
          <m:t xml:space="preserve">  =  </m:t>
        </m:r>
        <m:sSup>
          <m:sSupPr>
            <m:ctrlPr>
              <w:rPr>
                <w:rFonts w:ascii="Cambria Math" w:hAnsi="Book Antiqua"/>
                <w:i/>
                <w:sz w:val="20"/>
              </w:rPr>
            </m:ctrlPr>
          </m:sSupPr>
          <m:e>
            <m:r>
              <w:rPr>
                <w:rFonts w:ascii="Cambria Math" w:hAnsi="Book Antiqua"/>
                <w:sz w:val="20"/>
              </w:rPr>
              <m:t>(2</m:t>
            </m:r>
            <m:r>
              <w:rPr>
                <w:rFonts w:ascii="Cambria Math" w:hAnsi="Cambria Math"/>
                <w:sz w:val="20"/>
              </w:rPr>
              <m:t>πr</m:t>
            </m:r>
            <m:r>
              <w:rPr>
                <w:rFonts w:ascii="Cambria Math" w:hAnsi="Book Antiqua"/>
                <w:sz w:val="20"/>
              </w:rPr>
              <m:t>)</m:t>
            </m:r>
          </m:e>
          <m:sup>
            <m:r>
              <w:rPr>
                <w:rFonts w:ascii="Cambria Math" w:hAnsi="Book Antiqua"/>
                <w:sz w:val="20"/>
              </w:rPr>
              <m:t>2</m:t>
            </m:r>
          </m:sup>
        </m:sSup>
        <m:r>
          <w:rPr>
            <w:rFonts w:ascii="Cambria Math" w:hAnsi="Book Antiqua"/>
            <w:sz w:val="20"/>
          </w:rPr>
          <m:t xml:space="preserve"> </m:t>
        </m:r>
        <m:r>
          <w:rPr>
            <w:rFonts w:ascii="Cambria Math" w:hAnsi="Cambria Math"/>
            <w:sz w:val="20"/>
          </w:rPr>
          <m:t>ρ</m:t>
        </m:r>
        <m:r>
          <w:rPr>
            <w:rFonts w:ascii="Cambria Math" w:hAnsi="Book Antiqua"/>
            <w:sz w:val="20"/>
          </w:rPr>
          <m:t>[</m:t>
        </m:r>
        <m:r>
          <w:rPr>
            <w:rFonts w:ascii="Cambria Math" w:hAnsi="Cambria Math"/>
            <w:sz w:val="20"/>
          </w:rPr>
          <m:t>E</m:t>
        </m:r>
        <m:r>
          <w:rPr>
            <w:rFonts w:ascii="Cambria Math" w:hAnsi="Book Antiqua"/>
            <w:sz w:val="20"/>
          </w:rPr>
          <m:t>/(</m:t>
        </m:r>
        <m:r>
          <w:rPr>
            <w:rFonts w:ascii="Cambria Math" w:hAnsi="Cambria Math"/>
            <w:sz w:val="20"/>
          </w:rPr>
          <m:t>μI</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sz w:val="20"/>
        </w:rPr>
        <w:t>(28)</w:t>
      </w:r>
    </w:p>
    <w:p w:rsidR="005359B2" w:rsidRPr="00370948" w:rsidRDefault="005359B2" w:rsidP="005359B2">
      <w:pPr>
        <w:pStyle w:val="NoSpacing"/>
        <w:jc w:val="both"/>
        <w:rPr>
          <w:rFonts w:ascii="Book Antiqua" w:hAnsi="Book Antiqua"/>
          <w:color w:val="FF0000"/>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result comes from (20), (14), (21) and confirms that such processes were more efficient in the early days of our cosmos. The voltage build-up by dust collecting electrons in plasma is given by: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w:lastRenderedPageBreak/>
          <m:t>V</m:t>
        </m:r>
        <m:r>
          <w:rPr>
            <w:rFonts w:ascii="Cambria Math" w:hAnsi="Book Antiqua"/>
            <w:sz w:val="20"/>
          </w:rPr>
          <m:t xml:space="preserve">  =  </m:t>
        </m:r>
        <m:r>
          <w:rPr>
            <w:rFonts w:ascii="Cambria Math" w:hAnsi="Cambria Math"/>
            <w:sz w:val="20"/>
          </w:rPr>
          <m:t>-</m:t>
        </m:r>
        <m:r>
          <w:rPr>
            <w:rFonts w:ascii="Cambria Math" w:hAnsi="Book Antiqua"/>
            <w:sz w:val="20"/>
          </w:rPr>
          <m:t xml:space="preserve">2.51 </m:t>
        </m:r>
        <m:r>
          <w:rPr>
            <w:rFonts w:ascii="Cambria Math" w:hAnsi="Cambria Math"/>
            <w:sz w:val="20"/>
          </w:rPr>
          <m:t>kT</m:t>
        </m:r>
        <m:r>
          <w:rPr>
            <w:rFonts w:ascii="Cambria Math" w:hAnsi="Book Antiqua"/>
            <w:sz w:val="20"/>
          </w:rPr>
          <m:t>/</m:t>
        </m:r>
        <m:r>
          <w:rPr>
            <w:rFonts w:ascii="Cambria Math" w:hAnsi="Cambria Math"/>
            <w:sz w:val="20"/>
          </w:rPr>
          <m:t>e</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 xml:space="preserve">)  </m:t>
        </m:r>
      </m:oMath>
      <w:r w:rsidRPr="00370948">
        <w:rPr>
          <w:rFonts w:ascii="Book Antiqua" w:hAnsi="Book Antiqua"/>
          <w:sz w:val="20"/>
        </w:rPr>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 xml:space="preserve"> (29)</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last step is from (20). Voltages were greater when the ZPE strength was lower. Equation (8) is the axial component of the vorticity, </w:t>
      </w:r>
      <m:oMath>
        <m:r>
          <w:rPr>
            <w:rFonts w:ascii="Cambria Math" w:hAnsi="Cambria Math"/>
            <w:sz w:val="20"/>
          </w:rPr>
          <m:t>W</m:t>
        </m:r>
      </m:oMath>
      <w:r w:rsidRPr="00370948">
        <w:rPr>
          <w:rFonts w:ascii="Book Antiqua" w:hAnsi="Book Antiqua"/>
          <w:sz w:val="20"/>
        </w:rPr>
        <w:t>, that forms current bundles or filaments when an instability occurs. This has the following proportionality: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i/>
          <w:sz w:val="20"/>
        </w:rPr>
      </w:pPr>
      <m:oMath>
        <m:r>
          <w:rPr>
            <w:rFonts w:ascii="Cambria Math" w:hAnsi="Cambria Math"/>
            <w:sz w:val="20"/>
          </w:rPr>
          <m:t>W</m:t>
        </m:r>
        <m:r>
          <w:rPr>
            <w:rFonts w:ascii="Cambria Math" w:hAnsi="Book Antiqua"/>
            <w:sz w:val="20"/>
          </w:rPr>
          <m:t xml:space="preserve">  =  </m:t>
        </m:r>
        <m:r>
          <w:rPr>
            <w:rFonts w:ascii="Cambria Math" w:hAnsi="Cambria Math"/>
            <w:sz w:val="20"/>
          </w:rPr>
          <m:t>e</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e</m:t>
            </m:r>
          </m:sub>
        </m:sSub>
        <m:r>
          <w:rPr>
            <w:rFonts w:ascii="Cambria Math" w:hAnsi="Book Antiqua"/>
            <w:sz w:val="20"/>
          </w:rPr>
          <m:t xml:space="preserve"> </m:t>
        </m:r>
        <m:r>
          <w:rPr>
            <w:rFonts w:ascii="Cambria Math" w:hAnsi="Cambria Math"/>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N</m:t>
            </m:r>
          </m:e>
          <m:sub>
            <m:r>
              <w:rPr>
                <w:rFonts w:ascii="Cambria Math" w:hAnsi="Cambria Math"/>
                <w:sz w:val="20"/>
              </w:rPr>
              <m:t>i</m:t>
            </m:r>
          </m:sub>
        </m:sSub>
        <m:r>
          <w:rPr>
            <w:rFonts w:ascii="Cambria Math" w:hAnsi="Book Antiqua"/>
            <w:sz w:val="20"/>
          </w:rPr>
          <m:t xml:space="preserve">) / </m:t>
        </m:r>
        <m:r>
          <w:rPr>
            <w:rFonts w:ascii="Cambria Math" w:hAnsi="Cambria Math"/>
            <w:sz w:val="20"/>
          </w:rPr>
          <m:t>ε</m:t>
        </m:r>
        <m:r>
          <w:rPr>
            <w:rFonts w:ascii="Cambria Math" w:hAnsi="Book Antiqua"/>
            <w:sz w:val="20"/>
          </w:rPr>
          <m:t xml:space="preserve"> ~  </m:t>
        </m:r>
        <m:r>
          <w:rPr>
            <w:rFonts w:ascii="Cambria Math" w:hAnsi="Cambria Math"/>
            <w:sz w:val="20"/>
          </w:rPr>
          <m:t>√c</m:t>
        </m:r>
        <m:r>
          <w:rPr>
            <w:rFonts w:ascii="Cambria Math" w:hAnsi="Book Antiqua"/>
            <w:sz w:val="20"/>
          </w:rPr>
          <m:t xml:space="preserve">  ~  1 / (</m:t>
        </m:r>
        <m:r>
          <w:rPr>
            <w:rFonts w:ascii="Cambria Math" w:hAnsi="Cambria Math"/>
            <w:sz w:val="20"/>
          </w:rPr>
          <m:t>√U</m:t>
        </m:r>
        <m:r>
          <w:rPr>
            <w:rFonts w:ascii="Cambria Math" w:hAnsi="Book Antiqua"/>
            <w:sz w:val="20"/>
          </w:rPr>
          <m:t>)</m:t>
        </m:r>
      </m:oMath>
      <w:r w:rsidRPr="00370948">
        <w:rPr>
          <w:rFonts w:ascii="Book Antiqua" w:hAnsi="Book Antiqua"/>
          <w:sz w:val="20"/>
        </w:rPr>
        <w:tab/>
        <w:t>.</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t xml:space="preserve"> </w:t>
      </w:r>
      <w:r w:rsidRPr="00370948">
        <w:rPr>
          <w:rFonts w:ascii="Book Antiqua" w:hAnsi="Book Antiqua"/>
          <w:i/>
          <w:sz w:val="20"/>
        </w:rPr>
        <w:t>(30)</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This component was more effective in forming filaments when the ZPE was lower and</w:t>
      </w:r>
      <m:oMath>
        <m:r>
          <w:rPr>
            <w:rFonts w:ascii="Cambria Math" w:hAnsi="Book Antiqua"/>
            <w:sz w:val="20"/>
          </w:rPr>
          <m:t xml:space="preserve"> </m:t>
        </m:r>
        <m:r>
          <w:rPr>
            <w:rFonts w:ascii="Cambria Math" w:hAnsi="Cambria Math"/>
            <w:sz w:val="20"/>
          </w:rPr>
          <m:t>c</m:t>
        </m:r>
      </m:oMath>
      <w:r w:rsidRPr="00370948">
        <w:rPr>
          <w:rFonts w:ascii="Book Antiqua" w:hAnsi="Book Antiqua"/>
          <w:sz w:val="20"/>
        </w:rPr>
        <w:t xml:space="preserve"> was higher.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Equations (14) and (24) indicate that electric and magnetic field strengths were greater when the ZPE was lower. As Peratt indicated [16], when two filaments interact, long-range attractive forces result in an approach velocity given by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v</m:t>
        </m:r>
        <m:r>
          <w:rPr>
            <w:rFonts w:ascii="Cambria Math" w:hAnsi="Book Antiqua"/>
            <w:sz w:val="20"/>
          </w:rPr>
          <m:t xml:space="preserve">  =  </m:t>
        </m:r>
        <m:r>
          <w:rPr>
            <w:rFonts w:ascii="Cambria Math" w:hAnsi="Cambria Math"/>
            <w:sz w:val="20"/>
          </w:rPr>
          <m:t>I</m:t>
        </m:r>
        <m:r>
          <w:rPr>
            <w:rFonts w:ascii="Cambria Math" w:hAnsi="Book Antiqua"/>
            <w:sz w:val="20"/>
          </w:rPr>
          <m:t xml:space="preserve"> {</m:t>
        </m:r>
        <m:r>
          <w:rPr>
            <w:rFonts w:ascii="Cambria Math" w:hAnsi="Cambria Math"/>
            <w:sz w:val="20"/>
          </w:rPr>
          <m:t>√</m:t>
        </m:r>
        <m:r>
          <w:rPr>
            <w:rFonts w:ascii="Cambria Math" w:hAnsi="Book Antiqua"/>
            <w:sz w:val="20"/>
          </w:rPr>
          <m:t xml:space="preserve"> [</m:t>
        </m:r>
        <m:r>
          <w:rPr>
            <w:rFonts w:ascii="Cambria Math" w:hAnsi="Cambria Math"/>
            <w:sz w:val="20"/>
          </w:rPr>
          <m:t>μ</m:t>
        </m:r>
        <m:r>
          <w:rPr>
            <w:rFonts w:ascii="Cambria Math" w:hAnsi="Book Antiqua"/>
            <w:sz w:val="20"/>
          </w:rPr>
          <m:t xml:space="preserve"> </m:t>
        </m:r>
        <m:r>
          <w:rPr>
            <w:rFonts w:ascii="Cambria Math" w:hAnsi="Cambria Math"/>
            <w:sz w:val="20"/>
          </w:rPr>
          <m:t>L</m:t>
        </m:r>
        <m:r>
          <w:rPr>
            <w:rFonts w:ascii="Cambria Math" w:hAnsi="Book Antiqua"/>
            <w:sz w:val="20"/>
          </w:rPr>
          <m:t xml:space="preserve"> / (2 </m:t>
        </m:r>
        <m:r>
          <w:rPr>
            <w:rFonts w:ascii="Cambria Math" w:hAnsi="Cambria Math"/>
            <w:sz w:val="20"/>
          </w:rPr>
          <m:t>π</m:t>
        </m:r>
        <m:r>
          <w:rPr>
            <w:rFonts w:ascii="Cambria Math" w:hAnsi="Book Antiqua"/>
            <w:sz w:val="20"/>
          </w:rPr>
          <m:t xml:space="preserve"> </m:t>
        </m:r>
        <m:r>
          <w:rPr>
            <w:rFonts w:ascii="Cambria Math" w:hAnsi="Cambria Math"/>
            <w:sz w:val="20"/>
          </w:rPr>
          <m:t>M</m:t>
        </m:r>
        <m:r>
          <w:rPr>
            <w:rFonts w:ascii="Cambria Math" w:hAnsi="Book Antiqua"/>
            <w:sz w:val="20"/>
          </w:rPr>
          <m:t xml:space="preserve">)]}  ~  </m:t>
        </m:r>
        <m:r>
          <w:rPr>
            <w:rFonts w:ascii="Cambria Math" w:hAnsi="Cambria Math"/>
            <w:sz w:val="20"/>
          </w:rPr>
          <m:t>c</m:t>
        </m:r>
        <m:r>
          <w:rPr>
            <w:rFonts w:ascii="Cambria Math" w:hAnsi="Book Antiqua"/>
            <w:sz w:val="20"/>
          </w:rPr>
          <m:t xml:space="preserve"> ~  1/</m:t>
        </m:r>
        <m:r>
          <w:rPr>
            <w:rFonts w:ascii="Cambria Math" w:hAnsi="Cambria Math"/>
            <w:sz w:val="20"/>
          </w:rPr>
          <m:t>U</m:t>
        </m:r>
      </m:oMath>
      <w:r w:rsidRPr="00370948">
        <w:rPr>
          <w:rFonts w:ascii="Book Antiqua" w:hAnsi="Book Antiqua"/>
          <w:i/>
          <w:sz w:val="20"/>
        </w:rPr>
        <w:t xml:space="preserve">  .</w:t>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r>
      <w:r w:rsidRPr="00370948">
        <w:rPr>
          <w:rFonts w:ascii="Book Antiqua" w:hAnsi="Book Antiqua"/>
          <w:i/>
          <w:sz w:val="20"/>
        </w:rPr>
        <w:tab/>
        <w:t>(31)</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Here the current is </w:t>
      </w:r>
      <m:oMath>
        <m:r>
          <w:rPr>
            <w:rFonts w:ascii="Cambria Math" w:hAnsi="Cambria Math"/>
            <w:sz w:val="20"/>
          </w:rPr>
          <m:t>I</m:t>
        </m:r>
      </m:oMath>
      <w:r w:rsidRPr="00370948">
        <w:rPr>
          <w:rFonts w:ascii="Book Antiqua" w:hAnsi="Book Antiqua"/>
          <w:sz w:val="20"/>
        </w:rPr>
        <w:t xml:space="preserve">, while </w:t>
      </w:r>
      <m:oMath>
        <m:r>
          <w:rPr>
            <w:rFonts w:ascii="Cambria Math" w:hAnsi="Cambria Math"/>
            <w:sz w:val="20"/>
          </w:rPr>
          <m:t>L</m:t>
        </m:r>
      </m:oMath>
      <w:r w:rsidRPr="00370948">
        <w:rPr>
          <w:rFonts w:ascii="Book Antiqua" w:hAnsi="Book Antiqua"/>
          <w:sz w:val="20"/>
        </w:rPr>
        <w:t xml:space="preserve"> is the length of the filamental region involved in the attraction and </w:t>
      </w:r>
      <m:oMath>
        <m:r>
          <w:rPr>
            <w:rFonts w:ascii="Cambria Math" w:hAnsi="Cambria Math"/>
            <w:sz w:val="20"/>
          </w:rPr>
          <m:t>M</m:t>
        </m:r>
      </m:oMath>
      <w:r w:rsidRPr="00370948">
        <w:rPr>
          <w:rFonts w:ascii="Book Antiqua" w:hAnsi="Book Antiqua"/>
          <w:sz w:val="20"/>
        </w:rPr>
        <w:t xml:space="preserve"> is the mass of electrons and ions in length </w:t>
      </w:r>
      <m:oMath>
        <m:r>
          <w:rPr>
            <w:rFonts w:ascii="Cambria Math" w:hAnsi="Cambria Math"/>
            <w:sz w:val="20"/>
          </w:rPr>
          <m:t>L</m:t>
        </m:r>
      </m:oMath>
      <w:r w:rsidRPr="00370948">
        <w:rPr>
          <w:rFonts w:ascii="Book Antiqua" w:hAnsi="Book Antiqua"/>
          <w:sz w:val="20"/>
        </w:rPr>
        <w:t>. Peratt showed galaxy sized filaments approach each other today at 1000 km/s [38].  Since the velocity is proportional to the speed of light and the speed of light is inversely dependent upon the Zero Point energy, this interaction would have been more rapid when the ZPE strength was less.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C57949">
        <w:rPr>
          <w:rFonts w:ascii="Book Antiqua" w:hAnsi="Book Antiqua"/>
          <w:sz w:val="20"/>
        </w:rPr>
        <w:t>Pressure waves</w:t>
      </w:r>
      <w:r>
        <w:rPr>
          <w:rFonts w:ascii="Book Antiqua" w:hAnsi="Book Antiqua"/>
          <w:sz w:val="20"/>
        </w:rPr>
        <w:t xml:space="preserve"> and</w:t>
      </w:r>
      <w:r w:rsidRPr="00C57949">
        <w:rPr>
          <w:rFonts w:ascii="Book Antiqua" w:hAnsi="Book Antiqua"/>
          <w:sz w:val="20"/>
        </w:rPr>
        <w:t xml:space="preserve"> acoustic </w:t>
      </w:r>
      <w:r>
        <w:rPr>
          <w:rFonts w:ascii="Book Antiqua" w:hAnsi="Book Antiqua"/>
          <w:sz w:val="20"/>
        </w:rPr>
        <w:t xml:space="preserve">(sound) </w:t>
      </w:r>
      <w:r w:rsidRPr="00C57949">
        <w:rPr>
          <w:rFonts w:ascii="Book Antiqua" w:hAnsi="Book Antiqua"/>
          <w:sz w:val="20"/>
        </w:rPr>
        <w:t>waves</w:t>
      </w:r>
      <w:r w:rsidRPr="00370948">
        <w:rPr>
          <w:rFonts w:ascii="Book Antiqua" w:hAnsi="Book Antiqua"/>
          <w:sz w:val="20"/>
        </w:rPr>
        <w:t xml:space="preserve"> would also have travelled much more quickly in plasma when the ZPE strength was lower and the speed of light higher.   Sound moves slowly in low pressure, dense gas, while it moves quickly in high pressure, light-weight plasma. At the inception of the cosmos, the initial plasma was intrinsically linked with light photons which have low density but high pressure. This resulted in plasma that had a sound speed 57% of </w:t>
      </w:r>
      <m:oMath>
        <m:r>
          <w:rPr>
            <w:rFonts w:ascii="Cambria Math" w:hAnsi="Cambria Math"/>
            <w:sz w:val="20"/>
          </w:rPr>
          <m:t>c</m:t>
        </m:r>
      </m:oMath>
      <w:r w:rsidRPr="00370948">
        <w:rPr>
          <w:rFonts w:ascii="Book Antiqua" w:hAnsi="Book Antiqua"/>
          <w:sz w:val="20"/>
        </w:rPr>
        <w:t xml:space="preserve"> [57, 58] whatever that speed was.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Many astronomers agree that the universe started off as hot plasma. The gravitational model then must wait for the universe to cool, then for neutral atoms to form (a process called decoupling).  </w:t>
      </w:r>
      <w:r>
        <w:rPr>
          <w:rFonts w:ascii="Book Antiqua" w:hAnsi="Book Antiqua"/>
          <w:sz w:val="20"/>
        </w:rPr>
        <w:t>Then they</w:t>
      </w:r>
      <w:r w:rsidRPr="00370948">
        <w:rPr>
          <w:rFonts w:ascii="Book Antiqua" w:hAnsi="Book Antiqua"/>
          <w:sz w:val="20"/>
        </w:rPr>
        <w:t xml:space="preserve"> must attract each other gravitationally before galaxies and stars and planets can even begin </w:t>
      </w:r>
      <w:r w:rsidRPr="00C57949">
        <w:rPr>
          <w:rFonts w:ascii="Book Antiqua" w:hAnsi="Book Antiqua"/>
          <w:sz w:val="20"/>
        </w:rPr>
        <w:t xml:space="preserve">to form. </w:t>
      </w:r>
      <w:r>
        <w:rPr>
          <w:rFonts w:ascii="Book Antiqua" w:hAnsi="Book Antiqua"/>
          <w:sz w:val="20"/>
        </w:rPr>
        <w:t xml:space="preserve"> Although the estimation of how much time this took keeps changing, the least that can be said is that it was a very long time.  </w:t>
      </w:r>
      <w:r w:rsidRPr="00C57949">
        <w:rPr>
          <w:rFonts w:ascii="Book Antiqua" w:hAnsi="Book Antiqua"/>
          <w:sz w:val="20"/>
        </w:rPr>
        <w:t>The</w:t>
      </w:r>
      <w:r w:rsidRPr="00370948">
        <w:rPr>
          <w:rFonts w:ascii="Book Antiqua" w:hAnsi="Book Antiqua"/>
          <w:sz w:val="20"/>
        </w:rPr>
        <w:t xml:space="preserve"> plasma model does not require this wait time; the processes can start immediately. The most distant galaxies that we can see already show a degree of maturity </w:t>
      </w:r>
      <w:r>
        <w:rPr>
          <w:rFonts w:ascii="Book Antiqua" w:hAnsi="Book Antiqua"/>
          <w:sz w:val="20"/>
        </w:rPr>
        <w:t>inconsistent</w:t>
      </w:r>
      <w:r w:rsidRPr="00370948">
        <w:rPr>
          <w:rFonts w:ascii="Book Antiqua" w:hAnsi="Book Antiqua"/>
          <w:sz w:val="20"/>
        </w:rPr>
        <w:t xml:space="preserve"> with the gravitational model, as they are exceptionally close to the Big Bang event itself.  Their presence and form, however, are exactly in line with the plasma model.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James Trefil explained the problem with the gravitational model this way: </w:t>
      </w:r>
      <w:r w:rsidRPr="00370948">
        <w:rPr>
          <w:rFonts w:ascii="Book Antiqua" w:hAnsi="Book Antiqua"/>
          <w:i/>
          <w:sz w:val="20"/>
        </w:rPr>
        <w:t xml:space="preserve">"Galaxies cannot begin to form until after radiation and matter decouple.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[gravitationally based] galaxy-formation mechanism we can accept has to work quickly enough to fit into this window." </w:t>
      </w:r>
      <w:r w:rsidRPr="00370948">
        <w:rPr>
          <w:rFonts w:ascii="Book Antiqua" w:hAnsi="Book Antiqua"/>
          <w:sz w:val="20"/>
        </w:rPr>
        <w:t xml:space="preserve">[59] But the data show galaxies and mature galaxy clusters in existence very soon after the Big Bang. The galaxy we have seen which is the closest to the beginning is UDFy-38135539, and the image of this galaxy, at a redshift of 8.55, </w:t>
      </w:r>
      <w:r w:rsidRPr="00370948">
        <w:rPr>
          <w:rFonts w:ascii="Book Antiqua" w:hAnsi="Book Antiqua"/>
          <w:i/>
          <w:sz w:val="20"/>
        </w:rPr>
        <w:t xml:space="preserve">"shows the galaxy as it was when it was 100 million years old ... just 600 million years after the Big Bang..." </w:t>
      </w:r>
      <w:r w:rsidRPr="00370948">
        <w:rPr>
          <w:rFonts w:ascii="Book Antiqua" w:hAnsi="Book Antiqua"/>
          <w:sz w:val="20"/>
        </w:rPr>
        <w:t>[60]</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There are two major problems with this.  First this galaxy is well-developed; second, it has iron.  Iron is found in the spectra of many of the most distant objects. </w:t>
      </w:r>
      <w:r>
        <w:rPr>
          <w:rFonts w:ascii="Book Antiqua" w:hAnsi="Book Antiqua"/>
          <w:sz w:val="20"/>
        </w:rPr>
        <w:t>This</w:t>
      </w:r>
      <w:r w:rsidRPr="00370948">
        <w:rPr>
          <w:rFonts w:ascii="Book Antiqua" w:hAnsi="Book Antiqua"/>
          <w:sz w:val="20"/>
        </w:rPr>
        <w:t xml:space="preserve"> disagrees with the gravitational model, which says the heavier elements did not exist until much </w:t>
      </w:r>
      <w:r w:rsidRPr="00C57949">
        <w:rPr>
          <w:rFonts w:ascii="Book Antiqua" w:hAnsi="Book Antiqua"/>
          <w:sz w:val="20"/>
        </w:rPr>
        <w:t>later.  In the plasma model, however, there is no problem with iron or any heavy element being present that early in the universe.  Plasma</w:t>
      </w:r>
      <w:r w:rsidRPr="00370948">
        <w:rPr>
          <w:rFonts w:ascii="Book Antiqua" w:hAnsi="Book Antiqua"/>
          <w:sz w:val="20"/>
        </w:rPr>
        <w:t xml:space="preserve"> fusion readily occurs in arc-mode plasma and has the capacity to build up any element from atoms lower on the Periodic Table.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The plasma model indicates that</w:t>
      </w:r>
      <w:r>
        <w:rPr>
          <w:rFonts w:ascii="Book Antiqua" w:hAnsi="Book Antiqua"/>
          <w:sz w:val="20"/>
        </w:rPr>
        <w:t>,</w:t>
      </w:r>
      <w:r w:rsidRPr="00370948">
        <w:rPr>
          <w:rFonts w:ascii="Book Antiqua" w:hAnsi="Book Antiqua"/>
          <w:sz w:val="20"/>
        </w:rPr>
        <w:t xml:space="preserve"> when the cosmos was younger, plasma processes formed filaments, accumulated material, pinched and formed astronomical objects more readily than is now possible because ZPE strengths were lower. In contrast, gravitational processes not only took more time, but may have been a self-defeating process, as Trefil pointed out.</w:t>
      </w:r>
    </w:p>
    <w:p w:rsidR="005359B2" w:rsidRPr="00370948" w:rsidRDefault="005359B2" w:rsidP="005359B2">
      <w:pPr>
        <w:pStyle w:val="NoSpacing"/>
        <w:ind w:firstLine="720"/>
        <w:jc w:val="both"/>
        <w:rPr>
          <w:rFonts w:ascii="Book Antiqua" w:hAnsi="Book Antiqua" w:cs="Arial"/>
          <w:sz w:val="18"/>
          <w:szCs w:val="18"/>
        </w:rPr>
      </w:pPr>
    </w:p>
    <w:p w:rsidR="005359B2" w:rsidRPr="00370948" w:rsidRDefault="005359B2" w:rsidP="005359B2">
      <w:pPr>
        <w:pStyle w:val="NoSpacing"/>
        <w:rPr>
          <w:rFonts w:ascii="Book Antiqua" w:hAnsi="Book Antiqua"/>
          <w:b/>
          <w:bCs/>
          <w:iCs/>
          <w:color w:val="000000"/>
          <w:sz w:val="20"/>
        </w:rPr>
      </w:pPr>
      <w:r>
        <w:rPr>
          <w:rFonts w:ascii="Book Antiqua" w:hAnsi="Book Antiqua"/>
          <w:b/>
          <w:bCs/>
          <w:iCs/>
          <w:color w:val="000000"/>
          <w:sz w:val="20"/>
        </w:rPr>
        <w:t>5</w:t>
      </w:r>
      <w:r w:rsidRPr="00370948">
        <w:rPr>
          <w:rFonts w:ascii="Book Antiqua" w:hAnsi="Book Antiqua"/>
          <w:b/>
          <w:bCs/>
          <w:iCs/>
          <w:color w:val="000000"/>
          <w:sz w:val="20"/>
        </w:rPr>
        <w:t xml:space="preserve">.   Forming A Plasma Universe. </w:t>
      </w:r>
    </w:p>
    <w:p w:rsidR="005359B2" w:rsidRPr="00370948" w:rsidRDefault="005359B2" w:rsidP="005359B2">
      <w:pPr>
        <w:pStyle w:val="NoSpacing"/>
        <w:rPr>
          <w:rFonts w:ascii="Book Antiqua" w:hAnsi="Book Antiqua"/>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5</w:t>
      </w:r>
      <w:r w:rsidRPr="00370948">
        <w:rPr>
          <w:rFonts w:ascii="Book Antiqua" w:hAnsi="Book Antiqua"/>
          <w:bCs/>
          <w:i/>
          <w:iCs/>
          <w:color w:val="000000"/>
          <w:sz w:val="20"/>
        </w:rPr>
        <w:t>.1. The Original Plasma And Its Composition.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On the model presented here, there was an initial rapid expansion of the cosmos out to its stable size after which there were minor oscillations about this final position. That expansion was the cause of the Zero Point Energy, which built up over time. Initially the ZPE strength was virtually negligible. However, since the ZPE is what maintains atomic structures, its near absence indicates that no atomic structures existed initially. This means all initial matter was in the form of ions and electrons, that is plasma. Furthermore, as the universe expanded out, its temperature would have dropped, due to the adiabatic nature of the expansion. Data suggest the initial temperature was of the order of 10 billion to 20 billion</w:t>
      </w:r>
      <w:r>
        <w:rPr>
          <w:rFonts w:ascii="Book Antiqua" w:hAnsi="Book Antiqua"/>
          <w:sz w:val="20"/>
        </w:rPr>
        <w:t xml:space="preserve"> degrees</w:t>
      </w:r>
      <w:r w:rsidRPr="00370948">
        <w:rPr>
          <w:rFonts w:ascii="Book Antiqua" w:hAnsi="Book Antiqua"/>
          <w:sz w:val="20"/>
        </w:rPr>
        <w:t xml:space="preserve"> K</w:t>
      </w:r>
      <w:r>
        <w:rPr>
          <w:rFonts w:ascii="Book Antiqua" w:hAnsi="Book Antiqua"/>
          <w:sz w:val="20"/>
        </w:rPr>
        <w:t>elvin</w:t>
      </w:r>
      <w:r w:rsidRPr="00370948">
        <w:rPr>
          <w:rFonts w:ascii="Book Antiqua" w:hAnsi="Book Antiqua"/>
          <w:sz w:val="20"/>
        </w:rPr>
        <w:t xml:space="preserve">.  That temperature also is evidence that the material making up the universe was plasma.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On the Big Bang modeling the universe was initially filled with a sea of protons, neutrons and electrons in a composition that resulted in about 77% hydrogen and 23% helium being formed. This stops at a nucleus of mass 4 because the nuclear forces do not allow either a single proton or a single neutron to be attached to a helium nucleus. This means that a nucleus of mass 5 does not exist; the next stable nucleus is that of mass 6, the lighter isotope of lithium. However, since a nucleus of mass 5 is needed for the nuclear ‘cookery’ to continue, the Big Bang process stops there.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this fact, the Big Bang model sees the remaining elements as forming inside stars which explode these elements into space when they become supernovae. These elements then become incorporated into later generations of stars and planets. But there is a problem. Quasars from the earliest epochs with redshifts greater than </w:t>
      </w:r>
      <m:oMath>
        <m:r>
          <w:rPr>
            <w:rFonts w:ascii="Cambria Math" w:hAnsi="Cambria Math"/>
            <w:sz w:val="20"/>
          </w:rPr>
          <m:t>z</m:t>
        </m:r>
        <m:r>
          <w:rPr>
            <w:rFonts w:ascii="Cambria Math" w:hAnsi="Book Antiqua"/>
            <w:sz w:val="20"/>
          </w:rPr>
          <m:t xml:space="preserve"> = 6.5</m:t>
        </m:r>
      </m:oMath>
      <w:r w:rsidRPr="00370948">
        <w:rPr>
          <w:rFonts w:ascii="Book Antiqua" w:hAnsi="Book Antiqua"/>
          <w:sz w:val="20"/>
        </w:rPr>
        <w:t xml:space="preserve"> show the same iron abundance as we find at present [61, 62]. Neither the equivalent spectral line width nor the Fe II/Mg II line ratio increase from then unto now. Furthermore, Population I and II stars from these distant objects all show the same metal enrichment as is currently the case in our own galaxy.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addition, v</w:t>
      </w:r>
      <w:r w:rsidRPr="00370948">
        <w:rPr>
          <w:rFonts w:ascii="Book Antiqua" w:hAnsi="Book Antiqua"/>
          <w:sz w:val="20"/>
        </w:rPr>
        <w:t xml:space="preserve">ast quantities of water vapor already exist in quasars like APM 08279+5255 of redshift </w:t>
      </w:r>
      <m:oMath>
        <m:r>
          <w:rPr>
            <w:rFonts w:ascii="Cambria Math" w:hAnsi="Cambria Math"/>
            <w:sz w:val="20"/>
          </w:rPr>
          <m:t>z</m:t>
        </m:r>
        <m:r>
          <w:rPr>
            <w:rFonts w:ascii="Cambria Math" w:hAnsi="Book Antiqua"/>
            <w:sz w:val="20"/>
          </w:rPr>
          <m:t xml:space="preserve"> = 3.91</m:t>
        </m:r>
      </m:oMath>
      <w:r w:rsidRPr="00370948">
        <w:rPr>
          <w:rFonts w:ascii="Book Antiqua" w:hAnsi="Book Antiqua"/>
          <w:sz w:val="20"/>
        </w:rPr>
        <w:t xml:space="preserve"> and an expected distance of 12 billion light years. [See abstract at </w:t>
      </w:r>
      <w:hyperlink r:id="rId292" w:history="1">
        <w:r w:rsidRPr="00841C44">
          <w:rPr>
            <w:rStyle w:val="Hyperlink"/>
            <w:rFonts w:ascii="Book Antiqua" w:hAnsi="Book Antiqua"/>
            <w:i/>
            <w:sz w:val="20"/>
          </w:rPr>
          <w:t>http://arxiv.org/abs/1106.4784</w:t>
        </w:r>
      </w:hyperlink>
      <w:r w:rsidRPr="00370948">
        <w:rPr>
          <w:rFonts w:ascii="Book Antiqua" w:hAnsi="Book Antiqua"/>
          <w:sz w:val="20"/>
        </w:rPr>
        <w:t xml:space="preserve"> with a full summary at: </w:t>
      </w:r>
      <w:hyperlink r:id="rId293" w:history="1">
        <w:r w:rsidRPr="00841C44">
          <w:rPr>
            <w:rStyle w:val="Hyperlink"/>
            <w:rFonts w:ascii="Book Antiqua" w:hAnsi="Book Antiqua"/>
            <w:i/>
            <w:sz w:val="20"/>
          </w:rPr>
          <w:t>http://www.theregister.co.uk/2011/07/25/cloud/</w:t>
        </w:r>
      </w:hyperlink>
      <w:r w:rsidRPr="00370948">
        <w:rPr>
          <w:rFonts w:ascii="Book Antiqua" w:hAnsi="Book Antiqua"/>
          <w:sz w:val="20"/>
        </w:rPr>
        <w:t xml:space="preserve">]. Since a number of observations have noted similar facts, the indications are that all the elements up to iron (and perhaps the rest of the Periodic Table) were already in existence in their present abundances when the quasars and early stars were formed.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t xml:space="preserve">Plasma physics presents an option in broad agreement with these data.  Scott has pointed out that fusion occurs easily in z-pinched double layers, and also particularly strongly in the current filaments of arc-mode plasmas [63]. Normally, fusion is considered to occur only at ignition temperatures of millions of degrees Kelvin. However, the acceleration energy of a charged particle is given by the particle’s charge number </w:t>
      </w:r>
      <w:r w:rsidRPr="00A60CF4">
        <w:rPr>
          <w:rFonts w:ascii="Book Antiqua" w:hAnsi="Book Antiqua"/>
          <w:sz w:val="20"/>
        </w:rPr>
        <w:t xml:space="preserve">(one for </w:t>
      </w:r>
      <w:r>
        <w:rPr>
          <w:rFonts w:ascii="Book Antiqua" w:hAnsi="Book Antiqua"/>
          <w:sz w:val="20"/>
        </w:rPr>
        <w:t>each</w:t>
      </w:r>
      <w:r w:rsidRPr="00A60CF4">
        <w:rPr>
          <w:rFonts w:ascii="Book Antiqua" w:hAnsi="Book Antiqua"/>
          <w:sz w:val="20"/>
        </w:rPr>
        <w:t xml:space="preserve"> electron or proton) multiplied by the voltage it is accelerated through.</w:t>
      </w:r>
      <w:r w:rsidRPr="00370948">
        <w:rPr>
          <w:rFonts w:ascii="Book Antiqua" w:hAnsi="Book Antiqua"/>
          <w:sz w:val="20"/>
        </w:rPr>
        <w:t xml:space="preserve"> (This unit of energy is called the “electron-volt,” written as eV.) To </w:t>
      </w:r>
      <w:r>
        <w:rPr>
          <w:rFonts w:ascii="Book Antiqua" w:hAnsi="Book Antiqua"/>
          <w:sz w:val="20"/>
        </w:rPr>
        <w:t>convert</w:t>
      </w:r>
      <w:r w:rsidRPr="00370948">
        <w:rPr>
          <w:rFonts w:ascii="Book Antiqua" w:hAnsi="Book Antiqua"/>
          <w:sz w:val="20"/>
        </w:rPr>
        <w:t xml:space="preserve"> electron-volts to degrees Kelvin, </w:t>
      </w:r>
      <w:r>
        <w:rPr>
          <w:rFonts w:ascii="Book Antiqua" w:hAnsi="Book Antiqua"/>
          <w:sz w:val="20"/>
        </w:rPr>
        <w:t>electron-volts must be multiplied</w:t>
      </w:r>
      <w:r w:rsidRPr="00A60CF4">
        <w:rPr>
          <w:rFonts w:ascii="Book Antiqua" w:hAnsi="Book Antiqua"/>
          <w:sz w:val="20"/>
        </w:rPr>
        <w:t xml:space="preserve"> by 11,604.45</w:t>
      </w:r>
      <w:r w:rsidRPr="00370948">
        <w:rPr>
          <w:rFonts w:ascii="Book Antiqua" w:hAnsi="Book Antiqua"/>
          <w:sz w:val="20"/>
        </w:rPr>
        <w:t xml:space="preserve"> [64].  The result is that a 50-million-degree ignition temperature is easily achieved with a mere 4308.7 eV.  There is, additionally, no restriction on which elements may be formed. In this manner elements could be formed rapidly enough via plasma processes to be in the first quasars and stars.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i/>
          <w:sz w:val="20"/>
        </w:rPr>
      </w:pPr>
      <w:r>
        <w:rPr>
          <w:rFonts w:ascii="Book Antiqua" w:hAnsi="Book Antiqua"/>
          <w:bCs/>
          <w:i/>
          <w:iCs/>
          <w:color w:val="000000"/>
          <w:sz w:val="20"/>
        </w:rPr>
        <w:t>5</w:t>
      </w:r>
      <w:r w:rsidRPr="00370948">
        <w:rPr>
          <w:rFonts w:ascii="Book Antiqua" w:hAnsi="Book Antiqua"/>
          <w:bCs/>
          <w:i/>
          <w:iCs/>
          <w:color w:val="000000"/>
          <w:sz w:val="20"/>
        </w:rPr>
        <w:t xml:space="preserve">.2. </w:t>
      </w:r>
      <w:r>
        <w:rPr>
          <w:rFonts w:ascii="Book Antiqua" w:hAnsi="Book Antiqua"/>
          <w:bCs/>
          <w:i/>
          <w:iCs/>
          <w:color w:val="000000"/>
          <w:sz w:val="20"/>
        </w:rPr>
        <w:t xml:space="preserve">Expansion and the </w:t>
      </w:r>
      <w:r w:rsidRPr="00370948">
        <w:rPr>
          <w:rFonts w:ascii="Book Antiqua" w:hAnsi="Book Antiqua"/>
          <w:bCs/>
          <w:i/>
          <w:iCs/>
          <w:color w:val="000000"/>
          <w:sz w:val="20"/>
        </w:rPr>
        <w:t xml:space="preserve">Cosmic Microwave Background Radiation.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At the inception of the cosmos, all matter existed as plasma</w:t>
      </w:r>
      <w:r>
        <w:rPr>
          <w:rFonts w:ascii="Book Antiqua" w:hAnsi="Book Antiqua"/>
          <w:sz w:val="20"/>
        </w:rPr>
        <w:t>, so plasma physics was in operation</w:t>
      </w:r>
      <w:r w:rsidRPr="00146E23">
        <w:rPr>
          <w:rFonts w:ascii="Book Antiqua" w:hAnsi="Book Antiqua"/>
          <w:sz w:val="20"/>
        </w:rPr>
        <w:t xml:space="preserve">. </w:t>
      </w:r>
      <w:r>
        <w:rPr>
          <w:rFonts w:ascii="Book Antiqua" w:hAnsi="Book Antiqua"/>
          <w:sz w:val="20"/>
        </w:rPr>
        <w:t>As a result of the expansion process, t</w:t>
      </w:r>
      <w:r w:rsidRPr="00146E23">
        <w:rPr>
          <w:rFonts w:ascii="Book Antiqua" w:hAnsi="Book Antiqua"/>
          <w:sz w:val="20"/>
        </w:rPr>
        <w:t>here was turbulence</w:t>
      </w:r>
      <w:r>
        <w:rPr>
          <w:rFonts w:ascii="Book Antiqua" w:hAnsi="Book Antiqua"/>
          <w:sz w:val="20"/>
        </w:rPr>
        <w:t xml:space="preserve"> in the plasma so</w:t>
      </w:r>
      <w:r w:rsidRPr="00146E23">
        <w:rPr>
          <w:rFonts w:ascii="Book Antiqua" w:hAnsi="Book Antiqua"/>
          <w:sz w:val="20"/>
        </w:rPr>
        <w:t xml:space="preserve"> there was strong</w:t>
      </w:r>
      <w:r>
        <w:rPr>
          <w:rFonts w:ascii="Book Antiqua" w:hAnsi="Book Antiqua"/>
          <w:sz w:val="20"/>
        </w:rPr>
        <w:t>,</w:t>
      </w:r>
      <w:r w:rsidRPr="00146E23">
        <w:rPr>
          <w:rFonts w:ascii="Book Antiqua" w:hAnsi="Book Antiqua"/>
          <w:sz w:val="20"/>
        </w:rPr>
        <w:t xml:space="preserve"> </w:t>
      </w:r>
      <w:r>
        <w:rPr>
          <w:rFonts w:ascii="Book Antiqua" w:hAnsi="Book Antiqua"/>
          <w:sz w:val="20"/>
        </w:rPr>
        <w:t xml:space="preserve">if not violent, </w:t>
      </w:r>
      <w:r w:rsidRPr="00146E23">
        <w:rPr>
          <w:rFonts w:ascii="Book Antiqua" w:hAnsi="Book Antiqua"/>
          <w:sz w:val="20"/>
        </w:rPr>
        <w:t xml:space="preserve">motion. Since plasma consists of electric charges, these charges were </w:t>
      </w:r>
      <w:r>
        <w:rPr>
          <w:rFonts w:ascii="Book Antiqua" w:hAnsi="Book Antiqua"/>
          <w:sz w:val="20"/>
        </w:rPr>
        <w:t xml:space="preserve">therefore </w:t>
      </w:r>
      <w:r w:rsidRPr="00146E23">
        <w:rPr>
          <w:rFonts w:ascii="Book Antiqua" w:hAnsi="Book Antiqua"/>
          <w:sz w:val="20"/>
        </w:rPr>
        <w:t>in motion. Charges in motion are e</w:t>
      </w:r>
      <w:r>
        <w:rPr>
          <w:rFonts w:ascii="Book Antiqua" w:hAnsi="Book Antiqua"/>
          <w:sz w:val="20"/>
        </w:rPr>
        <w:t xml:space="preserve">ssentially </w:t>
      </w:r>
      <w:r w:rsidRPr="00146E23">
        <w:rPr>
          <w:rFonts w:ascii="Book Antiqua" w:hAnsi="Book Antiqua"/>
          <w:sz w:val="20"/>
        </w:rPr>
        <w:t xml:space="preserve">what an electric current is. </w:t>
      </w:r>
      <w:r>
        <w:rPr>
          <w:rFonts w:ascii="Book Antiqua" w:hAnsi="Book Antiqua"/>
          <w:sz w:val="20"/>
        </w:rPr>
        <w:t xml:space="preserve">The </w:t>
      </w:r>
      <w:r>
        <w:rPr>
          <w:rFonts w:ascii="Book Antiqua" w:hAnsi="Book Antiqua"/>
          <w:sz w:val="20"/>
        </w:rPr>
        <w:lastRenderedPageBreak/>
        <w:t xml:space="preserve">currents in the plasma </w:t>
      </w:r>
      <w:r w:rsidRPr="00146E23">
        <w:rPr>
          <w:rFonts w:ascii="Book Antiqua" w:hAnsi="Book Antiqua"/>
          <w:sz w:val="20"/>
        </w:rPr>
        <w:t>had circling magnetic fields which constrained them</w:t>
      </w:r>
      <w:r>
        <w:rPr>
          <w:rFonts w:ascii="Book Antiqua" w:hAnsi="Book Antiqua"/>
          <w:sz w:val="20"/>
        </w:rPr>
        <w:t xml:space="preserve"> to filamentary shapes</w:t>
      </w:r>
      <w:r w:rsidRPr="00146E23">
        <w:rPr>
          <w:rFonts w:ascii="Book Antiqua" w:hAnsi="Book Antiqua"/>
          <w:sz w:val="20"/>
        </w:rPr>
        <w:t xml:space="preserve">. For this reason, very early on, the universe was filled with plasma filaments. </w:t>
      </w: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146E23">
        <w:rPr>
          <w:rFonts w:ascii="Book Antiqua" w:hAnsi="Book Antiqua"/>
          <w:sz w:val="20"/>
        </w:rPr>
        <w:t>As the cosmos expanded out, these filaments separated. The filaments themselves did not expand because they were constrained by their circling magnetic fields which kept them in place. Calculations have revealed that this was impossible for gravity to accomplish even early in the history of the universe.</w:t>
      </w:r>
      <w:r>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Pr>
          <w:rFonts w:ascii="Book Antiqua" w:hAnsi="Book Antiqua"/>
          <w:sz w:val="20"/>
        </w:rPr>
        <w:t>However, the strength of the magnetic fields involved was much greater than gravity.</w:t>
      </w:r>
      <w:r w:rsidRPr="00146E23">
        <w:rPr>
          <w:rFonts w:ascii="Book Antiqua" w:hAnsi="Book Antiqua"/>
          <w:sz w:val="20"/>
        </w:rPr>
        <w:t xml:space="preserve"> Therefore, as the universe expanded, the dense mass of filaments drew further apart,</w:t>
      </w:r>
      <w:r>
        <w:rPr>
          <w:rFonts w:ascii="Book Antiqua" w:hAnsi="Book Antiqua"/>
          <w:sz w:val="20"/>
        </w:rPr>
        <w:t xml:space="preserve"> forming voids between them. They also</w:t>
      </w:r>
      <w:r w:rsidRPr="00146E23">
        <w:rPr>
          <w:rFonts w:ascii="Book Antiqua" w:hAnsi="Book Antiqua"/>
          <w:sz w:val="20"/>
        </w:rPr>
        <w:t xml:space="preserve"> lengthened along their long axes</w:t>
      </w:r>
      <w:r>
        <w:rPr>
          <w:rFonts w:ascii="Book Antiqua" w:hAnsi="Book Antiqua"/>
          <w:sz w:val="20"/>
        </w:rPr>
        <w:t xml:space="preserve"> </w:t>
      </w:r>
      <w:r w:rsidRPr="00A60CF4">
        <w:rPr>
          <w:rFonts w:ascii="Book Antiqua" w:hAnsi="Book Antiqua"/>
          <w:sz w:val="20"/>
        </w:rPr>
        <w:t xml:space="preserve">since </w:t>
      </w:r>
      <w:r>
        <w:rPr>
          <w:rFonts w:ascii="Book Antiqua" w:hAnsi="Book Antiqua"/>
          <w:sz w:val="20"/>
        </w:rPr>
        <w:t xml:space="preserve">the encircling magnetic field only controls the filament diameter, not the length.  </w:t>
      </w:r>
      <w:r w:rsidRPr="00146E23">
        <w:rPr>
          <w:rFonts w:ascii="Book Antiqua" w:hAnsi="Book Antiqua"/>
          <w:sz w:val="20"/>
        </w:rPr>
        <w:t xml:space="preserve">The ultimate outcome </w:t>
      </w:r>
      <w:r>
        <w:rPr>
          <w:rFonts w:ascii="Book Antiqua" w:hAnsi="Book Antiqua"/>
          <w:sz w:val="20"/>
        </w:rPr>
        <w:t>was</w:t>
      </w:r>
      <w:r w:rsidRPr="00146E23">
        <w:rPr>
          <w:rFonts w:ascii="Book Antiqua" w:hAnsi="Book Antiqua"/>
          <w:sz w:val="20"/>
        </w:rPr>
        <w:t xml:space="preserve"> the structure of the universe that we see today</w:t>
      </w:r>
      <w:r>
        <w:rPr>
          <w:rFonts w:ascii="Book Antiqua" w:hAnsi="Book Antiqua"/>
          <w:sz w:val="20"/>
        </w:rPr>
        <w:t>,</w:t>
      </w:r>
      <w:r w:rsidRPr="00146E23">
        <w:rPr>
          <w:rFonts w:ascii="Book Antiqua" w:hAnsi="Book Antiqua"/>
          <w:sz w:val="20"/>
        </w:rPr>
        <w:t xml:space="preserve"> filaments and voids,</w:t>
      </w:r>
      <w:r w:rsidRPr="00146E23">
        <w:rPr>
          <w:rFonts w:ascii="Book Antiqua" w:hAnsi="Book Antiqua"/>
          <w:sz w:val="20"/>
        </w:rPr>
        <w:tab/>
      </w:r>
    </w:p>
    <w:p w:rsidR="005359B2" w:rsidRPr="00146E23"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 xml:space="preserve">Another factor was also at work. </w:t>
      </w:r>
      <w:r w:rsidRPr="00146E23">
        <w:rPr>
          <w:rFonts w:ascii="Book Antiqua" w:hAnsi="Book Antiqua"/>
          <w:sz w:val="20"/>
        </w:rPr>
        <w:t xml:space="preserve">At a critical point in the cosmological expansion process, the cosmic microwave background radiation was produced. Research on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radiation indicates that sound waves, at strengths approaching 110 decibels, were involved in the process which formed the observed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patterns in the plasma [65]. </w:t>
      </w:r>
    </w:p>
    <w:p w:rsidR="005359B2" w:rsidRDefault="005359B2" w:rsidP="005359B2">
      <w:pPr>
        <w:pStyle w:val="NoSpacing"/>
        <w:ind w:firstLine="720"/>
        <w:jc w:val="both"/>
        <w:rPr>
          <w:rFonts w:ascii="Book Antiqua" w:hAnsi="Book Antiqua"/>
          <w:sz w:val="20"/>
        </w:rPr>
      </w:pPr>
    </w:p>
    <w:p w:rsidR="005359B2" w:rsidRPr="00146E23" w:rsidRDefault="005359B2" w:rsidP="005359B2">
      <w:pPr>
        <w:pStyle w:val="NoSpacing"/>
        <w:ind w:firstLine="720"/>
        <w:jc w:val="both"/>
        <w:rPr>
          <w:rFonts w:ascii="Book Antiqua" w:hAnsi="Book Antiqua"/>
          <w:sz w:val="20"/>
        </w:rPr>
      </w:pPr>
      <w:r w:rsidRPr="00146E23">
        <w:rPr>
          <w:rFonts w:ascii="Book Antiqua" w:hAnsi="Book Antiqua"/>
          <w:sz w:val="20"/>
        </w:rPr>
        <w:t xml:space="preserve"> It has been noted that sound waves form what are referred to as Chladni patterns in dust or sand on a drumhead which is </w:t>
      </w:r>
      <w:r>
        <w:rPr>
          <w:rFonts w:ascii="Book Antiqua" w:hAnsi="Book Antiqua"/>
          <w:sz w:val="20"/>
        </w:rPr>
        <w:t xml:space="preserve">being </w:t>
      </w:r>
      <w:r w:rsidRPr="00146E23">
        <w:rPr>
          <w:rFonts w:ascii="Book Antiqua" w:hAnsi="Book Antiqua"/>
          <w:sz w:val="20"/>
        </w:rPr>
        <w:t xml:space="preserve">vibrated.  The precise pattern formed is dependent upon the configuration of the drum. The CMB patterns look very similar to Chladni patterns.  Because of this, current analysis of the repetition rate and rotation of the </w:t>
      </w:r>
      <w:smartTag w:uri="urn:schemas-microsoft-com:office:smarttags" w:element="stockticker">
        <w:r w:rsidRPr="00146E23">
          <w:rPr>
            <w:rFonts w:ascii="Book Antiqua" w:hAnsi="Book Antiqua"/>
            <w:sz w:val="20"/>
          </w:rPr>
          <w:t>CMB</w:t>
        </w:r>
      </w:smartTag>
      <w:r w:rsidRPr="00146E23">
        <w:rPr>
          <w:rFonts w:ascii="Book Antiqua" w:hAnsi="Book Antiqua"/>
          <w:sz w:val="20"/>
        </w:rPr>
        <w:t xml:space="preserve"> pattern suggests that the shape of the universe may be dodecahedral, like a soccer ball [66].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It has been suggested that t</w:t>
      </w:r>
      <w:r w:rsidRPr="00370948">
        <w:rPr>
          <w:rFonts w:ascii="Book Antiqua" w:hAnsi="Book Antiqua"/>
          <w:sz w:val="20"/>
        </w:rPr>
        <w:t xml:space="preserve">he overall </w:t>
      </w:r>
      <w:smartTag w:uri="urn:schemas-microsoft-com:office:smarttags" w:element="stockticker">
        <w:r w:rsidRPr="00370948">
          <w:rPr>
            <w:rFonts w:ascii="Book Antiqua" w:hAnsi="Book Antiqua"/>
            <w:sz w:val="20"/>
          </w:rPr>
          <w:t>CMB</w:t>
        </w:r>
      </w:smartTag>
      <w:r w:rsidRPr="00370948">
        <w:rPr>
          <w:rFonts w:ascii="Book Antiqua" w:hAnsi="Book Antiqua"/>
          <w:sz w:val="20"/>
        </w:rPr>
        <w:t xml:space="preserve"> pattern </w:t>
      </w:r>
      <w:r>
        <w:rPr>
          <w:rFonts w:ascii="Book Antiqua" w:hAnsi="Book Antiqua"/>
          <w:sz w:val="20"/>
        </w:rPr>
        <w:t>is related to</w:t>
      </w:r>
      <w:r w:rsidRPr="00370948">
        <w:rPr>
          <w:rFonts w:ascii="Book Antiqua" w:hAnsi="Book Antiqua"/>
          <w:sz w:val="20"/>
        </w:rPr>
        <w:t xml:space="preserve"> the observed pattern of filaments and voids formed by </w:t>
      </w:r>
      <w:r>
        <w:rPr>
          <w:rFonts w:ascii="Book Antiqua" w:hAnsi="Book Antiqua"/>
          <w:sz w:val="20"/>
        </w:rPr>
        <w:t xml:space="preserve">the </w:t>
      </w:r>
      <w:r w:rsidRPr="00370948">
        <w:rPr>
          <w:rFonts w:ascii="Book Antiqua" w:hAnsi="Book Antiqua"/>
          <w:sz w:val="20"/>
        </w:rPr>
        <w:t xml:space="preserve">clusters of galaxies. This same pattern, predicted by Alfven, is typical of those formed by plasma, yet sound waves </w:t>
      </w:r>
      <w:r>
        <w:rPr>
          <w:rFonts w:ascii="Book Antiqua" w:hAnsi="Book Antiqua"/>
          <w:sz w:val="20"/>
        </w:rPr>
        <w:t>seem to be</w:t>
      </w:r>
      <w:r w:rsidRPr="00370948">
        <w:rPr>
          <w:rFonts w:ascii="Book Antiqua" w:hAnsi="Book Antiqua"/>
          <w:sz w:val="20"/>
        </w:rPr>
        <w:t xml:space="preserve"> implicated in the process. In plasma, it is found the </w:t>
      </w:r>
      <w:r w:rsidRPr="00370948">
        <w:rPr>
          <w:rFonts w:ascii="Book Antiqua" w:hAnsi="Book Antiqua"/>
          <w:i/>
          <w:sz w:val="20"/>
        </w:rPr>
        <w:t>“presence of sound wave[s] can cause quite large changes in the ionization balance depending on the magnitude and frequency of the waves as well as the atomic parameters.”</w:t>
      </w:r>
      <w:r w:rsidRPr="00370948">
        <w:rPr>
          <w:rFonts w:ascii="Book Antiqua" w:hAnsi="Book Antiqua"/>
          <w:sz w:val="20"/>
        </w:rPr>
        <w:t xml:space="preserve"> [67] Plasma sound waves (ion-acoustic waves) cause ions to move, creating currents which are then confined by their secondary </w:t>
      </w:r>
      <w:r w:rsidRPr="00A60CF4">
        <w:rPr>
          <w:rFonts w:ascii="Book Antiqua" w:hAnsi="Book Antiqua"/>
          <w:sz w:val="20"/>
        </w:rPr>
        <w:t>magnetic fields, forming</w:t>
      </w:r>
      <w:r w:rsidRPr="00370948">
        <w:rPr>
          <w:rFonts w:ascii="Book Antiqua" w:hAnsi="Book Antiqua"/>
          <w:sz w:val="20"/>
        </w:rPr>
        <w:t xml:space="preserve"> filaments.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360"/>
        <w:jc w:val="both"/>
        <w:rPr>
          <w:rFonts w:ascii="Book Antiqua" w:hAnsi="Book Antiqua"/>
          <w:sz w:val="20"/>
        </w:rPr>
      </w:pPr>
      <w:r w:rsidRPr="00370948">
        <w:rPr>
          <w:rFonts w:ascii="Book Antiqua" w:hAnsi="Book Antiqua"/>
          <w:sz w:val="20"/>
        </w:rPr>
        <w:t xml:space="preserve">Experimental observations show the sound’s volume and wavelength are both important. It can therefore be concluded that the filamentary pattern, resulting from </w:t>
      </w:r>
      <w:r>
        <w:rPr>
          <w:rFonts w:ascii="Book Antiqua" w:hAnsi="Book Antiqua"/>
          <w:sz w:val="20"/>
        </w:rPr>
        <w:t xml:space="preserve">cosmic expansion and </w:t>
      </w:r>
      <w:r w:rsidRPr="00370948">
        <w:rPr>
          <w:rFonts w:ascii="Book Antiqua" w:hAnsi="Book Antiqua"/>
          <w:sz w:val="20"/>
        </w:rPr>
        <w:t xml:space="preserve">sound waves, must have formed rapidly since sound velocity was 57% of </w:t>
      </w:r>
      <w:r w:rsidRPr="00370948">
        <w:rPr>
          <w:rFonts w:ascii="Book Antiqua" w:hAnsi="Book Antiqua"/>
          <w:i/>
          <w:sz w:val="20"/>
        </w:rPr>
        <w:t>c</w:t>
      </w:r>
      <w:r w:rsidRPr="00370948">
        <w:rPr>
          <w:rFonts w:ascii="Book Antiqua" w:hAnsi="Book Antiqua"/>
          <w:sz w:val="20"/>
        </w:rPr>
        <w:t xml:space="preserve">, and </w:t>
      </w:r>
      <w:r w:rsidRPr="00370948">
        <w:rPr>
          <w:rFonts w:ascii="Book Antiqua" w:hAnsi="Book Antiqua"/>
          <w:i/>
          <w:sz w:val="20"/>
        </w:rPr>
        <w:t>c</w:t>
      </w:r>
      <w:r w:rsidRPr="00370948">
        <w:rPr>
          <w:rFonts w:ascii="Book Antiqua" w:hAnsi="Book Antiqua"/>
          <w:sz w:val="20"/>
        </w:rPr>
        <w:t xml:space="preserve"> was significantly higher with the low ZPE strength. </w:t>
      </w:r>
      <w:r>
        <w:rPr>
          <w:rFonts w:ascii="Book Antiqua" w:hAnsi="Book Antiqua"/>
          <w:sz w:val="20"/>
        </w:rPr>
        <w:t>Therefore, there were two physical effects operating on the plasma in the early cosmos -- expansion and sound -- both of which would have formed filaments in plasma.</w:t>
      </w:r>
    </w:p>
    <w:p w:rsidR="005359B2" w:rsidRPr="00370948" w:rsidRDefault="005359B2" w:rsidP="005359B2">
      <w:pPr>
        <w:pStyle w:val="NoSpacing"/>
        <w:rPr>
          <w:rFonts w:ascii="Book Antiqua" w:hAnsi="Book Antiqua"/>
          <w:b/>
          <w:bCs/>
          <w:iCs/>
          <w:color w:val="000000"/>
          <w:sz w:val="20"/>
        </w:rPr>
      </w:pPr>
    </w:p>
    <w:p w:rsidR="005359B2" w:rsidRPr="00370948" w:rsidRDefault="005359B2" w:rsidP="005359B2">
      <w:pPr>
        <w:pStyle w:val="NoSpacing"/>
        <w:numPr>
          <w:ilvl w:val="1"/>
          <w:numId w:val="45"/>
        </w:numPr>
        <w:rPr>
          <w:rFonts w:ascii="Book Antiqua" w:hAnsi="Book Antiqua"/>
          <w:bCs/>
          <w:i/>
          <w:iCs/>
          <w:color w:val="000000"/>
          <w:sz w:val="20"/>
        </w:rPr>
      </w:pPr>
      <w:r w:rsidRPr="00370948">
        <w:rPr>
          <w:rFonts w:ascii="Book Antiqua" w:hAnsi="Book Antiqua"/>
          <w:bCs/>
          <w:i/>
          <w:iCs/>
          <w:color w:val="000000"/>
          <w:sz w:val="20"/>
        </w:rPr>
        <w:t>Galaxy Formation</w:t>
      </w:r>
      <w:r>
        <w:rPr>
          <w:rFonts w:ascii="Book Antiqua" w:hAnsi="Book Antiqua"/>
          <w:bCs/>
          <w:i/>
          <w:iCs/>
          <w:color w:val="000000"/>
          <w:sz w:val="20"/>
        </w:rPr>
        <w:t xml:space="preserve"> and Quasars</w:t>
      </w:r>
      <w:r w:rsidRPr="00370948">
        <w:rPr>
          <w:rFonts w:ascii="Book Antiqua" w:hAnsi="Book Antiqua"/>
          <w:bCs/>
          <w:i/>
          <w:iCs/>
          <w:color w:val="000000"/>
          <w:sz w:val="20"/>
        </w:rPr>
        <w:t>.</w:t>
      </w:r>
    </w:p>
    <w:p w:rsidR="005359B2" w:rsidRPr="00370948" w:rsidRDefault="005359B2" w:rsidP="005359B2">
      <w:pPr>
        <w:pStyle w:val="NoSpacing"/>
        <w:ind w:left="720"/>
        <w:rPr>
          <w:rFonts w:ascii="Book Antiqua" w:hAnsi="Book Antiqua"/>
          <w:b/>
          <w:bCs/>
          <w:iCs/>
          <w:color w:val="000000"/>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w:t>
      </w:r>
      <w:r>
        <w:rPr>
          <w:rFonts w:ascii="Book Antiqua" w:hAnsi="Book Antiqua"/>
          <w:sz w:val="20"/>
        </w:rPr>
        <w:t>se</w:t>
      </w:r>
      <w:r w:rsidRPr="00370948">
        <w:rPr>
          <w:rFonts w:ascii="Book Antiqua" w:hAnsi="Book Antiqua"/>
          <w:sz w:val="20"/>
        </w:rPr>
        <w:t xml:space="preserve"> initial </w:t>
      </w:r>
      <w:r w:rsidRPr="00EA2912">
        <w:rPr>
          <w:rFonts w:ascii="Book Antiqua" w:hAnsi="Book Antiqua"/>
          <w:sz w:val="20"/>
        </w:rPr>
        <w:t xml:space="preserve">filaments </w:t>
      </w:r>
      <w:r w:rsidRPr="00370948">
        <w:rPr>
          <w:rFonts w:ascii="Book Antiqua" w:hAnsi="Book Antiqua"/>
          <w:sz w:val="20"/>
        </w:rPr>
        <w:t>then behaved in the manner similar to those in Peratt’s laboratory experiments and computer simulations.</w:t>
      </w:r>
      <w:r>
        <w:rPr>
          <w:rFonts w:ascii="Book Antiqua" w:hAnsi="Book Antiqua"/>
          <w:sz w:val="20"/>
        </w:rPr>
        <w:t xml:space="preserve"> It has been mentioned that the Bennett pinch, which is a magnetic compression of the plasma, occurs when there is a change in current strength or temperature in any filament. As a result of universal expansion elongating the plasma filaments, there would have been a change in the strength of the filamentary currents. In addition, the temperature of the filaments was dropping due to the adiabatic expansion process. Both of these factors would have produced the conditions needed for the Bennett pinch to operate in filaments. Thus the Birkeland current interactions in adjacent filaments would form the sequence of astronomical objects shown in Figure 14.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In Figure 14, t</w:t>
      </w:r>
      <w:r w:rsidRPr="00370948">
        <w:rPr>
          <w:rFonts w:ascii="Book Antiqua" w:hAnsi="Book Antiqua"/>
          <w:sz w:val="20"/>
        </w:rPr>
        <w:t xml:space="preserve">he final object formed depends on (1) where the interaction ceases; (2) at what stage we are viewing the interaction out in space; (3) the strengths of the Birkeland currents; and (4) the number of interacting filaments. In the lab, interactions of up to 12 filaments </w:t>
      </w:r>
      <w:r>
        <w:rPr>
          <w:rFonts w:ascii="Book Antiqua" w:hAnsi="Book Antiqua"/>
          <w:sz w:val="20"/>
        </w:rPr>
        <w:t>were</w:t>
      </w:r>
      <w:r w:rsidRPr="00370948">
        <w:rPr>
          <w:rFonts w:ascii="Book Antiqua" w:hAnsi="Book Antiqua"/>
          <w:sz w:val="20"/>
        </w:rPr>
        <w:t xml:space="preserve"> studied, but most objects form with just two or three filaments [16, 17, 38].</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5724525" cy="2066925"/>
            <wp:effectExtent l="19050" t="0" r="9525" b="0"/>
            <wp:docPr id="67" name="Picture 48" descr="inte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actions"/>
                    <pic:cNvPicPr>
                      <a:picLocks noChangeAspect="1" noChangeArrowheads="1"/>
                    </pic:cNvPicPr>
                  </pic:nvPicPr>
                  <pic:blipFill>
                    <a:blip r:embed="rId294" cstate="print"/>
                    <a:srcRect/>
                    <a:stretch>
                      <a:fillRect/>
                    </a:stretch>
                  </pic:blipFill>
                  <pic:spPr bwMode="auto">
                    <a:xfrm>
                      <a:off x="0" y="0"/>
                      <a:ext cx="5724525" cy="206692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14</w:t>
      </w:r>
      <w:r w:rsidRPr="00841C44">
        <w:rPr>
          <w:rFonts w:ascii="Book Antiqua" w:hAnsi="Book Antiqua"/>
          <w:b/>
          <w:i/>
          <w:sz w:val="18"/>
          <w:szCs w:val="18"/>
        </w:rPr>
        <w:t>:</w:t>
      </w:r>
      <w:r w:rsidRPr="00841C44">
        <w:rPr>
          <w:rFonts w:ascii="Book Antiqua" w:hAnsi="Book Antiqua"/>
          <w:i/>
          <w:sz w:val="18"/>
          <w:szCs w:val="18"/>
        </w:rPr>
        <w:t xml:space="preserve"> Typical sequence formed by two interacting plasma filaments. The view is looking down the long axis of the filaments at the point of interaction. The compressed plasma between the two interacting filaments is not shown here, but it plays an important part in the formation of radio-galaxies, quasars and giant elliptical galaxies. Radio galaxies are shown in more detail in Figure 1</w:t>
      </w:r>
      <w:r>
        <w:rPr>
          <w:rFonts w:ascii="Book Antiqua" w:hAnsi="Book Antiqua"/>
          <w:i/>
          <w:sz w:val="18"/>
          <w:szCs w:val="18"/>
        </w:rPr>
        <w:t>5</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rPr>
          <w:rFonts w:ascii="Book Antiqua" w:hAnsi="Book Antiqua"/>
          <w:sz w:val="20"/>
        </w:rPr>
      </w:pPr>
      <w:r w:rsidRPr="00370948">
        <w:rPr>
          <w:rFonts w:ascii="Book Antiqua" w:hAnsi="Book Antiqua"/>
          <w:noProof/>
          <w:sz w:val="20"/>
        </w:rPr>
        <w:drawing>
          <wp:inline distT="0" distB="0" distL="0" distR="0">
            <wp:extent cx="6411796" cy="1809750"/>
            <wp:effectExtent l="19050" t="0" r="8054" b="0"/>
            <wp:docPr id="69" name="Picture 4" descr="http://www.holoscience.com/news/img/Magnetic%20energy%20cont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loscience.com/news/img/Magnetic%20energy%20contours.jpg"/>
                    <pic:cNvPicPr>
                      <a:picLocks noChangeAspect="1" noChangeArrowheads="1"/>
                    </pic:cNvPicPr>
                  </pic:nvPicPr>
                  <pic:blipFill>
                    <a:blip r:embed="rId295" cstate="print"/>
                    <a:srcRect t="5704" r="617" b="78589"/>
                    <a:stretch>
                      <a:fillRect/>
                    </a:stretch>
                  </pic:blipFill>
                  <pic:spPr bwMode="auto">
                    <a:xfrm>
                      <a:off x="0" y="0"/>
                      <a:ext cx="6411796" cy="1809750"/>
                    </a:xfrm>
                    <a:prstGeom prst="rect">
                      <a:avLst/>
                    </a:prstGeom>
                    <a:noFill/>
                    <a:ln w="9525">
                      <a:noFill/>
                      <a:miter lim="800000"/>
                      <a:headEnd/>
                      <a:tailEnd/>
                    </a:ln>
                  </pic:spPr>
                </pic:pic>
              </a:graphicData>
            </a:graphic>
          </wp:inline>
        </w:drawing>
      </w:r>
    </w:p>
    <w:p w:rsidR="005359B2" w:rsidRDefault="005359B2" w:rsidP="005359B2">
      <w:pPr>
        <w:pStyle w:val="NoSpacing"/>
        <w:rPr>
          <w:rFonts w:ascii="Book Antiqua" w:hAnsi="Book Antiqua"/>
          <w:sz w:val="20"/>
        </w:rPr>
      </w:pPr>
    </w:p>
    <w:p w:rsidR="005359B2" w:rsidRDefault="005359B2" w:rsidP="005359B2">
      <w:pPr>
        <w:pStyle w:val="NoSpacing"/>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1"/>
        <w:gridCol w:w="3456"/>
        <w:gridCol w:w="3336"/>
      </w:tblGrid>
      <w:tr w:rsidR="005359B2" w:rsidRPr="00370948" w:rsidTr="003442EA">
        <w:trPr>
          <w:trHeight w:val="2960"/>
        </w:trPr>
        <w:tc>
          <w:tcPr>
            <w:tcW w:w="3561"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104669" cy="1914525"/>
                  <wp:effectExtent l="19050" t="0" r="0" b="0"/>
                  <wp:docPr id="80" name="Picture 74" descr="radi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dio 2"/>
                          <pic:cNvPicPr>
                            <a:picLocks noChangeAspect="1" noChangeArrowheads="1"/>
                          </pic:cNvPicPr>
                        </pic:nvPicPr>
                        <pic:blipFill>
                          <a:blip r:embed="rId296" cstate="print"/>
                          <a:srcRect/>
                          <a:stretch>
                            <a:fillRect/>
                          </a:stretch>
                        </pic:blipFill>
                        <pic:spPr bwMode="auto">
                          <a:xfrm>
                            <a:off x="0" y="0"/>
                            <a:ext cx="2104669" cy="1914525"/>
                          </a:xfrm>
                          <a:prstGeom prst="rect">
                            <a:avLst/>
                          </a:prstGeom>
                          <a:noFill/>
                          <a:ln w="9525">
                            <a:noFill/>
                            <a:miter lim="800000"/>
                            <a:headEnd/>
                            <a:tailEnd/>
                          </a:ln>
                        </pic:spPr>
                      </pic:pic>
                    </a:graphicData>
                  </a:graphic>
                </wp:inline>
              </w:drawing>
            </w:r>
          </w:p>
        </w:tc>
        <w:tc>
          <w:tcPr>
            <w:tcW w:w="345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2028825" cy="1914525"/>
                  <wp:effectExtent l="19050" t="0" r="9525" b="0"/>
                  <wp:docPr id="85" name="Picture 71" descr="radi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adio 1"/>
                          <pic:cNvPicPr>
                            <a:picLocks noChangeAspect="1" noChangeArrowheads="1"/>
                          </pic:cNvPicPr>
                        </pic:nvPicPr>
                        <pic:blipFill>
                          <a:blip r:embed="rId297" cstate="print"/>
                          <a:srcRect/>
                          <a:stretch>
                            <a:fillRect/>
                          </a:stretch>
                        </pic:blipFill>
                        <pic:spPr bwMode="auto">
                          <a:xfrm>
                            <a:off x="0" y="0"/>
                            <a:ext cx="2028825" cy="1914525"/>
                          </a:xfrm>
                          <a:prstGeom prst="rect">
                            <a:avLst/>
                          </a:prstGeom>
                          <a:noFill/>
                          <a:ln w="9525">
                            <a:noFill/>
                            <a:miter lim="800000"/>
                            <a:headEnd/>
                            <a:tailEnd/>
                          </a:ln>
                        </pic:spPr>
                      </pic:pic>
                    </a:graphicData>
                  </a:graphic>
                </wp:inline>
              </w:drawing>
            </w:r>
          </w:p>
        </w:tc>
        <w:tc>
          <w:tcPr>
            <w:tcW w:w="3336" w:type="dxa"/>
          </w:tcPr>
          <w:p w:rsidR="005359B2" w:rsidRPr="00370948" w:rsidRDefault="005359B2" w:rsidP="003442EA">
            <w:pPr>
              <w:pStyle w:val="NoSpacing"/>
              <w:rPr>
                <w:rFonts w:ascii="Book Antiqua" w:hAnsi="Book Antiqua"/>
                <w:sz w:val="20"/>
              </w:rPr>
            </w:pPr>
            <w:r w:rsidRPr="00370948">
              <w:rPr>
                <w:rFonts w:ascii="Book Antiqua" w:hAnsi="Book Antiqua"/>
                <w:noProof/>
                <w:sz w:val="20"/>
              </w:rPr>
              <w:drawing>
                <wp:inline distT="0" distB="0" distL="0" distR="0">
                  <wp:extent cx="1952979" cy="1914525"/>
                  <wp:effectExtent l="19050" t="0" r="9171" b="0"/>
                  <wp:docPr id="87" name="Picture 1" descr="http://setterfield.org/ZPE-Plasma_model_clip_image00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tterfield.org/ZPE-Plasma_model_clip_image002_0002.jpg"/>
                          <pic:cNvPicPr>
                            <a:picLocks noChangeAspect="1" noChangeArrowheads="1"/>
                          </pic:cNvPicPr>
                        </pic:nvPicPr>
                        <pic:blipFill>
                          <a:blip r:embed="rId298" cstate="print">
                            <a:lum contrast="20000"/>
                          </a:blip>
                          <a:srcRect l="7285" t="5986" r="26154" b="6860"/>
                          <a:stretch>
                            <a:fillRect/>
                          </a:stretch>
                        </pic:blipFill>
                        <pic:spPr bwMode="auto">
                          <a:xfrm>
                            <a:off x="0" y="0"/>
                            <a:ext cx="1955269" cy="1916770"/>
                          </a:xfrm>
                          <a:prstGeom prst="rect">
                            <a:avLst/>
                          </a:prstGeom>
                          <a:noFill/>
                          <a:ln w="9525">
                            <a:noFill/>
                            <a:miter lim="800000"/>
                            <a:headEnd/>
                            <a:tailEnd/>
                          </a:ln>
                        </pic:spPr>
                      </pic:pic>
                    </a:graphicData>
                  </a:graphic>
                </wp:inline>
              </w:drawing>
            </w:r>
          </w:p>
        </w:tc>
      </w:tr>
      <w:tr w:rsidR="005359B2" w:rsidRPr="00370948" w:rsidTr="003442EA">
        <w:tc>
          <w:tcPr>
            <w:tcW w:w="3561"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3C296</w:t>
            </w:r>
          </w:p>
        </w:tc>
        <w:tc>
          <w:tcPr>
            <w:tcW w:w="3456" w:type="dxa"/>
          </w:tcPr>
          <w:p w:rsidR="005359B2" w:rsidRPr="00370948" w:rsidRDefault="005359B2" w:rsidP="003442EA">
            <w:pPr>
              <w:pStyle w:val="NoSpacing"/>
              <w:rPr>
                <w:rFonts w:ascii="Book Antiqua" w:hAnsi="Book Antiqua"/>
                <w:i/>
                <w:sz w:val="20"/>
              </w:rPr>
            </w:pPr>
            <w:r w:rsidRPr="00370948">
              <w:rPr>
                <w:rFonts w:ascii="Book Antiqua" w:hAnsi="Book Antiqua"/>
                <w:i/>
                <w:sz w:val="20"/>
              </w:rPr>
              <w:t>Radio galaxy Fornax A</w:t>
            </w:r>
          </w:p>
        </w:tc>
        <w:tc>
          <w:tcPr>
            <w:tcW w:w="3336" w:type="dxa"/>
          </w:tcPr>
          <w:p w:rsidR="005359B2" w:rsidRPr="00370948" w:rsidRDefault="005359B2" w:rsidP="003442EA">
            <w:pPr>
              <w:rPr>
                <w:rFonts w:ascii="Book Antiqua" w:hAnsi="Book Antiqua"/>
                <w:i/>
              </w:rPr>
            </w:pPr>
            <w:r w:rsidRPr="00370948">
              <w:rPr>
                <w:rFonts w:ascii="Book Antiqua" w:hAnsi="Book Antiqua"/>
                <w:bCs/>
                <w:i/>
              </w:rPr>
              <w:t>Centaurus A</w:t>
            </w:r>
          </w:p>
          <w:p w:rsidR="005359B2" w:rsidRPr="00370948" w:rsidRDefault="005359B2" w:rsidP="003442EA">
            <w:pPr>
              <w:pStyle w:val="NoSpacing"/>
              <w:rPr>
                <w:rFonts w:ascii="Book Antiqua" w:hAnsi="Book Antiqua"/>
                <w:sz w:val="20"/>
              </w:rPr>
            </w:pPr>
          </w:p>
        </w:tc>
      </w:tr>
    </w:tbl>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jc w:val="both"/>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5</w:t>
      </w:r>
      <w:r w:rsidRPr="00841C44">
        <w:rPr>
          <w:rFonts w:ascii="Book Antiqua" w:hAnsi="Book Antiqua"/>
          <w:b/>
          <w:i/>
          <w:sz w:val="18"/>
          <w:szCs w:val="18"/>
        </w:rPr>
        <w:t>: Top –</w:t>
      </w:r>
      <w:r w:rsidRPr="00841C44">
        <w:rPr>
          <w:rFonts w:ascii="Book Antiqua" w:hAnsi="Book Antiqua"/>
          <w:i/>
          <w:sz w:val="18"/>
          <w:szCs w:val="18"/>
        </w:rPr>
        <w:t xml:space="preserve"> Lab results as two interacting filaments approach (frames 1-3 in Figure 5). </w:t>
      </w:r>
      <w:r w:rsidRPr="00841C44">
        <w:rPr>
          <w:rFonts w:ascii="Book Antiqua" w:hAnsi="Book Antiqua"/>
          <w:b/>
          <w:i/>
          <w:sz w:val="18"/>
          <w:szCs w:val="18"/>
        </w:rPr>
        <w:t>Bottom -</w:t>
      </w:r>
      <w:r w:rsidRPr="00841C44">
        <w:rPr>
          <w:rFonts w:ascii="Book Antiqua" w:hAnsi="Book Antiqua"/>
          <w:i/>
          <w:sz w:val="18"/>
          <w:szCs w:val="18"/>
        </w:rPr>
        <w:t>Three double radio galaxies. The two radio-emitting lobes in each photograph show where the two interacting plasma filaments are. Note the jet in Centaurus A, which is the part of the next stage in the process.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As the interaction continues, and filaments approach more closely, active galactic nuclei</w:t>
      </w:r>
      <w:r>
        <w:rPr>
          <w:rFonts w:ascii="Book Antiqua" w:hAnsi="Book Antiqua"/>
          <w:sz w:val="20"/>
        </w:rPr>
        <w:t xml:space="preserve"> and quasars</w:t>
      </w:r>
      <w:r w:rsidRPr="00370948">
        <w:rPr>
          <w:rFonts w:ascii="Book Antiqua" w:hAnsi="Book Antiqua"/>
          <w:sz w:val="20"/>
        </w:rPr>
        <w:t xml:space="preserve"> form in the compressed plasma which has begun acting as a united entity with the two lobes. The quasars with their spinning disks and jets are formed in the lab example in the third frame of </w:t>
      </w:r>
      <w:r w:rsidRPr="007B5F55">
        <w:rPr>
          <w:rFonts w:ascii="Book Antiqua" w:hAnsi="Book Antiqua"/>
          <w:sz w:val="20"/>
        </w:rPr>
        <w:t>Figure 14</w:t>
      </w:r>
      <w:r w:rsidRPr="00370948">
        <w:rPr>
          <w:rFonts w:ascii="Book Antiqua" w:hAnsi="Book Antiqua"/>
          <w:sz w:val="20"/>
        </w:rPr>
        <w:t xml:space="preserve"> and illustrated astronomically by an enlargement of the center of the galaxy in </w:t>
      </w:r>
      <w:r w:rsidRPr="007B5F55">
        <w:rPr>
          <w:rFonts w:ascii="Book Antiqua" w:hAnsi="Book Antiqua"/>
          <w:sz w:val="20"/>
        </w:rPr>
        <w:t>Figure 16 (Top). Figure 16 (Bottom)</w:t>
      </w:r>
      <w:r w:rsidRPr="00370948">
        <w:rPr>
          <w:rFonts w:ascii="Book Antiqua" w:hAnsi="Book Antiqua"/>
          <w:sz w:val="20"/>
        </w:rPr>
        <w:t xml:space="preserve"> </w:t>
      </w:r>
      <w:r>
        <w:rPr>
          <w:rFonts w:ascii="Book Antiqua" w:hAnsi="Book Antiqua"/>
          <w:sz w:val="20"/>
        </w:rPr>
        <w:t xml:space="preserve">shows how the viewing angle of a quasar results in a variety of objects which had been assigned different names before the connection had been established. </w:t>
      </w:r>
      <w:r w:rsidRPr="00370948">
        <w:rPr>
          <w:rFonts w:ascii="Book Antiqua" w:hAnsi="Book Antiqua"/>
          <w:sz w:val="20"/>
        </w:rPr>
        <w:t xml:space="preserve">With a lower ZPE, and higher electric currents, the power output from these quasars is expected to be intense in line with equation (22) </w:t>
      </w:r>
      <w:r>
        <w:rPr>
          <w:rFonts w:ascii="Book Antiqua" w:hAnsi="Book Antiqua"/>
          <w:sz w:val="20"/>
        </w:rPr>
        <w:t>.</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333875" cy="2038350"/>
            <wp:effectExtent l="19050" t="0" r="9525" b="0"/>
            <wp:docPr id="88" name="Picture 80" descr="quas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quasar 2"/>
                    <pic:cNvPicPr>
                      <a:picLocks noChangeAspect="1" noChangeArrowheads="1"/>
                    </pic:cNvPicPr>
                  </pic:nvPicPr>
                  <pic:blipFill>
                    <a:blip r:embed="rId299" cstate="print"/>
                    <a:srcRect/>
                    <a:stretch>
                      <a:fillRect/>
                    </a:stretch>
                  </pic:blipFill>
                  <pic:spPr bwMode="auto">
                    <a:xfrm>
                      <a:off x="0" y="0"/>
                      <a:ext cx="4339935" cy="2041200"/>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6</w:t>
      </w:r>
      <w:r w:rsidRPr="00841C44">
        <w:rPr>
          <w:rFonts w:ascii="Book Antiqua" w:hAnsi="Book Antiqua"/>
          <w:b/>
          <w:i/>
          <w:sz w:val="18"/>
          <w:szCs w:val="18"/>
        </w:rPr>
        <w:t>: (Top)</w:t>
      </w:r>
      <w:r w:rsidRPr="00841C44">
        <w:rPr>
          <w:rFonts w:ascii="Book Antiqua" w:hAnsi="Book Antiqua"/>
          <w:i/>
          <w:sz w:val="18"/>
          <w:szCs w:val="18"/>
        </w:rPr>
        <w:t xml:space="preserve"> Enlargement of the center of this radio-galaxy NGC 4261 reveals the spinning disk and polar jets of a quasar-like galactic nucleus. </w:t>
      </w:r>
      <w:r w:rsidRPr="00841C44">
        <w:rPr>
          <w:rFonts w:ascii="Book Antiqua" w:hAnsi="Book Antiqua"/>
          <w:b/>
          <w:i/>
          <w:sz w:val="18"/>
          <w:szCs w:val="18"/>
        </w:rPr>
        <w:t>(Bottom)</w:t>
      </w:r>
      <w:r w:rsidRPr="00841C44">
        <w:rPr>
          <w:rFonts w:ascii="Book Antiqua" w:hAnsi="Book Antiqua"/>
          <w:i/>
          <w:sz w:val="18"/>
          <w:szCs w:val="18"/>
        </w:rPr>
        <w:t xml:space="preserve"> Sketch shows objects previously given different names are, in fact, all quasars </w:t>
      </w:r>
      <w:r>
        <w:rPr>
          <w:rFonts w:ascii="Book Antiqua" w:hAnsi="Book Antiqua"/>
          <w:i/>
          <w:sz w:val="18"/>
          <w:szCs w:val="18"/>
        </w:rPr>
        <w:t>viewed</w:t>
      </w:r>
      <w:r w:rsidRPr="00841C44">
        <w:rPr>
          <w:rFonts w:ascii="Book Antiqua" w:hAnsi="Book Antiqua"/>
          <w:i/>
          <w:sz w:val="18"/>
          <w:szCs w:val="18"/>
        </w:rPr>
        <w:t xml:space="preserve"> from different angles. </w:t>
      </w:r>
    </w:p>
    <w:p w:rsidR="005359B2" w:rsidRDefault="005359B2" w:rsidP="005359B2">
      <w:pPr>
        <w:pStyle w:val="NoSpacing"/>
        <w:rPr>
          <w:rFonts w:ascii="Book Antiqua" w:hAnsi="Book Antiqua"/>
          <w:sz w:val="18"/>
          <w:szCs w:val="18"/>
        </w:rPr>
      </w:pPr>
    </w:p>
    <w:p w:rsidR="005359B2" w:rsidRDefault="005359B2" w:rsidP="005359B2">
      <w:pPr>
        <w:pStyle w:val="NoSpacing"/>
        <w:jc w:val="center"/>
        <w:rPr>
          <w:rFonts w:ascii="Book Antiqua" w:hAnsi="Book Antiqua"/>
          <w:sz w:val="18"/>
          <w:szCs w:val="18"/>
        </w:rPr>
      </w:pPr>
      <w:r w:rsidRPr="002705D7">
        <w:rPr>
          <w:rFonts w:ascii="Book Antiqua" w:hAnsi="Book Antiqua"/>
          <w:noProof/>
          <w:sz w:val="18"/>
          <w:szCs w:val="18"/>
        </w:rPr>
        <w:drawing>
          <wp:inline distT="0" distB="0" distL="0" distR="0">
            <wp:extent cx="3876675" cy="2828925"/>
            <wp:effectExtent l="19050" t="0" r="9525" b="0"/>
            <wp:docPr id="91" name="Picture 2" descr="http://www.auger.org/news/PRagn/images/agn4_prouza.png"/>
            <wp:cNvGraphicFramePr/>
            <a:graphic xmlns:a="http://schemas.openxmlformats.org/drawingml/2006/main">
              <a:graphicData uri="http://schemas.openxmlformats.org/drawingml/2006/picture">
                <pic:pic xmlns:pic="http://schemas.openxmlformats.org/drawingml/2006/picture">
                  <pic:nvPicPr>
                    <pic:cNvPr id="4" name="irc_mi" descr="http://www.auger.org/news/PRagn/images/agn4_prouza.png"/>
                    <pic:cNvPicPr/>
                  </pic:nvPicPr>
                  <pic:blipFill>
                    <a:blip r:embed="rId300" cstate="print"/>
                    <a:srcRect/>
                    <a:stretch>
                      <a:fillRect/>
                    </a:stretch>
                  </pic:blipFill>
                  <pic:spPr bwMode="auto">
                    <a:xfrm>
                      <a:off x="0" y="0"/>
                      <a:ext cx="3872971" cy="2826222"/>
                    </a:xfrm>
                    <a:prstGeom prst="rect">
                      <a:avLst/>
                    </a:prstGeom>
                    <a:noFill/>
                    <a:ln w="9525">
                      <a:noFill/>
                      <a:miter lim="800000"/>
                      <a:headEnd/>
                      <a:tailEnd/>
                    </a:ln>
                  </pic:spPr>
                </pic:pic>
              </a:graphicData>
            </a:graphic>
          </wp:inline>
        </w:drawing>
      </w:r>
    </w:p>
    <w:p w:rsidR="00AC692E" w:rsidRPr="00370948" w:rsidRDefault="00AC692E" w:rsidP="005359B2">
      <w:pPr>
        <w:pStyle w:val="NoSpacing"/>
        <w:jc w:val="center"/>
        <w:rPr>
          <w:rFonts w:ascii="Book Antiqua" w:hAnsi="Book Antiqua"/>
          <w:sz w:val="18"/>
          <w:szCs w:val="18"/>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 xml:space="preserve">In the sequence in </w:t>
      </w:r>
      <w:r w:rsidRPr="00370948">
        <w:rPr>
          <w:rFonts w:ascii="Book Antiqua" w:hAnsi="Book Antiqua"/>
          <w:sz w:val="20"/>
        </w:rPr>
        <w:t xml:space="preserve">Fig. </w:t>
      </w:r>
      <w:r>
        <w:rPr>
          <w:rFonts w:ascii="Book Antiqua" w:hAnsi="Book Antiqua"/>
          <w:sz w:val="20"/>
        </w:rPr>
        <w:t>14, these objects are followed</w:t>
      </w:r>
      <w:r w:rsidRPr="00370948">
        <w:rPr>
          <w:rFonts w:ascii="Book Antiqua" w:hAnsi="Book Antiqua"/>
          <w:sz w:val="20"/>
        </w:rPr>
        <w:t xml:space="preserve"> by the </w:t>
      </w:r>
      <w:r>
        <w:rPr>
          <w:rFonts w:ascii="Book Antiqua" w:hAnsi="Book Antiqua"/>
          <w:sz w:val="20"/>
        </w:rPr>
        <w:t xml:space="preserve">formation of </w:t>
      </w:r>
      <w:r w:rsidRPr="00370948">
        <w:rPr>
          <w:rFonts w:ascii="Book Antiqua" w:hAnsi="Book Antiqua"/>
          <w:sz w:val="20"/>
        </w:rPr>
        <w:t>various types of elliptical galaxies shown in the fourth and fifth frames. In the fourth frame, the compressed plasma and the interacting lobes form a large ball. This is typical of some of the giant elliptical galaxies, such as M 87 which reveals a huge jet from its nucleus in Fig. 1</w:t>
      </w:r>
      <w:r>
        <w:rPr>
          <w:rFonts w:ascii="Book Antiqua" w:hAnsi="Book Antiqua"/>
          <w:sz w:val="20"/>
        </w:rPr>
        <w:t>7</w:t>
      </w:r>
      <w:r w:rsidRPr="00370948">
        <w:rPr>
          <w:rFonts w:ascii="Book Antiqua" w:hAnsi="Book Antiqua"/>
          <w:sz w:val="20"/>
        </w:rPr>
        <w:t>.</w:t>
      </w:r>
    </w:p>
    <w:p w:rsidR="005359B2" w:rsidRPr="00370948" w:rsidRDefault="005359B2" w:rsidP="005359B2">
      <w:pPr>
        <w:pStyle w:val="NoSpacing"/>
        <w:jc w:val="both"/>
        <w:rPr>
          <w:rFonts w:ascii="Book Antiqua" w:hAnsi="Book Antiqua"/>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96"/>
        <w:gridCol w:w="4596"/>
      </w:tblGrid>
      <w:tr w:rsidR="005359B2" w:rsidRPr="00370948" w:rsidTr="003442EA">
        <w:trPr>
          <w:jc w:val="center"/>
        </w:trPr>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lastRenderedPageBreak/>
              <w:drawing>
                <wp:inline distT="0" distB="0" distL="0" distR="0">
                  <wp:extent cx="2185926" cy="2333625"/>
                  <wp:effectExtent l="19050" t="0" r="4824" b="0"/>
                  <wp:docPr id="92" name="il_fi" descr="http://csep10.phys.utk.edu/astr162/lect/galaxies/m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sep10.phys.utk.edu/astr162/lect/galaxies/m87.gif"/>
                          <pic:cNvPicPr>
                            <a:picLocks noChangeAspect="1" noChangeArrowheads="1"/>
                          </pic:cNvPicPr>
                        </pic:nvPicPr>
                        <pic:blipFill>
                          <a:blip r:embed="rId301" cstate="print"/>
                          <a:srcRect/>
                          <a:stretch>
                            <a:fillRect/>
                          </a:stretch>
                        </pic:blipFill>
                        <pic:spPr bwMode="auto">
                          <a:xfrm>
                            <a:off x="0" y="0"/>
                            <a:ext cx="2188979" cy="2336884"/>
                          </a:xfrm>
                          <a:prstGeom prst="rect">
                            <a:avLst/>
                          </a:prstGeom>
                          <a:noFill/>
                          <a:ln w="9525">
                            <a:noFill/>
                            <a:miter lim="800000"/>
                            <a:headEnd/>
                            <a:tailEnd/>
                          </a:ln>
                        </pic:spPr>
                      </pic:pic>
                    </a:graphicData>
                  </a:graphic>
                </wp:inline>
              </w:drawing>
            </w:r>
          </w:p>
        </w:tc>
        <w:tc>
          <w:tcPr>
            <w:tcW w:w="2718"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2752725" cy="2338336"/>
                  <wp:effectExtent l="19050" t="0" r="9525" b="0"/>
                  <wp:docPr id="94" name="il_fi" descr="http://www.bibliotecapleyades.net/imagenes_universo/electricuniverse2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bliotecapleyades.net/imagenes_universo/electricuniverse28_13.jpg"/>
                          <pic:cNvPicPr>
                            <a:picLocks noChangeAspect="1" noChangeArrowheads="1"/>
                          </pic:cNvPicPr>
                        </pic:nvPicPr>
                        <pic:blipFill>
                          <a:blip r:embed="rId302" cstate="print"/>
                          <a:srcRect/>
                          <a:stretch>
                            <a:fillRect/>
                          </a:stretch>
                        </pic:blipFill>
                        <pic:spPr bwMode="auto">
                          <a:xfrm>
                            <a:off x="0" y="0"/>
                            <a:ext cx="2752725" cy="2338336"/>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jc w:val="cente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7</w:t>
      </w:r>
      <w:r w:rsidRPr="00841C44">
        <w:rPr>
          <w:rFonts w:ascii="Book Antiqua" w:hAnsi="Book Antiqua"/>
          <w:b/>
          <w:i/>
          <w:sz w:val="18"/>
          <w:szCs w:val="18"/>
        </w:rPr>
        <w:t>:</w:t>
      </w:r>
      <w:r w:rsidRPr="00841C44">
        <w:rPr>
          <w:rFonts w:ascii="Book Antiqua" w:hAnsi="Book Antiqua"/>
          <w:i/>
          <w:sz w:val="18"/>
          <w:szCs w:val="18"/>
        </w:rPr>
        <w:t xml:space="preserve"> </w:t>
      </w:r>
      <w:r w:rsidRPr="00841C44">
        <w:rPr>
          <w:rFonts w:ascii="Book Antiqua" w:hAnsi="Book Antiqua"/>
          <w:b/>
          <w:i/>
          <w:sz w:val="18"/>
          <w:szCs w:val="18"/>
        </w:rPr>
        <w:t xml:space="preserve">Left </w:t>
      </w:r>
      <w:r w:rsidRPr="00841C44">
        <w:rPr>
          <w:rFonts w:ascii="Book Antiqua" w:hAnsi="Book Antiqua"/>
          <w:i/>
          <w:sz w:val="18"/>
          <w:szCs w:val="18"/>
        </w:rPr>
        <w:t xml:space="preserve">-Giant elliptical galaxy M 87. </w:t>
      </w:r>
      <w:r w:rsidRPr="00841C44">
        <w:rPr>
          <w:rFonts w:ascii="Book Antiqua" w:hAnsi="Book Antiqua"/>
          <w:b/>
          <w:i/>
          <w:sz w:val="18"/>
          <w:szCs w:val="18"/>
        </w:rPr>
        <w:t xml:space="preserve">Right </w:t>
      </w:r>
      <w:r w:rsidRPr="00841C44">
        <w:rPr>
          <w:rFonts w:ascii="Book Antiqua" w:hAnsi="Book Antiqua"/>
          <w:i/>
          <w:sz w:val="18"/>
          <w:szCs w:val="18"/>
        </w:rPr>
        <w:t>- The jet from its nucleus.</w:t>
      </w:r>
    </w:p>
    <w:p w:rsidR="005359B2" w:rsidRPr="00370948" w:rsidRDefault="005359B2" w:rsidP="005359B2">
      <w:pPr>
        <w:pStyle w:val="NoSpacing"/>
        <w:jc w:val="both"/>
        <w:rPr>
          <w:rFonts w:ascii="Book Antiqua" w:hAnsi="Book Antiqua"/>
          <w:sz w:val="20"/>
        </w:rPr>
      </w:pPr>
    </w:p>
    <w:p w:rsidR="005359B2" w:rsidRPr="00F70CCF" w:rsidRDefault="005359B2" w:rsidP="005359B2">
      <w:pPr>
        <w:pStyle w:val="NoSpacing"/>
        <w:ind w:firstLine="720"/>
        <w:rPr>
          <w:rFonts w:ascii="Book Antiqua" w:hAnsi="Book Antiqua"/>
          <w:sz w:val="20"/>
        </w:rPr>
      </w:pPr>
      <w:r w:rsidRPr="00F70CCF">
        <w:rPr>
          <w:rFonts w:ascii="Book Antiqua" w:hAnsi="Book Antiqua"/>
          <w:sz w:val="20"/>
        </w:rPr>
        <w:t>It can therefore be seen that quasars and their jets, powered by the focussed electric and magnetic fields of the plasmoid which makes up the central area referred to as a ‘black hole’, are an integral part of the galaxy forming process. For this reason, quasars are prominent early in the universe when such formation was taking place. But since we are dealing with plasma physics in quasar formation, the ZPE also plays a part. As the ZPE strength increased the electric and magnetic fields, which come to a focus in the plasmoid in galaxy centers, gradually lost their strength. This means that the central activity died down and the quasars became less active. Nevertheless the plasmoid is still there. So, as we come forward in time from the frontiers of the universe, the quasar activity reduces until, as we see with our own galaxy, the central object only sends off X-rays occasionally. That this central plasmoid or ‘black hole’ had jets originally is still apparent in Gamma and X-rays. Figure 1</w:t>
      </w:r>
      <w:r>
        <w:rPr>
          <w:rFonts w:ascii="Book Antiqua" w:hAnsi="Book Antiqua"/>
          <w:sz w:val="20"/>
        </w:rPr>
        <w:t>8</w:t>
      </w:r>
      <w:r w:rsidRPr="00F70CCF">
        <w:rPr>
          <w:rFonts w:ascii="Book Antiqua" w:hAnsi="Book Antiqua"/>
          <w:sz w:val="20"/>
        </w:rPr>
        <w:t xml:space="preserve"> illustrates the results of a NASA study of our Galaxy using the Fermi telescope.</w:t>
      </w:r>
    </w:p>
    <w:p w:rsidR="005359B2" w:rsidRPr="00B05B9A" w:rsidRDefault="005359B2" w:rsidP="005359B2">
      <w:pPr>
        <w:ind w:firstLine="720"/>
        <w:jc w:val="both"/>
        <w:rPr>
          <w:rFonts w:ascii="Book Antiqua" w:hAnsi="Book Antiqua"/>
        </w:rPr>
      </w:pPr>
    </w:p>
    <w:tbl>
      <w:tblPr>
        <w:tblStyle w:val="TableGrid"/>
        <w:tblW w:w="0" w:type="auto"/>
        <w:tblLook w:val="04A0"/>
      </w:tblPr>
      <w:tblGrid>
        <w:gridCol w:w="6590"/>
        <w:gridCol w:w="4426"/>
      </w:tblGrid>
      <w:tr w:rsidR="005359B2" w:rsidTr="003442EA">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4133850" cy="2257425"/>
                  <wp:effectExtent l="19050" t="0" r="0" b="0"/>
                  <wp:docPr id="97" name="Picture 6" descr="http://www.nasa.gov/images/content/498884main_DF3_Fermi_bubble_art_labels.jpg"/>
                  <wp:cNvGraphicFramePr/>
                  <a:graphic xmlns:a="http://schemas.openxmlformats.org/drawingml/2006/main">
                    <a:graphicData uri="http://schemas.openxmlformats.org/drawingml/2006/picture">
                      <pic:pic xmlns:pic="http://schemas.openxmlformats.org/drawingml/2006/picture">
                        <pic:nvPicPr>
                          <pic:cNvPr id="4" name="irc_mi" descr="http://www.nasa.gov/images/content/498884main_DF3_Fermi_bubble_art_labels.jpg"/>
                          <pic:cNvPicPr/>
                        </pic:nvPicPr>
                        <pic:blipFill>
                          <a:blip r:embed="rId303" cstate="print"/>
                          <a:srcRect/>
                          <a:stretch>
                            <a:fillRect/>
                          </a:stretch>
                        </pic:blipFill>
                        <pic:spPr bwMode="auto">
                          <a:xfrm>
                            <a:off x="0" y="0"/>
                            <a:ext cx="4133850" cy="2257425"/>
                          </a:xfrm>
                          <a:prstGeom prst="rect">
                            <a:avLst/>
                          </a:prstGeom>
                          <a:noFill/>
                          <a:ln w="9525">
                            <a:noFill/>
                            <a:miter lim="800000"/>
                            <a:headEnd/>
                            <a:tailEnd/>
                          </a:ln>
                        </pic:spPr>
                      </pic:pic>
                    </a:graphicData>
                  </a:graphic>
                </wp:inline>
              </w:drawing>
            </w:r>
          </w:p>
        </w:tc>
        <w:tc>
          <w:tcPr>
            <w:tcW w:w="5508" w:type="dxa"/>
          </w:tcPr>
          <w:p w:rsidR="005359B2" w:rsidRDefault="005359B2" w:rsidP="003442EA">
            <w:pPr>
              <w:pStyle w:val="NoSpacing"/>
              <w:jc w:val="both"/>
              <w:rPr>
                <w:rFonts w:ascii="Book Antiqua" w:hAnsi="Book Antiqua"/>
                <w:sz w:val="20"/>
              </w:rPr>
            </w:pPr>
            <w:r w:rsidRPr="009E05E6">
              <w:rPr>
                <w:rFonts w:ascii="Book Antiqua" w:hAnsi="Book Antiqua"/>
                <w:noProof/>
                <w:sz w:val="20"/>
              </w:rPr>
              <w:drawing>
                <wp:inline distT="0" distB="0" distL="0" distR="0">
                  <wp:extent cx="2724150" cy="2257425"/>
                  <wp:effectExtent l="19050" t="0" r="0" b="0"/>
                  <wp:docPr id="102" name="Picture 7" descr="http://www.nature.com/polopoly_fs/7.4724.1338483652!/image/1.10749.jpg_gen/derivatives/landscape_300/1.10749.jpg"/>
                  <wp:cNvGraphicFramePr/>
                  <a:graphic xmlns:a="http://schemas.openxmlformats.org/drawingml/2006/main">
                    <a:graphicData uri="http://schemas.openxmlformats.org/drawingml/2006/picture">
                      <pic:pic xmlns:pic="http://schemas.openxmlformats.org/drawingml/2006/picture">
                        <pic:nvPicPr>
                          <pic:cNvPr id="4" name="irc_mi" descr="http://www.nature.com/polopoly_fs/7.4724.1338483652!/image/1.10749.jpg_gen/derivatives/landscape_300/1.10749.jpg"/>
                          <pic:cNvPicPr/>
                        </pic:nvPicPr>
                        <pic:blipFill>
                          <a:blip r:embed="rId304" cstate="print"/>
                          <a:srcRect/>
                          <a:stretch>
                            <a:fillRect/>
                          </a:stretch>
                        </pic:blipFill>
                        <pic:spPr bwMode="auto">
                          <a:xfrm>
                            <a:off x="0" y="0"/>
                            <a:ext cx="2724150" cy="2257425"/>
                          </a:xfrm>
                          <a:prstGeom prst="rect">
                            <a:avLst/>
                          </a:prstGeom>
                          <a:noFill/>
                          <a:ln w="9525">
                            <a:noFill/>
                            <a:miter lim="800000"/>
                            <a:headEnd/>
                            <a:tailEnd/>
                          </a:ln>
                        </pic:spPr>
                      </pic:pic>
                    </a:graphicData>
                  </a:graphic>
                </wp:inline>
              </w:drawing>
            </w:r>
          </w:p>
        </w:tc>
      </w:tr>
    </w:tbl>
    <w:p w:rsidR="005359B2" w:rsidRDefault="005359B2" w:rsidP="005359B2">
      <w:pPr>
        <w:pStyle w:val="NoSpacing"/>
        <w:ind w:firstLine="720"/>
        <w:jc w:val="both"/>
        <w:rPr>
          <w:rFonts w:ascii="Book Antiqua" w:hAnsi="Book Antiqua"/>
          <w:sz w:val="20"/>
        </w:rPr>
      </w:pPr>
    </w:p>
    <w:p w:rsidR="005359B2" w:rsidRPr="00841C44" w:rsidRDefault="005359B2" w:rsidP="005359B2">
      <w:pPr>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8</w:t>
      </w:r>
      <w:r w:rsidRPr="00841C44">
        <w:rPr>
          <w:rFonts w:ascii="Book Antiqua" w:hAnsi="Book Antiqua"/>
          <w:b/>
          <w:i/>
          <w:sz w:val="18"/>
          <w:szCs w:val="18"/>
        </w:rPr>
        <w:t>:</w:t>
      </w:r>
      <w:r w:rsidRPr="00841C44">
        <w:rPr>
          <w:rFonts w:ascii="Book Antiqua" w:hAnsi="Book Antiqua"/>
          <w:i/>
          <w:sz w:val="18"/>
          <w:szCs w:val="18"/>
        </w:rPr>
        <w:t xml:space="preserve"> These emission lobes visible from our Galaxy’s core today (Left), were formed by the jets from the original quasar in a manner similar to the sketch on the right (Right).</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Fig</w:t>
      </w:r>
      <w:r>
        <w:rPr>
          <w:rFonts w:ascii="Book Antiqua" w:hAnsi="Book Antiqua"/>
          <w:sz w:val="20"/>
        </w:rPr>
        <w:t>ure</w:t>
      </w:r>
      <w:r w:rsidRPr="00370948">
        <w:rPr>
          <w:rFonts w:ascii="Book Antiqua" w:hAnsi="Book Antiqua"/>
          <w:sz w:val="20"/>
        </w:rPr>
        <w:t xml:space="preserve"> </w:t>
      </w:r>
      <w:r>
        <w:rPr>
          <w:rFonts w:ascii="Book Antiqua" w:hAnsi="Book Antiqua"/>
          <w:sz w:val="20"/>
        </w:rPr>
        <w:t>14</w:t>
      </w:r>
      <w:r w:rsidRPr="00370948">
        <w:rPr>
          <w:rFonts w:ascii="Book Antiqua" w:hAnsi="Book Antiqua"/>
          <w:sz w:val="20"/>
        </w:rPr>
        <w:t xml:space="preserve"> frame 5, shows a highly elliptical galaxy with hints of arms developing. The astronomical equivalents compared with the lab are shown in Fig</w:t>
      </w:r>
      <w:r>
        <w:rPr>
          <w:rFonts w:ascii="Book Antiqua" w:hAnsi="Book Antiqua"/>
          <w:sz w:val="20"/>
        </w:rPr>
        <w:t>ure</w:t>
      </w:r>
      <w:r w:rsidRPr="00370948">
        <w:rPr>
          <w:rFonts w:ascii="Book Antiqua" w:hAnsi="Book Antiqua"/>
          <w:sz w:val="20"/>
        </w:rPr>
        <w:t xml:space="preserve"> 1</w:t>
      </w:r>
      <w:r>
        <w:rPr>
          <w:rFonts w:ascii="Book Antiqua" w:hAnsi="Book Antiqua"/>
          <w:sz w:val="20"/>
        </w:rPr>
        <w:t>9</w:t>
      </w:r>
      <w:r w:rsidRPr="00370948">
        <w:rPr>
          <w:rFonts w:ascii="Book Antiqua" w:hAnsi="Book Antiqua"/>
          <w:sz w:val="20"/>
        </w:rPr>
        <w:t xml:space="preserve"> going </w:t>
      </w:r>
      <w:r>
        <w:rPr>
          <w:rFonts w:ascii="Book Antiqua" w:hAnsi="Book Antiqua"/>
          <w:sz w:val="20"/>
        </w:rPr>
        <w:t xml:space="preserve">from </w:t>
      </w:r>
      <w:r w:rsidRPr="00370948">
        <w:rPr>
          <w:rFonts w:ascii="Book Antiqua" w:hAnsi="Book Antiqua"/>
          <w:sz w:val="20"/>
        </w:rPr>
        <w:t>top to bottom,</w:t>
      </w:r>
      <w:r>
        <w:rPr>
          <w:rFonts w:ascii="Book Antiqua" w:hAnsi="Book Antiqua"/>
          <w:sz w:val="20"/>
        </w:rPr>
        <w:t xml:space="preserve"> comparing</w:t>
      </w:r>
      <w:r w:rsidRPr="00370948">
        <w:rPr>
          <w:rFonts w:ascii="Book Antiqua" w:hAnsi="Book Antiqua"/>
          <w:sz w:val="20"/>
        </w:rPr>
        <w:t xml:space="preserve"> two</w:t>
      </w:r>
      <w:r>
        <w:rPr>
          <w:rFonts w:ascii="Book Antiqua" w:hAnsi="Book Antiqua"/>
          <w:sz w:val="20"/>
        </w:rPr>
        <w:t xml:space="preserve"> vertical</w:t>
      </w:r>
      <w:r w:rsidRPr="00370948">
        <w:rPr>
          <w:rFonts w:ascii="Book Antiqua" w:hAnsi="Book Antiqua"/>
          <w:sz w:val="20"/>
        </w:rPr>
        <w:t xml:space="preserve"> panels at a time.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bottom row of the sequence in Fig. </w:t>
      </w:r>
      <w:r>
        <w:rPr>
          <w:rFonts w:ascii="Book Antiqua" w:hAnsi="Book Antiqua"/>
          <w:sz w:val="20"/>
        </w:rPr>
        <w:t>14</w:t>
      </w:r>
      <w:r w:rsidRPr="00370948">
        <w:rPr>
          <w:rFonts w:ascii="Book Antiqua" w:hAnsi="Book Antiqua"/>
          <w:sz w:val="20"/>
        </w:rPr>
        <w:t xml:space="preserve"> shows the development of various types of spiral galaxy. Here, the barred spirals are the first to form, following which the arms develop and lengthen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left).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Finally, the arms thin out as they wind more tightly around the somewhat elliptical core, and then form a “string of beads” appearance as the Z-pinch becomes active (Fig</w:t>
      </w:r>
      <w:r>
        <w:rPr>
          <w:rFonts w:ascii="Book Antiqua" w:hAnsi="Book Antiqua"/>
          <w:sz w:val="20"/>
        </w:rPr>
        <w:t>ure</w:t>
      </w:r>
      <w:r w:rsidRPr="00370948">
        <w:rPr>
          <w:rFonts w:ascii="Book Antiqua" w:hAnsi="Book Antiqua"/>
          <w:sz w:val="20"/>
        </w:rPr>
        <w:t xml:space="preserve"> </w:t>
      </w:r>
      <w:r>
        <w:rPr>
          <w:rFonts w:ascii="Book Antiqua" w:hAnsi="Book Antiqua"/>
          <w:sz w:val="20"/>
        </w:rPr>
        <w:t>20</w:t>
      </w:r>
      <w:r w:rsidRPr="00370948">
        <w:rPr>
          <w:rFonts w:ascii="Book Antiqua" w:hAnsi="Book Antiqua"/>
          <w:sz w:val="20"/>
        </w:rPr>
        <w:t xml:space="preserve"> right).</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191000" cy="2886075"/>
            <wp:effectExtent l="38100" t="57150" r="114300" b="104775"/>
            <wp:docPr id="108"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5" cstate="print"/>
                    <a:srcRect t="22195" r="916"/>
                    <a:stretch>
                      <a:fillRect/>
                    </a:stretch>
                  </pic:blipFill>
                  <pic:spPr bwMode="auto">
                    <a:xfrm>
                      <a:off x="0" y="0"/>
                      <a:ext cx="4190953" cy="28860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359B2" w:rsidRPr="00370948" w:rsidRDefault="005359B2" w:rsidP="005359B2">
      <w:pPr>
        <w:pStyle w:val="NoSpacing"/>
        <w:jc w:val="both"/>
        <w:rPr>
          <w:rFonts w:ascii="Book Antiqua" w:hAnsi="Book Antiqua"/>
          <w:sz w:val="18"/>
          <w:szCs w:val="18"/>
        </w:rPr>
      </w:pP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Figure 1</w:t>
      </w:r>
      <w:r>
        <w:rPr>
          <w:rFonts w:ascii="Book Antiqua" w:hAnsi="Book Antiqua"/>
          <w:b/>
          <w:i/>
          <w:sz w:val="18"/>
          <w:szCs w:val="18"/>
        </w:rPr>
        <w:t>9</w:t>
      </w:r>
      <w:r w:rsidRPr="00841C44">
        <w:rPr>
          <w:rFonts w:ascii="Book Antiqua" w:hAnsi="Book Antiqua"/>
          <w:b/>
          <w:i/>
          <w:sz w:val="18"/>
          <w:szCs w:val="18"/>
        </w:rPr>
        <w:t>:</w:t>
      </w:r>
      <w:r w:rsidRPr="00841C44">
        <w:rPr>
          <w:rFonts w:ascii="Book Antiqua" w:hAnsi="Book Antiqua"/>
          <w:i/>
          <w:sz w:val="18"/>
          <w:szCs w:val="18"/>
        </w:rPr>
        <w:t xml:space="preserve"> Galaxy development in lab compared with actual examples. Lab results panels one and three; actual examples panels 2 and 4 Read from the top to the bottom frames.</w:t>
      </w:r>
    </w:p>
    <w:p w:rsidR="005359B2" w:rsidRPr="00370948" w:rsidRDefault="005359B2" w:rsidP="005359B2">
      <w:pPr>
        <w:pStyle w:val="NoSpacing"/>
        <w:jc w:val="both"/>
        <w:rPr>
          <w:rFonts w:ascii="Book Antiqua" w:hAnsi="Book Antiqua"/>
          <w:sz w:val="18"/>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496"/>
      </w:tblGrid>
      <w:tr w:rsidR="005359B2" w:rsidRPr="00370948" w:rsidTr="003442EA">
        <w:trPr>
          <w:trHeight w:val="2233"/>
        </w:trPr>
        <w:tc>
          <w:tcPr>
            <w:tcW w:w="3752"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209925" cy="2219325"/>
                  <wp:effectExtent l="19050" t="0" r="9525" b="0"/>
                  <wp:docPr id="109" name="Picture 8" descr="A Beautiful Barred Spiral Galaxy. Credit: NASA, ESA, and The Hubble Heritage Team STScI/AURA)"/>
                  <wp:cNvGraphicFramePr/>
                  <a:graphic xmlns:a="http://schemas.openxmlformats.org/drawingml/2006/main">
                    <a:graphicData uri="http://schemas.openxmlformats.org/drawingml/2006/picture">
                      <pic:pic xmlns:pic="http://schemas.openxmlformats.org/drawingml/2006/picture">
                        <pic:nvPicPr>
                          <pic:cNvPr id="4" name="Picture 3" descr="A Beautiful Barred Spiral Galaxy. Credit: NASA, ESA, and The Hubble Heritage Team STScI/AURA)"/>
                          <pic:cNvPicPr/>
                        </pic:nvPicPr>
                        <pic:blipFill>
                          <a:blip r:embed="rId306" cstate="print"/>
                          <a:srcRect/>
                          <a:stretch>
                            <a:fillRect/>
                          </a:stretch>
                        </pic:blipFill>
                        <pic:spPr bwMode="auto">
                          <a:xfrm>
                            <a:off x="0" y="0"/>
                            <a:ext cx="3209925" cy="2219325"/>
                          </a:xfrm>
                          <a:prstGeom prst="rect">
                            <a:avLst/>
                          </a:prstGeom>
                          <a:noFill/>
                          <a:ln w="9525">
                            <a:noFill/>
                            <a:miter lim="800000"/>
                            <a:headEnd/>
                            <a:tailEnd/>
                          </a:ln>
                        </pic:spPr>
                      </pic:pic>
                    </a:graphicData>
                  </a:graphic>
                </wp:inline>
              </w:drawing>
            </w:r>
          </w:p>
        </w:tc>
        <w:tc>
          <w:tcPr>
            <w:tcW w:w="3363" w:type="dxa"/>
          </w:tcPr>
          <w:p w:rsidR="005359B2" w:rsidRPr="00370948" w:rsidRDefault="005359B2" w:rsidP="003442EA">
            <w:pPr>
              <w:pStyle w:val="NoSpacing"/>
              <w:jc w:val="both"/>
              <w:rPr>
                <w:rFonts w:ascii="Book Antiqua" w:hAnsi="Book Antiqua"/>
                <w:sz w:val="20"/>
              </w:rPr>
            </w:pPr>
            <w:r w:rsidRPr="00370948">
              <w:rPr>
                <w:rFonts w:ascii="Book Antiqua" w:hAnsi="Book Antiqua"/>
                <w:noProof/>
                <w:sz w:val="20"/>
              </w:rPr>
              <w:drawing>
                <wp:inline distT="0" distB="0" distL="0" distR="0">
                  <wp:extent cx="3328989" cy="2219325"/>
                  <wp:effectExtent l="19050" t="0" r="4761" b="0"/>
                  <wp:docPr id="110" name="il_fi" descr="http://www.nasa.gov/images/content/178491main_sig07-009-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178491main_sig07-009-516.jpg"/>
                          <pic:cNvPicPr>
                            <a:picLocks noChangeAspect="1" noChangeArrowheads="1"/>
                          </pic:cNvPicPr>
                        </pic:nvPicPr>
                        <pic:blipFill>
                          <a:blip r:embed="rId307" cstate="print">
                            <a:lum contrast="20000"/>
                          </a:blip>
                          <a:srcRect/>
                          <a:stretch>
                            <a:fillRect/>
                          </a:stretch>
                        </pic:blipFill>
                        <pic:spPr bwMode="auto">
                          <a:xfrm>
                            <a:off x="0" y="0"/>
                            <a:ext cx="3328989" cy="2219325"/>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sz w:val="20"/>
        </w:rPr>
      </w:pPr>
    </w:p>
    <w:p w:rsidR="005359B2"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20</w:t>
      </w:r>
      <w:r w:rsidRPr="00841C44">
        <w:rPr>
          <w:rFonts w:ascii="Book Antiqua" w:hAnsi="Book Antiqua"/>
          <w:b/>
          <w:i/>
          <w:sz w:val="18"/>
          <w:szCs w:val="18"/>
        </w:rPr>
        <w:t>: Left</w:t>
      </w:r>
      <w:r w:rsidRPr="00841C44">
        <w:rPr>
          <w:rFonts w:ascii="Book Antiqua" w:hAnsi="Book Antiqua"/>
          <w:i/>
          <w:sz w:val="18"/>
          <w:szCs w:val="18"/>
        </w:rPr>
        <w:t xml:space="preserve"> – barred spiral galaxy NGC 1300; </w:t>
      </w:r>
      <w:r w:rsidRPr="00841C44">
        <w:rPr>
          <w:rFonts w:ascii="Book Antiqua" w:hAnsi="Book Antiqua"/>
          <w:b/>
          <w:i/>
          <w:sz w:val="18"/>
          <w:szCs w:val="18"/>
        </w:rPr>
        <w:t>Right –</w:t>
      </w:r>
      <w:r w:rsidRPr="00841C44">
        <w:rPr>
          <w:rFonts w:ascii="Book Antiqua" w:hAnsi="Book Antiqua"/>
          <w:i/>
          <w:sz w:val="18"/>
          <w:szCs w:val="18"/>
        </w:rPr>
        <w:t xml:space="preserve"> M81 (composite).</w:t>
      </w:r>
    </w:p>
    <w:p w:rsidR="005359B2" w:rsidRPr="00841C44" w:rsidRDefault="005359B2" w:rsidP="005359B2">
      <w:pPr>
        <w:pStyle w:val="NoSpacing"/>
        <w:rPr>
          <w:rFonts w:ascii="Book Antiqua" w:hAnsi="Book Antiqua"/>
          <w:i/>
          <w:sz w:val="18"/>
          <w:szCs w:val="18"/>
        </w:rPr>
      </w:pPr>
    </w:p>
    <w:p w:rsidR="005359B2" w:rsidRPr="00370948" w:rsidRDefault="005359B2" w:rsidP="005359B2">
      <w:pPr>
        <w:pStyle w:val="NoSpacing"/>
        <w:ind w:left="720"/>
        <w:jc w:val="both"/>
        <w:rPr>
          <w:rFonts w:ascii="Book Antiqua" w:hAnsi="Book Antiqua"/>
          <w:b/>
          <w:sz w:val="20"/>
        </w:rPr>
      </w:pPr>
    </w:p>
    <w:p w:rsidR="005359B2" w:rsidRPr="000F4A13" w:rsidRDefault="005359B2" w:rsidP="005359B2">
      <w:pPr>
        <w:pStyle w:val="NoSpacing"/>
        <w:jc w:val="both"/>
        <w:rPr>
          <w:rFonts w:ascii="Book Antiqua" w:hAnsi="Book Antiqua"/>
          <w:b/>
          <w:sz w:val="20"/>
        </w:rPr>
      </w:pPr>
      <w:r>
        <w:rPr>
          <w:rFonts w:ascii="Book Antiqua" w:hAnsi="Book Antiqua"/>
          <w:b/>
          <w:sz w:val="20"/>
        </w:rPr>
        <w:t xml:space="preserve">6.   </w:t>
      </w:r>
      <w:r w:rsidRPr="000F4A13">
        <w:rPr>
          <w:rFonts w:ascii="Book Antiqua" w:hAnsi="Book Antiqua"/>
          <w:b/>
          <w:sz w:val="20"/>
        </w:rPr>
        <w:t>Galaxy Rotation And “Missing Mass.”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 xml:space="preserve">Plasma physics also solves a problem regarding galaxy behavior. </w:t>
      </w:r>
      <w:r w:rsidRPr="00370948">
        <w:rPr>
          <w:rFonts w:ascii="Book Antiqua" w:hAnsi="Book Antiqua"/>
          <w:sz w:val="20"/>
        </w:rPr>
        <w:t xml:space="preserve">For decades, astronomers have puzzled about the fact that the speed of rotation of the outer arms of the galaxies was the same as the speed of rotation nearer the center.  This produced, on graphs, a flat rotation curve, as shown in Figure </w:t>
      </w:r>
      <w:r>
        <w:rPr>
          <w:rFonts w:ascii="Book Antiqua" w:hAnsi="Book Antiqua"/>
          <w:sz w:val="20"/>
        </w:rPr>
        <w:t>2</w:t>
      </w:r>
      <w:r w:rsidRPr="00370948">
        <w:rPr>
          <w:rFonts w:ascii="Book Antiqua" w:hAnsi="Book Antiqua"/>
          <w:sz w:val="20"/>
        </w:rPr>
        <w:t xml:space="preserve">1. Work with plasma filaments answers this problem, </w:t>
      </w:r>
      <w:r w:rsidRPr="00370948">
        <w:rPr>
          <w:rFonts w:ascii="Book Antiqua" w:hAnsi="Book Antiqua"/>
          <w:sz w:val="20"/>
        </w:rPr>
        <w:lastRenderedPageBreak/>
        <w:t xml:space="preserve">showing exactly how these speeds are formed and maintained.  The flat rotation curves were first noticed in the mid 1970’s, and, in 1983, Vera Rubin noted that the rotational velocity of many galaxies is constant out to the edges of those galaxies [68]. The rotational velocity of stars appeared the same at all distances from the galactic centers, except for the galactic nuclei themselves. The gravitational force seen in the galaxies </w:t>
      </w:r>
      <w:r>
        <w:rPr>
          <w:rFonts w:ascii="Book Antiqua" w:hAnsi="Book Antiqua"/>
          <w:sz w:val="20"/>
        </w:rPr>
        <w:t>is</w:t>
      </w:r>
      <w:r w:rsidRPr="00370948">
        <w:rPr>
          <w:rFonts w:ascii="Book Antiqua" w:hAnsi="Book Antiqua"/>
          <w:sz w:val="20"/>
        </w:rPr>
        <w:t xml:space="preserve"> not nearly enough to </w:t>
      </w:r>
      <w:r>
        <w:rPr>
          <w:rFonts w:ascii="Book Antiqua" w:hAnsi="Book Antiqua"/>
          <w:sz w:val="20"/>
        </w:rPr>
        <w:t>cause</w:t>
      </w:r>
      <w:r w:rsidRPr="00370948">
        <w:rPr>
          <w:rFonts w:ascii="Book Antiqua" w:hAnsi="Book Antiqua"/>
          <w:sz w:val="20"/>
        </w:rPr>
        <w:t xml:space="preserve"> these outer speeds, and so, to preserve the gravitational model, “missing mass” was </w:t>
      </w:r>
      <w:r>
        <w:rPr>
          <w:rFonts w:ascii="Book Antiqua" w:hAnsi="Book Antiqua"/>
          <w:sz w:val="20"/>
        </w:rPr>
        <w:t>postulated</w:t>
      </w:r>
      <w:r w:rsidRPr="002B78BA">
        <w:rPr>
          <w:rFonts w:ascii="Book Antiqua" w:hAnsi="Book Antiqua"/>
          <w:sz w:val="20"/>
        </w:rPr>
        <w:t>.</w:t>
      </w:r>
      <w:r w:rsidRPr="00370948">
        <w:rPr>
          <w:rFonts w:ascii="Book Antiqua" w:hAnsi="Book Antiqua"/>
          <w:sz w:val="20"/>
        </w:rPr>
        <w:t xml:space="preserve">  A typical</w:t>
      </w:r>
      <w:r>
        <w:rPr>
          <w:rFonts w:ascii="Book Antiqua" w:hAnsi="Book Antiqua"/>
          <w:sz w:val="20"/>
        </w:rPr>
        <w:t>ly</w:t>
      </w:r>
      <w:r w:rsidRPr="00370948">
        <w:rPr>
          <w:rFonts w:ascii="Book Antiqua" w:hAnsi="Book Antiqua"/>
          <w:sz w:val="20"/>
        </w:rPr>
        <w:t xml:space="preserve"> </w:t>
      </w:r>
      <w:r>
        <w:rPr>
          <w:rFonts w:ascii="Book Antiqua" w:hAnsi="Book Antiqua"/>
          <w:sz w:val="20"/>
        </w:rPr>
        <w:t xml:space="preserve">observed </w:t>
      </w:r>
      <w:r w:rsidRPr="00370948">
        <w:rPr>
          <w:rFonts w:ascii="Book Antiqua" w:hAnsi="Book Antiqua"/>
          <w:sz w:val="20"/>
        </w:rPr>
        <w:t xml:space="preserve">curve is </w:t>
      </w:r>
      <w:r>
        <w:rPr>
          <w:rFonts w:ascii="Book Antiqua" w:hAnsi="Book Antiqua"/>
          <w:sz w:val="20"/>
        </w:rPr>
        <w:t>in</w:t>
      </w:r>
      <w:r w:rsidRPr="00370948">
        <w:rPr>
          <w:rFonts w:ascii="Book Antiqua" w:hAnsi="Book Antiqua"/>
          <w:sz w:val="20"/>
        </w:rPr>
        <w:t xml:space="preserve"> Figure </w:t>
      </w:r>
      <w:r>
        <w:rPr>
          <w:rFonts w:ascii="Book Antiqua" w:hAnsi="Book Antiqua"/>
          <w:sz w:val="20"/>
        </w:rPr>
        <w:t>2</w:t>
      </w:r>
      <w:r w:rsidRPr="00370948">
        <w:rPr>
          <w:rFonts w:ascii="Book Antiqua" w:hAnsi="Book Antiqua"/>
          <w:sz w:val="20"/>
        </w:rPr>
        <w:t>1.</w:t>
      </w: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drawing>
          <wp:inline distT="0" distB="0" distL="0" distR="0">
            <wp:extent cx="4113689" cy="2105426"/>
            <wp:effectExtent l="19050" t="0" r="1111" b="0"/>
            <wp:docPr id="122" name="il_fi" descr="http://large.stanford.edu/courses/2007/ph210/sugarbaker2/images/f1bi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arge.stanford.edu/courses/2007/ph210/sugarbaker2/images/f1big.gif"/>
                    <pic:cNvPicPr>
                      <a:picLocks noChangeAspect="1" noChangeArrowheads="1"/>
                    </pic:cNvPicPr>
                  </pic:nvPicPr>
                  <pic:blipFill>
                    <a:blip r:embed="rId308" cstate="print"/>
                    <a:srcRect/>
                    <a:stretch>
                      <a:fillRect/>
                    </a:stretch>
                  </pic:blipFill>
                  <pic:spPr bwMode="auto">
                    <a:xfrm>
                      <a:off x="0" y="0"/>
                      <a:ext cx="4119170" cy="2108231"/>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41C44">
        <w:rPr>
          <w:rFonts w:ascii="Book Antiqua" w:hAnsi="Book Antiqua"/>
          <w:b/>
          <w:i/>
          <w:sz w:val="18"/>
          <w:szCs w:val="18"/>
        </w:rPr>
        <w:t xml:space="preserve">Figure </w:t>
      </w:r>
      <w:r>
        <w:rPr>
          <w:rFonts w:ascii="Book Antiqua" w:hAnsi="Book Antiqua"/>
          <w:b/>
          <w:i/>
          <w:sz w:val="18"/>
          <w:szCs w:val="18"/>
        </w:rPr>
        <w:t>2</w:t>
      </w:r>
      <w:r w:rsidRPr="00841C44">
        <w:rPr>
          <w:rFonts w:ascii="Book Antiqua" w:hAnsi="Book Antiqua"/>
          <w:b/>
          <w:i/>
          <w:sz w:val="18"/>
          <w:szCs w:val="18"/>
        </w:rPr>
        <w:t>1:</w:t>
      </w:r>
      <w:r w:rsidRPr="00841C44">
        <w:rPr>
          <w:rFonts w:ascii="Book Antiqua" w:hAnsi="Book Antiqua"/>
          <w:i/>
          <w:sz w:val="18"/>
          <w:szCs w:val="18"/>
        </w:rPr>
        <w:t xml:space="preserve"> Rotation curves of a typical galaxy. Actual rotational velocities of the stars (observed) are the black line. Velocities that would be expected from the estimated mass of the visible matter in the galaxy and gravitational theory are the blue-gray (Keplerian) line.</w:t>
      </w:r>
    </w:p>
    <w:p w:rsidR="005359B2"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Milgrom suggested our theories of gravity were incomplete and advanced a Modified Newtonian Dynamics (MOND) approach.  He added an extra term to the mathematical equations involved.  It produced good agreement with data since its introduction in 1983 [69]. However, the lack of a physical mechanism for this theory has been a major drawback to its general acceptance.  As a result, an alternative approach was pursued. </w:t>
      </w:r>
    </w:p>
    <w:p w:rsidR="005359B2" w:rsidRPr="00370948"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This alternative approach claimed that rotation curves could be accounted for only if masses in the galaxies increased linearly with distance from their centers. But this is not what we see -- the mass distribution indicated by </w:t>
      </w:r>
      <w:r w:rsidRPr="002B78BA">
        <w:rPr>
          <w:rFonts w:ascii="Book Antiqua" w:hAnsi="Book Antiqua"/>
          <w:sz w:val="20"/>
          <w:szCs w:val="20"/>
        </w:rPr>
        <w:t>luminous matter does</w:t>
      </w:r>
      <w:r w:rsidRPr="00370948">
        <w:rPr>
          <w:rFonts w:ascii="Book Antiqua" w:hAnsi="Book Antiqua"/>
          <w:sz w:val="20"/>
          <w:szCs w:val="20"/>
        </w:rPr>
        <w:t xml:space="preserve"> not do this. In order to achieve the required increase in mass with distance from galaxy centers, astronomers had to postulate that there must be an immense amount of “missing mass” or “dark matter” in a halo around each galaxy. This was the only way standard gravitational physics could produce the observed result.   The missing mass, however, has never been found, even though its necessity in gravitational physics demands it be there.</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Peratt’s experiments with plasma dismiss the necessity of dark matter altogether by showing that the rotation rates of spiral arms in galaxies are indeed “flat.” Figure </w:t>
      </w:r>
      <w:r>
        <w:rPr>
          <w:rFonts w:ascii="Book Antiqua" w:hAnsi="Book Antiqua"/>
          <w:sz w:val="20"/>
          <w:szCs w:val="20"/>
        </w:rPr>
        <w:t>22</w:t>
      </w:r>
      <w:r w:rsidRPr="00370948">
        <w:rPr>
          <w:rFonts w:ascii="Book Antiqua" w:hAnsi="Book Antiqua"/>
          <w:sz w:val="20"/>
          <w:szCs w:val="20"/>
        </w:rPr>
        <w:t xml:space="preserve"> illustrates the observed curve for the galaxy NGC 2998 and compares it with a typical curve from the experiments and simulations.  </w:t>
      </w:r>
    </w:p>
    <w:p w:rsidR="005359B2" w:rsidRDefault="005359B2" w:rsidP="005359B2">
      <w:pPr>
        <w:pStyle w:val="NormalWeb"/>
        <w:ind w:firstLine="720"/>
        <w:jc w:val="both"/>
        <w:rPr>
          <w:rFonts w:ascii="Book Antiqua" w:hAnsi="Book Antiqua"/>
          <w:sz w:val="20"/>
          <w:szCs w:val="20"/>
        </w:rPr>
      </w:pPr>
      <w:r w:rsidRPr="00370948">
        <w:rPr>
          <w:rFonts w:ascii="Book Antiqua" w:hAnsi="Book Antiqua"/>
          <w:sz w:val="20"/>
          <w:szCs w:val="20"/>
        </w:rPr>
        <w:t xml:space="preserve">The flat rotation curves occur because of the strength of the Birkeland currents in the filaments control the speed, and gravity has nothing to do with it </w:t>
      </w:r>
      <w:hyperlink r:id="rId309" w:anchor="6a221" w:history="1">
        <w:r w:rsidRPr="00370948">
          <w:rPr>
            <w:rStyle w:val="Hyperlink"/>
            <w:rFonts w:ascii="Book Antiqua" w:hAnsi="Book Antiqua"/>
            <w:sz w:val="20"/>
            <w:szCs w:val="20"/>
          </w:rPr>
          <w:t>[38]</w:t>
        </w:r>
      </w:hyperlink>
      <w:r w:rsidRPr="00370948">
        <w:rPr>
          <w:rFonts w:ascii="Book Antiqua" w:hAnsi="Book Antiqua"/>
          <w:sz w:val="20"/>
          <w:szCs w:val="20"/>
        </w:rPr>
        <w:t>. The animated versions of the experimental photographs reveal this clearly. If the current strength drops off, so, too, does the rotation rate of the spiral arms about the galaxy center. There is no dependence of gravity. Rather, it has everything to do with plasma physics, electric currents and the way they cause interacting plasma filaments to form galaxies. Thus when the Birkeland current strength is greater, the whole galaxy rotation rate is faster. This is in accord with the Doppler data when an increasing ZPE strength is considered as is fully discussed in Appendix C. A related matter concerns Pulsar periods, discussed in Appendix D in a plasma context.</w:t>
      </w:r>
    </w:p>
    <w:p w:rsidR="005359B2" w:rsidRPr="00370948" w:rsidRDefault="005359B2" w:rsidP="005359B2">
      <w:pPr>
        <w:pStyle w:val="NormalWeb"/>
        <w:ind w:firstLine="720"/>
        <w:jc w:val="both"/>
        <w:rPr>
          <w:rFonts w:ascii="Book Antiqua" w:hAnsi="Book Antiqua"/>
          <w:sz w:val="20"/>
          <w:szCs w:val="20"/>
        </w:rPr>
      </w:pPr>
    </w:p>
    <w:p w:rsidR="005359B2" w:rsidRPr="00370948" w:rsidRDefault="005359B2" w:rsidP="005359B2">
      <w:pPr>
        <w:pStyle w:val="NormalWeb"/>
        <w:jc w:val="center"/>
        <w:rPr>
          <w:rFonts w:ascii="Book Antiqua" w:hAnsi="Book Antiqua"/>
          <w:sz w:val="20"/>
          <w:szCs w:val="20"/>
        </w:rPr>
      </w:pPr>
      <w:r w:rsidRPr="00370948">
        <w:rPr>
          <w:rFonts w:ascii="Book Antiqua" w:hAnsi="Book Antiqua"/>
          <w:noProof/>
          <w:sz w:val="20"/>
          <w:szCs w:val="20"/>
        </w:rPr>
        <w:lastRenderedPageBreak/>
        <w:drawing>
          <wp:inline distT="0" distB="0" distL="0" distR="0">
            <wp:extent cx="3646603" cy="3362325"/>
            <wp:effectExtent l="19050" t="0" r="0" b="0"/>
            <wp:docPr id="130" name="il_fi" descr="http://www.holoscience.com/news/img/Galactic%20ro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loscience.com/news/img/Galactic%20rotation.jpg"/>
                    <pic:cNvPicPr>
                      <a:picLocks noChangeAspect="1" noChangeArrowheads="1"/>
                    </pic:cNvPicPr>
                  </pic:nvPicPr>
                  <pic:blipFill>
                    <a:blip r:embed="rId310" cstate="print">
                      <a:lum contrast="40000"/>
                    </a:blip>
                    <a:srcRect/>
                    <a:stretch>
                      <a:fillRect/>
                    </a:stretch>
                  </pic:blipFill>
                  <pic:spPr bwMode="auto">
                    <a:xfrm>
                      <a:off x="0" y="0"/>
                      <a:ext cx="3652685" cy="3367932"/>
                    </a:xfrm>
                    <a:prstGeom prst="rect">
                      <a:avLst/>
                    </a:prstGeom>
                    <a:noFill/>
                    <a:ln w="9525">
                      <a:noFill/>
                      <a:miter lim="800000"/>
                      <a:headEnd/>
                      <a:tailEnd/>
                    </a:ln>
                  </pic:spPr>
                </pic:pic>
              </a:graphicData>
            </a:graphic>
          </wp:inline>
        </w:drawing>
      </w:r>
    </w:p>
    <w:p w:rsidR="005359B2" w:rsidRPr="00841C44"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22</w:t>
      </w:r>
      <w:r w:rsidRPr="008255D7">
        <w:rPr>
          <w:rFonts w:ascii="Book Antiqua" w:hAnsi="Book Antiqua"/>
          <w:b/>
          <w:i/>
          <w:sz w:val="18"/>
          <w:szCs w:val="18"/>
        </w:rPr>
        <w:t>:</w:t>
      </w:r>
      <w:r w:rsidRPr="00841C44">
        <w:rPr>
          <w:rFonts w:ascii="Book Antiqua" w:hAnsi="Book Antiqua"/>
          <w:i/>
          <w:sz w:val="18"/>
          <w:szCs w:val="18"/>
        </w:rPr>
        <w:t xml:space="preserve"> Rotation curve of galaxy NGC2998 compared with typical experimental simulation. The graphs differ from Figure </w:t>
      </w:r>
      <w:r>
        <w:rPr>
          <w:rFonts w:ascii="Book Antiqua" w:hAnsi="Book Antiqua"/>
          <w:i/>
          <w:sz w:val="18"/>
          <w:szCs w:val="18"/>
        </w:rPr>
        <w:t>2</w:t>
      </w:r>
      <w:r w:rsidRPr="00841C44">
        <w:rPr>
          <w:rFonts w:ascii="Book Antiqua" w:hAnsi="Book Antiqua"/>
          <w:i/>
          <w:sz w:val="18"/>
          <w:szCs w:val="18"/>
        </w:rPr>
        <w:t>1 only in that a diameter line is taken through the center of the galaxy (given by the intersection of the vertical and horizontal lines through zero), instead of a radius as in Fig</w:t>
      </w:r>
      <w:r>
        <w:rPr>
          <w:rFonts w:ascii="Book Antiqua" w:hAnsi="Book Antiqua"/>
          <w:i/>
          <w:sz w:val="18"/>
          <w:szCs w:val="18"/>
        </w:rPr>
        <w:t>ure</w:t>
      </w:r>
      <w:r w:rsidRPr="00841C44">
        <w:rPr>
          <w:rFonts w:ascii="Book Antiqua" w:hAnsi="Book Antiqua"/>
          <w:i/>
          <w:sz w:val="18"/>
          <w:szCs w:val="18"/>
        </w:rPr>
        <w:t xml:space="preserve"> </w:t>
      </w:r>
      <w:r>
        <w:rPr>
          <w:rFonts w:ascii="Book Antiqua" w:hAnsi="Book Antiqua"/>
          <w:i/>
          <w:sz w:val="18"/>
          <w:szCs w:val="18"/>
        </w:rPr>
        <w:t>2</w:t>
      </w:r>
      <w:r w:rsidRPr="00841C44">
        <w:rPr>
          <w:rFonts w:ascii="Book Antiqua" w:hAnsi="Book Antiqua"/>
          <w:i/>
          <w:sz w:val="18"/>
          <w:szCs w:val="18"/>
        </w:rPr>
        <w:t>1</w:t>
      </w:r>
      <w:r>
        <w:rPr>
          <w:rFonts w:ascii="Book Antiqua" w:hAnsi="Book Antiqua"/>
          <w:i/>
          <w:sz w:val="18"/>
          <w:szCs w:val="18"/>
        </w:rPr>
        <w:t>.</w:t>
      </w:r>
      <w:r w:rsidRPr="00841C44">
        <w:rPr>
          <w:rFonts w:ascii="Book Antiqua" w:hAnsi="Book Antiqua"/>
          <w:i/>
          <w:sz w:val="18"/>
          <w:szCs w:val="18"/>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plasma filaments behave the same way regardless of size, all these processes can be timed in the laboratory and up-scaled to observed galactic dimensions. </w:t>
      </w:r>
      <w:r>
        <w:rPr>
          <w:rFonts w:ascii="Book Antiqua" w:hAnsi="Book Antiqua"/>
          <w:sz w:val="20"/>
        </w:rPr>
        <w:t>With</w:t>
      </w:r>
      <w:r w:rsidRPr="00370948">
        <w:rPr>
          <w:rFonts w:ascii="Book Antiqua" w:hAnsi="Book Antiqua"/>
          <w:sz w:val="20"/>
        </w:rPr>
        <w:t xml:space="preserve"> lower ZPE values and stronger electric currents, galaxy rotation rates would have been systematically higher in the past, or the further out into space we look. This is also in accord with Doppler shift data, as discussed in Appendix C. Put together, this gives strong evidence that in the early days of our universe, galaxy formation rates would have been much faster, </w:t>
      </w:r>
      <w:r>
        <w:rPr>
          <w:rFonts w:ascii="Book Antiqua" w:hAnsi="Book Antiqua"/>
          <w:sz w:val="20"/>
        </w:rPr>
        <w:t>since</w:t>
      </w:r>
      <w:r w:rsidRPr="00370948">
        <w:rPr>
          <w:rFonts w:ascii="Book Antiqua" w:hAnsi="Book Antiqua"/>
          <w:sz w:val="20"/>
        </w:rPr>
        <w:t xml:space="preserve"> the velocity of the approach and interaction of the filaments would have been correspondingly more rapid. </w:t>
      </w:r>
    </w:p>
    <w:p w:rsidR="005359B2" w:rsidRPr="00370948" w:rsidRDefault="005359B2" w:rsidP="005359B2">
      <w:pPr>
        <w:pStyle w:val="NoSpacing"/>
        <w:jc w:val="both"/>
        <w:rPr>
          <w:rFonts w:ascii="Book Antiqua" w:hAnsi="Book Antiqua"/>
          <w:i/>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7. The Formation Of Stars.</w:t>
      </w:r>
    </w:p>
    <w:p w:rsidR="005359B2" w:rsidRPr="00370948" w:rsidRDefault="005359B2" w:rsidP="005359B2">
      <w:pPr>
        <w:pStyle w:val="NoSpacing"/>
        <w:rPr>
          <w:rFonts w:ascii="Book Antiqua" w:hAnsi="Book Antiqua"/>
          <w:b/>
          <w:bCs/>
          <w:iCs/>
          <w:color w:val="000000"/>
          <w:sz w:val="20"/>
        </w:rPr>
      </w:pPr>
    </w:p>
    <w:p w:rsidR="005359B2" w:rsidRDefault="005359B2" w:rsidP="005359B2">
      <w:pPr>
        <w:pStyle w:val="NoSpacing"/>
        <w:jc w:val="both"/>
        <w:rPr>
          <w:rFonts w:ascii="Book Antiqua" w:hAnsi="Book Antiqua"/>
          <w:bCs/>
          <w:iCs/>
          <w:color w:val="000000"/>
          <w:sz w:val="20"/>
        </w:rPr>
      </w:pPr>
      <w:r w:rsidRPr="00370948">
        <w:rPr>
          <w:rFonts w:ascii="Book Antiqua" w:hAnsi="Book Antiqua"/>
          <w:b/>
          <w:bCs/>
          <w:iCs/>
          <w:color w:val="000000"/>
          <w:sz w:val="20"/>
        </w:rPr>
        <w:tab/>
      </w:r>
      <w:r w:rsidRPr="00370948">
        <w:rPr>
          <w:rFonts w:ascii="Book Antiqua" w:hAnsi="Book Antiqua"/>
          <w:bCs/>
          <w:iCs/>
          <w:color w:val="000000"/>
          <w:sz w:val="20"/>
        </w:rPr>
        <w:t xml:space="preserve">Star formation in the gravitational model and the plasma model </w:t>
      </w:r>
      <w:r>
        <w:rPr>
          <w:rFonts w:ascii="Book Antiqua" w:hAnsi="Book Antiqua"/>
          <w:bCs/>
          <w:iCs/>
          <w:color w:val="000000"/>
          <w:sz w:val="20"/>
        </w:rPr>
        <w:t>are very different</w:t>
      </w:r>
      <w:r w:rsidRPr="00370948">
        <w:rPr>
          <w:rFonts w:ascii="Book Antiqua" w:hAnsi="Book Antiqua"/>
          <w:bCs/>
          <w:iCs/>
          <w:color w:val="000000"/>
          <w:sz w:val="20"/>
        </w:rPr>
        <w:t>.  The gravitational model sees the universe starting with only hydrogen and helium and perhaps a trace amount of lithium and beryllium.  Hydrogen clouds are later seen to collapse under their own gravitational pull, eventually condensing to form showers of stars.  These original stars had to be massive so that the nuclear burning in their interiors would form other elements, as Hoyle and others proposed.  These stars would then explode, scattering the elements into the surrounding space, followed by a second generation of stars which had higher concentrations of these elements.</w:t>
      </w:r>
      <w:r>
        <w:rPr>
          <w:rFonts w:ascii="Book Antiqua" w:hAnsi="Book Antiqua"/>
          <w:bCs/>
          <w:iCs/>
          <w:color w:val="000000"/>
          <w:sz w:val="20"/>
        </w:rPr>
        <w:t xml:space="preserve"> </w:t>
      </w:r>
      <w:r w:rsidRPr="00370948">
        <w:rPr>
          <w:rFonts w:ascii="Book Antiqua" w:hAnsi="Book Antiqua"/>
          <w:bCs/>
          <w:iCs/>
          <w:color w:val="000000"/>
          <w:sz w:val="20"/>
        </w:rPr>
        <w:t>There are some problems with the gravitational model which have yet to be resolved.</w:t>
      </w:r>
    </w:p>
    <w:p w:rsidR="005359B2" w:rsidRPr="00370948" w:rsidRDefault="005359B2" w:rsidP="005359B2">
      <w:pPr>
        <w:pStyle w:val="NoSpacing"/>
        <w:jc w:val="both"/>
        <w:rPr>
          <w:rFonts w:ascii="Book Antiqua" w:hAnsi="Book Antiqua"/>
          <w:bCs/>
          <w:iCs/>
          <w:color w:val="000000"/>
          <w:sz w:val="20"/>
        </w:rPr>
      </w:pP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As a gas cloud contracts, it heats up.  This heating re-expands the cloud.</w:t>
      </w:r>
    </w:p>
    <w:p w:rsidR="005359B2" w:rsidRPr="00370948" w:rsidRDefault="005359B2" w:rsidP="005359B2">
      <w:pPr>
        <w:pStyle w:val="NoSpacing"/>
        <w:numPr>
          <w:ilvl w:val="0"/>
          <w:numId w:val="32"/>
        </w:numPr>
        <w:jc w:val="both"/>
        <w:rPr>
          <w:rFonts w:ascii="Book Antiqua" w:hAnsi="Book Antiqua"/>
          <w:bCs/>
          <w:iCs/>
          <w:color w:val="000000"/>
          <w:sz w:val="20"/>
        </w:rPr>
      </w:pPr>
      <w:r w:rsidRPr="00370948">
        <w:rPr>
          <w:rFonts w:ascii="Book Antiqua" w:hAnsi="Book Antiqua"/>
          <w:bCs/>
          <w:iCs/>
          <w:color w:val="000000"/>
          <w:sz w:val="20"/>
        </w:rPr>
        <w:t>The proposed method whereby this is overcome is to have molecules of other elements</w:t>
      </w:r>
      <w:r>
        <w:rPr>
          <w:rFonts w:ascii="Book Antiqua" w:hAnsi="Book Antiqua"/>
          <w:bCs/>
          <w:iCs/>
          <w:color w:val="000000"/>
          <w:sz w:val="20"/>
        </w:rPr>
        <w:t xml:space="preserve">, mainly carbon monoxide, CO, </w:t>
      </w:r>
      <w:r w:rsidRPr="00370948">
        <w:rPr>
          <w:rFonts w:ascii="Book Antiqua" w:hAnsi="Book Antiqua"/>
          <w:bCs/>
          <w:iCs/>
          <w:color w:val="000000"/>
          <w:sz w:val="20"/>
        </w:rPr>
        <w:t>radiating in the infrared, so that the heat is removed from the hydrogen clouds and they can collapse.  However, these other elements cannot be formed until after the first generation of stars has produced them.</w:t>
      </w:r>
      <w:r>
        <w:rPr>
          <w:rFonts w:ascii="Book Antiqua" w:hAnsi="Book Antiqua"/>
          <w:bCs/>
          <w:iCs/>
          <w:color w:val="000000"/>
          <w:sz w:val="20"/>
        </w:rPr>
        <w:t xml:space="preserve"> The problem is to form the first generation stars to get the process started, as we need stars before we can form a star.</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color w:val="000000"/>
          <w:sz w:val="20"/>
        </w:rPr>
        <w:lastRenderedPageBreak/>
        <w:t xml:space="preserve">The angular momentum of the hydrogen cloud </w:t>
      </w:r>
      <w:r w:rsidRPr="00370948">
        <w:rPr>
          <w:rFonts w:ascii="Book Antiqua" w:hAnsi="Book Antiqua"/>
          <w:bCs/>
          <w:iCs/>
          <w:sz w:val="20"/>
        </w:rPr>
        <w:t>tends to spin the cloud so much faster as it contracts that the result would be disruption, not condensation.</w:t>
      </w:r>
    </w:p>
    <w:p w:rsidR="005359B2" w:rsidRPr="00370948" w:rsidRDefault="005359B2" w:rsidP="005359B2">
      <w:pPr>
        <w:pStyle w:val="NoSpacing"/>
        <w:numPr>
          <w:ilvl w:val="0"/>
          <w:numId w:val="32"/>
        </w:numPr>
        <w:jc w:val="both"/>
        <w:rPr>
          <w:rFonts w:ascii="Book Antiqua" w:hAnsi="Book Antiqua"/>
          <w:bCs/>
          <w:iCs/>
          <w:sz w:val="20"/>
        </w:rPr>
      </w:pPr>
      <w:r w:rsidRPr="00370948">
        <w:rPr>
          <w:rFonts w:ascii="Book Antiqua" w:hAnsi="Book Antiqua"/>
          <w:bCs/>
          <w:iCs/>
          <w:sz w:val="20"/>
        </w:rPr>
        <w:t xml:space="preserve">As James Trefil points out in </w:t>
      </w:r>
      <w:r w:rsidRPr="00370948">
        <w:rPr>
          <w:rFonts w:ascii="Book Antiqua" w:hAnsi="Book Antiqua"/>
          <w:b/>
          <w:bCs/>
          <w:iCs/>
          <w:sz w:val="20"/>
        </w:rPr>
        <w:t>The Dark Side of the Universe</w:t>
      </w:r>
      <w:r w:rsidRPr="00370948">
        <w:rPr>
          <w:rFonts w:ascii="Book Antiqua" w:hAnsi="Book Antiqua"/>
          <w:bCs/>
          <w:iCs/>
          <w:sz w:val="20"/>
        </w:rPr>
        <w:t xml:space="preserve">, [59]:  </w:t>
      </w:r>
      <w:r w:rsidRPr="00370948">
        <w:rPr>
          <w:rFonts w:ascii="Book Antiqua" w:hAnsi="Book Antiqua"/>
          <w:bCs/>
          <w:i/>
          <w:iCs/>
          <w:sz w:val="20"/>
        </w:rPr>
        <w:t>“So the problem of galaxy formation can be stated as follows:  galaxies cannot begin to form until after radiation and matter decouple [in other words neutral atoms have been formed].  If, however, the only mechanism at our disposal is gravitational instabilities of the Jeans type, all the matter will be carried out of range before anything like the present galactic masses can collect.  There is a narrow window in time between decoupling and the point where matter is too thinly spread, and any galaxy-formation mechanism we can accept has to work quickly enough to fit into this window.”</w:t>
      </w:r>
      <w:r w:rsidRPr="00370948">
        <w:rPr>
          <w:rFonts w:ascii="Book Antiqua" w:hAnsi="Book Antiqua"/>
          <w:bCs/>
          <w:iCs/>
          <w:sz w:val="20"/>
        </w:rPr>
        <w:t xml:space="preserve"> [59]</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360"/>
        <w:jc w:val="both"/>
        <w:rPr>
          <w:rFonts w:ascii="Book Antiqua" w:hAnsi="Book Antiqua"/>
          <w:sz w:val="20"/>
        </w:rPr>
      </w:pPr>
      <w:r w:rsidRPr="00370948">
        <w:rPr>
          <w:rFonts w:ascii="Book Antiqua" w:hAnsi="Book Antiqua"/>
          <w:sz w:val="20"/>
        </w:rPr>
        <w:t xml:space="preserve">By way of contrast, plasma filaments in the early universe were quite capable of interacting </w:t>
      </w:r>
      <w:r>
        <w:rPr>
          <w:rFonts w:ascii="Book Antiqua" w:hAnsi="Book Antiqua"/>
          <w:sz w:val="20"/>
        </w:rPr>
        <w:t>very</w:t>
      </w:r>
      <w:r w:rsidRPr="00370948">
        <w:rPr>
          <w:rFonts w:ascii="Book Antiqua" w:hAnsi="Book Antiqua"/>
          <w:sz w:val="20"/>
        </w:rPr>
        <w:t xml:space="preserve"> quickly, even before atoms formed.  Plasma filaments with parallel currents interact by drawing the filaments together and then compressing them</w:t>
      </w:r>
      <w:r>
        <w:rPr>
          <w:rFonts w:ascii="Book Antiqua" w:hAnsi="Book Antiqua"/>
          <w:sz w:val="20"/>
        </w:rPr>
        <w:t xml:space="preserve"> via Bennett pinches</w:t>
      </w:r>
      <w:r w:rsidRPr="00370948">
        <w:rPr>
          <w:rFonts w:ascii="Book Antiqua" w:hAnsi="Book Antiqua"/>
          <w:sz w:val="20"/>
        </w:rPr>
        <w:t>.  The electric currents involved ha</w:t>
      </w:r>
      <w:r>
        <w:rPr>
          <w:rFonts w:ascii="Book Antiqua" w:hAnsi="Book Antiqua"/>
          <w:sz w:val="20"/>
        </w:rPr>
        <w:t>d</w:t>
      </w:r>
      <w:r w:rsidRPr="00370948">
        <w:rPr>
          <w:rFonts w:ascii="Book Antiqua" w:hAnsi="Book Antiqua"/>
          <w:sz w:val="20"/>
        </w:rPr>
        <w:t xml:space="preserve"> high voltages which mean</w:t>
      </w:r>
      <w:r>
        <w:rPr>
          <w:rFonts w:ascii="Book Antiqua" w:hAnsi="Book Antiqua"/>
          <w:sz w:val="20"/>
        </w:rPr>
        <w:t>t</w:t>
      </w:r>
      <w:r w:rsidRPr="00370948">
        <w:rPr>
          <w:rFonts w:ascii="Book Antiqua" w:hAnsi="Book Antiqua"/>
          <w:sz w:val="20"/>
        </w:rPr>
        <w:t xml:space="preserve"> that plasma fusion readily occurred, forming all the elements quickly.  Closely linked with the formation of the compressed plasma cores of galaxies are the oldest group of stellar objects, the Population II stars. The Alfvén-Carlqvist Model for the formation of stars in pinched filaments is well-known to plasma physicists </w:t>
      </w:r>
      <w:r w:rsidRPr="004D3961">
        <w:rPr>
          <w:rFonts w:ascii="Book Antiqua" w:hAnsi="Book Antiqua"/>
          <w:sz w:val="20"/>
        </w:rPr>
        <w:t>[70].</w:t>
      </w:r>
      <w:r w:rsidRPr="00370948">
        <w:rPr>
          <w:rFonts w:ascii="Book Antiqua" w:hAnsi="Book Antiqua"/>
          <w:sz w:val="20"/>
        </w:rPr>
        <w:t xml:space="preserve"> They point out that all magnetic configurations with the Bennett pinch would certainly give rise to contractive forces. Peratt has also given some helpful specifics [38]. He states: </w:t>
      </w:r>
      <w:r w:rsidRPr="00370948">
        <w:rPr>
          <w:rFonts w:ascii="Book Antiqua" w:hAnsi="Book Antiqua"/>
          <w:i/>
          <w:sz w:val="20"/>
        </w:rPr>
        <w:t>“Star formation in the elliptical [nucleus] is expected to start earlier [than otherwise expected] because of the compressive forces on the dense plasma contained there.”</w:t>
      </w:r>
      <w:r w:rsidRPr="00370948">
        <w:rPr>
          <w:rFonts w:ascii="Book Antiqua" w:hAnsi="Book Antiqua"/>
          <w:sz w:val="20"/>
        </w:rPr>
        <w:t xml:space="preserve"> [38] Furthermore, although the forces causing the compression and collapse in very dense cores are unchanged, the velocity of that compression and collapse is proportional to the speed of light or inversely proportional to ZPE strength. Star formation in plasma pinches (Figure </w:t>
      </w:r>
      <w:r>
        <w:rPr>
          <w:rFonts w:ascii="Book Antiqua" w:hAnsi="Book Antiqua"/>
          <w:sz w:val="20"/>
        </w:rPr>
        <w:t>23</w:t>
      </w:r>
      <w:r w:rsidRPr="00370948">
        <w:rPr>
          <w:rFonts w:ascii="Book Antiqua" w:hAnsi="Book Antiqua"/>
          <w:sz w:val="20"/>
        </w:rPr>
        <w:t>) would thus be expected to occur more rapidly than usually anticipated even on plasma models because of a lower ZPE in the past.</w:t>
      </w:r>
    </w:p>
    <w:p w:rsidR="005359B2" w:rsidRPr="00370948" w:rsidRDefault="005359B2" w:rsidP="005359B2">
      <w:pPr>
        <w:pStyle w:val="NoSpacing"/>
        <w:ind w:firstLine="360"/>
        <w:jc w:val="both"/>
        <w:rPr>
          <w:rFonts w:ascii="Book Antiqua" w:hAnsi="Book Antiqua"/>
          <w:sz w:val="20"/>
        </w:rPr>
      </w:pPr>
    </w:p>
    <w:p w:rsidR="005359B2" w:rsidRPr="00370948" w:rsidRDefault="005359B2" w:rsidP="005359B2">
      <w:pPr>
        <w:pStyle w:val="NoSpacing"/>
        <w:jc w:val="both"/>
        <w:rPr>
          <w:rFonts w:ascii="Book Antiqua" w:hAnsi="Book Antiqua"/>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6"/>
        <w:gridCol w:w="5136"/>
      </w:tblGrid>
      <w:tr w:rsidR="005359B2" w:rsidRPr="00370948" w:rsidTr="003442EA">
        <w:trPr>
          <w:trHeight w:val="2314"/>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210847" cy="1704975"/>
                  <wp:effectExtent l="19050" t="0" r="8603" b="0"/>
                  <wp:docPr id="148" name="Picture 109" descr="http://upload.wikimedia.org/wikipedia/commons/5/54/Ant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upload.wikimedia.org/wikipedia/commons/5/54/Ant_Nebula.jpg"/>
                          <pic:cNvPicPr>
                            <a:picLocks noChangeAspect="1" noChangeArrowheads="1"/>
                          </pic:cNvPicPr>
                        </pic:nvPicPr>
                        <pic:blipFill>
                          <a:blip r:embed="rId22" cstate="print"/>
                          <a:srcRect/>
                          <a:stretch>
                            <a:fillRect/>
                          </a:stretch>
                        </pic:blipFill>
                        <pic:spPr bwMode="auto">
                          <a:xfrm>
                            <a:off x="0" y="0"/>
                            <a:ext cx="3210847" cy="170497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color w:val="FF0000"/>
                <w:sz w:val="20"/>
              </w:rPr>
              <w:drawing>
                <wp:inline distT="0" distB="0" distL="0" distR="0">
                  <wp:extent cx="3105150" cy="1704975"/>
                  <wp:effectExtent l="19050" t="0" r="0" b="0"/>
                  <wp:docPr id="151" name="il_fi" descr="http://www.nasa.gov/images/content/384569main_ero_ngc6302_4x3_94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384569main_ero_ngc6302_4x3_946-710.jpg"/>
                          <pic:cNvPicPr>
                            <a:picLocks noChangeAspect="1" noChangeArrowheads="1"/>
                          </pic:cNvPicPr>
                        </pic:nvPicPr>
                        <pic:blipFill>
                          <a:blip r:embed="rId23" cstate="print"/>
                          <a:srcRect/>
                          <a:stretch>
                            <a:fillRect/>
                          </a:stretch>
                        </pic:blipFill>
                        <pic:spPr bwMode="auto">
                          <a:xfrm>
                            <a:off x="0" y="0"/>
                            <a:ext cx="3105150" cy="1704975"/>
                          </a:xfrm>
                          <a:prstGeom prst="rect">
                            <a:avLst/>
                          </a:prstGeom>
                          <a:noFill/>
                          <a:ln w="9525">
                            <a:noFill/>
                            <a:miter lim="800000"/>
                            <a:headEnd/>
                            <a:tailEnd/>
                          </a:ln>
                        </pic:spPr>
                      </pic:pic>
                    </a:graphicData>
                  </a:graphic>
                </wp:inline>
              </w:drawing>
            </w:r>
          </w:p>
        </w:tc>
      </w:tr>
      <w:tr w:rsidR="005359B2" w:rsidRPr="00370948" w:rsidTr="003442EA">
        <w:trPr>
          <w:trHeight w:val="2789"/>
        </w:trPr>
        <w:tc>
          <w:tcPr>
            <w:tcW w:w="3798"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214044" cy="1924050"/>
                  <wp:effectExtent l="19050" t="0" r="5406" b="0"/>
                  <wp:docPr id="157" name="il_fi" descr="http://www.spacetoday.org/images/Hubble/HubbleBeauty/ButterflyNebula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pacetoday.org/images/Hubble/HubbleBeauty/ButterflyNebulaNASA.jpg"/>
                          <pic:cNvPicPr>
                            <a:picLocks noChangeAspect="1" noChangeArrowheads="1"/>
                          </pic:cNvPicPr>
                        </pic:nvPicPr>
                        <pic:blipFill>
                          <a:blip r:embed="rId24" cstate="print"/>
                          <a:srcRect/>
                          <a:stretch>
                            <a:fillRect/>
                          </a:stretch>
                        </pic:blipFill>
                        <pic:spPr bwMode="auto">
                          <a:xfrm>
                            <a:off x="0" y="0"/>
                            <a:ext cx="3217176" cy="1925925"/>
                          </a:xfrm>
                          <a:prstGeom prst="rect">
                            <a:avLst/>
                          </a:prstGeom>
                          <a:noFill/>
                          <a:ln w="9525">
                            <a:noFill/>
                            <a:miter lim="800000"/>
                            <a:headEnd/>
                            <a:tailEnd/>
                          </a:ln>
                        </pic:spPr>
                      </pic:pic>
                    </a:graphicData>
                  </a:graphic>
                </wp:inline>
              </w:drawing>
            </w:r>
          </w:p>
        </w:tc>
        <w:tc>
          <w:tcPr>
            <w:tcW w:w="3420" w:type="dxa"/>
          </w:tcPr>
          <w:p w:rsidR="005359B2" w:rsidRPr="00370948" w:rsidRDefault="005359B2" w:rsidP="003442EA">
            <w:pPr>
              <w:pStyle w:val="NoSpacing"/>
              <w:jc w:val="both"/>
              <w:rPr>
                <w:rFonts w:ascii="Book Antiqua" w:hAnsi="Book Antiqua"/>
                <w:color w:val="FF0000"/>
                <w:sz w:val="20"/>
              </w:rPr>
            </w:pPr>
            <w:r w:rsidRPr="00370948">
              <w:rPr>
                <w:rFonts w:ascii="Book Antiqua" w:hAnsi="Book Antiqua"/>
                <w:noProof/>
                <w:sz w:val="20"/>
              </w:rPr>
              <w:drawing>
                <wp:inline distT="0" distB="0" distL="0" distR="0">
                  <wp:extent cx="3105149" cy="1924050"/>
                  <wp:effectExtent l="19050" t="0" r="1" b="0"/>
                  <wp:docPr id="160" name="sb-content" descr="http://www.spacetelescope.org/static/archives/fitsimages/screen/danny_lacru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content" descr="http://www.spacetelescope.org/static/archives/fitsimages/screen/danny_lacrue_11.jpg"/>
                          <pic:cNvPicPr>
                            <a:picLocks noChangeAspect="1" noChangeArrowheads="1"/>
                          </pic:cNvPicPr>
                        </pic:nvPicPr>
                        <pic:blipFill>
                          <a:blip r:embed="rId25" cstate="print"/>
                          <a:srcRect l="20061" r="22806" b="-92"/>
                          <a:stretch>
                            <a:fillRect/>
                          </a:stretch>
                        </pic:blipFill>
                        <pic:spPr bwMode="auto">
                          <a:xfrm>
                            <a:off x="0" y="0"/>
                            <a:ext cx="3110169" cy="1927160"/>
                          </a:xfrm>
                          <a:prstGeom prst="rect">
                            <a:avLst/>
                          </a:prstGeom>
                          <a:noFill/>
                          <a:ln w="9525">
                            <a:noFill/>
                            <a:miter lim="800000"/>
                            <a:headEnd/>
                            <a:tailEnd/>
                          </a:ln>
                        </pic:spPr>
                      </pic:pic>
                    </a:graphicData>
                  </a:graphic>
                </wp:inline>
              </w:drawing>
            </w:r>
          </w:p>
        </w:tc>
      </w:tr>
    </w:tbl>
    <w:p w:rsidR="005359B2" w:rsidRPr="00370948" w:rsidRDefault="005359B2" w:rsidP="005359B2">
      <w:pPr>
        <w:pStyle w:val="NoSpacing"/>
        <w:jc w:val="both"/>
        <w:rPr>
          <w:rFonts w:ascii="Book Antiqua" w:hAnsi="Book Antiqua"/>
          <w:color w:val="FF0000"/>
          <w:sz w:val="20"/>
        </w:rPr>
      </w:pPr>
    </w:p>
    <w:p w:rsidR="005359B2" w:rsidRPr="008255D7" w:rsidRDefault="005359B2" w:rsidP="005359B2">
      <w:pPr>
        <w:pStyle w:val="NoSpacing"/>
        <w:rPr>
          <w:rFonts w:ascii="Book Antiqua" w:hAnsi="Book Antiqua"/>
          <w:i/>
          <w:sz w:val="18"/>
          <w:szCs w:val="18"/>
        </w:rPr>
      </w:pPr>
      <w:r w:rsidRPr="008255D7">
        <w:rPr>
          <w:rFonts w:ascii="Book Antiqua" w:hAnsi="Book Antiqua"/>
          <w:b/>
          <w:i/>
          <w:sz w:val="18"/>
          <w:szCs w:val="18"/>
        </w:rPr>
        <w:t xml:space="preserve">Figure </w:t>
      </w:r>
      <w:r>
        <w:rPr>
          <w:rFonts w:ascii="Book Antiqua" w:hAnsi="Book Antiqua"/>
          <w:b/>
          <w:i/>
          <w:sz w:val="18"/>
          <w:szCs w:val="18"/>
        </w:rPr>
        <w:t>23</w:t>
      </w:r>
      <w:r w:rsidRPr="008255D7">
        <w:rPr>
          <w:rFonts w:ascii="Book Antiqua" w:hAnsi="Book Antiqua"/>
          <w:b/>
          <w:i/>
          <w:sz w:val="18"/>
          <w:szCs w:val="18"/>
        </w:rPr>
        <w:t>:</w:t>
      </w:r>
      <w:r w:rsidRPr="008255D7">
        <w:rPr>
          <w:rFonts w:ascii="Book Antiqua" w:hAnsi="Book Antiqua"/>
          <w:i/>
          <w:sz w:val="18"/>
          <w:szCs w:val="18"/>
        </w:rPr>
        <w:t xml:space="preserve"> Examples of plasma filaments undergoing a pinch with stars formed at the focus of the pinch. Top Left: Ant Nebula Mz3 in Norma. Top Right: Bug nebula NGC 6302 in Scorpius. Bottom Left: Double Balloon nebula in Sagittarius. Bottom Right: The Butterfly Wing nebula M2-9 in Ophiuchus.</w:t>
      </w:r>
    </w:p>
    <w:p w:rsidR="005359B2" w:rsidRPr="008255D7" w:rsidRDefault="005359B2" w:rsidP="005359B2">
      <w:pPr>
        <w:pStyle w:val="NoSpacing"/>
        <w:rPr>
          <w:rFonts w:ascii="Book Antiqua" w:hAnsi="Book Antiqua"/>
          <w:i/>
          <w:sz w:val="20"/>
        </w:rPr>
      </w:pPr>
      <w:r w:rsidRPr="008255D7">
        <w:rPr>
          <w:rFonts w:ascii="Book Antiqua" w:hAnsi="Book Antiqua"/>
          <w:i/>
          <w:sz w:val="20"/>
        </w:rPr>
        <w:t xml:space="preserve">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b/>
        <w:t xml:space="preserve">Experiments and simulations show that the formation of Population I stars in the spiral arms is also easily explained: </w:t>
      </w:r>
      <w:r w:rsidRPr="00370948">
        <w:rPr>
          <w:rFonts w:ascii="Book Antiqua" w:hAnsi="Book Antiqua"/>
          <w:i/>
          <w:sz w:val="20"/>
        </w:rPr>
        <w:t xml:space="preserve">“Star formation follows closely the morphology of the plasma in the spiral arms that are usually fragmented because of the diocotron instability. The well-known Baade description that stars in spiral arms appear ‘like beads on a string’ is also an equally apropos description for the simulated galaxies. … The vortex motion of the beads of stars in the arms provides the characteristic cot(ψ) motion on the rotational velocity curves of spiral galaxies.” </w:t>
      </w:r>
      <w:r w:rsidRPr="00370948">
        <w:rPr>
          <w:rFonts w:ascii="Book Antiqua" w:hAnsi="Book Antiqua"/>
          <w:sz w:val="20"/>
        </w:rPr>
        <w:t>[38] In other words, the flat rotation curves for stars in spiral galaxies is a natural consequence of plasma physics.  Again, there is no need for dark matter or new gravitational physics to resolve that problem.</w:t>
      </w: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t>In summary, Peratt states that the experiments and simulations</w:t>
      </w:r>
      <w:r w:rsidRPr="00370948">
        <w:rPr>
          <w:rFonts w:ascii="Book Antiqua" w:hAnsi="Book Antiqua"/>
          <w:i/>
          <w:sz w:val="20"/>
        </w:rPr>
        <w:t xml:space="preserve"> “show first the formation of elliptical galaxies. Then, as the synchrotron-radiating Birkeland current-conducting outer plasma components move inward on the elliptical core, peculiar galaxies form and in sequence the spiral types Sd, Sc, Sb, and Sa (or their barred equivalents SBd, SBc, SBb, SBa). Stars form first in the densely compressed elliptical core (Population II stars) and then in the pinched plasma that make up the spiral arms (Population I stars).”</w:t>
      </w:r>
      <w:r w:rsidRPr="00370948">
        <w:rPr>
          <w:rFonts w:ascii="Book Antiqua" w:hAnsi="Book Antiqua"/>
          <w:sz w:val="20"/>
        </w:rPr>
        <w:t xml:space="preserve"> [38]</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Because of the sorting of elements by Marklund convection in filaments, the Population I stars in the spiral arm filaments have a higher metal content than the Population II stars in the galaxy core. The Population II stars formed rapidly, before the spiral arm filaments developed. Consequently, the plasma was more homogeneous and unsorted than that from which the outer Population I stars formed.  In the spiral arms of galaxies, the plasma pinch rapidly forms the Population I stars like strings of beads along the many lesser filaments there. The plasma spheres formed by the pinch would then undergo rapid collapse gravitationally to their final size ensuring both Population II and Population I stars lit up very quickly. The distribution of Population I and II stars is shown in Figure </w:t>
      </w:r>
      <w:r>
        <w:rPr>
          <w:rFonts w:ascii="Book Antiqua" w:hAnsi="Book Antiqua"/>
          <w:sz w:val="20"/>
        </w:rPr>
        <w:t>24</w:t>
      </w:r>
      <w:r w:rsidRPr="00370948">
        <w:rPr>
          <w:rFonts w:ascii="Book Antiqua" w:hAnsi="Book Antiqua"/>
          <w:sz w:val="20"/>
        </w:rPr>
        <w:t xml:space="preserve"> with reference to the Andromeda spiral and the predominant colors in the visible spectrum.</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noProof/>
          <w:color w:val="0000FF"/>
          <w:sz w:val="20"/>
        </w:rPr>
      </w:pPr>
    </w:p>
    <w:p w:rsidR="005359B2" w:rsidRPr="00370948" w:rsidRDefault="005359B2" w:rsidP="005359B2">
      <w:pPr>
        <w:pStyle w:val="NoSpacing"/>
        <w:jc w:val="center"/>
        <w:rPr>
          <w:rFonts w:ascii="Book Antiqua" w:hAnsi="Book Antiqua"/>
          <w:noProof/>
          <w:color w:val="0000FF"/>
          <w:sz w:val="20"/>
        </w:rPr>
      </w:pPr>
      <w:r w:rsidRPr="00CC3497">
        <w:rPr>
          <w:rFonts w:ascii="Book Antiqua" w:hAnsi="Book Antiqua"/>
          <w:noProof/>
          <w:color w:val="0000FF"/>
          <w:sz w:val="20"/>
        </w:rPr>
        <w:drawing>
          <wp:inline distT="0" distB="0" distL="0" distR="0">
            <wp:extent cx="4705350" cy="3552825"/>
            <wp:effectExtent l="19050" t="0" r="0" b="0"/>
            <wp:docPr id="166" name="Picture 4" descr="http://i.dailymail.co.uk/i/pix/2009/01/06/article-1106383-0059541C00000258-807_468x354.jpg"/>
            <wp:cNvGraphicFramePr/>
            <a:graphic xmlns:a="http://schemas.openxmlformats.org/drawingml/2006/main">
              <a:graphicData uri="http://schemas.openxmlformats.org/drawingml/2006/picture">
                <pic:pic xmlns:pic="http://schemas.openxmlformats.org/drawingml/2006/picture">
                  <pic:nvPicPr>
                    <pic:cNvPr id="4" name="irc_mi" descr="http://i.dailymail.co.uk/i/pix/2009/01/06/article-1106383-0059541C00000258-807_468x354.jpg"/>
                    <pic:cNvPicPr/>
                  </pic:nvPicPr>
                  <pic:blipFill>
                    <a:blip r:embed="rId311" cstate="print"/>
                    <a:srcRect/>
                    <a:stretch>
                      <a:fillRect/>
                    </a:stretch>
                  </pic:blipFill>
                  <pic:spPr bwMode="auto">
                    <a:xfrm>
                      <a:off x="0" y="0"/>
                      <a:ext cx="4705350" cy="355282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noProof/>
          <w:sz w:val="18"/>
          <w:szCs w:val="18"/>
        </w:rPr>
      </w:pPr>
    </w:p>
    <w:p w:rsidR="005359B2" w:rsidRPr="008255D7" w:rsidRDefault="005359B2" w:rsidP="005359B2">
      <w:pPr>
        <w:pStyle w:val="NoSpacing"/>
        <w:jc w:val="both"/>
        <w:rPr>
          <w:rFonts w:ascii="Book Antiqua" w:hAnsi="Book Antiqua"/>
          <w:i/>
          <w:noProof/>
          <w:sz w:val="18"/>
          <w:szCs w:val="18"/>
        </w:rPr>
      </w:pPr>
      <w:r w:rsidRPr="008255D7">
        <w:rPr>
          <w:rFonts w:ascii="Book Antiqua" w:hAnsi="Book Antiqua"/>
          <w:b/>
          <w:i/>
          <w:noProof/>
          <w:sz w:val="18"/>
          <w:szCs w:val="18"/>
        </w:rPr>
        <w:t xml:space="preserve">Figure </w:t>
      </w:r>
      <w:r>
        <w:rPr>
          <w:rFonts w:ascii="Book Antiqua" w:hAnsi="Book Antiqua"/>
          <w:b/>
          <w:i/>
          <w:noProof/>
          <w:sz w:val="18"/>
          <w:szCs w:val="18"/>
        </w:rPr>
        <w:t>24</w:t>
      </w:r>
      <w:r w:rsidRPr="008255D7">
        <w:rPr>
          <w:rFonts w:ascii="Book Antiqua" w:hAnsi="Book Antiqua"/>
          <w:b/>
          <w:i/>
          <w:noProof/>
          <w:sz w:val="18"/>
          <w:szCs w:val="18"/>
        </w:rPr>
        <w:t>:</w:t>
      </w:r>
      <w:r w:rsidRPr="008255D7">
        <w:rPr>
          <w:rFonts w:ascii="Book Antiqua" w:hAnsi="Book Antiqua"/>
          <w:i/>
          <w:noProof/>
          <w:sz w:val="18"/>
          <w:szCs w:val="18"/>
        </w:rPr>
        <w:t xml:space="preserve"> The nearby spiral galaxy in Andromeda. The old Population II stars are dominated by red giants which give their color to the core of the galaxy. The young Population I stars are dominated by blue giants which give their color to the spiral arms.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plasma model is supported by data collected from the IRAM array of millimeter wave receivers in the French Alps, and reported on 2 April, 2012 in a News Release via Physorg.com. The facility found enormous amounts of carbon-rich gas in a galaxy hosting a quasar in its core. This object, designated as J 1120+064, is currently one of the most distant discovered, having a redshift of </w:t>
      </w:r>
      <m:oMath>
        <m:r>
          <w:rPr>
            <w:rFonts w:ascii="Cambria Math" w:hAnsi="Cambria Math"/>
            <w:sz w:val="20"/>
          </w:rPr>
          <m:t>z</m:t>
        </m:r>
        <m:r>
          <w:rPr>
            <w:rFonts w:ascii="Cambria Math" w:hAnsi="Book Antiqua"/>
            <w:sz w:val="20"/>
          </w:rPr>
          <m:t xml:space="preserve"> = 7.0842</m:t>
        </m:r>
      </m:oMath>
      <w:r w:rsidRPr="00370948">
        <w:rPr>
          <w:rFonts w:ascii="Book Antiqua" w:hAnsi="Book Antiqua"/>
          <w:sz w:val="20"/>
        </w:rPr>
        <w:t xml:space="preserve">. This means it was in existence only 740 million atomic years after the inception of the cosmos, which </w:t>
      </w:r>
      <w:r>
        <w:rPr>
          <w:rFonts w:ascii="Book Antiqua" w:hAnsi="Book Antiqua"/>
          <w:sz w:val="20"/>
        </w:rPr>
        <w:t>was</w:t>
      </w:r>
      <w:r w:rsidRPr="00370948">
        <w:rPr>
          <w:rFonts w:ascii="Book Antiqua" w:hAnsi="Book Antiqua"/>
          <w:sz w:val="20"/>
        </w:rPr>
        <w:t xml:space="preserve"> very soon in astronomical time. This poses a problem for Big Bang astronomy. The lead researcher, Dr. Venemans, comments: </w:t>
      </w:r>
      <w:r w:rsidRPr="00370948">
        <w:rPr>
          <w:rFonts w:ascii="Book Antiqua" w:hAnsi="Book Antiqua"/>
          <w:i/>
          <w:sz w:val="20"/>
        </w:rPr>
        <w:t xml:space="preserve">"It’s really puzzling that such an enormous amount of carbon-enriched gas could have formed at these early times in the universe.” </w:t>
      </w:r>
      <w:r w:rsidRPr="00370948">
        <w:rPr>
          <w:rFonts w:ascii="Book Antiqua" w:hAnsi="Book Antiqua"/>
          <w:sz w:val="20"/>
        </w:rPr>
        <w:t>[71] However, on the approach adopted here, both plasma fusion and Marklund convection have played an important role. From the emission of carbon dust, Venemans and his team are able to show that the galaxy is still forming stars at a rate 100 times higher than in our Milky Way Galaxy [72]. This accelerated rate of star formation is predicted on the plasma model with a low ZPE.</w:t>
      </w:r>
    </w:p>
    <w:p w:rsidR="005359B2" w:rsidRDefault="005359B2" w:rsidP="005359B2">
      <w:pPr>
        <w:pStyle w:val="NoSpacing"/>
        <w:rPr>
          <w:rFonts w:ascii="Book Antiqua" w:hAnsi="Book Antiqua"/>
          <w:bCs/>
          <w:i/>
          <w:iCs/>
          <w:color w:val="000000"/>
          <w:sz w:val="20"/>
        </w:rPr>
      </w:pPr>
    </w:p>
    <w:p w:rsidR="005359B2" w:rsidRPr="000F4A13" w:rsidRDefault="005359B2" w:rsidP="005359B2">
      <w:pPr>
        <w:pStyle w:val="NoSpacing"/>
        <w:rPr>
          <w:rFonts w:ascii="Book Antiqua" w:hAnsi="Book Antiqua"/>
          <w:b/>
          <w:bCs/>
          <w:iCs/>
          <w:color w:val="000000"/>
          <w:sz w:val="20"/>
        </w:rPr>
      </w:pPr>
      <w:r w:rsidRPr="000F4A13">
        <w:rPr>
          <w:rFonts w:ascii="Book Antiqua" w:hAnsi="Book Antiqua"/>
          <w:b/>
          <w:bCs/>
          <w:iCs/>
          <w:color w:val="000000"/>
          <w:sz w:val="20"/>
        </w:rPr>
        <w:t xml:space="preserve">8.  The Sun And Its Output.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There are two possible options regarding the sun.  Is it shining as a result of nuclear fusion or is it shining because it is a plasma in arc mode?  The standard explanation is that the sun is a giant nuclear furnace.  Interestingly, the equations for nuclear burning have exactly the same </w:t>
      </w:r>
      <w:r>
        <w:rPr>
          <w:rFonts w:ascii="Book Antiqua" w:hAnsi="Book Antiqua"/>
          <w:sz w:val="20"/>
        </w:rPr>
        <w:t>outcome</w:t>
      </w:r>
      <w:r w:rsidRPr="00370948">
        <w:rPr>
          <w:rFonts w:ascii="Book Antiqua" w:hAnsi="Book Antiqua"/>
          <w:sz w:val="20"/>
        </w:rPr>
        <w:t xml:space="preserve"> as the equations describing the behavior of the sun as an arc-mode plasma.  Considering the plasma model, the power output increases in inverse proportion to the strength of the Zero Point Energy (as demonstrated earlier in equation 22).  The same result is obtained from more elaborate reasoning in the nuclear model (see Appendix B).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With both models there is an argument about the effects of a lower Zero Point Energy on the sun’s output. The argument is that with a lower ZPE, the sun would burn up everything as more photons were being emitted at any given time. However, regardless of which model is preferred, the lower the ZPE, the lower the energy density, or amplitudes, of the light waves.  This means that when more photons are being emitted per second, because the energy density is less, the actual intensity of light remains the same.  This is detailed in Chapter 2 and Appendix B.</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first point to note is that</w:t>
      </w:r>
      <w:r w:rsidRPr="00370948">
        <w:rPr>
          <w:rFonts w:ascii="Book Antiqua" w:hAnsi="Book Antiqua"/>
          <w:sz w:val="20"/>
        </w:rPr>
        <w:t xml:space="preserve"> the energy, </w:t>
      </w:r>
      <m:oMath>
        <m:r>
          <w:rPr>
            <w:rFonts w:ascii="Cambria Math" w:hAnsi="Cambria Math"/>
            <w:sz w:val="20"/>
          </w:rPr>
          <m:t>E</m:t>
        </m:r>
      </m:oMath>
      <w:r w:rsidRPr="00370948">
        <w:rPr>
          <w:rFonts w:ascii="Book Antiqua" w:hAnsi="Book Antiqua"/>
          <w:sz w:val="20"/>
        </w:rPr>
        <w:t xml:space="preserve">, with which each photon or wave is emitted from the Sun remains basically unchanged. With the emitted photon energy remaining constant, it can be shown that, as the ZPE increases, the wavelengths, </w:t>
      </w:r>
      <m:oMath>
        <m:r>
          <w:rPr>
            <w:rFonts w:ascii="Cambria Math" w:hAnsi="Cambria Math"/>
            <w:sz w:val="20"/>
          </w:rPr>
          <m:t>λ</m:t>
        </m:r>
      </m:oMath>
      <w:r w:rsidRPr="00370948">
        <w:rPr>
          <w:rFonts w:ascii="Book Antiqua" w:hAnsi="Book Antiqua"/>
          <w:sz w:val="20"/>
        </w:rPr>
        <w:t>, of light (and therefore the color) also remain fixed. So we can write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right"/>
        <w:rPr>
          <w:rFonts w:ascii="Book Antiqua" w:hAnsi="Book Antiqua"/>
          <w:sz w:val="20"/>
        </w:rPr>
      </w:pPr>
      <m:oMath>
        <m:r>
          <w:rPr>
            <w:rFonts w:ascii="Cambria Math" w:hAnsi="Cambria Math"/>
            <w:sz w:val="20"/>
          </w:rPr>
          <m:t>E</m:t>
        </m:r>
        <m:r>
          <w:rPr>
            <w:rFonts w:ascii="Cambria Math" w:hAnsi="Book Antiqua"/>
            <w:sz w:val="20"/>
          </w:rPr>
          <m:t xml:space="preserve"> = </m:t>
        </m:r>
        <m:r>
          <w:rPr>
            <w:rFonts w:ascii="Cambria Math" w:hAnsi="Cambria Math"/>
            <w:sz w:val="20"/>
          </w:rPr>
          <m:t>hc</m:t>
        </m:r>
        <m:r>
          <w:rPr>
            <w:rFonts w:ascii="Cambria Math" w:hAnsi="Book Antiqua"/>
            <w:sz w:val="20"/>
          </w:rPr>
          <m:t>/</m:t>
        </m:r>
        <m:r>
          <w:rPr>
            <w:rFonts w:ascii="Cambria Math" w:hAnsi="Cambria Math"/>
            <w:sz w:val="20"/>
          </w:rPr>
          <m:t>λ</m:t>
        </m:r>
        <m:r>
          <w:rPr>
            <w:rFonts w:ascii="Cambria Math" w:hAnsi="Book Antiqua"/>
            <w:sz w:val="20"/>
          </w:rPr>
          <m:t xml:space="preserve"> = </m:t>
        </m:r>
        <m:r>
          <w:rPr>
            <w:rFonts w:ascii="Cambria Math" w:hAnsi="Cambria Math"/>
            <w:sz w:val="20"/>
          </w:rPr>
          <m:t>constant</m:t>
        </m:r>
        <m:r>
          <w:rPr>
            <w:rFonts w:ascii="Cambria Math" w:hAnsi="Book Antiqua"/>
            <w:sz w:val="20"/>
          </w:rPr>
          <m:t xml:space="preserve"> </m:t>
        </m:r>
      </m:oMath>
      <w:r w:rsidRPr="00370948">
        <w:rPr>
          <w:rFonts w:ascii="Book Antiqua" w:hAnsi="Book Antiqua"/>
          <w:sz w:val="20"/>
        </w:rPr>
        <w:t xml:space="preserve"> .</w:t>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sz w:val="20"/>
        </w:rPr>
        <w:tab/>
      </w:r>
      <w:r w:rsidRPr="00370948">
        <w:rPr>
          <w:rFonts w:ascii="Book Antiqua" w:hAnsi="Book Antiqua"/>
          <w:i/>
          <w:sz w:val="20"/>
        </w:rPr>
        <w:t>(32)</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since </w:t>
      </w:r>
      <m:oMath>
        <m:r>
          <w:rPr>
            <w:rFonts w:ascii="Cambria Math" w:hAnsi="Cambria Math"/>
            <w:sz w:val="20"/>
          </w:rPr>
          <m:t>hc</m:t>
        </m:r>
      </m:oMath>
      <w:r w:rsidRPr="00370948">
        <w:rPr>
          <w:rFonts w:ascii="Book Antiqua" w:hAnsi="Book Antiqua"/>
          <w:sz w:val="20"/>
        </w:rPr>
        <w:t xml:space="preserve"> is invariant as shown in equation (9).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second point is crucial. The energy density of a wave or photon determines its amplitude squared (Chapter 2 and Appendix B). It can be shown that these energy densities are proportional to </w:t>
      </w:r>
      <m:oMath>
        <m:r>
          <w:rPr>
            <w:rFonts w:ascii="Cambria Math" w:hAnsi="Cambria Math"/>
            <w:sz w:val="20"/>
          </w:rPr>
          <m:t>h</m:t>
        </m:r>
      </m:oMath>
      <w:r w:rsidRPr="00370948">
        <w:rPr>
          <w:rFonts w:ascii="Book Antiqua" w:hAnsi="Book Antiqua"/>
          <w:sz w:val="20"/>
        </w:rPr>
        <w:t xml:space="preserve"> or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and are lower when the ZPE strength is lower. This is because energy density (and hence the square of the amplitude) is affected by the vacuum permittivity and permeability, which are proportional to </w:t>
      </w:r>
      <m:oMath>
        <m:r>
          <w:rPr>
            <w:rFonts w:ascii="Cambria Math" w:hAnsi="Cambria Math"/>
            <w:sz w:val="20"/>
          </w:rPr>
          <m:t>h</m:t>
        </m:r>
        <m:r>
          <w:rPr>
            <w:rFonts w:ascii="Cambria Math" w:hAnsi="Book Antiqua"/>
            <w:sz w:val="20"/>
          </w:rPr>
          <m:t xml:space="preserve"> </m:t>
        </m:r>
      </m:oMath>
      <w:r w:rsidRPr="00370948">
        <w:rPr>
          <w:rFonts w:ascii="Book Antiqua" w:hAnsi="Book Antiqua"/>
          <w:sz w:val="20"/>
        </w:rPr>
        <w:t xml:space="preserve">or </w:t>
      </w:r>
      <m:oMath>
        <m:r>
          <w:rPr>
            <w:rFonts w:ascii="Cambria Math" w:hAnsi="Book Antiqua"/>
            <w:sz w:val="20"/>
          </w:rPr>
          <m:t>1/</m:t>
        </m:r>
        <m:r>
          <w:rPr>
            <w:rFonts w:ascii="Cambria Math" w:hAnsi="Cambria Math"/>
            <w:sz w:val="20"/>
          </w:rPr>
          <m:t>c</m:t>
        </m:r>
      </m:oMath>
      <w:r w:rsidRPr="00370948">
        <w:rPr>
          <w:rFonts w:ascii="Book Antiqua" w:hAnsi="Book Antiqua"/>
          <w:sz w:val="20"/>
        </w:rPr>
        <w:t>. So the amplitudes of all radiation will be lower with lower ZPE. This leads on to point three.</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intensity, or brightness, of light is determined by two factors multiplied together: the square of the amplitude (or the energy density), and the velocity, </w:t>
      </w:r>
      <m:oMath>
        <m:r>
          <w:rPr>
            <w:rFonts w:ascii="Cambria Math" w:hAnsi="Cambria Math"/>
            <w:sz w:val="20"/>
          </w:rPr>
          <m:t>c</m:t>
        </m:r>
        <m:r>
          <w:rPr>
            <w:rFonts w:ascii="Cambria Math" w:hAnsi="Book Antiqua"/>
            <w:sz w:val="20"/>
          </w:rPr>
          <m:t>.</m:t>
        </m:r>
      </m:oMath>
      <w:r w:rsidRPr="00370948">
        <w:rPr>
          <w:rFonts w:ascii="Book Antiqua" w:hAnsi="Book Antiqua"/>
          <w:sz w:val="20"/>
        </w:rPr>
        <w:t xml:space="preserve"> Thus a wave train whose energy density is proportional to</w:t>
      </w:r>
      <w:r w:rsidRPr="00370948">
        <w:rPr>
          <w:rFonts w:ascii="Book Antiqua" w:hAnsi="Book Antiqua"/>
          <w:i/>
          <w:sz w:val="20"/>
        </w:rPr>
        <w:t xml:space="preserve"> </w:t>
      </w:r>
      <m:oMath>
        <m:r>
          <w:rPr>
            <w:rFonts w:ascii="Cambria Math" w:hAnsi="Book Antiqua"/>
            <w:sz w:val="20"/>
          </w:rPr>
          <m:t>1/</m:t>
        </m:r>
        <m:r>
          <w:rPr>
            <w:rFonts w:ascii="Cambria Math" w:hAnsi="Cambria Math"/>
            <w:sz w:val="20"/>
          </w:rPr>
          <m:t>c</m:t>
        </m:r>
      </m:oMath>
      <w:r w:rsidRPr="00370948">
        <w:rPr>
          <w:rFonts w:ascii="Book Antiqua" w:hAnsi="Book Antiqua"/>
          <w:sz w:val="20"/>
        </w:rPr>
        <w:t xml:space="preserve"> has </w:t>
      </w:r>
      <m:oMath>
        <m:r>
          <w:rPr>
            <w:rFonts w:ascii="Cambria Math" w:hAnsi="Cambria Math"/>
            <w:sz w:val="20"/>
          </w:rPr>
          <m:t>c</m:t>
        </m:r>
      </m:oMath>
      <w:r w:rsidRPr="00370948">
        <w:rPr>
          <w:rFonts w:ascii="Book Antiqua" w:hAnsi="Book Antiqua"/>
          <w:i/>
          <w:sz w:val="20"/>
        </w:rPr>
        <w:t xml:space="preserve"> </w:t>
      </w:r>
      <w:r w:rsidRPr="00370948">
        <w:rPr>
          <w:rFonts w:ascii="Book Antiqua" w:hAnsi="Book Antiqua"/>
          <w:sz w:val="20"/>
        </w:rPr>
        <w:t xml:space="preserve">times as many waves (or photons) passing a given point in </w:t>
      </w:r>
      <w:r>
        <w:rPr>
          <w:rFonts w:ascii="Book Antiqua" w:hAnsi="Book Antiqua"/>
          <w:sz w:val="20"/>
        </w:rPr>
        <w:t xml:space="preserve">any set </w:t>
      </w:r>
      <w:r w:rsidRPr="00370948">
        <w:rPr>
          <w:rFonts w:ascii="Book Antiqua" w:hAnsi="Book Antiqua"/>
          <w:sz w:val="20"/>
        </w:rPr>
        <w:t xml:space="preserve">time interval. As a result, the radiation intensity, or brightness, of the sun and stars remains unchanged as the ZPE varies.  So whether the sun is considered a nuclear furnace or an electrically stimulated plasma, a lower ZPE in the past will not affect the overall brightness.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Other data, however, </w:t>
      </w:r>
      <w:r>
        <w:rPr>
          <w:rFonts w:ascii="Book Antiqua" w:hAnsi="Book Antiqua"/>
          <w:sz w:val="20"/>
        </w:rPr>
        <w:t xml:space="preserve">may </w:t>
      </w:r>
      <w:r w:rsidRPr="00370948">
        <w:rPr>
          <w:rFonts w:ascii="Book Antiqua" w:hAnsi="Book Antiqua"/>
          <w:sz w:val="20"/>
        </w:rPr>
        <w:t xml:space="preserve">indicate the sun is not a nuclear furnace but </w:t>
      </w:r>
      <w:r>
        <w:rPr>
          <w:rFonts w:ascii="Book Antiqua" w:hAnsi="Book Antiqua"/>
          <w:sz w:val="20"/>
        </w:rPr>
        <w:t>instead may</w:t>
      </w:r>
      <w:r w:rsidRPr="00370948">
        <w:rPr>
          <w:rFonts w:ascii="Book Antiqua" w:hAnsi="Book Antiqua"/>
          <w:sz w:val="20"/>
        </w:rPr>
        <w:t xml:space="preserve"> radiate as the result of plasma’s electromagnetic forces.  </w:t>
      </w:r>
      <w:r>
        <w:rPr>
          <w:rFonts w:ascii="Book Antiqua" w:hAnsi="Book Antiqua"/>
          <w:sz w:val="20"/>
        </w:rPr>
        <w:t>First, t</w:t>
      </w:r>
      <w:r w:rsidRPr="00370948">
        <w:rPr>
          <w:rFonts w:ascii="Book Antiqua" w:hAnsi="Book Antiqua"/>
          <w:sz w:val="20"/>
        </w:rPr>
        <w:t xml:space="preserve">he emission of the solar wind, comprised of only positive nuclei, is not something we would expect from nuclear furnace.  </w:t>
      </w:r>
      <w:r>
        <w:rPr>
          <w:rFonts w:ascii="Book Antiqua" w:hAnsi="Book Antiqua"/>
          <w:sz w:val="20"/>
        </w:rPr>
        <w:t>Second, i</w:t>
      </w:r>
      <w:r w:rsidRPr="00370948">
        <w:rPr>
          <w:rFonts w:ascii="Book Antiqua" w:hAnsi="Book Antiqua"/>
          <w:sz w:val="20"/>
        </w:rPr>
        <w:t xml:space="preserve">f the sun were a nuclear furnace, then the closer to the core the hotter it should be.  But sunspots, which reveal lower layers of the sun, are cooler than the surface.  </w:t>
      </w:r>
      <w:r>
        <w:rPr>
          <w:rFonts w:ascii="Book Antiqua" w:hAnsi="Book Antiqua"/>
          <w:sz w:val="20"/>
        </w:rPr>
        <w:t xml:space="preserve">The plasma model predicts </w:t>
      </w:r>
      <w:r>
        <w:rPr>
          <w:rFonts w:ascii="Book Antiqua" w:hAnsi="Book Antiqua"/>
          <w:sz w:val="20"/>
        </w:rPr>
        <w:lastRenderedPageBreak/>
        <w:t xml:space="preserve">this.  Third, the </w:t>
      </w:r>
      <w:r w:rsidRPr="00370948">
        <w:rPr>
          <w:rFonts w:ascii="Book Antiqua" w:hAnsi="Book Antiqua"/>
          <w:sz w:val="20"/>
        </w:rPr>
        <w:t>fact</w:t>
      </w:r>
      <w:r>
        <w:rPr>
          <w:rFonts w:ascii="Book Antiqua" w:hAnsi="Book Antiqua"/>
          <w:sz w:val="20"/>
        </w:rPr>
        <w:t xml:space="preserve"> that</w:t>
      </w:r>
      <w:r w:rsidRPr="00370948">
        <w:rPr>
          <w:rFonts w:ascii="Book Antiqua" w:hAnsi="Book Antiqua"/>
          <w:sz w:val="20"/>
        </w:rPr>
        <w:t xml:space="preserve"> the corona, above the surface of the sun, is hotter than the sun’s surface</w:t>
      </w:r>
      <w:r>
        <w:rPr>
          <w:rFonts w:ascii="Book Antiqua" w:hAnsi="Book Antiqua"/>
          <w:sz w:val="20"/>
        </w:rPr>
        <w:t xml:space="preserve"> is difficult to</w:t>
      </w:r>
      <w:r w:rsidRPr="00370948">
        <w:rPr>
          <w:rFonts w:ascii="Book Antiqua" w:hAnsi="Book Antiqua"/>
          <w:sz w:val="20"/>
        </w:rPr>
        <w:t xml:space="preserve"> explain by </w:t>
      </w:r>
      <w:r>
        <w:rPr>
          <w:rFonts w:ascii="Book Antiqua" w:hAnsi="Book Antiqua"/>
          <w:sz w:val="20"/>
        </w:rPr>
        <w:t xml:space="preserve">the </w:t>
      </w:r>
      <w:r w:rsidRPr="00370948">
        <w:rPr>
          <w:rFonts w:ascii="Book Antiqua" w:hAnsi="Book Antiqua"/>
          <w:sz w:val="20"/>
        </w:rPr>
        <w:t xml:space="preserve">nuclear </w:t>
      </w:r>
      <w:r>
        <w:rPr>
          <w:rFonts w:ascii="Book Antiqua" w:hAnsi="Book Antiqua"/>
          <w:sz w:val="20"/>
        </w:rPr>
        <w:t xml:space="preserve">model </w:t>
      </w:r>
      <w:r w:rsidRPr="00370948">
        <w:rPr>
          <w:rFonts w:ascii="Book Antiqua" w:hAnsi="Book Antiqua"/>
          <w:sz w:val="20"/>
        </w:rPr>
        <w:t>but is to be expected if the sun is a shining by electro-magnetically induced processes</w:t>
      </w:r>
      <w:r>
        <w:rPr>
          <w:rFonts w:ascii="Book Antiqua" w:hAnsi="Book Antiqua"/>
          <w:sz w:val="20"/>
        </w:rPr>
        <w:t>, such as an arc mode plasma.</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rPr>
          <w:rFonts w:ascii="Book Antiqua" w:hAnsi="Book Antiqua"/>
          <w:b/>
          <w:sz w:val="20"/>
        </w:rPr>
      </w:pPr>
      <w:r w:rsidRPr="000F4A13">
        <w:rPr>
          <w:rFonts w:ascii="Book Antiqua" w:hAnsi="Book Antiqua"/>
          <w:b/>
          <w:bCs/>
          <w:iCs/>
          <w:color w:val="000000"/>
          <w:sz w:val="20"/>
        </w:rPr>
        <w:t>9. Planet Formation In General.</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sidRPr="0079588C">
        <w:rPr>
          <w:rFonts w:ascii="Book Antiqua" w:hAnsi="Book Antiqua"/>
          <w:sz w:val="20"/>
        </w:rPr>
        <w:t>The gravitational model</w:t>
      </w:r>
      <w:r w:rsidRPr="00370948">
        <w:rPr>
          <w:rFonts w:ascii="Book Antiqua" w:hAnsi="Book Antiqua"/>
          <w:sz w:val="20"/>
        </w:rPr>
        <w:t xml:space="preserve"> of planet formation states that clouds of gas and dust collapsed to form the planets and their moons. The proposal is that this accretion resulted in a flat spinning disc of dust whose larger particles gravitationally attracted smaller particles, and so mass was built up.  </w:t>
      </w:r>
      <w:r w:rsidRPr="00CF4CE0">
        <w:rPr>
          <w:rFonts w:ascii="Book Antiqua" w:hAnsi="Book Antiqua"/>
          <w:sz w:val="20"/>
        </w:rPr>
        <w:t>As stated before, however, the process of collapsing would result in heat that would drive the component material apart, not draw them together.</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We</w:t>
      </w:r>
      <w:r w:rsidRPr="00370948">
        <w:rPr>
          <w:rFonts w:ascii="Book Antiqua" w:hAnsi="Book Antiqua"/>
          <w:sz w:val="20"/>
        </w:rPr>
        <w:t xml:space="preserve"> can see what happens to a spinning disc of dust by looking at Saturn’s rings.  The forces in operation there actually prevent the particles from accreting together.  Instead, the motion of nearby dust particles is alternately accelerated and retarded as they come near </w:t>
      </w:r>
      <w:r>
        <w:rPr>
          <w:rFonts w:ascii="Book Antiqua" w:hAnsi="Book Antiqua"/>
          <w:sz w:val="20"/>
        </w:rPr>
        <w:t>slightly larger</w:t>
      </w:r>
      <w:r w:rsidRPr="00370948">
        <w:rPr>
          <w:rFonts w:ascii="Book Antiqua" w:hAnsi="Book Antiqua"/>
          <w:sz w:val="20"/>
        </w:rPr>
        <w:t xml:space="preserve"> particles and this enforces separation.  Because of this process, agglomeration cannot occur.</w:t>
      </w:r>
      <w:r>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CF4CE0">
        <w:rPr>
          <w:rFonts w:ascii="Book Antiqua" w:hAnsi="Book Antiqua"/>
          <w:sz w:val="20"/>
        </w:rPr>
        <w:t>Plasma theory</w:t>
      </w:r>
      <w:r w:rsidRPr="00370948">
        <w:rPr>
          <w:rFonts w:ascii="Book Antiqua" w:hAnsi="Book Antiqua"/>
          <w:sz w:val="20"/>
        </w:rPr>
        <w:t xml:space="preserve"> presents </w:t>
      </w:r>
      <w:r>
        <w:rPr>
          <w:rFonts w:ascii="Book Antiqua" w:hAnsi="Book Antiqua"/>
          <w:sz w:val="20"/>
        </w:rPr>
        <w:t>two</w:t>
      </w:r>
      <w:r w:rsidRPr="00370948">
        <w:rPr>
          <w:rFonts w:ascii="Book Antiqua" w:hAnsi="Book Antiqua"/>
          <w:sz w:val="20"/>
        </w:rPr>
        <w:t xml:space="preserve"> possible modes of planet formation. The first is the one which our own solar system illustrates. Here, the eight planets lay in basically the same plane. This is the effect of a Bennett pinch on a plasma filament which has fragmented internally into a number of filaments. The major filament, in the middle, is the largest, with a number of minor filaments surrounding it. As the pinch occurs, the outer filaments will pinch first, forming the outer planets.  The pinch progresses, forming the inner planets and, finally, the major filament in the central position, responding to the pinch, lights up, forming the sun.  It is because of the position of the pinch that the planets are all in the same approximate plane.  This is also the approximate plane of the sun’s rotation.</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The second is an</w:t>
      </w:r>
      <w:r w:rsidRPr="00370948">
        <w:rPr>
          <w:rFonts w:ascii="Book Antiqua" w:hAnsi="Book Antiqua"/>
          <w:sz w:val="20"/>
        </w:rPr>
        <w:t xml:space="preserve"> entirely different, but possible, method of planet </w:t>
      </w:r>
      <w:r w:rsidRPr="0079588C">
        <w:rPr>
          <w:rFonts w:ascii="Book Antiqua" w:hAnsi="Book Antiqua"/>
          <w:sz w:val="20"/>
        </w:rPr>
        <w:t>formation. Extreme</w:t>
      </w:r>
      <w:r w:rsidRPr="00370948">
        <w:rPr>
          <w:rFonts w:ascii="Book Antiqua" w:hAnsi="Book Antiqua"/>
          <w:sz w:val="20"/>
        </w:rPr>
        <w:t xml:space="preserve"> electrical stress on certain parts of stellar surfaces results in the explosive expulsion of material.  The planets formed by this process will nearly all be gas giants, and they can orbit in any plane and in any direction, depending on where they were ejected.  Since so many of these have been found to exist, it is reasonable to assume that explosive expulsion of stellar material is a fairly common event.   </w:t>
      </w:r>
      <w:r>
        <w:rPr>
          <w:rFonts w:ascii="Book Antiqua" w:hAnsi="Book Antiqua"/>
          <w:sz w:val="20"/>
        </w:rPr>
        <w:t>W</w:t>
      </w:r>
      <w:r w:rsidRPr="00370948">
        <w:rPr>
          <w:rFonts w:ascii="Book Antiqua" w:hAnsi="Book Antiqua"/>
          <w:sz w:val="20"/>
        </w:rPr>
        <w:t>e seem to see far more of the type of system where the planet material was ejected from the parent star than we see of examples of our own type of solar system.  This may simply be because it is easier to spot the former type using the techniques we currently have.</w:t>
      </w:r>
      <w:r>
        <w:rPr>
          <w:rFonts w:ascii="Book Antiqua" w:hAnsi="Book Antiqua"/>
          <w:sz w:val="20"/>
        </w:rPr>
        <w:t xml:space="preserve"> Further data are needed before the most common planet formation method is discerned.</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br/>
      </w:r>
      <w:r w:rsidRPr="00370948">
        <w:rPr>
          <w:rFonts w:ascii="Book Antiqua" w:hAnsi="Book Antiqua"/>
          <w:sz w:val="20"/>
        </w:rPr>
        <w:tab/>
        <w:t xml:space="preserve">There is a third possible method of solar </w:t>
      </w:r>
      <w:r w:rsidRPr="00CF4CE0">
        <w:rPr>
          <w:rFonts w:ascii="Book Antiqua" w:hAnsi="Book Antiqua"/>
          <w:sz w:val="20"/>
        </w:rPr>
        <w:t>system formation</w:t>
      </w:r>
      <w:r>
        <w:rPr>
          <w:rFonts w:ascii="Book Antiqua" w:hAnsi="Book Antiqua"/>
          <w:sz w:val="20"/>
        </w:rPr>
        <w:t xml:space="preserve"> common to both the gravitational and plasma models</w:t>
      </w:r>
      <w:r w:rsidRPr="00370948">
        <w:rPr>
          <w:rFonts w:ascii="Book Antiqua" w:hAnsi="Book Antiqua"/>
          <w:sz w:val="20"/>
        </w:rPr>
        <w:t>:  the capture of "rogue planets."  These are bodies which had been wandering through space on their own and may have been previously unattached. There is increasing evidence that such "rogue planets" may exist. Indeed, the calculation has been made that some 400 billion Jupiter-sized rogue planets may inhabit our galaxy [73, 74]. Some suggest that capture of some of these may have helped form our own solar system, but the orbital mechanics of the situation seems to mitigate against this.  All our planets are orbiting in the same plane and direction and have nearly circular orbits.  A captured planet would be expected to have a highly elliptical orbit inclined at an angle to the plane in which the other planets are orbiting as many comets do.</w:t>
      </w:r>
    </w:p>
    <w:p w:rsidR="005359B2" w:rsidRPr="00370948" w:rsidRDefault="005359B2" w:rsidP="005359B2">
      <w:pPr>
        <w:pStyle w:val="NoSpacing"/>
        <w:jc w:val="both"/>
        <w:rPr>
          <w:rFonts w:ascii="Book Antiqua" w:hAnsi="Book Antiqua"/>
          <w:sz w:val="20"/>
        </w:rPr>
      </w:pPr>
    </w:p>
    <w:p w:rsidR="005359B2" w:rsidRPr="000F4A13"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10</w:t>
      </w:r>
      <w:r w:rsidRPr="000F4A13">
        <w:rPr>
          <w:rFonts w:ascii="Book Antiqua" w:hAnsi="Book Antiqua"/>
          <w:b/>
          <w:bCs/>
          <w:iCs/>
          <w:color w:val="000000"/>
          <w:sz w:val="20"/>
        </w:rPr>
        <w:t>. Our Solar System.</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Evidence from plasma physics, coupled with planetary composition, seems to indicate that our solar system formed as a unit. To understand why, first consider the filament from which our solar system may have formed. Let us envisage this filament undergoing a filamentation-mode instability plus a Bennett pinch. There is then a major central filament, which will eventually produce the sun, and some more minor filaments from near the center out to the edge that will form the planets as a result of the pinch and compression. This process forms spherical plamoids.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Marklund convection, or sorting of elements by ionization potential, will be occurring simultaneously for both the major and minor filaments.  As the pinch and compression continue, layering will also occur within the spherical plasmoids of the forming planets. The types of ions which are available for this sorting and planetary layering will be mainly determined by the processes operating in the major filament. The final result for any planet will be a combination of sorting in the main filament as well as the sorting in the lesser one from which the planet formed. The sequence of element layering was given </w:t>
      </w:r>
      <w:r w:rsidRPr="0079588C">
        <w:rPr>
          <w:rFonts w:ascii="Book Antiqua" w:hAnsi="Book Antiqua"/>
          <w:sz w:val="20"/>
        </w:rPr>
        <w:t>previously with this diagram:</w:t>
      </w:r>
    </w:p>
    <w:p w:rsidR="005359B2" w:rsidRPr="00370948" w:rsidRDefault="005359B2" w:rsidP="005359B2">
      <w:pPr>
        <w:pStyle w:val="NoSpacing"/>
        <w:jc w:val="center"/>
        <w:rPr>
          <w:rFonts w:ascii="Book Antiqua" w:hAnsi="Book Antiqua"/>
          <w:sz w:val="20"/>
        </w:rPr>
      </w:pPr>
      <w:r w:rsidRPr="00370948">
        <w:rPr>
          <w:rFonts w:ascii="Book Antiqua" w:hAnsi="Book Antiqua"/>
          <w:sz w:val="20"/>
        </w:rPr>
        <w:object w:dxaOrig="7191" w:dyaOrig="5390">
          <v:shape id="_x0000_i1051" type="#_x0000_t75" style="width:450.15pt;height:311.6pt" o:ole="">
            <v:imagedata r:id="rId287" o:title=""/>
          </v:shape>
          <o:OLEObject Type="Embed" ProgID="PowerPoint.Slide.12" ShapeID="_x0000_i1051" DrawAspect="Content" ObjectID="_1433920203" r:id="rId312"/>
        </w:object>
      </w:r>
    </w:p>
    <w:p w:rsidR="005359B2" w:rsidRPr="00370948" w:rsidRDefault="005359B2" w:rsidP="005359B2">
      <w:pPr>
        <w:pStyle w:val="NoSpacing"/>
        <w:rPr>
          <w:rFonts w:ascii="Book Antiqua" w:hAnsi="Book Antiqua"/>
          <w:b/>
          <w:i/>
          <w:sz w:val="20"/>
        </w:rPr>
      </w:pPr>
    </w:p>
    <w:p w:rsidR="005359B2" w:rsidRPr="0020742E" w:rsidRDefault="005359B2" w:rsidP="005359B2">
      <w:pPr>
        <w:pStyle w:val="NoSpacing"/>
        <w:rPr>
          <w:rFonts w:ascii="Book Antiqua" w:hAnsi="Book Antiqua"/>
          <w:i/>
          <w:sz w:val="18"/>
          <w:szCs w:val="18"/>
        </w:rPr>
      </w:pPr>
      <w:r w:rsidRPr="0020742E">
        <w:rPr>
          <w:rFonts w:ascii="Book Antiqua" w:hAnsi="Book Antiqua"/>
          <w:b/>
          <w:i/>
          <w:sz w:val="18"/>
          <w:szCs w:val="18"/>
        </w:rPr>
        <w:t xml:space="preserve">Figure </w:t>
      </w:r>
      <w:r>
        <w:rPr>
          <w:rFonts w:ascii="Book Antiqua" w:hAnsi="Book Antiqua"/>
          <w:b/>
          <w:i/>
          <w:sz w:val="18"/>
          <w:szCs w:val="18"/>
        </w:rPr>
        <w:t>25</w:t>
      </w:r>
      <w:r w:rsidRPr="0020742E">
        <w:rPr>
          <w:rFonts w:ascii="Book Antiqua" w:hAnsi="Book Antiqua"/>
          <w:b/>
          <w:i/>
          <w:sz w:val="18"/>
          <w:szCs w:val="18"/>
        </w:rPr>
        <w:t>:</w:t>
      </w:r>
      <w:r w:rsidRPr="0020742E">
        <w:rPr>
          <w:rFonts w:ascii="Book Antiqua" w:hAnsi="Book Antiqua"/>
          <w:i/>
          <w:sz w:val="18"/>
          <w:szCs w:val="18"/>
        </w:rPr>
        <w:t xml:space="preserve"> Element sorting sequence by Marklund Convection</w:t>
      </w:r>
      <w:r>
        <w:rPr>
          <w:rFonts w:ascii="Book Antiqua" w:hAnsi="Book Antiqua"/>
          <w:i/>
          <w:sz w:val="18"/>
          <w:szCs w:val="18"/>
        </w:rPr>
        <w:t xml:space="preserve"> is based on ionization potential. The most easily ionized element (iron) is at the center while the most difficult to ionize (helium) is concentrated in the outer parts of the filament.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This sorting of elements within a plasma pinch is evident in our solar system. The in</w:t>
      </w:r>
      <w:r>
        <w:rPr>
          <w:rFonts w:ascii="Book Antiqua" w:hAnsi="Book Antiqua"/>
          <w:sz w:val="20"/>
        </w:rPr>
        <w:t>ner</w:t>
      </w:r>
      <w:r w:rsidRPr="00370948">
        <w:rPr>
          <w:rFonts w:ascii="Book Antiqua" w:hAnsi="Book Antiqua"/>
          <w:sz w:val="20"/>
        </w:rPr>
        <w:t xml:space="preserve"> planets -- those near the center of the major filament – are composed of large quantities of nickel-iron and silicates. This would be expected.  Mercury is predominantly a huge iron core, which occupies some 85% of the</w:t>
      </w:r>
      <w:r>
        <w:rPr>
          <w:rFonts w:ascii="Book Antiqua" w:hAnsi="Book Antiqua"/>
          <w:sz w:val="20"/>
        </w:rPr>
        <w:t xml:space="preserve"> </w:t>
      </w:r>
      <w:r w:rsidRPr="00370948">
        <w:rPr>
          <w:rFonts w:ascii="Book Antiqua" w:hAnsi="Book Antiqua"/>
          <w:sz w:val="20"/>
        </w:rPr>
        <w:t xml:space="preserve">planet’s diameter, overlaid by a shell of iron sulphide and silicates [75]. Venus is harder to discuss as we are still trying to find out more about this planet.  The iron core of Earth is less in proportion to that of Mercury, occupying only 55% of the diameter, while that of Mars is lower again at 50% of the planet’s diameter. At the same time, the silicate mantles increase in size as we go out from Mercury to Mars.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Between Mars and Jupiter is the asteroid belt.  This appears to be the shattered remnants of an old planet and its moon.  If this is true, then what we should find in these asteroid fragments are small amounts of nickel-iron and larger amounts of silicates as well as a good percentage of water.  This is borne out by the compositions of the various meteorites and asteroids that have been studied. Water content ranges up to 20% in some cases.</w:t>
      </w:r>
      <w:r>
        <w:rPr>
          <w:rFonts w:ascii="Book Antiqua" w:hAnsi="Book Antiqua"/>
          <w:sz w:val="20"/>
        </w:rPr>
        <w:t xml:space="preserve"> Asteroids are discussed in Chapter 9.</w:t>
      </w:r>
    </w:p>
    <w:p w:rsidR="005359B2" w:rsidRDefault="005359B2" w:rsidP="005359B2">
      <w:pPr>
        <w:pStyle w:val="NoSpacing"/>
        <w:jc w:val="both"/>
        <w:rPr>
          <w:rFonts w:ascii="Book Antiqua" w:hAnsi="Book Antiqua"/>
          <w:sz w:val="20"/>
        </w:rPr>
      </w:pPr>
      <w:r w:rsidRPr="00370948">
        <w:rPr>
          <w:rFonts w:ascii="Book Antiqua" w:hAnsi="Book Antiqua"/>
          <w:sz w:val="20"/>
        </w:rPr>
        <w:t xml:space="preserve"> </w:t>
      </w:r>
      <w:r w:rsidRPr="00370948">
        <w:rPr>
          <w:rFonts w:ascii="Book Antiqua" w:hAnsi="Book Antiqua"/>
          <w:sz w:val="20"/>
        </w:rPr>
        <w:tab/>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Farther out in our solar system, Jupiter and Saturn only have small quantities of nickel-iron in their cores.  The cores themselves are largely composed of silicates surrounded by water ice. Their mantles are mainly liquid metallic </w:t>
      </w:r>
      <w:r w:rsidRPr="00370948">
        <w:rPr>
          <w:rFonts w:ascii="Book Antiqua" w:hAnsi="Book Antiqua"/>
          <w:sz w:val="20"/>
        </w:rPr>
        <w:lastRenderedPageBreak/>
        <w:t xml:space="preserve">hydrogen with atmospheres of hydrogen, some helium, and small quantities of nitrogen compounds. Continuing out past Jupiter and Saturn are Uranus and Neptune, whose basic structures are similar to Jupiter and Saturn.  A significant difference is that each has an extensive layer of highly compressed water in which is dissolved a large quantity of nitrogen in the form of ammonia. The main trend is </w:t>
      </w:r>
      <w:r>
        <w:rPr>
          <w:rFonts w:ascii="Book Antiqua" w:hAnsi="Book Antiqua"/>
          <w:sz w:val="20"/>
        </w:rPr>
        <w:t xml:space="preserve">thus </w:t>
      </w:r>
      <w:r w:rsidRPr="00370948">
        <w:rPr>
          <w:rFonts w:ascii="Book Antiqua" w:hAnsi="Book Antiqua"/>
          <w:sz w:val="20"/>
        </w:rPr>
        <w:t xml:space="preserve">very clear: each planet is not only layered in and of itself, but the planets are layered in their order out from the sun.  </w:t>
      </w:r>
      <w:r w:rsidRPr="00CF4CE0">
        <w:rPr>
          <w:rFonts w:ascii="Book Antiqua" w:hAnsi="Book Antiqua"/>
          <w:sz w:val="20"/>
        </w:rPr>
        <w:t xml:space="preserve">In </w:t>
      </w:r>
      <w:r>
        <w:rPr>
          <w:rFonts w:ascii="Book Antiqua" w:hAnsi="Book Antiqua"/>
          <w:sz w:val="20"/>
        </w:rPr>
        <w:t>every case</w:t>
      </w:r>
      <w:r w:rsidRPr="00370948">
        <w:rPr>
          <w:rFonts w:ascii="Book Antiqua" w:hAnsi="Book Antiqua"/>
          <w:sz w:val="20"/>
        </w:rPr>
        <w:t>, the ionization potential is followed.</w:t>
      </w:r>
    </w:p>
    <w:p w:rsidR="005359B2" w:rsidRDefault="005359B2" w:rsidP="005359B2">
      <w:pPr>
        <w:pStyle w:val="NoSpacing"/>
        <w:jc w:val="both"/>
        <w:rPr>
          <w:rFonts w:ascii="Book Antiqua" w:hAnsi="Book Antiqua"/>
          <w:sz w:val="20"/>
        </w:rPr>
      </w:pPr>
      <w:r w:rsidRPr="00370948">
        <w:rPr>
          <w:rFonts w:ascii="Book Antiqua" w:hAnsi="Book Antiqua"/>
          <w:sz w:val="20"/>
        </w:rPr>
        <w:tab/>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This spherical  layering effect did not result in a molten planets or moons because the final stage of Marklund convection is not ions, but cool, neutral atoms. In contrast, the gravitational model states the earth became completely molten at the time of an ‘iron catastrophe,’ and it was this which resulted in the layering of the earth’s interior.  However, zircons from the Jack Hills area of Western Australia indicate that the earth was cool with an ocean and hydrological cycle operating during the time it was meant to be molten, 4.3 to 3.8 billion atomic years ago [76, 77].  </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w:t>
      </w:r>
      <w:r w:rsidRPr="00370948">
        <w:rPr>
          <w:rFonts w:ascii="Book Antiqua" w:hAnsi="Book Antiqua"/>
          <w:sz w:val="20"/>
        </w:rPr>
        <w:t xml:space="preserve"> second reason why a sphere sorted or layered by Marklund convection would not result in high temperatures either internally or on the surface is that the properties of the vacuum were different in the early universe history, as previously shown. This difference resulted in the energy density of radiation, including heat radiation, being lower when the ZPE strength was lower. The outcome was that planets started off layered with cool interiors and surfaces. They then heated up due to rapid radioactive decay deep in their interiors.  The radioactive decay would have involved both long and short half-life elements, so the heat produced would have built rapidly.  This heating resulted in a predictable series of events in the inner solar system, as discussed in the next section</w:t>
      </w:r>
      <w:r>
        <w:rPr>
          <w:rFonts w:ascii="Book Antiqua" w:hAnsi="Book Antiqua"/>
          <w:sz w:val="20"/>
        </w:rPr>
        <w:t xml:space="preserve"> on planetary geology</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r>
        <w:rPr>
          <w:rFonts w:ascii="Book Antiqua" w:hAnsi="Book Antiqua"/>
          <w:sz w:val="20"/>
        </w:rPr>
        <w:t>In summary, t</w:t>
      </w:r>
      <w:r w:rsidRPr="00370948">
        <w:rPr>
          <w:rFonts w:ascii="Book Antiqua" w:hAnsi="Book Antiqua"/>
          <w:sz w:val="20"/>
        </w:rPr>
        <w:t xml:space="preserve">he Bennett pinch, coupled with the sorting of elements in plasma filaments, which follows ionization sequences, explains not only the predominant composition of the members of the solar system as we go out from the sun, but it also gives us the answer to a problem the standard model has with the earth’s geology.  </w:t>
      </w:r>
      <w:r w:rsidRPr="00CF4CE0">
        <w:rPr>
          <w:rFonts w:ascii="Book Antiqua" w:hAnsi="Book Antiqua"/>
          <w:sz w:val="20"/>
        </w:rPr>
        <w:t>The electromagnetic properties of the early cosmos indicate that the original planets were not molten, but began as relatively cool bodies with heating originating internally due to radioactive decay of the most easily ionized elements which had been layered in their cores.</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The electromagnetic processes operating in plasma filaments are exponentially stronger than gravity and so will operate on a much faster scale.  This must be combined with the lower ZPE strength at the inception of the cosmos. When this is done, it may be safely assumed that </w:t>
      </w:r>
      <w:r>
        <w:rPr>
          <w:rFonts w:ascii="Book Antiqua" w:hAnsi="Book Antiqua"/>
          <w:sz w:val="20"/>
        </w:rPr>
        <w:t xml:space="preserve">the </w:t>
      </w:r>
      <w:r w:rsidRPr="00370948">
        <w:rPr>
          <w:rFonts w:ascii="Book Antiqua" w:hAnsi="Book Antiqua"/>
          <w:sz w:val="20"/>
        </w:rPr>
        <w:t xml:space="preserve">processes </w:t>
      </w:r>
      <w:r>
        <w:rPr>
          <w:rFonts w:ascii="Book Antiqua" w:hAnsi="Book Antiqua"/>
          <w:sz w:val="20"/>
        </w:rPr>
        <w:t xml:space="preserve">which </w:t>
      </w:r>
      <w:r w:rsidRPr="00370948">
        <w:rPr>
          <w:rFonts w:ascii="Book Antiqua" w:hAnsi="Book Antiqua"/>
          <w:sz w:val="20"/>
        </w:rPr>
        <w:t xml:space="preserve">were in operation were rapid enough to overcome the astronomical problems outlined by James Trefil </w:t>
      </w:r>
      <w:r w:rsidRPr="00CF4CE0">
        <w:rPr>
          <w:rFonts w:ascii="Book Antiqua" w:hAnsi="Book Antiqua"/>
          <w:sz w:val="20"/>
        </w:rPr>
        <w:t xml:space="preserve">in </w:t>
      </w:r>
      <w:r w:rsidRPr="00CF4CE0">
        <w:rPr>
          <w:rFonts w:ascii="Book Antiqua" w:hAnsi="Book Antiqua"/>
          <w:i/>
          <w:sz w:val="20"/>
        </w:rPr>
        <w:t>The Dark Side of the Universe</w:t>
      </w:r>
      <w:r>
        <w:rPr>
          <w:rFonts w:ascii="Book Antiqua" w:hAnsi="Book Antiqua"/>
          <w:sz w:val="20"/>
        </w:rPr>
        <w:t xml:space="preserve"> </w:t>
      </w:r>
      <w:r w:rsidRPr="00CF4CE0">
        <w:rPr>
          <w:rFonts w:ascii="Book Antiqua" w:hAnsi="Book Antiqua"/>
          <w:sz w:val="20"/>
        </w:rPr>
        <w:t>[59]</w:t>
      </w:r>
      <w:r w:rsidRPr="00370948">
        <w:rPr>
          <w:rFonts w:ascii="Book Antiqua" w:hAnsi="Book Antiqua"/>
          <w:sz w:val="20"/>
        </w:rPr>
        <w:t xml:space="preserve"> </w:t>
      </w:r>
      <w:r>
        <w:rPr>
          <w:rFonts w:ascii="Book Antiqua" w:hAnsi="Book Antiqua"/>
          <w:sz w:val="20"/>
        </w:rPr>
        <w:t>as well as</w:t>
      </w:r>
      <w:r w:rsidRPr="00370948">
        <w:rPr>
          <w:rFonts w:ascii="Book Antiqua" w:hAnsi="Book Antiqua"/>
          <w:sz w:val="20"/>
        </w:rPr>
        <w:t xml:space="preserve"> the problems </w:t>
      </w:r>
      <w:r w:rsidRPr="00CF4CE0">
        <w:rPr>
          <w:rFonts w:ascii="Book Antiqua" w:hAnsi="Book Antiqua"/>
          <w:sz w:val="20"/>
        </w:rPr>
        <w:t>that geology has encountered</w:t>
      </w:r>
      <w:r>
        <w:rPr>
          <w:rFonts w:ascii="Book Antiqua" w:hAnsi="Book Antiqua"/>
          <w:sz w:val="20"/>
        </w:rPr>
        <w:t>.</w:t>
      </w:r>
      <w:r w:rsidRPr="00370948">
        <w:rPr>
          <w:rFonts w:ascii="Book Antiqua" w:hAnsi="Book Antiqua"/>
          <w:sz w:val="20"/>
        </w:rPr>
        <w:t xml:space="preserve">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36263">
        <w:rPr>
          <w:rFonts w:ascii="Book Antiqua" w:hAnsi="Book Antiqua"/>
          <w:b/>
          <w:bCs/>
          <w:iCs/>
          <w:color w:val="000000"/>
          <w:sz w:val="20"/>
        </w:rPr>
        <w:t>11.  A ZPE Model for Planetary Geology</w:t>
      </w:r>
    </w:p>
    <w:p w:rsidR="005359B2" w:rsidRPr="00370948" w:rsidRDefault="005359B2" w:rsidP="005359B2">
      <w:pPr>
        <w:pStyle w:val="NoSpacing"/>
        <w:ind w:left="720"/>
        <w:rPr>
          <w:rFonts w:ascii="Book Antiqua" w:hAnsi="Book Antiqua"/>
          <w:b/>
          <w:bCs/>
          <w:iCs/>
          <w:color w:val="000000"/>
          <w:sz w:val="20"/>
        </w:rPr>
      </w:pPr>
    </w:p>
    <w:p w:rsidR="005359B2" w:rsidRPr="00370948" w:rsidRDefault="005359B2" w:rsidP="005359B2">
      <w:pPr>
        <w:pStyle w:val="NoSpacing"/>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.1. Planetary Magnetic Fields and Reversals.</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w:t>
      </w:r>
      <w:r w:rsidRPr="00F23192">
        <w:rPr>
          <w:rFonts w:ascii="Book Antiqua" w:hAnsi="Book Antiqua"/>
          <w:sz w:val="20"/>
        </w:rPr>
        <w:t>he foregoing discussion on Marklund convection</w:t>
      </w:r>
      <w:r>
        <w:rPr>
          <w:rFonts w:ascii="Book Antiqua" w:hAnsi="Book Antiqua"/>
          <w:sz w:val="20"/>
        </w:rPr>
        <w:t xml:space="preserve"> indicates</w:t>
      </w:r>
      <w:r w:rsidRPr="00F23192">
        <w:rPr>
          <w:rFonts w:ascii="Book Antiqua" w:hAnsi="Book Antiqua"/>
          <w:sz w:val="20"/>
        </w:rPr>
        <w:t xml:space="preserve"> that </w:t>
      </w:r>
      <w:r>
        <w:rPr>
          <w:rFonts w:ascii="Book Antiqua" w:hAnsi="Book Antiqua"/>
          <w:sz w:val="20"/>
        </w:rPr>
        <w:t xml:space="preserve">in the </w:t>
      </w:r>
      <w:r w:rsidRPr="00F23192">
        <w:rPr>
          <w:rFonts w:ascii="Book Antiqua" w:hAnsi="Book Antiqua"/>
          <w:sz w:val="20"/>
        </w:rPr>
        <w:t xml:space="preserve">plasma model planets will </w:t>
      </w:r>
      <w:r>
        <w:rPr>
          <w:rFonts w:ascii="Book Antiqua" w:hAnsi="Book Antiqua"/>
          <w:sz w:val="20"/>
        </w:rPr>
        <w:t>begin</w:t>
      </w:r>
      <w:r w:rsidRPr="00F23192">
        <w:rPr>
          <w:rFonts w:ascii="Book Antiqua" w:hAnsi="Book Antiqua"/>
          <w:sz w:val="20"/>
        </w:rPr>
        <w:t xml:space="preserve"> layered and </w:t>
      </w:r>
      <w:r>
        <w:rPr>
          <w:rFonts w:ascii="Book Antiqua" w:hAnsi="Book Antiqua"/>
          <w:sz w:val="20"/>
        </w:rPr>
        <w:t xml:space="preserve">relatively </w:t>
      </w:r>
      <w:r w:rsidRPr="00F23192">
        <w:rPr>
          <w:rFonts w:ascii="Book Antiqua" w:hAnsi="Book Antiqua"/>
          <w:sz w:val="20"/>
        </w:rPr>
        <w:t>cool, with solid iron cores</w:t>
      </w:r>
      <w:r>
        <w:rPr>
          <w:rFonts w:ascii="Book Antiqua" w:hAnsi="Book Antiqua"/>
          <w:sz w:val="20"/>
        </w:rPr>
        <w:t>.</w:t>
      </w:r>
      <w:r w:rsidRPr="00F23192">
        <w:rPr>
          <w:rFonts w:ascii="Book Antiqua" w:hAnsi="Book Antiqua"/>
          <w:sz w:val="20"/>
        </w:rPr>
        <w:t xml:space="preserve"> </w:t>
      </w:r>
      <w:r>
        <w:rPr>
          <w:rFonts w:ascii="Book Antiqua" w:hAnsi="Book Antiqua"/>
          <w:sz w:val="20"/>
        </w:rPr>
        <w:t>R</w:t>
      </w:r>
      <w:r w:rsidRPr="00F23192">
        <w:rPr>
          <w:rFonts w:ascii="Book Antiqua" w:hAnsi="Book Antiqua"/>
          <w:sz w:val="20"/>
        </w:rPr>
        <w:t xml:space="preserve">adioactive elements </w:t>
      </w:r>
      <w:r>
        <w:rPr>
          <w:rFonts w:ascii="Book Antiqua" w:hAnsi="Book Antiqua"/>
          <w:sz w:val="20"/>
        </w:rPr>
        <w:t xml:space="preserve">were </w:t>
      </w:r>
      <w:r w:rsidRPr="00F23192">
        <w:rPr>
          <w:rFonts w:ascii="Book Antiqua" w:hAnsi="Book Antiqua"/>
          <w:sz w:val="20"/>
        </w:rPr>
        <w:t xml:space="preserve">concentrated in the core and mantle regions. </w:t>
      </w:r>
      <w:r>
        <w:rPr>
          <w:rFonts w:ascii="Book Antiqua" w:hAnsi="Book Antiqua"/>
          <w:sz w:val="20"/>
        </w:rPr>
        <w:t xml:space="preserve"> The subsequent decay of the radioactive elements heated the cores of the planets.  This heating gradually spread outward from the core. </w:t>
      </w:r>
    </w:p>
    <w:p w:rsidR="005359B2" w:rsidRPr="00F2319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Pr>
          <w:rFonts w:ascii="Book Antiqua" w:hAnsi="Book Antiqua"/>
          <w:sz w:val="20"/>
        </w:rPr>
        <w:t>The planets’ original</w:t>
      </w:r>
      <w:r w:rsidRPr="00F23192">
        <w:rPr>
          <w:rFonts w:ascii="Book Antiqua" w:hAnsi="Book Antiqua"/>
          <w:sz w:val="20"/>
        </w:rPr>
        <w:t xml:space="preserve"> magnetic fields were </w:t>
      </w:r>
      <w:r>
        <w:rPr>
          <w:rFonts w:ascii="Book Antiqua" w:hAnsi="Book Antiqua"/>
          <w:sz w:val="20"/>
        </w:rPr>
        <w:t>locked in by</w:t>
      </w:r>
      <w:r w:rsidRPr="00F23192">
        <w:rPr>
          <w:rFonts w:ascii="Book Antiqua" w:hAnsi="Book Antiqua"/>
          <w:sz w:val="20"/>
        </w:rPr>
        <w:t xml:space="preserve"> the Bennett pinch of the plasma filament from which </w:t>
      </w:r>
      <w:r>
        <w:rPr>
          <w:rFonts w:ascii="Book Antiqua" w:hAnsi="Book Antiqua"/>
          <w:sz w:val="20"/>
        </w:rPr>
        <w:t>they</w:t>
      </w:r>
      <w:r w:rsidRPr="00F23192">
        <w:rPr>
          <w:rFonts w:ascii="Book Antiqua" w:hAnsi="Book Antiqua"/>
          <w:sz w:val="20"/>
        </w:rPr>
        <w:t xml:space="preserve"> formed. On Earth, th</w:t>
      </w:r>
      <w:r>
        <w:rPr>
          <w:rFonts w:ascii="Book Antiqua" w:hAnsi="Book Antiqua"/>
          <w:sz w:val="20"/>
        </w:rPr>
        <w:t>e</w:t>
      </w:r>
      <w:r w:rsidRPr="00F23192">
        <w:rPr>
          <w:rFonts w:ascii="Book Antiqua" w:hAnsi="Book Antiqua"/>
          <w:sz w:val="20"/>
        </w:rPr>
        <w:t xml:space="preserve"> primordial field </w:t>
      </w:r>
      <w:r>
        <w:rPr>
          <w:rFonts w:ascii="Book Antiqua" w:hAnsi="Book Antiqua"/>
          <w:sz w:val="20"/>
        </w:rPr>
        <w:t>was</w:t>
      </w:r>
      <w:r w:rsidRPr="00F23192">
        <w:rPr>
          <w:rFonts w:ascii="Book Antiqua" w:hAnsi="Book Antiqua"/>
          <w:sz w:val="20"/>
        </w:rPr>
        <w:t xml:space="preserve"> different from </w:t>
      </w:r>
      <w:r>
        <w:rPr>
          <w:rFonts w:ascii="Book Antiqua" w:hAnsi="Book Antiqua"/>
          <w:sz w:val="20"/>
        </w:rPr>
        <w:t>the present magnetic field</w:t>
      </w:r>
      <w:r w:rsidRPr="00F23192">
        <w:rPr>
          <w:rFonts w:ascii="Book Antiqua" w:hAnsi="Book Antiqua"/>
          <w:sz w:val="20"/>
        </w:rPr>
        <w:t xml:space="preserve">. As the ZPE strength built up, the electric currents in the core declined in strength and the primordial magnetic field decayed. </w:t>
      </w:r>
      <w:r>
        <w:rPr>
          <w:rFonts w:ascii="Book Antiqua" w:hAnsi="Book Antiqua"/>
          <w:sz w:val="20"/>
        </w:rPr>
        <w:t xml:space="preserve">Concurrently, as radioactive heating increased the Earth’s core temperature, the increasing heat caused the outer core to become liquid.  The building heat caused the ionization of some atoms in the outer core. The differential rotation between the outer and inner cores caused turbulence in the outer core. These combined factors created electric currents from the turbulent motion of ions </w:t>
      </w:r>
      <w:r>
        <w:rPr>
          <w:rFonts w:ascii="Book Antiqua" w:hAnsi="Book Antiqua"/>
          <w:sz w:val="20"/>
        </w:rPr>
        <w:lastRenderedPageBreak/>
        <w:t>and electrons.  This, combined with a small residual from the primordial magnetic field, allowed the dynamo currents we have now to begin.</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Experiments have shown that it is through </w:t>
      </w:r>
      <w:r>
        <w:rPr>
          <w:rFonts w:ascii="Book Antiqua" w:hAnsi="Book Antiqua"/>
          <w:sz w:val="20"/>
        </w:rPr>
        <w:t xml:space="preserve">such turbulent </w:t>
      </w:r>
      <w:r w:rsidRPr="00F23192">
        <w:rPr>
          <w:rFonts w:ascii="Book Antiqua" w:hAnsi="Book Antiqua"/>
          <w:sz w:val="20"/>
        </w:rPr>
        <w:t xml:space="preserve">currents that magnetic fields are produced. Generally speaking, the more turbulent the flow, the </w:t>
      </w:r>
      <w:r>
        <w:rPr>
          <w:rFonts w:ascii="Book Antiqua" w:hAnsi="Book Antiqua"/>
          <w:sz w:val="20"/>
        </w:rPr>
        <w:t>stronger the current</w:t>
      </w:r>
      <w:r w:rsidRPr="00F23192">
        <w:rPr>
          <w:rFonts w:ascii="Book Antiqua" w:hAnsi="Book Antiqua"/>
          <w:sz w:val="20"/>
        </w:rPr>
        <w:t xml:space="preserve">. </w:t>
      </w:r>
      <w:r>
        <w:rPr>
          <w:rFonts w:ascii="Book Antiqua" w:hAnsi="Book Antiqua"/>
          <w:sz w:val="20"/>
        </w:rPr>
        <w:t xml:space="preserve"> However</w:t>
      </w:r>
      <w:r w:rsidRPr="00F23192">
        <w:rPr>
          <w:rFonts w:ascii="Book Antiqua" w:hAnsi="Book Antiqua"/>
          <w:sz w:val="20"/>
        </w:rPr>
        <w:t xml:space="preserve">, because of </w:t>
      </w:r>
      <w:r>
        <w:rPr>
          <w:rFonts w:ascii="Book Antiqua" w:hAnsi="Book Antiqua"/>
          <w:sz w:val="20"/>
        </w:rPr>
        <w:t>the initially l</w:t>
      </w:r>
      <w:r w:rsidRPr="00F23192">
        <w:rPr>
          <w:rFonts w:ascii="Book Antiqua" w:hAnsi="Book Antiqua"/>
          <w:sz w:val="20"/>
        </w:rPr>
        <w:t xml:space="preserve">ow ZPE, </w:t>
      </w:r>
      <w:r>
        <w:rPr>
          <w:rFonts w:ascii="Book Antiqua" w:hAnsi="Book Antiqua"/>
          <w:sz w:val="20"/>
        </w:rPr>
        <w:t xml:space="preserve">it only took small amounts of turbulence in the emerging outer core to produce </w:t>
      </w:r>
      <w:r w:rsidRPr="00F23192">
        <w:rPr>
          <w:rFonts w:ascii="Book Antiqua" w:hAnsi="Book Antiqua"/>
          <w:sz w:val="20"/>
        </w:rPr>
        <w:t xml:space="preserve">high </w:t>
      </w:r>
      <w:r>
        <w:rPr>
          <w:rFonts w:ascii="Book Antiqua" w:hAnsi="Book Antiqua"/>
          <w:sz w:val="20"/>
        </w:rPr>
        <w:t xml:space="preserve">electric </w:t>
      </w:r>
      <w:r w:rsidRPr="00F23192">
        <w:rPr>
          <w:rFonts w:ascii="Book Antiqua" w:hAnsi="Book Antiqua"/>
          <w:sz w:val="20"/>
        </w:rPr>
        <w:t>currents</w:t>
      </w:r>
      <w:r>
        <w:rPr>
          <w:rFonts w:ascii="Book Antiqua" w:hAnsi="Book Antiqua"/>
          <w:sz w:val="20"/>
        </w:rPr>
        <w:t>.</w:t>
      </w:r>
      <w:r w:rsidRPr="00F23192">
        <w:rPr>
          <w:rFonts w:ascii="Book Antiqua" w:hAnsi="Book Antiqua"/>
          <w:sz w:val="20"/>
        </w:rPr>
        <w:t xml:space="preserve"> </w:t>
      </w:r>
      <w:r>
        <w:rPr>
          <w:rFonts w:ascii="Book Antiqua" w:hAnsi="Book Antiqua"/>
          <w:sz w:val="20"/>
        </w:rPr>
        <w:t xml:space="preserve"> As a result</w:t>
      </w:r>
      <w:r w:rsidRPr="00F23192">
        <w:rPr>
          <w:rFonts w:ascii="Book Antiqua" w:hAnsi="Book Antiqua"/>
          <w:sz w:val="20"/>
        </w:rPr>
        <w:t xml:space="preserve">, although the initial </w:t>
      </w:r>
      <w:r>
        <w:rPr>
          <w:rFonts w:ascii="Book Antiqua" w:hAnsi="Book Antiqua"/>
          <w:sz w:val="20"/>
        </w:rPr>
        <w:t xml:space="preserve">magnetic </w:t>
      </w:r>
      <w:r w:rsidRPr="00F23192">
        <w:rPr>
          <w:rFonts w:ascii="Book Antiqua" w:hAnsi="Book Antiqua"/>
          <w:sz w:val="20"/>
        </w:rPr>
        <w:t xml:space="preserve">field was about the same strength as now, the turbulence producing it was </w:t>
      </w:r>
      <w:r>
        <w:rPr>
          <w:rFonts w:ascii="Book Antiqua" w:hAnsi="Book Antiqua"/>
          <w:sz w:val="20"/>
        </w:rPr>
        <w:t>much lower than today’s</w:t>
      </w:r>
      <w:r w:rsidRPr="00F23192">
        <w:rPr>
          <w:rFonts w:ascii="Book Antiqua" w:hAnsi="Book Antiqua"/>
          <w:sz w:val="20"/>
        </w:rPr>
        <w:t xml:space="preserve">. </w:t>
      </w:r>
      <w:r>
        <w:rPr>
          <w:rFonts w:ascii="Book Antiqua" w:hAnsi="Book Antiqua"/>
          <w:sz w:val="20"/>
        </w:rPr>
        <w:t>Then, a</w:t>
      </w:r>
      <w:r w:rsidRPr="00F23192">
        <w:rPr>
          <w:rFonts w:ascii="Book Antiqua" w:hAnsi="Book Antiqua"/>
          <w:sz w:val="20"/>
        </w:rPr>
        <w:t xml:space="preserve">s the ZPE built up, </w:t>
      </w:r>
      <w:r>
        <w:rPr>
          <w:rFonts w:ascii="Book Antiqua" w:hAnsi="Book Antiqua"/>
          <w:sz w:val="20"/>
        </w:rPr>
        <w:t xml:space="preserve">two things happened:  </w:t>
      </w:r>
      <w:r w:rsidRPr="00F23192">
        <w:rPr>
          <w:rFonts w:ascii="Book Antiqua" w:hAnsi="Book Antiqua"/>
          <w:sz w:val="20"/>
        </w:rPr>
        <w:t xml:space="preserve">current strengths dropped, but </w:t>
      </w:r>
      <w:r>
        <w:rPr>
          <w:rFonts w:ascii="Book Antiqua" w:hAnsi="Book Antiqua"/>
          <w:sz w:val="20"/>
        </w:rPr>
        <w:t xml:space="preserve">at the same time </w:t>
      </w:r>
      <w:r w:rsidRPr="00F23192">
        <w:rPr>
          <w:rFonts w:ascii="Book Antiqua" w:hAnsi="Book Antiqua"/>
          <w:sz w:val="20"/>
        </w:rPr>
        <w:t xml:space="preserve">the turbulence became more pronounced as the molten core grew in size with radioactive heating. </w:t>
      </w:r>
      <w:r>
        <w:rPr>
          <w:rFonts w:ascii="Book Antiqua" w:hAnsi="Book Antiqua"/>
          <w:sz w:val="20"/>
        </w:rPr>
        <w:t>Thus</w:t>
      </w:r>
      <w:r w:rsidRPr="00F23192">
        <w:rPr>
          <w:rFonts w:ascii="Book Antiqua" w:hAnsi="Book Antiqua"/>
          <w:sz w:val="20"/>
        </w:rPr>
        <w:t xml:space="preserve"> the overall intensity has remained about the same. It seems that the two proces</w:t>
      </w:r>
      <w:r>
        <w:rPr>
          <w:rFonts w:ascii="Book Antiqua" w:hAnsi="Book Antiqua"/>
          <w:sz w:val="20"/>
        </w:rPr>
        <w:t>s</w:t>
      </w:r>
      <w:r w:rsidRPr="00F23192">
        <w:rPr>
          <w:rFonts w:ascii="Book Antiqua" w:hAnsi="Book Antiqua"/>
          <w:sz w:val="20"/>
        </w:rPr>
        <w:t>es were running parallel</w:t>
      </w:r>
      <w:r>
        <w:rPr>
          <w:rFonts w:ascii="Book Antiqua" w:hAnsi="Book Antiqua"/>
          <w:sz w:val="20"/>
        </w:rPr>
        <w:t>,</w:t>
      </w:r>
      <w:r w:rsidRPr="00F23192">
        <w:rPr>
          <w:rFonts w:ascii="Book Antiqua" w:hAnsi="Book Antiqua"/>
          <w:sz w:val="20"/>
        </w:rPr>
        <w:t xml:space="preserve"> allow</w:t>
      </w:r>
      <w:r>
        <w:rPr>
          <w:rFonts w:ascii="Book Antiqua" w:hAnsi="Book Antiqua"/>
          <w:sz w:val="20"/>
        </w:rPr>
        <w:t>ing</w:t>
      </w:r>
      <w:r w:rsidRPr="00F23192">
        <w:rPr>
          <w:rFonts w:ascii="Book Antiqua" w:hAnsi="Book Antiqua"/>
          <w:sz w:val="20"/>
        </w:rPr>
        <w:t xml:space="preserve"> the field strength to be maintained at approximately a constant level. </w:t>
      </w:r>
    </w:p>
    <w:p w:rsidR="005359B2" w:rsidRPr="00F23192" w:rsidRDefault="005359B2" w:rsidP="005359B2">
      <w:pPr>
        <w:pStyle w:val="NoSpacing"/>
        <w:jc w:val="both"/>
        <w:rPr>
          <w:rFonts w:ascii="Book Antiqua" w:hAnsi="Book Antiqua"/>
          <w:sz w:val="20"/>
        </w:rPr>
      </w:pPr>
    </w:p>
    <w:p w:rsidR="005359B2" w:rsidRPr="00F23192" w:rsidRDefault="005359B2" w:rsidP="005359B2">
      <w:pPr>
        <w:pStyle w:val="NoSpacing"/>
        <w:ind w:firstLine="720"/>
        <w:jc w:val="both"/>
        <w:rPr>
          <w:rFonts w:ascii="Book Antiqua" w:hAnsi="Book Antiqua"/>
          <w:sz w:val="20"/>
        </w:rPr>
      </w:pPr>
      <w:r w:rsidRPr="00F23192">
        <w:rPr>
          <w:rFonts w:ascii="Book Antiqua" w:hAnsi="Book Antiqua"/>
          <w:sz w:val="20"/>
        </w:rPr>
        <w:t xml:space="preserve">Therefore, in the case of the Earth at least, the magnetic field never attained extremely high values. </w:t>
      </w:r>
      <w:r>
        <w:rPr>
          <w:rFonts w:ascii="Book Antiqua" w:hAnsi="Book Antiqua"/>
          <w:sz w:val="20"/>
        </w:rPr>
        <w:t>(</w:t>
      </w:r>
      <w:r w:rsidRPr="00F23192">
        <w:rPr>
          <w:rFonts w:ascii="Book Antiqua" w:hAnsi="Book Antiqua"/>
          <w:sz w:val="20"/>
        </w:rPr>
        <w:t>The situation may have been different for the outer planets.</w:t>
      </w:r>
      <w:r>
        <w:rPr>
          <w:rFonts w:ascii="Book Antiqua" w:hAnsi="Book Antiqua"/>
          <w:sz w:val="20"/>
        </w:rPr>
        <w:t>)</w:t>
      </w:r>
      <w:r w:rsidRPr="00F23192">
        <w:rPr>
          <w:rFonts w:ascii="Book Antiqua" w:hAnsi="Book Antiqua"/>
          <w:sz w:val="20"/>
        </w:rPr>
        <w:t xml:space="preserve"> The data confirm this for the Earth as in Figure 2</w:t>
      </w:r>
      <w:r>
        <w:rPr>
          <w:rFonts w:ascii="Book Antiqua" w:hAnsi="Book Antiqua"/>
          <w:sz w:val="20"/>
        </w:rPr>
        <w:t>6</w:t>
      </w:r>
      <w:r w:rsidRPr="00F23192">
        <w:rPr>
          <w:rFonts w:ascii="Book Antiqua" w:hAnsi="Book Antiqua"/>
          <w:sz w:val="20"/>
        </w:rPr>
        <w:t>. This Figure is a plot of the relative magnetic moments of the earth’s field from rocks of various ages.</w:t>
      </w:r>
    </w:p>
    <w:p w:rsidR="005359B2" w:rsidRPr="00370948" w:rsidRDefault="005359B2" w:rsidP="005359B2">
      <w:pPr>
        <w:ind w:firstLine="720"/>
        <w:jc w:val="both"/>
        <w:rPr>
          <w:rFonts w:ascii="Book Antiqua" w:hAnsi="Book Antiqua"/>
        </w:rPr>
      </w:pPr>
      <w:r w:rsidRPr="00370948">
        <w:rPr>
          <w:rFonts w:ascii="Book Antiqua" w:hAnsi="Book Antiqua"/>
        </w:rPr>
        <w:t>.</w:t>
      </w:r>
    </w:p>
    <w:p w:rsidR="005359B2" w:rsidRPr="00370948" w:rsidRDefault="005359B2" w:rsidP="005359B2">
      <w:pPr>
        <w:ind w:firstLine="720"/>
        <w:jc w:val="both"/>
        <w:rPr>
          <w:rFonts w:ascii="Book Antiqua" w:hAnsi="Book Antiqua"/>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3305175" cy="3933825"/>
            <wp:effectExtent l="19050" t="0" r="9525" b="0"/>
            <wp:docPr id="169" name="Picture 6" descr="http://ars.els-cdn.com/content/image/1-s2.0-S0264370702000492-gr2.gif"/>
            <wp:cNvGraphicFramePr/>
            <a:graphic xmlns:a="http://schemas.openxmlformats.org/drawingml/2006/main">
              <a:graphicData uri="http://schemas.openxmlformats.org/drawingml/2006/picture">
                <pic:pic xmlns:pic="http://schemas.openxmlformats.org/drawingml/2006/picture">
                  <pic:nvPicPr>
                    <pic:cNvPr id="5" name="irc_mi" descr="http://ars.els-cdn.com/content/image/1-s2.0-S0264370702000492-gr2.gif"/>
                    <pic:cNvPicPr/>
                  </pic:nvPicPr>
                  <pic:blipFill>
                    <a:blip r:embed="rId313" cstate="print"/>
                    <a:srcRect/>
                    <a:stretch>
                      <a:fillRect/>
                    </a:stretch>
                  </pic:blipFill>
                  <pic:spPr bwMode="auto">
                    <a:xfrm>
                      <a:off x="0" y="0"/>
                      <a:ext cx="3305175" cy="3933825"/>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b/>
          <w:i/>
        </w:rPr>
      </w:pPr>
    </w:p>
    <w:p w:rsidR="005359B2" w:rsidRPr="00230752" w:rsidRDefault="005359B2" w:rsidP="005359B2">
      <w:pP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6</w:t>
      </w:r>
      <w:r w:rsidRPr="00230752">
        <w:rPr>
          <w:rFonts w:ascii="Book Antiqua" w:hAnsi="Book Antiqua"/>
          <w:i/>
          <w:sz w:val="18"/>
          <w:szCs w:val="18"/>
        </w:rPr>
        <w:t>: The relative magnetic moment of the Earth’s magnetic field through geological time. The data indicate the field intensity varied within a basic range.</w:t>
      </w:r>
    </w:p>
    <w:p w:rsidR="005359B2" w:rsidRPr="00370948" w:rsidRDefault="005359B2" w:rsidP="005359B2">
      <w:pPr>
        <w:ind w:firstLine="720"/>
        <w:jc w:val="both"/>
        <w:rPr>
          <w:rFonts w:ascii="Book Antiqua" w:hAnsi="Book Antiqua"/>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w:t>
      </w:r>
      <w:r w:rsidRPr="001A0924">
        <w:rPr>
          <w:rFonts w:ascii="Book Antiqua" w:hAnsi="Book Antiqua"/>
          <w:sz w:val="20"/>
        </w:rPr>
        <w:t xml:space="preserve"> now raises questions about the reversals of the magnetic poles seen in geology. In addressing this question it should be noted that an important series of experiments was conducted which exhibited magnetic field reversals in a turbulent dynamo generated in a lab. </w:t>
      </w:r>
      <w:r w:rsidRPr="00193170">
        <w:rPr>
          <w:rFonts w:ascii="Book Antiqua" w:hAnsi="Book Antiqua"/>
          <w:sz w:val="20"/>
        </w:rPr>
        <w:t>“Magnetic field reversals in an experimental turbulent dynamo,”</w:t>
      </w:r>
      <w:r w:rsidRPr="001A0924">
        <w:rPr>
          <w:rFonts w:ascii="Book Antiqua" w:hAnsi="Book Antiqua"/>
          <w:sz w:val="20"/>
        </w:rPr>
        <w:t xml:space="preserve"> also confirms some </w:t>
      </w:r>
      <w:r>
        <w:rPr>
          <w:rFonts w:ascii="Book Antiqua" w:hAnsi="Book Antiqua"/>
          <w:sz w:val="20"/>
        </w:rPr>
        <w:t xml:space="preserve">similar </w:t>
      </w:r>
      <w:r w:rsidRPr="001A0924">
        <w:rPr>
          <w:rFonts w:ascii="Book Antiqua" w:hAnsi="Book Antiqua"/>
          <w:sz w:val="20"/>
        </w:rPr>
        <w:t>previous results [78].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jc w:val="both"/>
        <w:rPr>
          <w:rFonts w:ascii="Book Antiqua" w:hAnsi="Book Antiqua"/>
          <w:sz w:val="20"/>
        </w:rPr>
      </w:pPr>
      <w:r w:rsidRPr="001A0924">
        <w:rPr>
          <w:rFonts w:ascii="Book Antiqua" w:hAnsi="Book Antiqua"/>
          <w:sz w:val="20"/>
        </w:rPr>
        <w:lastRenderedPageBreak/>
        <w:t xml:space="preserve"> </w:t>
      </w:r>
      <w:r>
        <w:rPr>
          <w:rFonts w:ascii="Book Antiqua" w:hAnsi="Book Antiqua"/>
          <w:sz w:val="20"/>
        </w:rPr>
        <w:tab/>
      </w:r>
      <w:r w:rsidRPr="001A0924">
        <w:rPr>
          <w:rFonts w:ascii="Book Antiqua" w:hAnsi="Book Antiqua"/>
          <w:sz w:val="20"/>
        </w:rPr>
        <w:t xml:space="preserve">In that article, it is stated that </w:t>
      </w:r>
      <w:r w:rsidRPr="001A0924">
        <w:rPr>
          <w:rFonts w:ascii="Book Antiqua" w:hAnsi="Book Antiqua"/>
          <w:i/>
          <w:sz w:val="20"/>
        </w:rPr>
        <w:t>“reversals of magnetic field are correlated with the global energy budget of the flow. [When the] record shows short periods when [total power] P is much smaller than average...they always coincide with large variations in the magnetic field. Either a reversal occurs or the magnetic field decays and grows again with its direction unchanged. ... The variation of power consumption during the weakening of the magnetic field is in agreement with the power required to sustain a steady dynamo in the VKS2 experiment.”</w:t>
      </w:r>
      <w:r w:rsidRPr="001A0924">
        <w:rPr>
          <w:rFonts w:ascii="Book Antiqua" w:hAnsi="Book Antiqua"/>
          <w:sz w:val="20"/>
        </w:rPr>
        <w:t>[78]</w:t>
      </w:r>
    </w:p>
    <w:p w:rsidR="005359B2" w:rsidRPr="001A0924" w:rsidRDefault="005359B2" w:rsidP="005359B2">
      <w:pPr>
        <w:pStyle w:val="NoSpacing"/>
        <w:jc w:val="both"/>
        <w:rPr>
          <w:rFonts w:ascii="Book Antiqua" w:hAnsi="Book Antiqua"/>
          <w:sz w:val="20"/>
        </w:rPr>
      </w:pPr>
    </w:p>
    <w:p w:rsidR="005359B2" w:rsidRPr="001A0924" w:rsidRDefault="005359B2" w:rsidP="005359B2">
      <w:pPr>
        <w:pStyle w:val="NoSpacing"/>
        <w:ind w:firstLine="720"/>
        <w:jc w:val="both"/>
        <w:rPr>
          <w:rFonts w:ascii="Book Antiqua" w:hAnsi="Book Antiqua"/>
          <w:sz w:val="20"/>
        </w:rPr>
      </w:pPr>
      <w:r>
        <w:rPr>
          <w:rFonts w:ascii="Book Antiqua" w:hAnsi="Book Antiqua"/>
          <w:sz w:val="20"/>
        </w:rPr>
        <w:t>This means</w:t>
      </w:r>
      <w:r w:rsidRPr="001A0924">
        <w:rPr>
          <w:rFonts w:ascii="Book Antiqua" w:hAnsi="Book Antiqua"/>
          <w:sz w:val="20"/>
        </w:rPr>
        <w:t xml:space="preserve"> that a drop in the power flowing in the current circuit produces </w:t>
      </w:r>
      <w:r>
        <w:rPr>
          <w:rFonts w:ascii="Book Antiqua" w:hAnsi="Book Antiqua"/>
          <w:sz w:val="20"/>
        </w:rPr>
        <w:t>a</w:t>
      </w:r>
      <w:r w:rsidRPr="001A0924">
        <w:rPr>
          <w:rFonts w:ascii="Book Antiqua" w:hAnsi="Book Antiqua"/>
          <w:sz w:val="20"/>
        </w:rPr>
        <w:t xml:space="preserve"> polar reversal. It does not matter whether that power is dropping because of mechanical driving of the dynamo fluid (as in the experiment), or because the strength of the electrical currents caused by the motion of those fluids is dropping. The option that concerns us here is that this is directly related to what we are looking at with an increasing ZPE. As the ZPE strength increases, the dynamo electric current drops and the magnetic field looses power and reverses. This is supported by other studies which show that </w:t>
      </w:r>
      <w:r w:rsidRPr="001A0924">
        <w:rPr>
          <w:rFonts w:ascii="Book Antiqua" w:hAnsi="Book Antiqua"/>
          <w:i/>
          <w:sz w:val="20"/>
        </w:rPr>
        <w:t>“A complex dynamo model reversal is compared with paleomagnetic  [data]. Both start with a gradual decrease of the dipole intensity, followed by a precursor reversal and transient polarity recovery, then a rapid dipole collapse and a final reversal that initiates with reverse flux generation in one hemisphere...”</w:t>
      </w:r>
      <w:r w:rsidRPr="001A0924">
        <w:rPr>
          <w:rFonts w:ascii="Book Antiqua" w:hAnsi="Book Antiqua"/>
          <w:sz w:val="20"/>
        </w:rPr>
        <w:t xml:space="preserve"> [79]</w:t>
      </w:r>
    </w:p>
    <w:p w:rsidR="005359B2" w:rsidRPr="001A0924" w:rsidRDefault="005359B2" w:rsidP="005359B2">
      <w:pPr>
        <w:pStyle w:val="NoSpacing"/>
        <w:rPr>
          <w:rFonts w:ascii="Book Antiqua" w:hAnsi="Book Antiqua"/>
          <w:sz w:val="20"/>
        </w:rPr>
      </w:pPr>
    </w:p>
    <w:p w:rsidR="005359B2" w:rsidRDefault="005359B2" w:rsidP="005359B2">
      <w:pPr>
        <w:pStyle w:val="NoSpacing"/>
        <w:ind w:firstLine="720"/>
        <w:jc w:val="both"/>
        <w:rPr>
          <w:rFonts w:ascii="Book Antiqua" w:hAnsi="Book Antiqua"/>
          <w:sz w:val="20"/>
        </w:rPr>
      </w:pPr>
      <w:r w:rsidRPr="001A0924">
        <w:rPr>
          <w:rFonts w:ascii="Book Antiqua" w:hAnsi="Book Antiqua"/>
          <w:sz w:val="20"/>
        </w:rPr>
        <w:t xml:space="preserve">So, once a stable core dynamo </w:t>
      </w:r>
      <w:r>
        <w:rPr>
          <w:rFonts w:ascii="Book Antiqua" w:hAnsi="Book Antiqua"/>
          <w:sz w:val="20"/>
        </w:rPr>
        <w:t>was</w:t>
      </w:r>
      <w:r w:rsidRPr="001A0924">
        <w:rPr>
          <w:rFonts w:ascii="Book Antiqua" w:hAnsi="Book Antiqua"/>
          <w:sz w:val="20"/>
        </w:rPr>
        <w:t xml:space="preserve"> in operation, and the ZPE continue</w:t>
      </w:r>
      <w:r>
        <w:rPr>
          <w:rFonts w:ascii="Book Antiqua" w:hAnsi="Book Antiqua"/>
          <w:sz w:val="20"/>
        </w:rPr>
        <w:t xml:space="preserve">d </w:t>
      </w:r>
      <w:r w:rsidRPr="001A0924">
        <w:rPr>
          <w:rFonts w:ascii="Book Antiqua" w:hAnsi="Book Antiqua"/>
          <w:sz w:val="20"/>
        </w:rPr>
        <w:t xml:space="preserve">to increase, the </w:t>
      </w:r>
      <w:r>
        <w:rPr>
          <w:rFonts w:ascii="Book Antiqua" w:hAnsi="Book Antiqua"/>
          <w:sz w:val="20"/>
        </w:rPr>
        <w:t xml:space="preserve">result was that </w:t>
      </w:r>
      <w:r w:rsidRPr="001A0924">
        <w:rPr>
          <w:rFonts w:ascii="Book Antiqua" w:hAnsi="Book Antiqua"/>
          <w:sz w:val="20"/>
        </w:rPr>
        <w:t>current from the dynamo drop</w:t>
      </w:r>
      <w:r>
        <w:rPr>
          <w:rFonts w:ascii="Book Antiqua" w:hAnsi="Book Antiqua"/>
          <w:sz w:val="20"/>
        </w:rPr>
        <w:t>ped</w:t>
      </w:r>
      <w:r w:rsidRPr="001A0924">
        <w:rPr>
          <w:rFonts w:ascii="Book Antiqua" w:hAnsi="Book Antiqua"/>
          <w:sz w:val="20"/>
        </w:rPr>
        <w:t xml:space="preserve"> and eventually reache</w:t>
      </w:r>
      <w:r>
        <w:rPr>
          <w:rFonts w:ascii="Book Antiqua" w:hAnsi="Book Antiqua"/>
          <w:sz w:val="20"/>
        </w:rPr>
        <w:t>d</w:t>
      </w:r>
      <w:r w:rsidRPr="001A0924">
        <w:rPr>
          <w:rFonts w:ascii="Book Antiqua" w:hAnsi="Book Antiqua"/>
          <w:sz w:val="20"/>
        </w:rPr>
        <w:t xml:space="preserve"> a point where an instability </w:t>
      </w:r>
      <w:r>
        <w:rPr>
          <w:rFonts w:ascii="Book Antiqua" w:hAnsi="Book Antiqua"/>
          <w:sz w:val="20"/>
        </w:rPr>
        <w:t>wa</w:t>
      </w:r>
      <w:r w:rsidRPr="001A0924">
        <w:rPr>
          <w:rFonts w:ascii="Book Antiqua" w:hAnsi="Book Antiqua"/>
          <w:sz w:val="20"/>
        </w:rPr>
        <w:t>s set up which induce</w:t>
      </w:r>
      <w:r>
        <w:rPr>
          <w:rFonts w:ascii="Book Antiqua" w:hAnsi="Book Antiqua"/>
          <w:sz w:val="20"/>
        </w:rPr>
        <w:t>d</w:t>
      </w:r>
      <w:r w:rsidRPr="001A0924">
        <w:rPr>
          <w:rFonts w:ascii="Book Antiqua" w:hAnsi="Book Antiqua"/>
          <w:sz w:val="20"/>
        </w:rPr>
        <w:t xml:space="preserve"> polar reversal. It has been shown that the magnetic field decay</w:t>
      </w:r>
      <w:r>
        <w:rPr>
          <w:rFonts w:ascii="Book Antiqua" w:hAnsi="Book Antiqua"/>
          <w:sz w:val="20"/>
        </w:rPr>
        <w:t>s</w:t>
      </w:r>
      <w:r w:rsidRPr="001A0924">
        <w:rPr>
          <w:rFonts w:ascii="Book Antiqua" w:hAnsi="Book Antiqua"/>
          <w:sz w:val="20"/>
        </w:rPr>
        <w:t xml:space="preserve"> before the reversal or transient occurs. Therefore, the geomagnetic dynamo </w:t>
      </w:r>
      <w:r>
        <w:rPr>
          <w:rFonts w:ascii="Book Antiqua" w:hAnsi="Book Antiqua"/>
          <w:sz w:val="20"/>
        </w:rPr>
        <w:t>was</w:t>
      </w:r>
      <w:r w:rsidRPr="001A0924">
        <w:rPr>
          <w:rFonts w:ascii="Book Antiqua" w:hAnsi="Book Antiqua"/>
          <w:sz w:val="20"/>
        </w:rPr>
        <w:t xml:space="preserve"> forced to decay and reverse because of the increase in the ZPE. It is during the stable times that the decay in the field strength can be noted</w:t>
      </w:r>
      <w:r>
        <w:rPr>
          <w:rFonts w:ascii="Book Antiqua" w:hAnsi="Book Antiqua"/>
          <w:sz w:val="20"/>
        </w:rPr>
        <w:t>,</w:t>
      </w:r>
      <w:r w:rsidRPr="001A0924">
        <w:rPr>
          <w:rFonts w:ascii="Book Antiqua" w:hAnsi="Book Antiqua"/>
          <w:sz w:val="20"/>
        </w:rPr>
        <w:t xml:space="preserve"> as we currently </w:t>
      </w:r>
      <w:r>
        <w:rPr>
          <w:rFonts w:ascii="Book Antiqua" w:hAnsi="Book Antiqua"/>
          <w:sz w:val="20"/>
        </w:rPr>
        <w:t>observe</w:t>
      </w:r>
      <w:r w:rsidRPr="001A0924">
        <w:rPr>
          <w:rFonts w:ascii="Book Antiqua" w:hAnsi="Book Antiqua"/>
          <w:sz w:val="20"/>
        </w:rPr>
        <w:t xml:space="preserve"> today</w:t>
      </w:r>
      <w:r>
        <w:rPr>
          <w:rFonts w:ascii="Book Antiqua" w:hAnsi="Book Antiqua"/>
          <w:sz w:val="20"/>
        </w:rPr>
        <w:t>,</w:t>
      </w:r>
      <w:r w:rsidRPr="001A0924">
        <w:rPr>
          <w:rFonts w:ascii="Book Antiqua" w:hAnsi="Book Antiqua"/>
          <w:sz w:val="20"/>
        </w:rPr>
        <w:t xml:space="preserve"> </w:t>
      </w:r>
      <w:r>
        <w:rPr>
          <w:rFonts w:ascii="Book Antiqua" w:hAnsi="Book Antiqua"/>
          <w:sz w:val="20"/>
        </w:rPr>
        <w:t>and which</w:t>
      </w:r>
      <w:r w:rsidRPr="001A0924">
        <w:rPr>
          <w:rFonts w:ascii="Book Antiqua" w:hAnsi="Book Antiqua"/>
          <w:sz w:val="20"/>
        </w:rPr>
        <w:t xml:space="preserve"> is noted in Figure </w:t>
      </w:r>
      <w:r>
        <w:rPr>
          <w:rFonts w:ascii="Book Antiqua" w:hAnsi="Book Antiqua"/>
          <w:sz w:val="20"/>
        </w:rPr>
        <w:t>13</w:t>
      </w:r>
      <w:r w:rsidRPr="001A0924">
        <w:rPr>
          <w:rFonts w:ascii="Book Antiqua" w:hAnsi="Book Antiqua"/>
          <w:sz w:val="20"/>
        </w:rPr>
        <w:t xml:space="preserve">. The following graph </w:t>
      </w:r>
      <w:r>
        <w:rPr>
          <w:rFonts w:ascii="Book Antiqua" w:hAnsi="Book Antiqua"/>
          <w:sz w:val="20"/>
        </w:rPr>
        <w:t>(</w:t>
      </w:r>
      <w:r w:rsidRPr="001A0924">
        <w:rPr>
          <w:rFonts w:ascii="Book Antiqua" w:hAnsi="Book Antiqua"/>
          <w:sz w:val="20"/>
        </w:rPr>
        <w:t>Figure 2</w:t>
      </w:r>
      <w:r>
        <w:rPr>
          <w:rFonts w:ascii="Book Antiqua" w:hAnsi="Book Antiqua"/>
          <w:sz w:val="20"/>
        </w:rPr>
        <w:t>7)</w:t>
      </w:r>
      <w:r w:rsidRPr="001A0924">
        <w:rPr>
          <w:rFonts w:ascii="Book Antiqua" w:hAnsi="Book Antiqua"/>
          <w:sz w:val="20"/>
        </w:rPr>
        <w:t xml:space="preserve"> shows the periods of polar reversals over geologic time.</w:t>
      </w:r>
    </w:p>
    <w:p w:rsidR="005359B2" w:rsidRDefault="005359B2" w:rsidP="005359B2">
      <w:pPr>
        <w:pStyle w:val="NoSpacing"/>
        <w:ind w:firstLine="720"/>
        <w:jc w:val="both"/>
        <w:rPr>
          <w:rFonts w:ascii="Book Antiqua" w:hAnsi="Book Antiqua"/>
          <w:sz w:val="20"/>
        </w:rPr>
      </w:pPr>
    </w:p>
    <w:p w:rsidR="005359B2" w:rsidRPr="00370948" w:rsidRDefault="005359B2" w:rsidP="005359B2">
      <w:pPr>
        <w:jc w:val="center"/>
        <w:rPr>
          <w:rFonts w:ascii="Book Antiqua" w:hAnsi="Book Antiqua"/>
        </w:rPr>
      </w:pPr>
      <w:r w:rsidRPr="00370948">
        <w:rPr>
          <w:rFonts w:ascii="Book Antiqua" w:hAnsi="Book Antiqua"/>
          <w:noProof/>
          <w:lang w:val="en-US"/>
        </w:rPr>
        <w:drawing>
          <wp:inline distT="0" distB="0" distL="0" distR="0">
            <wp:extent cx="6724650" cy="2543175"/>
            <wp:effectExtent l="19050" t="0" r="0" b="0"/>
            <wp:docPr id="170" name="Picture 16" descr="http://ars.els-cdn.com/content/image/1-s2.0-S0031920112001720-g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s.els-cdn.com/content/image/1-s2.0-S0031920112001720-gr8.jpg"/>
                    <pic:cNvPicPr>
                      <a:picLocks noChangeAspect="1" noChangeArrowheads="1"/>
                    </pic:cNvPicPr>
                  </pic:nvPicPr>
                  <pic:blipFill>
                    <a:blip r:embed="rId314" cstate="print"/>
                    <a:srcRect t="44257" r="-92"/>
                    <a:stretch>
                      <a:fillRect/>
                    </a:stretch>
                  </pic:blipFill>
                  <pic:spPr bwMode="auto">
                    <a:xfrm>
                      <a:off x="0" y="0"/>
                      <a:ext cx="6748014" cy="2552011"/>
                    </a:xfrm>
                    <a:prstGeom prst="rect">
                      <a:avLst/>
                    </a:prstGeom>
                    <a:noFill/>
                    <a:ln w="9525">
                      <a:noFill/>
                      <a:miter lim="800000"/>
                      <a:headEnd/>
                      <a:tailEnd/>
                    </a:ln>
                  </pic:spPr>
                </pic:pic>
              </a:graphicData>
            </a:graphic>
          </wp:inline>
        </w:drawing>
      </w:r>
    </w:p>
    <w:p w:rsidR="005359B2" w:rsidRPr="00370948" w:rsidRDefault="005359B2" w:rsidP="005359B2">
      <w:pPr>
        <w:rPr>
          <w:rFonts w:ascii="Book Antiqua" w:hAnsi="Book Antiqua"/>
          <w:sz w:val="18"/>
          <w:szCs w:val="18"/>
        </w:rPr>
      </w:pPr>
    </w:p>
    <w:p w:rsidR="005359B2" w:rsidRPr="00230752" w:rsidRDefault="005359B2" w:rsidP="005359B2">
      <w:pPr>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7</w:t>
      </w:r>
      <w:r w:rsidRPr="00230752">
        <w:rPr>
          <w:rFonts w:ascii="Book Antiqua" w:hAnsi="Book Antiqua"/>
          <w:b/>
          <w:i/>
          <w:sz w:val="18"/>
          <w:szCs w:val="18"/>
        </w:rPr>
        <w:t>:</w:t>
      </w:r>
      <w:r w:rsidRPr="00230752">
        <w:rPr>
          <w:rFonts w:ascii="Book Antiqua" w:hAnsi="Book Antiqua"/>
          <w:i/>
          <w:sz w:val="18"/>
          <w:szCs w:val="18"/>
        </w:rPr>
        <w:t xml:space="preserve"> Reversals of the Earth’s magnetic field through geologic time back to 540 million atomic years ago. Black is normal, white is reversed.</w:t>
      </w:r>
    </w:p>
    <w:p w:rsidR="005359B2"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ind w:left="720"/>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.2. The Role of Water in Planetary Geology.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As the interior of the earth and the other planets heated up, two things happened. First, the water in the crystal lattices and interstices between the minerals and grains in the planetary interiors was driven off and internal pressure moved it towards the surface. Second, continued heating eventually cause</w:t>
      </w:r>
      <w:r>
        <w:rPr>
          <w:rFonts w:ascii="Book Antiqua" w:hAnsi="Book Antiqua"/>
          <w:sz w:val="20"/>
        </w:rPr>
        <w:t>d</w:t>
      </w:r>
      <w:r w:rsidRPr="00370948">
        <w:rPr>
          <w:rFonts w:ascii="Book Antiqua" w:hAnsi="Book Antiqua"/>
          <w:sz w:val="20"/>
        </w:rPr>
        <w:t xml:space="preserve"> the mantle rock to expand and increase in volume. It has been stated that when rock becomes liquid, its volume increases by 10%. This places pressure on planetary crusts and fracturing occurs.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 xml:space="preserve">We can get an idea of how much water was in the original mantle and crust by looking at meteorites.  Those that are considered to be from the earliest bodies in our solar system – the carbonaceous chondrites - contain up to 20% water in their crystal lattices and interstitial locations.  </w:t>
      </w:r>
      <w:r>
        <w:rPr>
          <w:rFonts w:ascii="Book Antiqua" w:hAnsi="Book Antiqua"/>
          <w:sz w:val="20"/>
        </w:rPr>
        <w:t xml:space="preserve">If the chondrites are indicative of what was in the core of the early planets, then we can see what happened.  </w:t>
      </w:r>
      <w:r w:rsidRPr="00370948">
        <w:rPr>
          <w:rFonts w:ascii="Book Antiqua" w:hAnsi="Book Antiqua"/>
          <w:sz w:val="20"/>
        </w:rPr>
        <w:t>Heat dr</w:t>
      </w:r>
      <w:r>
        <w:rPr>
          <w:rFonts w:ascii="Book Antiqua" w:hAnsi="Book Antiqua"/>
          <w:sz w:val="20"/>
        </w:rPr>
        <w:t>ove</w:t>
      </w:r>
      <w:r w:rsidRPr="00370948">
        <w:rPr>
          <w:rFonts w:ascii="Book Antiqua" w:hAnsi="Book Antiqua"/>
          <w:sz w:val="20"/>
        </w:rPr>
        <w:t xml:space="preserve"> this water out and the water would then have move</w:t>
      </w:r>
      <w:r>
        <w:rPr>
          <w:rFonts w:ascii="Book Antiqua" w:hAnsi="Book Antiqua"/>
          <w:sz w:val="20"/>
        </w:rPr>
        <w:t>d</w:t>
      </w:r>
      <w:r w:rsidRPr="00370948">
        <w:rPr>
          <w:rFonts w:ascii="Book Antiqua" w:hAnsi="Book Antiqua"/>
          <w:sz w:val="20"/>
        </w:rPr>
        <w:t xml:space="preserve"> toward the surface, </w:t>
      </w:r>
      <w:r>
        <w:rPr>
          <w:rFonts w:ascii="Book Antiqua" w:hAnsi="Book Antiqua"/>
          <w:sz w:val="20"/>
        </w:rPr>
        <w:t>in response to pressure</w:t>
      </w:r>
      <w:r w:rsidRPr="00370948">
        <w:rPr>
          <w:rFonts w:ascii="Book Antiqua" w:hAnsi="Book Antiqua"/>
          <w:sz w:val="20"/>
        </w:rPr>
        <w:t xml:space="preserve"> from below.  Should enough water and pressure build up, eventually the water would have to escape, bursting out in what appears to be a ca</w:t>
      </w:r>
      <w:r>
        <w:rPr>
          <w:rFonts w:ascii="Book Antiqua" w:hAnsi="Book Antiqua"/>
          <w:sz w:val="20"/>
        </w:rPr>
        <w:t>tastrophic episode on Mars, Earth and Venus.</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If something this catastrophic did happen on earth at any time, it </w:t>
      </w:r>
      <w:r>
        <w:rPr>
          <w:rFonts w:ascii="Book Antiqua" w:hAnsi="Book Antiqua"/>
          <w:sz w:val="20"/>
        </w:rPr>
        <w:t>must</w:t>
      </w:r>
      <w:r w:rsidRPr="00370948">
        <w:rPr>
          <w:rFonts w:ascii="Book Antiqua" w:hAnsi="Book Antiqua"/>
          <w:sz w:val="20"/>
        </w:rPr>
        <w:t xml:space="preserve"> have left evidence in our geologic strata. There is an interesting series below the Cambrian which may be an indication of this event.  In the Neo-Proterozoic there is something referred to as the “Snowball Earth” strata of the Cryogenian period.  Here we find, shortly above its beginning, a layer of rubble, on average 300 meters (a thousand feet) or more thick, in various places around the world. This layer is usually referred to as a diamictite or tillite.  It is made up of rocks of various sizes, compositions and points of origin, all cemented together in a limestone matrix.  Because glaciers are the only things known today which could move that much rock from diverse locations and cement it together, it is often assumed that this layer indicates the earth was completely covered by ice at this time – thus the ‘snowball earth’ label.  Shown in Figure 2</w:t>
      </w:r>
      <w:r>
        <w:rPr>
          <w:rFonts w:ascii="Book Antiqua" w:hAnsi="Book Antiqua"/>
          <w:sz w:val="20"/>
        </w:rPr>
        <w:t>8</w:t>
      </w:r>
      <w:r w:rsidRPr="00370948">
        <w:rPr>
          <w:rFonts w:ascii="Book Antiqua" w:hAnsi="Book Antiqua"/>
          <w:sz w:val="20"/>
        </w:rPr>
        <w:t xml:space="preserve"> is a sample of the diamictite in South  Australia, which is 300 meters  thick.</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783393" cy="4838700"/>
            <wp:effectExtent l="19050" t="0" r="7807" b="0"/>
            <wp:docPr id="172" name="Picture 2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
                    <pic:cNvPicPr>
                      <a:picLocks noChangeAspect="1" noChangeArrowheads="1"/>
                    </pic:cNvPicPr>
                  </pic:nvPicPr>
                  <pic:blipFill>
                    <a:blip r:embed="rId315" cstate="print">
                      <a:lum contrast="20000"/>
                    </a:blip>
                    <a:srcRect t="20013" r="776" b="4554"/>
                    <a:stretch>
                      <a:fillRect/>
                    </a:stretch>
                  </pic:blipFill>
                  <pic:spPr bwMode="auto">
                    <a:xfrm>
                      <a:off x="0" y="0"/>
                      <a:ext cx="5786384" cy="484120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Figure 2</w:t>
      </w:r>
      <w:r>
        <w:rPr>
          <w:rFonts w:ascii="Book Antiqua" w:hAnsi="Book Antiqua"/>
          <w:b/>
          <w:i/>
          <w:sz w:val="18"/>
          <w:szCs w:val="18"/>
        </w:rPr>
        <w:t>8</w:t>
      </w:r>
      <w:r w:rsidRPr="00230752">
        <w:rPr>
          <w:rFonts w:ascii="Book Antiqua" w:hAnsi="Book Antiqua"/>
          <w:b/>
          <w:i/>
          <w:sz w:val="18"/>
          <w:szCs w:val="18"/>
        </w:rPr>
        <w:t>:</w:t>
      </w:r>
      <w:r w:rsidRPr="00230752">
        <w:rPr>
          <w:rFonts w:ascii="Book Antiqua" w:hAnsi="Book Antiqua"/>
          <w:i/>
          <w:sz w:val="18"/>
          <w:szCs w:val="18"/>
        </w:rPr>
        <w:t xml:space="preserve"> A segment of the diamictite sequence known as the Sturt Tillite in the Neoproterozoic (Cryogenian) in South Australia. The greenish-brown rock in the upper middle of the image was transported from a distance of over 300 km to the west of the Sturt Gorge, south of Adelaide, where this sequence is found.</w:t>
      </w:r>
    </w:p>
    <w:p w:rsidR="005359B2" w:rsidRPr="00370948" w:rsidRDefault="005359B2" w:rsidP="005359B2">
      <w:pPr>
        <w:pStyle w:val="NoSpacing"/>
        <w:rPr>
          <w:rFonts w:ascii="Book Antiqua" w:hAnsi="Book Antiqua"/>
          <w:sz w:val="18"/>
          <w:szCs w:val="18"/>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problem with this interpretation is that the type of limestone in which these rocks are cemented can only form in warm to hot water.  This is what would be expected of waters bursting out from under the crust.  The violent force of these hot bursting waters would also be sufficient to carry all manner of rocks, pebbles, and boulders great distances.  </w:t>
      </w:r>
    </w:p>
    <w:p w:rsidR="005359B2" w:rsidRPr="00370948"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bCs/>
          <w:iCs/>
          <w:color w:val="000000"/>
          <w:sz w:val="20"/>
        </w:rPr>
      </w:pPr>
      <w:r w:rsidRPr="00370948">
        <w:rPr>
          <w:rFonts w:ascii="Book Antiqua" w:hAnsi="Book Antiqua"/>
          <w:bCs/>
          <w:iCs/>
          <w:color w:val="000000"/>
          <w:sz w:val="20"/>
        </w:rPr>
        <w:t xml:space="preserve">Such an outpouring of heated water would have been catastrophic to any life on earth at the time.  Some evidence suggests this. Directly above the tillite layer there are 2.5 kilometers (about 2 miles) of finely laminated siltstone, rich in carbon and kerogen.  </w:t>
      </w:r>
      <w:r>
        <w:rPr>
          <w:rFonts w:ascii="Book Antiqua" w:hAnsi="Book Antiqua"/>
          <w:bCs/>
          <w:iCs/>
          <w:color w:val="000000"/>
          <w:sz w:val="20"/>
        </w:rPr>
        <w:t>Today, k</w:t>
      </w:r>
      <w:r w:rsidRPr="00370948">
        <w:rPr>
          <w:rFonts w:ascii="Book Antiqua" w:hAnsi="Book Antiqua"/>
          <w:bCs/>
          <w:iCs/>
          <w:color w:val="000000"/>
          <w:sz w:val="20"/>
        </w:rPr>
        <w:t xml:space="preserve">erogen </w:t>
      </w:r>
      <w:r>
        <w:rPr>
          <w:rFonts w:ascii="Book Antiqua" w:hAnsi="Book Antiqua"/>
          <w:bCs/>
          <w:iCs/>
          <w:color w:val="000000"/>
          <w:sz w:val="20"/>
        </w:rPr>
        <w:t>often</w:t>
      </w:r>
      <w:r w:rsidRPr="00370948">
        <w:rPr>
          <w:rFonts w:ascii="Book Antiqua" w:hAnsi="Book Antiqua"/>
          <w:bCs/>
          <w:iCs/>
          <w:color w:val="000000"/>
          <w:sz w:val="20"/>
        </w:rPr>
        <w:t xml:space="preserve"> comes from the breakdown of flesh and muscle tissue.  This very thick layer is found in a number of places around the world. Figure 2</w:t>
      </w:r>
      <w:r>
        <w:rPr>
          <w:rFonts w:ascii="Book Antiqua" w:hAnsi="Book Antiqua"/>
          <w:bCs/>
          <w:iCs/>
          <w:color w:val="000000"/>
          <w:sz w:val="20"/>
        </w:rPr>
        <w:t>9</w:t>
      </w:r>
      <w:r w:rsidRPr="00370948">
        <w:rPr>
          <w:rFonts w:ascii="Book Antiqua" w:hAnsi="Book Antiqua"/>
          <w:bCs/>
          <w:iCs/>
          <w:color w:val="000000"/>
          <w:sz w:val="20"/>
        </w:rPr>
        <w:t xml:space="preserve"> shows this layer in South Australia known as the Tapley Hill sequence</w:t>
      </w:r>
      <w:r>
        <w:rPr>
          <w:rFonts w:ascii="Book Antiqua" w:hAnsi="Book Antiqua"/>
          <w:bCs/>
          <w:iCs/>
          <w:color w:val="000000"/>
          <w:sz w:val="20"/>
        </w:rPr>
        <w:t xml:space="preserve"> and </w:t>
      </w:r>
      <w:r w:rsidRPr="00370948">
        <w:rPr>
          <w:rFonts w:ascii="Book Antiqua" w:hAnsi="Book Antiqua"/>
          <w:bCs/>
          <w:iCs/>
          <w:color w:val="000000"/>
          <w:sz w:val="20"/>
        </w:rPr>
        <w:t xml:space="preserve">capped with a diagnostic limestone layer. This carbonate capping is found to end the sequence </w:t>
      </w:r>
      <w:r>
        <w:rPr>
          <w:rFonts w:ascii="Book Antiqua" w:hAnsi="Book Antiqua"/>
          <w:bCs/>
          <w:iCs/>
          <w:color w:val="000000"/>
          <w:sz w:val="20"/>
        </w:rPr>
        <w:t xml:space="preserve">world-wide. </w:t>
      </w:r>
    </w:p>
    <w:p w:rsidR="005359B2" w:rsidRPr="00370948" w:rsidRDefault="005359B2" w:rsidP="005359B2">
      <w:pPr>
        <w:pStyle w:val="NoSpacing"/>
        <w:ind w:firstLine="720"/>
        <w:jc w:val="both"/>
        <w:rPr>
          <w:rFonts w:ascii="Book Antiqua" w:hAnsi="Book Antiqua"/>
          <w:bCs/>
          <w:iCs/>
          <w:color w:val="000000"/>
          <w:sz w:val="20"/>
        </w:rPr>
      </w:pPr>
    </w:p>
    <w:p w:rsidR="005359B2" w:rsidRPr="00370948" w:rsidRDefault="005359B2" w:rsidP="005359B2">
      <w:pPr>
        <w:pStyle w:val="NoSpacing"/>
        <w:jc w:val="center"/>
        <w:rPr>
          <w:rFonts w:ascii="Book Antiqua" w:hAnsi="Book Antiqua"/>
          <w:b/>
          <w:bCs/>
          <w:iCs/>
          <w:color w:val="000000"/>
          <w:sz w:val="20"/>
        </w:rPr>
      </w:pPr>
      <w:r w:rsidRPr="00370948">
        <w:rPr>
          <w:rFonts w:ascii="Book Antiqua" w:hAnsi="Book Antiqua"/>
          <w:noProof/>
          <w:sz w:val="20"/>
        </w:rPr>
        <w:drawing>
          <wp:inline distT="0" distB="0" distL="0" distR="0">
            <wp:extent cx="6158913" cy="4339831"/>
            <wp:effectExtent l="19050" t="0" r="0" b="0"/>
            <wp:docPr id="177" name="Picture 56" descr="http://www.setterfield.org/Weekly%20Bible%20Studies/weeklystudies3_clip_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etterfield.org/Weekly%20Bible%20Studies/weeklystudies3_clip_image006.jpg"/>
                    <pic:cNvPicPr>
                      <a:picLocks noChangeAspect="1" noChangeArrowheads="1"/>
                    </pic:cNvPicPr>
                  </pic:nvPicPr>
                  <pic:blipFill>
                    <a:blip r:embed="rId316" cstate="print"/>
                    <a:srcRect/>
                    <a:stretch>
                      <a:fillRect/>
                    </a:stretch>
                  </pic:blipFill>
                  <pic:spPr bwMode="auto">
                    <a:xfrm>
                      <a:off x="0" y="0"/>
                      <a:ext cx="6178388" cy="435355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bCs/>
          <w:iCs/>
          <w:color w:val="000000"/>
          <w:sz w:val="20"/>
        </w:rPr>
      </w:pPr>
    </w:p>
    <w:p w:rsidR="005359B2" w:rsidRDefault="005359B2" w:rsidP="005359B2">
      <w:pPr>
        <w:pStyle w:val="NoSpacing"/>
        <w:rPr>
          <w:rFonts w:ascii="Book Antiqua" w:hAnsi="Book Antiqua"/>
          <w:bCs/>
          <w:i/>
          <w:iCs/>
          <w:color w:val="000000"/>
          <w:sz w:val="18"/>
          <w:szCs w:val="18"/>
        </w:rPr>
      </w:pPr>
      <w:r w:rsidRPr="00230752">
        <w:rPr>
          <w:rFonts w:ascii="Book Antiqua" w:hAnsi="Book Antiqua"/>
          <w:b/>
          <w:bCs/>
          <w:i/>
          <w:iCs/>
          <w:color w:val="000000"/>
          <w:sz w:val="18"/>
          <w:szCs w:val="18"/>
        </w:rPr>
        <w:t>Figure 2</w:t>
      </w:r>
      <w:r>
        <w:rPr>
          <w:rFonts w:ascii="Book Antiqua" w:hAnsi="Book Antiqua"/>
          <w:b/>
          <w:bCs/>
          <w:i/>
          <w:iCs/>
          <w:color w:val="000000"/>
          <w:sz w:val="18"/>
          <w:szCs w:val="18"/>
        </w:rPr>
        <w:t>9</w:t>
      </w:r>
      <w:r w:rsidRPr="00230752">
        <w:rPr>
          <w:rFonts w:ascii="Book Antiqua" w:hAnsi="Book Antiqua"/>
          <w:b/>
          <w:bCs/>
          <w:i/>
          <w:iCs/>
          <w:color w:val="000000"/>
          <w:sz w:val="18"/>
          <w:szCs w:val="18"/>
        </w:rPr>
        <w:t>:</w:t>
      </w:r>
      <w:r w:rsidRPr="00230752">
        <w:rPr>
          <w:rFonts w:ascii="Book Antiqua" w:hAnsi="Book Antiqua"/>
          <w:bCs/>
          <w:i/>
          <w:iCs/>
          <w:color w:val="000000"/>
          <w:sz w:val="18"/>
          <w:szCs w:val="18"/>
        </w:rPr>
        <w:t xml:space="preserve"> Finely layered carbon-rich strata of the 2.5 km thick Tapley Hill sequence which overlays the Sturt tillite. Both ripple marks at the top of the sequence (upper left) and turbulent flow structures at the bottom suggest the earth was not covered by ice at this time as the “snowball earth” advocates claim. When taken in conjunction with the tillite in Figure </w:t>
      </w:r>
      <w:r>
        <w:rPr>
          <w:rFonts w:ascii="Book Antiqua" w:hAnsi="Book Antiqua"/>
          <w:bCs/>
          <w:i/>
          <w:iCs/>
          <w:color w:val="000000"/>
          <w:sz w:val="18"/>
          <w:szCs w:val="18"/>
        </w:rPr>
        <w:t>22</w:t>
      </w:r>
      <w:r w:rsidRPr="00230752">
        <w:rPr>
          <w:rFonts w:ascii="Book Antiqua" w:hAnsi="Book Antiqua"/>
          <w:bCs/>
          <w:i/>
          <w:iCs/>
          <w:color w:val="000000"/>
          <w:sz w:val="18"/>
          <w:szCs w:val="18"/>
        </w:rPr>
        <w:t>, the evidence is consistent with a massive outgassing of water from earth’s interior which later gave rise to calmer, deep water, sediments.</w:t>
      </w:r>
    </w:p>
    <w:p w:rsidR="00EF1884" w:rsidRDefault="00EF1884" w:rsidP="005359B2">
      <w:pPr>
        <w:pStyle w:val="NoSpacing"/>
        <w:rPr>
          <w:rFonts w:ascii="Book Antiqua" w:hAnsi="Book Antiqua"/>
          <w:bCs/>
          <w:i/>
          <w:iCs/>
          <w:color w:val="000000"/>
          <w:sz w:val="18"/>
          <w:szCs w:val="18"/>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.3. Water and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Evidence suggests that something similar might have occurred on Venus. The ratio of deuterium to hydrogen in the atmosphere of Venus is the key data here. On 3 June, 1993, D.H. Grinspoon, pointed out that </w:t>
      </w:r>
      <w:r w:rsidRPr="00370948">
        <w:rPr>
          <w:rFonts w:ascii="Book Antiqua" w:hAnsi="Book Antiqua"/>
          <w:i/>
          <w:sz w:val="20"/>
        </w:rPr>
        <w:t xml:space="preserve">”The high abundance ratio of deuterium to hydrogen in the atmosphere of Venus (120 times that on Earth) can be interpreted either as a signature of a lost </w:t>
      </w:r>
      <w:r w:rsidRPr="00370948">
        <w:rPr>
          <w:rFonts w:ascii="Book Antiqua" w:hAnsi="Book Antiqua"/>
          <w:i/>
          <w:sz w:val="20"/>
        </w:rPr>
        <w:lastRenderedPageBreak/>
        <w:t xml:space="preserve">primordial ocean [Donahue et al, </w:t>
      </w:r>
      <w:r w:rsidRPr="00370948">
        <w:rPr>
          <w:rStyle w:val="Emphasis"/>
          <w:rFonts w:ascii="Book Antiqua" w:hAnsi="Book Antiqua"/>
          <w:sz w:val="20"/>
        </w:rPr>
        <w:t>Science</w:t>
      </w:r>
      <w:r w:rsidRPr="00370948">
        <w:rPr>
          <w:rFonts w:ascii="Book Antiqua" w:hAnsi="Book Antiqua"/>
          <w:i/>
          <w:sz w:val="20"/>
        </w:rPr>
        <w:t xml:space="preserve"> </w:t>
      </w:r>
      <w:r w:rsidRPr="00370948">
        <w:rPr>
          <w:rStyle w:val="Strong"/>
          <w:rFonts w:ascii="Book Antiqua" w:eastAsia="Calibri" w:hAnsi="Book Antiqua"/>
          <w:i/>
          <w:sz w:val="20"/>
        </w:rPr>
        <w:t>216</w:t>
      </w:r>
      <w:r w:rsidRPr="00370948">
        <w:rPr>
          <w:rFonts w:ascii="Book Antiqua" w:hAnsi="Book Antiqua"/>
          <w:i/>
          <w:sz w:val="20"/>
        </w:rPr>
        <w:t xml:space="preserve">, 630-633 (1982)], or a steady state in which water is continuously supplied to the surface of Venus by … volcanic outgassing…” </w:t>
      </w:r>
      <w:r w:rsidRPr="00370948">
        <w:rPr>
          <w:rFonts w:ascii="Book Antiqua" w:hAnsi="Book Antiqua"/>
          <w:sz w:val="20"/>
        </w:rPr>
        <w:t>[80] This tends to support the idea that water has been driven out of the interior of the planet towards the surface.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Cambridge Atlas of Astronomy, pp. 74-75, says</w:t>
      </w:r>
      <w:r w:rsidRPr="00370948">
        <w:rPr>
          <w:rStyle w:val="Emphasis"/>
          <w:rFonts w:ascii="Book Antiqua" w:hAnsi="Book Antiqua"/>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370948">
        <w:rPr>
          <w:rFonts w:ascii="Book Antiqua" w:hAnsi="Book Antiqua"/>
          <w:sz w:val="20"/>
        </w:rPr>
        <w:t xml:space="preserve"> [81] The advent of this water in the atmosphere is a clue as to what happened.  The water was outgassed from the interior either as a continuous process or in a catastrophic episode. The water was then lost through increasing heat and other escape mechanisms.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bCs/>
          <w:i/>
          <w:iCs/>
          <w:color w:val="000000"/>
          <w:sz w:val="20"/>
        </w:rPr>
      </w:pPr>
      <w:r>
        <w:rPr>
          <w:rFonts w:ascii="Book Antiqua" w:hAnsi="Book Antiqua"/>
          <w:bCs/>
          <w:i/>
          <w:iCs/>
          <w:color w:val="000000"/>
          <w:sz w:val="20"/>
        </w:rPr>
        <w:t>11</w:t>
      </w:r>
      <w:r w:rsidRPr="00370948">
        <w:rPr>
          <w:rFonts w:ascii="Book Antiqua" w:hAnsi="Book Antiqua"/>
          <w:bCs/>
          <w:i/>
          <w:iCs/>
          <w:color w:val="000000"/>
          <w:sz w:val="20"/>
        </w:rPr>
        <w:t>.4. Water and Mars.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action of water on the surface of Mars has been dated at 1.39 billion atomic years using the rubidium/strontium system on carbonate minerals in meteorite ALH84001 from Mars [82]. There is evidence of considerable surface erosion associated with this phase of activity.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largest outflow channel system on Mars is found on the north-west slopes of the Tharsis region (see Figure </w:t>
      </w:r>
      <w:r>
        <w:rPr>
          <w:rFonts w:ascii="Book Antiqua" w:hAnsi="Book Antiqua"/>
          <w:sz w:val="20"/>
        </w:rPr>
        <w:t>30</w:t>
      </w:r>
      <w:r w:rsidRPr="00370948">
        <w:rPr>
          <w:rFonts w:ascii="Book Antiqua" w:hAnsi="Book Antiqua"/>
          <w:sz w:val="20"/>
        </w:rPr>
        <w:t xml:space="preserve">). Dr James M. Dohm of the University of Arizona stated: </w:t>
      </w:r>
      <w:r w:rsidRPr="00370948">
        <w:rPr>
          <w:rStyle w:val="Emphasis"/>
          <w:rFonts w:ascii="Book Antiqua" w:hAnsi="Book Antiqua"/>
          <w:sz w:val="20"/>
        </w:rPr>
        <w:t>"The best explanation is that they were formed by catastrophic floods that at their peak potentially discharged as much as 50,000 times the flow of the Amazon river, Earth's largest river."</w:t>
      </w:r>
      <w:r w:rsidRPr="00370948">
        <w:rPr>
          <w:rFonts w:ascii="Book Antiqua" w:hAnsi="Book Antiqua"/>
          <w:sz w:val="20"/>
        </w:rPr>
        <w:t xml:space="preserve"> [83]</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1257" cy="3842017"/>
            <wp:effectExtent l="19050" t="0" r="7093" b="0"/>
            <wp:docPr id="180" name="il_fi" descr="http://abyss.uoregon.edu/~js/images/thar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byss.uoregon.edu/~js/images/tharsis.jpg"/>
                    <pic:cNvPicPr>
                      <a:picLocks noChangeAspect="1" noChangeArrowheads="1"/>
                    </pic:cNvPicPr>
                  </pic:nvPicPr>
                  <pic:blipFill>
                    <a:blip r:embed="rId317" cstate="print"/>
                    <a:srcRect l="2083" t="7887" r="5545" b="2545"/>
                    <a:stretch>
                      <a:fillRect/>
                    </a:stretch>
                  </pic:blipFill>
                  <pic:spPr bwMode="auto">
                    <a:xfrm>
                      <a:off x="0" y="0"/>
                      <a:ext cx="5848323" cy="3846665"/>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30</w:t>
      </w:r>
      <w:r w:rsidRPr="00230752">
        <w:rPr>
          <w:rFonts w:ascii="Book Antiqua" w:hAnsi="Book Antiqua"/>
          <w:b/>
          <w:i/>
          <w:sz w:val="18"/>
          <w:szCs w:val="18"/>
        </w:rPr>
        <w:t>:</w:t>
      </w:r>
      <w:r w:rsidRPr="00230752">
        <w:rPr>
          <w:rFonts w:ascii="Book Antiqua" w:hAnsi="Book Antiqua"/>
          <w:i/>
          <w:sz w:val="18"/>
          <w:szCs w:val="18"/>
        </w:rPr>
        <w:t xml:space="preserve"> Tharsis outflow channels, Mars. High areas red; low areas blue.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In a news release from the University of Arizona for 3rd August 2001 Dohm elaborated further: </w:t>
      </w:r>
      <w:r w:rsidRPr="00370948">
        <w:rPr>
          <w:rStyle w:val="Emphasis"/>
          <w:rFonts w:ascii="Book Antiqua" w:hAnsi="Book Antiqua"/>
          <w:sz w:val="20"/>
        </w:rPr>
        <w:t xml:space="preserve">"At sustained peak discharge rates, floods through the valleys would have filled a large ocean (96 million cubic kilometres) hypothesized for northern </w:t>
      </w:r>
      <w:r w:rsidRPr="00370948">
        <w:rPr>
          <w:rStyle w:val="Emphasis"/>
          <w:rFonts w:ascii="Book Antiqua" w:hAnsi="Book Antiqua"/>
          <w:sz w:val="20"/>
        </w:rPr>
        <w:lastRenderedPageBreak/>
        <w:t>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370948">
        <w:rPr>
          <w:rFonts w:ascii="Book Antiqua" w:hAnsi="Book Antiqua"/>
          <w:sz w:val="20"/>
        </w:rPr>
        <w:t xml:space="preserve"> The basis for these statements appears in Journal of Geophysical Research [84].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In a 2001 article on Mars</w:t>
      </w:r>
      <w:hyperlink r:id="rId318" w:history="1"/>
      <w:r w:rsidRPr="00370948">
        <w:rPr>
          <w:rFonts w:ascii="Book Antiqua" w:hAnsi="Book Antiqua"/>
          <w:sz w:val="20"/>
        </w:rPr>
        <w:t xml:space="preserve">, the statement was made that </w:t>
      </w:r>
      <w:r w:rsidRPr="00370948">
        <w:rPr>
          <w:rStyle w:val="Emphasis"/>
          <w:rFonts w:ascii="Book Antiqua" w:hAnsi="Book Antiqua"/>
          <w:sz w:val="20"/>
        </w:rPr>
        <w:t xml:space="preserve">"scientists have always had a great deal of trouble explaining just where those gigantic eruptions of high- pressure water came from </w:t>
      </w:r>
      <w:r w:rsidRPr="00370948">
        <w:rPr>
          <w:rStyle w:val="Emphasis"/>
          <w:rFonts w:ascii="Book Antiqua" w:hAnsi="Book Antiqua"/>
          <w:sz w:val="20"/>
        </w:rPr>
        <w:softHyphen/>
        <w:t xml:space="preserve"> especially since the patches of collapsed, ’chaotic’ ground from which they seem to have gushed usually don't look anywhere near big enough to contain amounts of water capable of carving such huge flood channels." </w:t>
      </w:r>
      <w:r w:rsidRPr="00370948">
        <w:rPr>
          <w:rStyle w:val="Emphasis"/>
          <w:rFonts w:ascii="Book Antiqua" w:hAnsi="Book Antiqua"/>
          <w:i w:val="0"/>
          <w:sz w:val="20"/>
        </w:rPr>
        <w:t>[85]</w:t>
      </w:r>
      <w:r w:rsidRPr="00370948">
        <w:rPr>
          <w:rFonts w:ascii="Book Antiqua" w:hAnsi="Book Antiqua"/>
          <w:sz w:val="20"/>
        </w:rPr>
        <w:t xml:space="preserve"> Despite the various solutions proposed, the matter is still one of debate. However, one possible answer to the problem is that these patches of collapsed, "chaotic" ground may in fact be the location of the Martian equivalent of earth's black smokers of the south-east Pacific rise.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t>11</w:t>
      </w:r>
      <w:r w:rsidRPr="00370948">
        <w:rPr>
          <w:rFonts w:ascii="Book Antiqua" w:hAnsi="Book Antiqua"/>
          <w:bCs/>
          <w:i/>
          <w:iCs/>
          <w:color w:val="000000"/>
          <w:sz w:val="20"/>
        </w:rPr>
        <w:t xml:space="preserve">.5. Magma Outpouring </w:t>
      </w:r>
      <w:r>
        <w:rPr>
          <w:rFonts w:ascii="Book Antiqua" w:hAnsi="Book Antiqua"/>
          <w:bCs/>
          <w:i/>
          <w:iCs/>
          <w:color w:val="000000"/>
          <w:sz w:val="20"/>
        </w:rPr>
        <w:t>a</w:t>
      </w:r>
      <w:r w:rsidRPr="00370948">
        <w:rPr>
          <w:rFonts w:ascii="Book Antiqua" w:hAnsi="Book Antiqua"/>
          <w:bCs/>
          <w:i/>
          <w:iCs/>
          <w:color w:val="000000"/>
          <w:sz w:val="20"/>
        </w:rPr>
        <w:t>nd Venus.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sz w:val="20"/>
        </w:rPr>
      </w:pPr>
      <w:r w:rsidRPr="00370948">
        <w:rPr>
          <w:rFonts w:ascii="Book Antiqua" w:hAnsi="Book Antiqua"/>
          <w:sz w:val="20"/>
        </w:rPr>
        <w:t xml:space="preserve">After the violent outgassing of the waters, the internal heating of the planets continued.  The planetary interiors gradually became molten. </w:t>
      </w:r>
      <w:r>
        <w:rPr>
          <w:rFonts w:ascii="Book Antiqua" w:hAnsi="Book Antiqua"/>
          <w:sz w:val="20"/>
        </w:rPr>
        <w:t xml:space="preserve">Since rock expands in volume as it becomes molten, this place increasing pressure on the crust. </w:t>
      </w:r>
      <w:r w:rsidRPr="00370948">
        <w:rPr>
          <w:rFonts w:ascii="Book Antiqua" w:hAnsi="Book Antiqua"/>
          <w:sz w:val="20"/>
        </w:rPr>
        <w:t>Magma, responding to this pressure, would have also worked its way to, and up through, the crust of the inner planets.  Enough magma extruding in this fashion could completely resurface a planet as has happened in the case of Venus. It is this intense magma extrusion which probably evaporated all the previously outgassed water and/or ocean on the surface of</w:t>
      </w:r>
      <w:r>
        <w:rPr>
          <w:rFonts w:ascii="Book Antiqua" w:hAnsi="Book Antiqua"/>
          <w:sz w:val="20"/>
        </w:rPr>
        <w:t xml:space="preserve"> Venus.</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95875" cy="2676525"/>
            <wp:effectExtent l="19050" t="0" r="0" b="0"/>
            <wp:docPr id="964" name="il_fi" descr="http://nssdc.gsfc.nasa.gov/image/planetary/venus/pvo_topo_mer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ssdc.gsfc.nasa.gov/image/planetary/venus/pvo_topo_mercator.jpg"/>
                    <pic:cNvPicPr>
                      <a:picLocks noChangeAspect="1" noChangeArrowheads="1"/>
                    </pic:cNvPicPr>
                  </pic:nvPicPr>
                  <pic:blipFill>
                    <a:blip r:embed="rId319" cstate="print">
                      <a:lum bright="20000" contrast="30000"/>
                    </a:blip>
                    <a:srcRect t="14596" r="17625" b="6211"/>
                    <a:stretch>
                      <a:fillRect/>
                    </a:stretch>
                  </pic:blipFill>
                  <pic:spPr bwMode="auto">
                    <a:xfrm>
                      <a:off x="0" y="0"/>
                      <a:ext cx="5107237" cy="2682493"/>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31</w:t>
      </w:r>
      <w:r w:rsidRPr="00230752">
        <w:rPr>
          <w:rFonts w:ascii="Book Antiqua" w:hAnsi="Book Antiqua"/>
          <w:b/>
          <w:i/>
          <w:sz w:val="18"/>
          <w:szCs w:val="18"/>
        </w:rPr>
        <w:t>:</w:t>
      </w:r>
      <w:r w:rsidRPr="00230752">
        <w:rPr>
          <w:rFonts w:ascii="Book Antiqua" w:hAnsi="Book Antiqua"/>
          <w:i/>
          <w:sz w:val="18"/>
          <w:szCs w:val="18"/>
        </w:rPr>
        <w:t xml:space="preserve"> Large scale map of Venus showing the olive-green and yellow “continent” highland areas surrounded by the vast lava plains, colored blue.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Topographically, Venus contains several continent-sized plateau highlands.  These rise 3 or more kilometres above the lowland plains which comprise about 80% of that planet's surface (see Figure </w:t>
      </w:r>
      <w:r>
        <w:rPr>
          <w:rFonts w:ascii="Book Antiqua" w:hAnsi="Book Antiqua"/>
          <w:sz w:val="20"/>
        </w:rPr>
        <w:t>31</w:t>
      </w:r>
      <w:r w:rsidRPr="00370948">
        <w:rPr>
          <w:rFonts w:ascii="Book Antiqua" w:hAnsi="Book Antiqua"/>
          <w:sz w:val="20"/>
        </w:rPr>
        <w:t>). These gently rolling plains are thought to be primarily due to effusive eruptions of basaltic lava.   A random distribution of craters is superimposed upon these plains, but the craters are smaller than what we have seen on Mercury and Mars.  The origin of the impactors is discussed in Chapter 9 on Solar System history with details on craters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color w:val="FF0000"/>
          <w:sz w:val="20"/>
        </w:rPr>
      </w:pPr>
      <w:r w:rsidRPr="00370948">
        <w:rPr>
          <w:rFonts w:ascii="Book Antiqua" w:hAnsi="Book Antiqua"/>
          <w:sz w:val="20"/>
        </w:rPr>
        <w:lastRenderedPageBreak/>
        <w:t xml:space="preserve">This random crater distribution is coupled with the fact that few craters on Venus display signs of significant modification by either tectonic or volcanic processes. In a paper entitled "Magellan: A new view of Venus' geology and geophysics" D. L. Bindschadler states </w:t>
      </w:r>
      <w:r w:rsidRPr="00370948">
        <w:rPr>
          <w:rFonts w:ascii="Book Antiqua" w:hAnsi="Book Antiqua"/>
          <w:i/>
          <w:iCs/>
          <w:sz w:val="20"/>
        </w:rPr>
        <w:t xml:space="preserve">"The impact crater distribution appears to be most consistent with models that call for a near-complete resurfacing of the planet prior to 300 </w:t>
      </w:r>
      <w:r w:rsidRPr="00370948">
        <w:rPr>
          <w:rFonts w:ascii="Book Antiqua" w:hAnsi="Book Antiqua"/>
          <w:i/>
          <w:iCs/>
          <w:sz w:val="20"/>
        </w:rPr>
        <w:softHyphen/>
        <w:t>- 500 Ma [million atomic years]. Subsequent to this period of extreme [volcanic] activity, [geological] process rates declined and impact craters began to accumulate, with only minor modification and resurfacing since."</w:t>
      </w:r>
      <w:r w:rsidRPr="00370948">
        <w:rPr>
          <w:rFonts w:ascii="Book Antiqua" w:hAnsi="Book Antiqua"/>
          <w:sz w:val="20"/>
        </w:rPr>
        <w:t xml:space="preserve"> He finally concludes that </w:t>
      </w:r>
      <w:r w:rsidRPr="00370948">
        <w:rPr>
          <w:rFonts w:ascii="Book Antiqua" w:hAnsi="Book Antiqua"/>
          <w:i/>
          <w:iCs/>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370948">
        <w:rPr>
          <w:rFonts w:ascii="Book Antiqua" w:hAnsi="Book Antiqua"/>
          <w:sz w:val="20"/>
        </w:rPr>
        <w:t xml:space="preserve"> [86]</w:t>
      </w: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On the plasma model these plains were the result of the interior of Venus heating up. The increase in volume as the mantle rocks melted produced a network of cracks on the surface.  The pressurized magma was then outpoured through these cracks and engulfed and covered the early craters. This is covered in more detail in Chapter 9.</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 xml:space="preserve">4.6. Magma Outpouring </w:t>
      </w:r>
      <w:r>
        <w:rPr>
          <w:rFonts w:ascii="Book Antiqua" w:hAnsi="Book Antiqua"/>
          <w:bCs/>
          <w:i/>
          <w:iCs/>
          <w:color w:val="000000"/>
          <w:sz w:val="20"/>
        </w:rPr>
        <w:t>o</w:t>
      </w:r>
      <w:r w:rsidRPr="00370948">
        <w:rPr>
          <w:rFonts w:ascii="Book Antiqua" w:hAnsi="Book Antiqua"/>
          <w:bCs/>
          <w:i/>
          <w:iCs/>
          <w:color w:val="000000"/>
          <w:sz w:val="20"/>
        </w:rPr>
        <w:t xml:space="preserve">n Mars </w:t>
      </w:r>
      <w:r>
        <w:rPr>
          <w:rFonts w:ascii="Book Antiqua" w:hAnsi="Book Antiqua"/>
          <w:bCs/>
          <w:i/>
          <w:iCs/>
          <w:color w:val="000000"/>
          <w:sz w:val="20"/>
        </w:rPr>
        <w:t>a</w:t>
      </w:r>
      <w:r w:rsidRPr="00370948">
        <w:rPr>
          <w:rFonts w:ascii="Book Antiqua" w:hAnsi="Book Antiqua"/>
          <w:bCs/>
          <w:i/>
          <w:iCs/>
          <w:color w:val="000000"/>
          <w:sz w:val="20"/>
        </w:rPr>
        <w:t>nd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On Mars, the northern lowlands are similar to the maria plains on our Moon. This suggests that the northern plains on Mars were originally giant craters, like Mare Imbrium on the Moon. (See Figure </w:t>
      </w:r>
      <w:r>
        <w:rPr>
          <w:rFonts w:ascii="Book Antiqua" w:hAnsi="Book Antiqua"/>
          <w:sz w:val="20"/>
        </w:rPr>
        <w:t>32</w:t>
      </w:r>
      <w:r w:rsidRPr="00370948">
        <w:rPr>
          <w:rFonts w:ascii="Book Antiqua" w:hAnsi="Book Antiqua"/>
          <w:sz w:val="20"/>
        </w:rPr>
        <w:t>). These large structures were formed as a result of massive series of impacts referred to as the “Late Heavy Bombardment” (LHB) in the early solar system. The outgassing of water on Mars had filled these northern basins to give an initial ocean. Later, as the Martian interior became molten, the extruding magma probably filled the northern basins and simultaneously vaporized most of the water.</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010025" cy="2768827"/>
            <wp:effectExtent l="19050" t="0" r="9525" b="0"/>
            <wp:docPr id="965"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4955" b="4054"/>
                    <a:stretch>
                      <a:fillRect/>
                    </a:stretch>
                  </pic:blipFill>
                  <pic:spPr bwMode="auto">
                    <a:xfrm>
                      <a:off x="0" y="0"/>
                      <a:ext cx="4010025" cy="2768827"/>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w:t>
      </w:r>
      <w:r w:rsidRPr="00230752">
        <w:rPr>
          <w:rFonts w:ascii="Book Antiqua" w:hAnsi="Book Antiqua"/>
          <w:b/>
          <w:i/>
          <w:sz w:val="18"/>
          <w:szCs w:val="18"/>
        </w:rPr>
        <w:t>2:</w:t>
      </w:r>
      <w:r w:rsidRPr="00230752">
        <w:rPr>
          <w:rFonts w:ascii="Book Antiqua" w:hAnsi="Book Antiqua"/>
          <w:i/>
          <w:sz w:val="18"/>
          <w:szCs w:val="18"/>
        </w:rPr>
        <w:t xml:space="preserve"> Major impact basins on Mars. Note that the northern hemisphere is primarily composed of lava-filled basins (blue) which are below the level of the southern highlands, just like our Moon’s northern hemisphere.</w:t>
      </w:r>
    </w:p>
    <w:p w:rsidR="005359B2" w:rsidRDefault="005359B2" w:rsidP="005359B2">
      <w:pPr>
        <w:pStyle w:val="NoSpacing"/>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The same process was happening on Earth.  As the rocks under the crust melted with the increasing heat generated by radioactive decay, they expanded in volume.  This put building pressure on the crust.  The event which this expansion of the mantle caused was the splitting of the crust at the Atlantic Mid-Ocean Ridge. This resulted in the formation of the Atlantic Ocean and concurrent continental drift. This event closely corresponds with the K/T extinction event which wiped out the dinosaurs and closed the Mesozoic Era.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Pr>
          <w:rFonts w:ascii="Book Antiqua" w:hAnsi="Book Antiqua"/>
          <w:bCs/>
          <w:i/>
          <w:iCs/>
          <w:color w:val="000000"/>
          <w:sz w:val="20"/>
        </w:rPr>
        <w:lastRenderedPageBreak/>
        <w:t>11</w:t>
      </w:r>
      <w:r w:rsidRPr="00370948">
        <w:rPr>
          <w:rFonts w:ascii="Book Antiqua" w:hAnsi="Book Antiqua"/>
          <w:bCs/>
          <w:i/>
          <w:iCs/>
          <w:color w:val="000000"/>
          <w:sz w:val="20"/>
        </w:rPr>
        <w:t>.7. The Situation With Mercury.</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There have been two spacecraft sent to study the planet Mercury. These were the Mariner 10 probe and, since 2010, the MESSENGER mission.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i/>
          <w:iCs/>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370948">
        <w:rPr>
          <w:rFonts w:ascii="Book Antiqua" w:hAnsi="Book Antiqua"/>
          <w:sz w:val="20"/>
        </w:rPr>
        <w:t xml:space="preserve"> [87].</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847292" cy="4371975"/>
            <wp:effectExtent l="19050" t="0" r="1058" b="0"/>
            <wp:docPr id="966" name="il_fi" descr="http://www.astrobio.nau.edu/~koerner/ast180/lectures/pic/cdrom/art_high-res/ch06/figure-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bio.nau.edu/~koerner/ast180/lectures/pic/cdrom/art_high-res/ch06/figure-06-03.jpg"/>
                    <pic:cNvPicPr>
                      <a:picLocks noChangeAspect="1" noChangeArrowheads="1"/>
                    </pic:cNvPicPr>
                  </pic:nvPicPr>
                  <pic:blipFill>
                    <a:blip r:embed="rId321" cstate="print"/>
                    <a:srcRect t="14247" r="3274" b="19178"/>
                    <a:stretch>
                      <a:fillRect/>
                    </a:stretch>
                  </pic:blipFill>
                  <pic:spPr bwMode="auto">
                    <a:xfrm>
                      <a:off x="0" y="0"/>
                      <a:ext cx="5847292" cy="4371975"/>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230752" w:rsidRDefault="005359B2" w:rsidP="005359B2">
      <w:pPr>
        <w:pStyle w:val="NoSpacing"/>
        <w:rPr>
          <w:rFonts w:ascii="Book Antiqua" w:hAnsi="Book Antiqua"/>
          <w:i/>
          <w:sz w:val="18"/>
          <w:szCs w:val="18"/>
        </w:rPr>
      </w:pPr>
      <w:r w:rsidRPr="00230752">
        <w:rPr>
          <w:rFonts w:ascii="Book Antiqua" w:hAnsi="Book Antiqua"/>
          <w:b/>
          <w:i/>
          <w:sz w:val="18"/>
          <w:szCs w:val="18"/>
        </w:rPr>
        <w:t xml:space="preserve">Figure </w:t>
      </w:r>
      <w:r>
        <w:rPr>
          <w:rFonts w:ascii="Book Antiqua" w:hAnsi="Book Antiqua"/>
          <w:b/>
          <w:i/>
          <w:sz w:val="18"/>
          <w:szCs w:val="18"/>
        </w:rPr>
        <w:t>33</w:t>
      </w:r>
      <w:r w:rsidRPr="00230752">
        <w:rPr>
          <w:rFonts w:ascii="Book Antiqua" w:hAnsi="Book Antiqua"/>
          <w:b/>
          <w:i/>
          <w:sz w:val="18"/>
          <w:szCs w:val="18"/>
        </w:rPr>
        <w:t>:</w:t>
      </w:r>
      <w:r w:rsidRPr="00230752">
        <w:rPr>
          <w:rFonts w:ascii="Book Antiqua" w:hAnsi="Book Antiqua"/>
          <w:i/>
          <w:sz w:val="18"/>
          <w:szCs w:val="18"/>
        </w:rPr>
        <w:t xml:space="preserve"> An example of the intercrater plains on Mercury.</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 Strom analysis supports the contention that the Late Heavy Bombardment (LHB) was the first and primary cratering event, which also produced the “inter-crater plains.”(see Figure </w:t>
      </w:r>
      <w:r>
        <w:rPr>
          <w:rFonts w:ascii="Book Antiqua" w:hAnsi="Book Antiqua"/>
          <w:sz w:val="20"/>
        </w:rPr>
        <w:t>33</w:t>
      </w:r>
      <w:r w:rsidRPr="00370948">
        <w:rPr>
          <w:rFonts w:ascii="Book Antiqua" w:hAnsi="Book Antiqua"/>
          <w:sz w:val="20"/>
        </w:rPr>
        <w:t>). Strom stated tha</w:t>
      </w:r>
      <w:r w:rsidRPr="00370948">
        <w:rPr>
          <w:rFonts w:ascii="Book Antiqua" w:hAnsi="Book Antiqua"/>
          <w:i/>
          <w:iCs/>
          <w:sz w:val="20"/>
        </w:rPr>
        <w:t>t “It was known from Mariner 10 observations that Population 1 craters [from the LHB] dominated the cratering record on Mercury…”</w:t>
      </w:r>
      <w:r w:rsidRPr="00370948">
        <w:rPr>
          <w:rFonts w:ascii="Book Antiqua" w:hAnsi="Book Antiqua"/>
          <w:sz w:val="20"/>
        </w:rPr>
        <w:t xml:space="preserve"> Since Mercury is the closest planet to the sun, the Marklund convection process probably resulted in a higher concentration of radioactive elements in the core of Mercury as compared to the other planets. This would have resulted in more rapid internal heating, which means the rocks under the crust would have been in a molten state earlier than the other planets.  As a </w:t>
      </w:r>
      <w:r w:rsidRPr="00370948">
        <w:rPr>
          <w:rFonts w:ascii="Book Antiqua" w:hAnsi="Book Antiqua"/>
          <w:sz w:val="20"/>
        </w:rPr>
        <w:lastRenderedPageBreak/>
        <w:t xml:space="preserve">result, the great craters which formed by the LHB on other bodies, and which filled with magma later, may have filled with magma almost immediately on Mercury.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Sometime after the LHB event, some event formed the giant Caloris basin, and a second outpouring of magma resulted, forming  the “smooth plains.” (See Figure </w:t>
      </w:r>
      <w:r>
        <w:rPr>
          <w:rFonts w:ascii="Book Antiqua" w:hAnsi="Book Antiqua"/>
          <w:sz w:val="20"/>
        </w:rPr>
        <w:t>34</w:t>
      </w:r>
      <w:r w:rsidRPr="00370948">
        <w:rPr>
          <w:rFonts w:ascii="Book Antiqua" w:hAnsi="Book Antiqua"/>
          <w:sz w:val="20"/>
        </w:rPr>
        <w:t xml:space="preserve">). </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Population 2 craters are found on top of these “smooth plains”. Finally the third population of somewhat smaller craters was formed after the Population 2 cratering event. Thus on Mercury we have 1) the Late Heavy Bombardment which also triggered an initial magma outpouring; followed by 2) the event which formed the Caloris basin and associated features plus its overflow of magma; and, then, 3) the Population 2 cratering event and, finally, 4) a third population of craters with relatively small diameters. The origin of the impactors is discussed in Chapter 9 on Solar System history with crater formation specifics being discussed in detail along with experimental evidence in Appendix E.</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3446449" cy="3934225"/>
            <wp:effectExtent l="19050" t="0" r="1601" b="0"/>
            <wp:docPr id="967" name="Picture 7" descr="Mercury's Surface Dominated by Volcanism and Iron Deficiency"/>
            <wp:cNvGraphicFramePr/>
            <a:graphic xmlns:a="http://schemas.openxmlformats.org/drawingml/2006/main">
              <a:graphicData uri="http://schemas.openxmlformats.org/drawingml/2006/picture">
                <pic:pic xmlns:pic="http://schemas.openxmlformats.org/drawingml/2006/picture">
                  <pic:nvPicPr>
                    <pic:cNvPr id="6" name="Picture 5" descr="Mercury's Surface Dominated by Volcanism and Iron Deficiency"/>
                    <pic:cNvPicPr/>
                  </pic:nvPicPr>
                  <pic:blipFill>
                    <a:blip r:embed="rId322" cstate="print">
                      <a:lum contrast="40000"/>
                    </a:blip>
                    <a:srcRect/>
                    <a:stretch>
                      <a:fillRect/>
                    </a:stretch>
                  </pic:blipFill>
                  <pic:spPr bwMode="auto">
                    <a:xfrm>
                      <a:off x="0" y="0"/>
                      <a:ext cx="3449326" cy="3937509"/>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230752" w:rsidRDefault="005359B2" w:rsidP="005359B2">
      <w:pPr>
        <w:pStyle w:val="NoSpacing"/>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34</w:t>
      </w:r>
      <w:r w:rsidRPr="00E71EE9">
        <w:rPr>
          <w:rFonts w:ascii="Book Antiqua" w:hAnsi="Book Antiqua"/>
          <w:b/>
          <w:i/>
          <w:sz w:val="18"/>
          <w:szCs w:val="18"/>
        </w:rPr>
        <w:t>:</w:t>
      </w:r>
      <w:r w:rsidRPr="00230752">
        <w:rPr>
          <w:rFonts w:ascii="Book Antiqua" w:hAnsi="Book Antiqua"/>
          <w:i/>
          <w:sz w:val="18"/>
          <w:szCs w:val="18"/>
        </w:rPr>
        <w:t xml:space="preserve"> The giant Caloris Basin on Mercury marked C. The magma outpoured as a result of this event is colored light orange. So, too are all the low-iron volcanic plains associated with the Caloris event in this image. In contrast, the pervasive dark blue areas are older regions that may be rich in the mineral ilmenite which contains both iron and titanium. </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i/>
          <w:sz w:val="20"/>
        </w:rPr>
      </w:pPr>
      <w:r w:rsidRPr="00370948">
        <w:rPr>
          <w:rFonts w:ascii="Book Antiqua" w:hAnsi="Book Antiqua"/>
          <w:bCs/>
          <w:i/>
          <w:iCs/>
          <w:color w:val="000000"/>
          <w:sz w:val="20"/>
        </w:rPr>
        <w:t>4.8. Our Moon.</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Following its formation, the interior of the Moon also heated up.  The subsequent Late Heavy Bombardment was responsible for the major impact basins. It has been suggested that about 50 large circular basins as well as many smaller craters were formed at this time</w:t>
      </w:r>
      <w:r>
        <w:rPr>
          <w:rFonts w:ascii="Book Antiqua" w:hAnsi="Book Antiqua"/>
          <w:sz w:val="20"/>
        </w:rPr>
        <w:t xml:space="preserve">.  </w:t>
      </w:r>
      <w:r w:rsidRPr="00370948">
        <w:rPr>
          <w:rFonts w:ascii="Book Antiqua" w:hAnsi="Book Antiqua"/>
          <w:sz w:val="20"/>
        </w:rPr>
        <w:t xml:space="preserve">Any water that was in its interior was probably incorporated into the molten basalt, so instead of an extrusion of water, a very fluid basalt with a high water content was outpoured.  It was this event, occurring in two phases, which formed the great lunar plains. They are named in Figure </w:t>
      </w:r>
      <w:r>
        <w:rPr>
          <w:rFonts w:ascii="Book Antiqua" w:hAnsi="Book Antiqua"/>
          <w:sz w:val="20"/>
        </w:rPr>
        <w:t>35</w:t>
      </w:r>
      <w:r w:rsidRPr="00370948">
        <w:rPr>
          <w:rFonts w:ascii="Book Antiqua" w:hAnsi="Book Antiqua"/>
          <w:sz w:val="20"/>
        </w:rPr>
        <w:t>.</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lastRenderedPageBreak/>
        <w:drawing>
          <wp:inline distT="0" distB="0" distL="0" distR="0">
            <wp:extent cx="3729497" cy="2590800"/>
            <wp:effectExtent l="19050" t="0" r="4303" b="0"/>
            <wp:docPr id="968" name="il_fi" descr="http://s4.hubimg.com/u/6024851_f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4.hubimg.com/u/6024851_f520.jpg"/>
                    <pic:cNvPicPr>
                      <a:picLocks noChangeAspect="1" noChangeArrowheads="1"/>
                    </pic:cNvPicPr>
                  </pic:nvPicPr>
                  <pic:blipFill>
                    <a:blip r:embed="rId323" cstate="print"/>
                    <a:srcRect/>
                    <a:stretch>
                      <a:fillRect/>
                    </a:stretch>
                  </pic:blipFill>
                  <pic:spPr bwMode="auto">
                    <a:xfrm>
                      <a:off x="0" y="0"/>
                      <a:ext cx="3731882" cy="2592456"/>
                    </a:xfrm>
                    <a:prstGeom prst="rect">
                      <a:avLst/>
                    </a:prstGeom>
                    <a:noFill/>
                    <a:ln w="9525">
                      <a:noFill/>
                      <a:miter lim="800000"/>
                      <a:headEnd/>
                      <a:tailEnd/>
                    </a:ln>
                  </pic:spPr>
                </pic:pic>
              </a:graphicData>
            </a:graphic>
          </wp:inline>
        </w:drawing>
      </w:r>
    </w:p>
    <w:p w:rsidR="005359B2" w:rsidRPr="00370948" w:rsidRDefault="005359B2" w:rsidP="005359B2">
      <w:pPr>
        <w:pStyle w:val="NoSpacing"/>
        <w:ind w:firstLine="720"/>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 xml:space="preserve">Figure </w:t>
      </w:r>
      <w:r>
        <w:rPr>
          <w:rFonts w:ascii="Book Antiqua" w:hAnsi="Book Antiqua"/>
          <w:b/>
          <w:i/>
          <w:sz w:val="18"/>
          <w:szCs w:val="18"/>
        </w:rPr>
        <w:t>35</w:t>
      </w:r>
      <w:r w:rsidRPr="00E71EE9">
        <w:rPr>
          <w:rFonts w:ascii="Book Antiqua" w:hAnsi="Book Antiqua"/>
          <w:b/>
          <w:i/>
          <w:sz w:val="18"/>
          <w:szCs w:val="18"/>
        </w:rPr>
        <w:t>:</w:t>
      </w:r>
      <w:r w:rsidRPr="00E71EE9">
        <w:rPr>
          <w:rFonts w:ascii="Book Antiqua" w:hAnsi="Book Antiqua"/>
          <w:i/>
          <w:sz w:val="18"/>
          <w:szCs w:val="18"/>
        </w:rPr>
        <w:t xml:space="preserve"> Our Moon with the dark plains named that were formed by magma outpoured from the lunar interior.</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jc w:val="center"/>
        <w:rPr>
          <w:rFonts w:ascii="Book Antiqua" w:hAnsi="Book Antiqua"/>
          <w:i/>
          <w:sz w:val="20"/>
        </w:rPr>
      </w:pPr>
      <w:r w:rsidRPr="00370948">
        <w:rPr>
          <w:rFonts w:ascii="Book Antiqua" w:hAnsi="Book Antiqua"/>
          <w:i/>
          <w:noProof/>
          <w:sz w:val="20"/>
        </w:rPr>
        <w:drawing>
          <wp:inline distT="0" distB="0" distL="0" distR="0">
            <wp:extent cx="4476750" cy="4103687"/>
            <wp:effectExtent l="19050" t="0" r="0" b="0"/>
            <wp:docPr id="969" name="il_fi" descr="http://www.daviddarling.info/images/Apollo_landing_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aviddarling.info/images/Apollo_landing_sites.jpg"/>
                    <pic:cNvPicPr>
                      <a:picLocks noChangeAspect="1" noChangeArrowheads="1"/>
                    </pic:cNvPicPr>
                  </pic:nvPicPr>
                  <pic:blipFill>
                    <a:blip r:embed="rId324" cstate="print"/>
                    <a:srcRect/>
                    <a:stretch>
                      <a:fillRect/>
                    </a:stretch>
                  </pic:blipFill>
                  <pic:spPr bwMode="auto">
                    <a:xfrm>
                      <a:off x="0" y="0"/>
                      <a:ext cx="4480031" cy="410669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i/>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6</w:t>
      </w:r>
      <w:r w:rsidRPr="00E71EE9">
        <w:rPr>
          <w:rFonts w:ascii="Book Antiqua" w:hAnsi="Book Antiqua"/>
          <w:b/>
          <w:i/>
          <w:sz w:val="18"/>
          <w:szCs w:val="18"/>
        </w:rPr>
        <w:t>:</w:t>
      </w:r>
      <w:r w:rsidRPr="00E71EE9">
        <w:rPr>
          <w:rFonts w:ascii="Book Antiqua" w:hAnsi="Book Antiqua"/>
          <w:i/>
          <w:sz w:val="18"/>
          <w:szCs w:val="18"/>
        </w:rPr>
        <w:t xml:space="preserve"> The Moon showing the locations of the Apollo landings.</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As M. W. Davidson of Florida State University, Tallahassee points out, the second outpouring is identified by a younger, low titanium group of basalts associated with Mare Imbrium (Sea of Rains), Mare Serenitatis (Sea of Serenity) and Oceanus Procellarum (Ocean of Storms). These basalts generally date from about 3.4 to 3.1 billion atomic years [88].  It is these central and western regions of the near-side of the Moon which were visited by the Apollo 12 and 15 astronauts.</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first outpouring was an older basalt that had a high titanium content</w:t>
      </w:r>
      <w:r>
        <w:rPr>
          <w:rFonts w:ascii="Book Antiqua" w:hAnsi="Book Antiqua"/>
          <w:sz w:val="20"/>
        </w:rPr>
        <w:t>, dating from</w:t>
      </w:r>
      <w:r w:rsidRPr="00370948">
        <w:rPr>
          <w:rFonts w:ascii="Book Antiqua" w:hAnsi="Book Antiqua"/>
          <w:sz w:val="20"/>
        </w:rPr>
        <w:t xml:space="preserve">  </w:t>
      </w:r>
      <w:r w:rsidRPr="00417998">
        <w:rPr>
          <w:rFonts w:ascii="Book Antiqua" w:hAnsi="Book Antiqua"/>
          <w:sz w:val="20"/>
        </w:rPr>
        <w:t>3.8  to 3.5 billion atomic years.</w:t>
      </w:r>
      <w:r w:rsidRPr="00370948">
        <w:rPr>
          <w:rFonts w:ascii="Book Antiqua" w:hAnsi="Book Antiqua"/>
          <w:sz w:val="20"/>
        </w:rPr>
        <w:t xml:space="preserve">  This was the outpouring which inundated Mare Tranquillitatis (Sea of Tranquility) and the Taurus-Littrow mare regions and other portions of the eastern hemisphere as seen from earth [88]. This includes areas explored by Apollo 11 and 17 (See Fig</w:t>
      </w:r>
      <w:r>
        <w:rPr>
          <w:rFonts w:ascii="Book Antiqua" w:hAnsi="Book Antiqua"/>
          <w:sz w:val="20"/>
        </w:rPr>
        <w:t>ures</w:t>
      </w:r>
      <w:r w:rsidRPr="00370948">
        <w:rPr>
          <w:rFonts w:ascii="Book Antiqua" w:hAnsi="Book Antiqua"/>
          <w:sz w:val="20"/>
        </w:rPr>
        <w:t xml:space="preserve"> </w:t>
      </w:r>
      <w:r>
        <w:rPr>
          <w:rFonts w:ascii="Book Antiqua" w:hAnsi="Book Antiqua"/>
          <w:sz w:val="20"/>
        </w:rPr>
        <w:t>35</w:t>
      </w:r>
      <w:r w:rsidRPr="00370948">
        <w:rPr>
          <w:rFonts w:ascii="Book Antiqua" w:hAnsi="Book Antiqua"/>
          <w:sz w:val="20"/>
        </w:rPr>
        <w:t xml:space="preserve"> &amp; 3</w:t>
      </w:r>
      <w:r>
        <w:rPr>
          <w:rFonts w:ascii="Book Antiqua" w:hAnsi="Book Antiqua"/>
          <w:sz w:val="20"/>
        </w:rPr>
        <w:t>6</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Over 90% of observed volcanic deposits on the Moon were emplaced during these two events, which were close together in astronomical time.   J. W. Head, L. Wilson, and D. Wilhelms state: </w:t>
      </w:r>
      <w:r w:rsidRPr="00370948">
        <w:rPr>
          <w:rStyle w:val="Emphasis"/>
          <w:rFonts w:ascii="Book Antiqua" w:hAnsi="Book Antiqua"/>
          <w:sz w:val="20"/>
        </w:rPr>
        <w:t>"The source of heat required for melting and depth of origin is a major outstanding question in the petrogenesis of mare basalts."</w:t>
      </w:r>
      <w:r w:rsidRPr="00370948">
        <w:rPr>
          <w:rFonts w:ascii="Book Antiqua" w:hAnsi="Book Antiqua"/>
          <w:sz w:val="20"/>
        </w:rPr>
        <w:t xml:space="preserve"> [89]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The end of major eruptions of mare basalt around 3 billion atomic years ago ushered in a stage of lunar development which resulted in only minor changes to the surface [89]. Since then, a few significant craters such as Copernicus and Tycho have been formed. Tycho is the prominent crater at the bottom center of Figure 3</w:t>
      </w:r>
      <w:r>
        <w:rPr>
          <w:rFonts w:ascii="Book Antiqua" w:hAnsi="Book Antiqua"/>
          <w:sz w:val="20"/>
        </w:rPr>
        <w:t>6</w:t>
      </w:r>
      <w:r w:rsidRPr="00370948">
        <w:rPr>
          <w:rFonts w:ascii="Book Antiqua" w:hAnsi="Book Antiqua"/>
          <w:sz w:val="20"/>
        </w:rPr>
        <w:t xml:space="preserve">.  Their ages are about 850 million and 70 million atomic years respectively [90, 91].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The sequence of events on the Moon therefore appears to be as follows: (1) Initial heating of the interior. (2) The LHB forming massive basins. (3) The continued heating of the interior that resulted in highly mobile basalts flooding the massive basins, delineating the low-lying Mare plains from the highly cratered uplands. (4) Later impact and electrical events then formed a few significant craters. The basalt-flooded plains give strong evidence regarding the same processes heating up the interior of the moon as heated the inner planets.</w:t>
      </w:r>
      <w:r>
        <w:rPr>
          <w:rFonts w:ascii="Book Antiqua" w:hAnsi="Book Antiqua"/>
          <w:sz w:val="20"/>
        </w:rPr>
        <w:t xml:space="preserve"> </w:t>
      </w:r>
      <w:r w:rsidRPr="00370948">
        <w:rPr>
          <w:rFonts w:ascii="Book Antiqua" w:hAnsi="Book Antiqua"/>
          <w:sz w:val="20"/>
        </w:rPr>
        <w:t xml:space="preserve">When all these events are analyzed there seems to be a basic underlying trend in what we are seeing throughout the solar system.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Planet formation from plasma filaments. The basic composition of the planets and layering of their interiors was governed by Marklund convection with radioactive elements concentrated in planetary cores.</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of planetary interiors by rapid radioactive decay of short half-life elements drives large quantities of water towards the planetary surfaces or crusts. Pressure builds up as heating continues and more water is added until it catastrophically degasses onto the surface.</w:t>
      </w:r>
    </w:p>
    <w:p w:rsidR="005359B2" w:rsidRPr="00370948" w:rsidRDefault="005359B2" w:rsidP="005359B2">
      <w:pPr>
        <w:pStyle w:val="ListParagrap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Heating continues to build moon and planetary interior temperatures until mantle rocks become molten. Since molten rock has a 10% greater volume than solid, unheated rock, pressure is again exerted on crustal layers which may crack as in the mid-ocean ridges on earth, or as planet-wide fissures as on Venus. The excess magma then escapes through these cracks or fissures and resurfaces ocean basins as on earth and Mars, or the whole planet in the case of Venus and Mercury.</w:t>
      </w:r>
    </w:p>
    <w:p w:rsidR="005359B2" w:rsidRPr="00370948" w:rsidRDefault="005359B2" w:rsidP="005359B2">
      <w:pPr>
        <w:pStyle w:val="NoSpacing"/>
        <w:ind w:left="1800"/>
        <w:jc w:val="both"/>
        <w:rPr>
          <w:rFonts w:ascii="Book Antiqua" w:hAnsi="Book Antiqua"/>
          <w:sz w:val="20"/>
        </w:rPr>
      </w:pPr>
    </w:p>
    <w:p w:rsidR="005359B2" w:rsidRPr="00370948" w:rsidRDefault="005359B2" w:rsidP="005359B2">
      <w:pPr>
        <w:pStyle w:val="NoSpacing"/>
        <w:numPr>
          <w:ilvl w:val="0"/>
          <w:numId w:val="33"/>
        </w:numPr>
        <w:ind w:firstLine="720"/>
        <w:jc w:val="both"/>
        <w:rPr>
          <w:rFonts w:ascii="Book Antiqua" w:hAnsi="Book Antiqua"/>
          <w:sz w:val="20"/>
        </w:rPr>
      </w:pPr>
      <w:r w:rsidRPr="00370948">
        <w:rPr>
          <w:rFonts w:ascii="Book Antiqua" w:hAnsi="Book Antiqua"/>
          <w:sz w:val="20"/>
        </w:rPr>
        <w:t>The events of the catastrophic degassing of water and the splitting of the crust to allow magma to be outpoured may have had trigger events related to the times of cratering activity. This is discussed in more detail in Chapter 9 on Solar System history and Appendix  E on the formation of craters.</w:t>
      </w:r>
    </w:p>
    <w:p w:rsidR="005359B2" w:rsidRPr="00370948" w:rsidRDefault="005359B2" w:rsidP="005359B2">
      <w:pPr>
        <w:pStyle w:val="NoSpacing"/>
        <w:jc w:val="both"/>
        <w:rPr>
          <w:rFonts w:ascii="Book Antiqua" w:hAnsi="Book Antiqua"/>
          <w:sz w:val="20"/>
        </w:rPr>
      </w:pPr>
    </w:p>
    <w:p w:rsidR="005359B2" w:rsidRPr="007F49C3" w:rsidRDefault="005359B2" w:rsidP="005359B2">
      <w:pPr>
        <w:pStyle w:val="NoSpacing"/>
        <w:jc w:val="both"/>
        <w:rPr>
          <w:rFonts w:ascii="Book Antiqua" w:hAnsi="Book Antiqua"/>
          <w:b/>
          <w:bCs/>
          <w:iCs/>
          <w:color w:val="000000"/>
          <w:sz w:val="20"/>
        </w:rPr>
      </w:pPr>
      <w:r w:rsidRPr="007F49C3">
        <w:rPr>
          <w:rFonts w:ascii="Book Antiqua" w:hAnsi="Book Antiqua"/>
          <w:b/>
          <w:bCs/>
          <w:iCs/>
          <w:color w:val="000000"/>
          <w:sz w:val="20"/>
        </w:rPr>
        <w:t>12.  Diamonds, Oil And Salt Deposits On Earth.</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Since Marklund convection layered materials according to ionization potential, this</w:t>
      </w:r>
      <w:r w:rsidRPr="00370948">
        <w:rPr>
          <w:rFonts w:ascii="Book Antiqua" w:hAnsi="Book Antiqua"/>
          <w:sz w:val="20"/>
        </w:rPr>
        <w:t xml:space="preserve"> concentrated some metals, like iron and nickel, and many radioactive elements in or near the core</w:t>
      </w:r>
      <w:r>
        <w:rPr>
          <w:rFonts w:ascii="Book Antiqua" w:hAnsi="Book Antiqua"/>
          <w:sz w:val="20"/>
        </w:rPr>
        <w:t xml:space="preserve"> of each planet, including Earth</w:t>
      </w:r>
      <w:r w:rsidRPr="00370948">
        <w:rPr>
          <w:rFonts w:ascii="Book Antiqua" w:hAnsi="Book Antiqua"/>
          <w:sz w:val="20"/>
        </w:rPr>
        <w:t xml:space="preserve">. </w:t>
      </w:r>
      <w:r>
        <w:rPr>
          <w:rFonts w:ascii="Book Antiqua" w:hAnsi="Book Antiqua"/>
          <w:sz w:val="20"/>
        </w:rPr>
        <w:t>This means</w:t>
      </w:r>
      <w:r w:rsidRPr="00417998">
        <w:rPr>
          <w:rFonts w:ascii="Book Antiqua" w:hAnsi="Book Antiqua"/>
          <w:sz w:val="20"/>
        </w:rPr>
        <w:t xml:space="preserve"> silicates would be expected to predominate in the mantle.</w:t>
      </w:r>
      <w:r w:rsidRPr="00370948">
        <w:rPr>
          <w:rFonts w:ascii="Book Antiqua" w:hAnsi="Book Antiqua"/>
          <w:sz w:val="20"/>
        </w:rPr>
        <w:t xml:space="preserve"> </w:t>
      </w:r>
      <w:r>
        <w:rPr>
          <w:rFonts w:ascii="Book Antiqua" w:hAnsi="Book Antiqua"/>
          <w:sz w:val="20"/>
        </w:rPr>
        <w:t>C</w:t>
      </w:r>
      <w:r w:rsidRPr="00370948">
        <w:rPr>
          <w:rFonts w:ascii="Book Antiqua" w:hAnsi="Book Antiqua"/>
          <w:sz w:val="20"/>
        </w:rPr>
        <w:t xml:space="preserve">loser to the surface, in the upper mantle, there </w:t>
      </w:r>
      <w:r>
        <w:rPr>
          <w:rFonts w:ascii="Book Antiqua" w:hAnsi="Book Antiqua"/>
          <w:sz w:val="20"/>
        </w:rPr>
        <w:t>are</w:t>
      </w:r>
      <w:r w:rsidRPr="00370948">
        <w:rPr>
          <w:rFonts w:ascii="Book Antiqua" w:hAnsi="Book Antiqua"/>
          <w:sz w:val="20"/>
        </w:rPr>
        <w:t xml:space="preserve"> layers enriched in carbon, chlorine, hydrogen and oxygen. </w:t>
      </w:r>
      <w:r>
        <w:rPr>
          <w:rFonts w:ascii="Book Antiqua" w:hAnsi="Book Antiqua"/>
          <w:sz w:val="20"/>
        </w:rPr>
        <w:t xml:space="preserve">This would be expected from Marklund convection and this is what we find.  </w:t>
      </w:r>
      <w:r w:rsidRPr="00370948">
        <w:rPr>
          <w:rFonts w:ascii="Book Antiqua" w:hAnsi="Book Antiqua"/>
          <w:sz w:val="20"/>
        </w:rPr>
        <w:t xml:space="preserve">As a result, water enrichment, from the combination of the hydrogen and oxygen, might be expected in the near </w:t>
      </w:r>
      <w:r w:rsidRPr="00370948">
        <w:rPr>
          <w:rFonts w:ascii="Book Antiqua" w:hAnsi="Book Antiqua"/>
          <w:sz w:val="20"/>
        </w:rPr>
        <w:lastRenderedPageBreak/>
        <w:t xml:space="preserve">surface layers, with an enrichment of oxygen and </w:t>
      </w:r>
      <w:r>
        <w:rPr>
          <w:rFonts w:ascii="Book Antiqua" w:hAnsi="Book Antiqua"/>
          <w:sz w:val="20"/>
        </w:rPr>
        <w:t>predominant</w:t>
      </w:r>
      <w:r w:rsidRPr="00370948">
        <w:rPr>
          <w:rFonts w:ascii="Book Antiqua" w:hAnsi="Book Antiqua"/>
          <w:sz w:val="20"/>
        </w:rPr>
        <w:t xml:space="preserve"> nitrogen in atmospheric layers. This is the result of a straightforward ionization sequence.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Some important geological implications follow from this. The asthenosphere with its high water content is just under the present crust (see Figure 3</w:t>
      </w:r>
      <w:r>
        <w:rPr>
          <w:rFonts w:ascii="Book Antiqua" w:hAnsi="Book Antiqua"/>
          <w:sz w:val="20"/>
        </w:rPr>
        <w:t>7</w:t>
      </w:r>
      <w:r w:rsidRPr="00370948">
        <w:rPr>
          <w:rFonts w:ascii="Book Antiqua" w:hAnsi="Book Antiqua"/>
          <w:sz w:val="20"/>
        </w:rPr>
        <w:t xml:space="preserve">). </w:t>
      </w:r>
      <w:r>
        <w:rPr>
          <w:rFonts w:ascii="Book Antiqua" w:hAnsi="Book Antiqua"/>
          <w:sz w:val="20"/>
        </w:rPr>
        <w:t>It was the carbon</w:t>
      </w:r>
      <w:r w:rsidRPr="00370948">
        <w:rPr>
          <w:rFonts w:ascii="Book Antiqua" w:hAnsi="Book Antiqua"/>
          <w:sz w:val="20"/>
        </w:rPr>
        <w:t xml:space="preserve"> enrichment layer within the asthenosphere </w:t>
      </w:r>
      <w:r>
        <w:rPr>
          <w:rFonts w:ascii="Book Antiqua" w:hAnsi="Book Antiqua"/>
          <w:sz w:val="20"/>
        </w:rPr>
        <w:t>that gave</w:t>
      </w:r>
      <w:r w:rsidRPr="00370948">
        <w:rPr>
          <w:rFonts w:ascii="Book Antiqua" w:hAnsi="Book Antiqua"/>
          <w:sz w:val="20"/>
        </w:rPr>
        <w:t xml:space="preserve"> rise to the diamonds which have been found in the cratons on the surface.</w:t>
      </w:r>
    </w:p>
    <w:p w:rsidR="005359B2" w:rsidRPr="00370948" w:rsidRDefault="005359B2" w:rsidP="005359B2">
      <w:pPr>
        <w:pStyle w:val="NoSpacing"/>
        <w:jc w:val="both"/>
        <w:rPr>
          <w:rFonts w:ascii="Book Antiqua" w:hAnsi="Book Antiqua"/>
          <w:noProof/>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048375" cy="3380532"/>
            <wp:effectExtent l="19050" t="0" r="9525" b="0"/>
            <wp:docPr id="970" name="il_fi" descr="http://3.bp.blogspot.com/-mAufF9utJIY/TaQgHOu4pEI/AAAAAAAAALU/dofHxdW1IGs/s1600/ASTHEN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mAufF9utJIY/TaQgHOu4pEI/AAAAAAAAALU/dofHxdW1IGs/s1600/ASTHENOSPHERE.jpg"/>
                    <pic:cNvPicPr>
                      <a:picLocks noChangeAspect="1" noChangeArrowheads="1"/>
                    </pic:cNvPicPr>
                  </pic:nvPicPr>
                  <pic:blipFill>
                    <a:blip r:embed="rId325" cstate="print"/>
                    <a:srcRect r="-81" b="25167"/>
                    <a:stretch>
                      <a:fillRect/>
                    </a:stretch>
                  </pic:blipFill>
                  <pic:spPr bwMode="auto">
                    <a:xfrm>
                      <a:off x="0" y="0"/>
                      <a:ext cx="6062299" cy="3388314"/>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b/>
          <w:i/>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7</w:t>
      </w:r>
      <w:r w:rsidRPr="00E71EE9">
        <w:rPr>
          <w:rFonts w:ascii="Book Antiqua" w:hAnsi="Book Antiqua"/>
          <w:b/>
          <w:i/>
          <w:sz w:val="18"/>
          <w:szCs w:val="18"/>
        </w:rPr>
        <w:t>:</w:t>
      </w:r>
      <w:r w:rsidRPr="00E71EE9">
        <w:rPr>
          <w:rFonts w:ascii="Book Antiqua" w:hAnsi="Book Antiqua"/>
          <w:i/>
          <w:sz w:val="18"/>
          <w:szCs w:val="18"/>
        </w:rPr>
        <w:t xml:space="preserve"> The internal structure of the earth showing the asthenosphere as part of the upper mantle from about 70 km to 700 km depth (45 – 450 miles).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t>The c</w:t>
      </w:r>
      <w:r w:rsidRPr="00370948">
        <w:rPr>
          <w:rFonts w:ascii="Book Antiqua" w:hAnsi="Book Antiqua"/>
          <w:sz w:val="20"/>
        </w:rPr>
        <w:t>urrent understanding is that diamonds originate at depths of up to 370 km (about 230 miles). They come to the surface in volcanic pipes at speeds that may exceed 100 km per hour (otherwise the diamonds would be dissolved). A typical structure appears in Figure 3</w:t>
      </w:r>
      <w:r>
        <w:rPr>
          <w:rFonts w:ascii="Book Antiqua" w:hAnsi="Book Antiqua"/>
          <w:sz w:val="20"/>
        </w:rPr>
        <w:t>8</w:t>
      </w:r>
      <w:r w:rsidRPr="00370948">
        <w:rPr>
          <w:rFonts w:ascii="Book Antiqua" w:hAnsi="Book Antiqua"/>
          <w:sz w:val="20"/>
        </w:rPr>
        <w:t xml:space="preserve">. The kimberlite mixture, in which they ascend, includes high concentrations of magnesium, water and carbon dioxide [92]. The reason for the high magnesium content will be </w:t>
      </w:r>
      <w:r>
        <w:rPr>
          <w:rFonts w:ascii="Book Antiqua" w:hAnsi="Book Antiqua"/>
          <w:sz w:val="20"/>
        </w:rPr>
        <w:t>shown</w:t>
      </w:r>
      <w:r w:rsidRPr="00370948">
        <w:rPr>
          <w:rFonts w:ascii="Book Antiqua" w:hAnsi="Book Antiqua"/>
          <w:sz w:val="20"/>
        </w:rPr>
        <w:t xml:space="preserve"> shortly. </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i/>
          <w:sz w:val="20"/>
        </w:rPr>
      </w:pPr>
      <w:r w:rsidRPr="00370948">
        <w:rPr>
          <w:rFonts w:ascii="Book Antiqua" w:hAnsi="Book Antiqua"/>
          <w:sz w:val="20"/>
        </w:rPr>
        <w:t>At the diffuse boundary between the hydrogen and carbon enrichment in the asthenosphere, hydrocarbons would be expected to form. Their buoyancy would then allow them to ascend towards the surface and ultimately become trapped by certain rock layers, such as sandstone. This may be the reason that some oil and natural gas deposits have reportedly been found under more than 10 km of granite in Russia. This may also be why some oil wells which have been pumped dry, appear to regenerate as the oil continues to ascend from the hydrogen/carbon enrichment zone to the entrapment layers.</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Something similar was proposed by Thomas Gold in 1999 [93]. A related origin for oil was proposed by S.B. Keith and M.M. Swan in 2005 [94]. They considered that evidence suggests that it is the product of </w:t>
      </w:r>
      <w:r w:rsidRPr="00370948">
        <w:rPr>
          <w:rFonts w:ascii="Book Antiqua" w:hAnsi="Book Antiqua"/>
          <w:i/>
          <w:sz w:val="20"/>
        </w:rPr>
        <w:t>“hydrothermal, geochemically-zoned fluid plumes.”</w:t>
      </w:r>
      <w:r w:rsidRPr="00370948">
        <w:rPr>
          <w:rFonts w:ascii="Book Antiqua" w:hAnsi="Book Antiqua"/>
          <w:sz w:val="20"/>
        </w:rPr>
        <w:t xml:space="preserve"> They indicated that both a carbon-rich and hydrogen-rich environment was needed in that case [94]. This is exactly what the Marklund convection scenario indicates exists in the asthenosphere.</w:t>
      </w:r>
    </w:p>
    <w:p w:rsidR="005359B2"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4227355" cy="2743200"/>
            <wp:effectExtent l="19050" t="0" r="1745" b="0"/>
            <wp:docPr id="971" name="il_fi" descr="http://www.kgs.ku.edu/Publications/GeoRecord/2000/vol6.1/jpgs/kimberl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gs.ku.edu/Publications/GeoRecord/2000/vol6.1/jpgs/kimberlite.gif"/>
                    <pic:cNvPicPr>
                      <a:picLocks noChangeAspect="1" noChangeArrowheads="1"/>
                    </pic:cNvPicPr>
                  </pic:nvPicPr>
                  <pic:blipFill>
                    <a:blip r:embed="rId326" cstate="print"/>
                    <a:srcRect l="7317" b="3314"/>
                    <a:stretch>
                      <a:fillRect/>
                    </a:stretch>
                  </pic:blipFill>
                  <pic:spPr bwMode="auto">
                    <a:xfrm>
                      <a:off x="0" y="0"/>
                      <a:ext cx="4235780" cy="2748667"/>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sidRPr="00E71EE9">
        <w:rPr>
          <w:rFonts w:ascii="Book Antiqua" w:hAnsi="Book Antiqua"/>
          <w:b/>
          <w:i/>
          <w:sz w:val="18"/>
          <w:szCs w:val="18"/>
        </w:rPr>
        <w:t>Figure 3</w:t>
      </w:r>
      <w:r>
        <w:rPr>
          <w:rFonts w:ascii="Book Antiqua" w:hAnsi="Book Antiqua"/>
          <w:b/>
          <w:i/>
          <w:sz w:val="18"/>
          <w:szCs w:val="18"/>
        </w:rPr>
        <w:t>8</w:t>
      </w:r>
      <w:r w:rsidRPr="00E71EE9">
        <w:rPr>
          <w:rFonts w:ascii="Book Antiqua" w:hAnsi="Book Antiqua"/>
          <w:b/>
          <w:i/>
          <w:sz w:val="18"/>
          <w:szCs w:val="18"/>
        </w:rPr>
        <w:t>:</w:t>
      </w:r>
      <w:r w:rsidRPr="00E71EE9">
        <w:rPr>
          <w:rFonts w:ascii="Book Antiqua" w:hAnsi="Book Antiqua"/>
          <w:i/>
          <w:sz w:val="18"/>
          <w:szCs w:val="18"/>
        </w:rPr>
        <w:t xml:space="preserve"> Diagram of a Kimberlite Pipe extending from a source in the upper mantle to the Earth’s surface and often containing diamonds.</w:t>
      </w:r>
    </w:p>
    <w:p w:rsidR="005359B2" w:rsidRPr="00370948" w:rsidRDefault="005359B2" w:rsidP="005359B2">
      <w:pPr>
        <w:pStyle w:val="NoSpacing"/>
        <w:jc w:val="both"/>
        <w:rPr>
          <w:rFonts w:ascii="Book Antiqua" w:hAnsi="Book Antiqua"/>
          <w:i/>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More evidence emerged in 2007 from the research of </w:t>
      </w:r>
      <w:r w:rsidRPr="00370948">
        <w:rPr>
          <w:rFonts w:ascii="Book Antiqua" w:hAnsi="Book Antiqua"/>
          <w:iCs/>
          <w:sz w:val="20"/>
          <w:lang w:val="en-GB"/>
        </w:rPr>
        <w:t xml:space="preserve">Proskurowski, Lilley, Seewald et. al. They wrote </w:t>
      </w:r>
      <w:r w:rsidRPr="00370948">
        <w:rPr>
          <w:rFonts w:ascii="Book Antiqua" w:hAnsi="Book Antiqua"/>
          <w:i/>
          <w:iCs/>
          <w:sz w:val="20"/>
          <w:lang w:val="en-GB"/>
        </w:rPr>
        <w:t>“</w:t>
      </w:r>
      <w:r w:rsidRPr="00370948">
        <w:rPr>
          <w:rFonts w:ascii="Book Antiqua" w:hAnsi="Book Antiqua"/>
          <w:i/>
          <w:sz w:val="20"/>
          <w:lang w:val="en-GB"/>
        </w:rPr>
        <w:t xml:space="preserve">Here, we present concentration, and stable and radiocarbon isotope, data from hydrocarbons dissolved in hydrogen-rich fluids venting at the ultramafic-hosted Lost City Hydrothermal Field. ... Radiocarbon evidence rules out seawater bicarbonate as the carbon source for FTT reactions, suggesting that a mantle-derived inorganic carbon source is leached from the host rocks.” </w:t>
      </w:r>
      <w:r w:rsidRPr="00370948">
        <w:rPr>
          <w:rFonts w:ascii="Book Antiqua" w:hAnsi="Book Antiqua"/>
          <w:sz w:val="20"/>
          <w:lang w:val="en-GB"/>
        </w:rPr>
        <w:t xml:space="preserve">[95] </w:t>
      </w:r>
      <w:r w:rsidRPr="00370948">
        <w:rPr>
          <w:rFonts w:ascii="Book Antiqua" w:hAnsi="Book Antiqua"/>
          <w:sz w:val="20"/>
        </w:rPr>
        <w:t>A separate study at Lawrence Livermore National Labs has confirmed that the conditions exist at depths exceeding 100 km for oil to occur in the manner suggested here [96].</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  </w:t>
      </w:r>
      <w:r>
        <w:rPr>
          <w:rFonts w:ascii="Book Antiqua" w:hAnsi="Book Antiqua"/>
          <w:sz w:val="20"/>
        </w:rPr>
        <w:t>The plasma model</w:t>
      </w:r>
      <w:r w:rsidRPr="00370948">
        <w:rPr>
          <w:rFonts w:ascii="Book Antiqua" w:hAnsi="Book Antiqua"/>
          <w:sz w:val="20"/>
        </w:rPr>
        <w:t xml:space="preserve"> can also account for deposits of various salts.  The interior heating of the earth has two effects. First, the water in the crystal lattices and interstices between the minerals and grains in the planetary interiors </w:t>
      </w:r>
      <w:r>
        <w:rPr>
          <w:rFonts w:ascii="Book Antiqua" w:hAnsi="Book Antiqua"/>
          <w:sz w:val="20"/>
        </w:rPr>
        <w:t>is</w:t>
      </w:r>
      <w:r w:rsidRPr="00370948">
        <w:rPr>
          <w:rFonts w:ascii="Book Antiqua" w:hAnsi="Book Antiqua"/>
          <w:sz w:val="20"/>
        </w:rPr>
        <w:t xml:space="preserve"> driven off and </w:t>
      </w:r>
      <w:r>
        <w:rPr>
          <w:rFonts w:ascii="Book Antiqua" w:hAnsi="Book Antiqua"/>
          <w:sz w:val="20"/>
        </w:rPr>
        <w:t xml:space="preserve">then </w:t>
      </w:r>
      <w:r w:rsidRPr="00370948">
        <w:rPr>
          <w:rFonts w:ascii="Book Antiqua" w:hAnsi="Book Antiqua"/>
          <w:sz w:val="20"/>
        </w:rPr>
        <w:t>moves towards the surface. Because of the temperatures and pressures involved</w:t>
      </w:r>
      <w:r>
        <w:rPr>
          <w:rFonts w:ascii="Book Antiqua" w:hAnsi="Book Antiqua"/>
          <w:sz w:val="20"/>
        </w:rPr>
        <w:t>,</w:t>
      </w:r>
      <w:r w:rsidRPr="00370948">
        <w:rPr>
          <w:rFonts w:ascii="Book Antiqua" w:hAnsi="Book Antiqua"/>
          <w:sz w:val="20"/>
        </w:rPr>
        <w:t xml:space="preserve"> it is possible that it may become supercritical water. </w:t>
      </w:r>
      <w:r>
        <w:rPr>
          <w:rFonts w:ascii="Book Antiqua" w:hAnsi="Book Antiqua"/>
          <w:sz w:val="20"/>
        </w:rPr>
        <w:t>(</w:t>
      </w:r>
      <w:r w:rsidRPr="00370948">
        <w:rPr>
          <w:rFonts w:ascii="Book Antiqua" w:hAnsi="Book Antiqua"/>
          <w:sz w:val="20"/>
        </w:rPr>
        <w:t xml:space="preserve">In this supercritical condition, distinct liquid and gas phases do not exist. The supercritical water can </w:t>
      </w:r>
      <w:hyperlink r:id="rId327" w:tooltip="Effusion" w:history="1">
        <w:r w:rsidRPr="00370948">
          <w:rPr>
            <w:rStyle w:val="Hyperlink"/>
            <w:rFonts w:ascii="Book Antiqua" w:hAnsi="Book Antiqua"/>
            <w:sz w:val="20"/>
          </w:rPr>
          <w:t>effuse</w:t>
        </w:r>
      </w:hyperlink>
      <w:r w:rsidRPr="00370948">
        <w:rPr>
          <w:rFonts w:ascii="Book Antiqua" w:hAnsi="Book Antiqua"/>
          <w:sz w:val="20"/>
        </w:rPr>
        <w:t xml:space="preserve"> through </w:t>
      </w:r>
      <w:hyperlink r:id="rId328" w:tooltip="Solids" w:history="1">
        <w:r w:rsidRPr="00370948">
          <w:rPr>
            <w:rStyle w:val="Hyperlink"/>
            <w:rFonts w:ascii="Book Antiqua" w:hAnsi="Book Antiqua"/>
            <w:sz w:val="20"/>
          </w:rPr>
          <w:t>solids</w:t>
        </w:r>
      </w:hyperlink>
      <w:r w:rsidRPr="00370948">
        <w:rPr>
          <w:rFonts w:ascii="Book Antiqua" w:hAnsi="Book Antiqua"/>
          <w:sz w:val="20"/>
        </w:rPr>
        <w:t xml:space="preserve"> like a </w:t>
      </w:r>
      <w:hyperlink r:id="rId329" w:tooltip="Gas" w:history="1">
        <w:r w:rsidRPr="00370948">
          <w:rPr>
            <w:rStyle w:val="Hyperlink"/>
            <w:rFonts w:ascii="Book Antiqua" w:hAnsi="Book Antiqua"/>
            <w:sz w:val="20"/>
          </w:rPr>
          <w:t>gas</w:t>
        </w:r>
      </w:hyperlink>
      <w:r w:rsidRPr="00370948">
        <w:rPr>
          <w:rFonts w:ascii="Book Antiqua" w:hAnsi="Book Antiqua"/>
          <w:sz w:val="20"/>
        </w:rPr>
        <w:t xml:space="preserve">, and still </w:t>
      </w:r>
      <w:hyperlink r:id="rId330" w:tooltip="Solvation" w:history="1">
        <w:r w:rsidRPr="00370948">
          <w:rPr>
            <w:rStyle w:val="Hyperlink"/>
            <w:rFonts w:ascii="Book Antiqua" w:hAnsi="Book Antiqua"/>
            <w:sz w:val="20"/>
          </w:rPr>
          <w:t>dissolve</w:t>
        </w:r>
      </w:hyperlink>
      <w:r w:rsidRPr="00370948">
        <w:rPr>
          <w:rFonts w:ascii="Book Antiqua" w:hAnsi="Book Antiqua"/>
          <w:sz w:val="20"/>
        </w:rPr>
        <w:t xml:space="preserve"> materials like a </w:t>
      </w:r>
      <w:hyperlink r:id="rId331" w:tooltip="Liquid" w:history="1">
        <w:r w:rsidRPr="00370948">
          <w:rPr>
            <w:rStyle w:val="Hyperlink"/>
            <w:rFonts w:ascii="Book Antiqua" w:hAnsi="Book Antiqua"/>
            <w:sz w:val="20"/>
          </w:rPr>
          <w:t>liquid</w:t>
        </w:r>
      </w:hyperlink>
      <w:r w:rsidRPr="00370948">
        <w:rPr>
          <w:rFonts w:ascii="Book Antiqua" w:hAnsi="Book Antiqua"/>
          <w:sz w:val="20"/>
        </w:rPr>
        <w:t>. In fact it is a very strong solvent.</w:t>
      </w:r>
      <w:r>
        <w:rPr>
          <w:rFonts w:ascii="Book Antiqua" w:hAnsi="Book Antiqua"/>
          <w:sz w:val="20"/>
        </w:rPr>
        <w:t>)</w:t>
      </w:r>
      <w:r w:rsidRPr="00370948">
        <w:rPr>
          <w:rFonts w:ascii="Book Antiqua" w:hAnsi="Book Antiqua"/>
          <w:sz w:val="20"/>
        </w:rPr>
        <w:t xml:space="preserve"> Second, some rocks in the interior become molten and the </w:t>
      </w:r>
      <w:r>
        <w:rPr>
          <w:rFonts w:ascii="Book Antiqua" w:hAnsi="Book Antiqua"/>
          <w:sz w:val="20"/>
        </w:rPr>
        <w:t xml:space="preserve">resulting </w:t>
      </w:r>
      <w:r w:rsidRPr="00370948">
        <w:rPr>
          <w:rFonts w:ascii="Book Antiqua" w:hAnsi="Book Antiqua"/>
          <w:sz w:val="20"/>
        </w:rPr>
        <w:t>magma tends to ascend to</w:t>
      </w:r>
      <w:r>
        <w:rPr>
          <w:rFonts w:ascii="Book Antiqua" w:hAnsi="Book Antiqua"/>
          <w:sz w:val="20"/>
        </w:rPr>
        <w:t>ward</w:t>
      </w:r>
      <w:r w:rsidRPr="00370948">
        <w:rPr>
          <w:rFonts w:ascii="Book Antiqua" w:hAnsi="Book Antiqua"/>
          <w:sz w:val="20"/>
        </w:rPr>
        <w:t xml:space="preserve"> the surface, in a manner similar to the kimberlite pipes which carry the diamonds upwards. At this point we have both water and magma ascending towards the surface.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These liquids not only have a strong dissolving power, but they also tend to sweep up any atoms of large radius. This occurs because it is easier for a large atom to fit into the interstices between the atoms in a liquid than in a solid. Thus the largest atoms from the deep interior get transported towards the surface by the (supercritical) water and the molten rock. From the twenty most abundant elements in the earth, the four elements with the largest atomic radii can be selected. These four largest atoms are, in order, potasium at 227 picometers, calcium at 197, sodium at 186, and magnesium at 160 picometers. </w:t>
      </w:r>
    </w:p>
    <w:p w:rsidR="005359B2" w:rsidRPr="00370948" w:rsidRDefault="005359B2" w:rsidP="005359B2">
      <w:pPr>
        <w:pStyle w:val="NoSpacing"/>
        <w:ind w:firstLine="720"/>
        <w:jc w:val="both"/>
        <w:rPr>
          <w:rFonts w:ascii="Book Antiqua" w:hAnsi="Book Antiqua"/>
          <w:sz w:val="20"/>
        </w:rPr>
      </w:pPr>
    </w:p>
    <w:p w:rsidR="005359B2" w:rsidRDefault="005359B2" w:rsidP="005359B2">
      <w:pPr>
        <w:pStyle w:val="NoSpacing"/>
        <w:ind w:firstLine="720"/>
        <w:jc w:val="both"/>
        <w:rPr>
          <w:rFonts w:ascii="Book Antiqua" w:hAnsi="Book Antiqua"/>
          <w:sz w:val="20"/>
        </w:rPr>
      </w:pPr>
      <w:r w:rsidRPr="00370948">
        <w:rPr>
          <w:rFonts w:ascii="Book Antiqua" w:hAnsi="Book Antiqua"/>
          <w:sz w:val="20"/>
        </w:rPr>
        <w:t xml:space="preserve">Marklund convection processes were responsible for the original carbon, chlorine, hydrogen and oxygen in the asthenosphere.  The rising supercritical waters </w:t>
      </w:r>
      <w:r w:rsidR="00DD6A4D">
        <w:rPr>
          <w:rFonts w:ascii="Book Antiqua" w:hAnsi="Book Antiqua"/>
          <w:sz w:val="20"/>
        </w:rPr>
        <w:t>had become</w:t>
      </w:r>
      <w:r>
        <w:rPr>
          <w:rFonts w:ascii="Book Antiqua" w:hAnsi="Book Antiqua"/>
          <w:sz w:val="20"/>
        </w:rPr>
        <w:t xml:space="preserve"> enriched</w:t>
      </w:r>
      <w:r w:rsidRPr="00417998">
        <w:rPr>
          <w:rFonts w:ascii="Book Antiqua" w:hAnsi="Book Antiqua"/>
          <w:sz w:val="20"/>
        </w:rPr>
        <w:t xml:space="preserve"> w</w:t>
      </w:r>
      <w:r w:rsidRPr="00370948">
        <w:rPr>
          <w:rFonts w:ascii="Book Antiqua" w:hAnsi="Book Antiqua"/>
          <w:sz w:val="20"/>
        </w:rPr>
        <w:t>ith potassium, calcium, sodium, and magnesium</w:t>
      </w:r>
      <w:r w:rsidR="00DD6A4D">
        <w:rPr>
          <w:rFonts w:ascii="Book Antiqua" w:hAnsi="Book Antiqua"/>
          <w:sz w:val="20"/>
        </w:rPr>
        <w:t xml:space="preserve"> by the process just mentioned.</w:t>
      </w:r>
      <w:r w:rsidRPr="00370948">
        <w:rPr>
          <w:rFonts w:ascii="Book Antiqua" w:hAnsi="Book Antiqua"/>
          <w:sz w:val="20"/>
        </w:rPr>
        <w:t xml:space="preserve"> </w:t>
      </w:r>
      <w:r w:rsidR="00DD6A4D">
        <w:rPr>
          <w:rFonts w:ascii="Book Antiqua" w:hAnsi="Book Antiqua"/>
          <w:sz w:val="20"/>
        </w:rPr>
        <w:t>Then, as</w:t>
      </w:r>
      <w:r w:rsidRPr="00370948">
        <w:rPr>
          <w:rFonts w:ascii="Book Antiqua" w:hAnsi="Book Antiqua"/>
          <w:sz w:val="20"/>
        </w:rPr>
        <w:t xml:space="preserve"> the fluids mov</w:t>
      </w:r>
      <w:r w:rsidR="00DD6A4D">
        <w:rPr>
          <w:rFonts w:ascii="Book Antiqua" w:hAnsi="Book Antiqua"/>
          <w:sz w:val="20"/>
        </w:rPr>
        <w:t>ed into the asthenosphere, they</w:t>
      </w:r>
      <w:r w:rsidRPr="00370948">
        <w:rPr>
          <w:rFonts w:ascii="Book Antiqua" w:hAnsi="Book Antiqua"/>
          <w:sz w:val="20"/>
        </w:rPr>
        <w:t xml:space="preserve"> bec</w:t>
      </w:r>
      <w:r>
        <w:rPr>
          <w:rFonts w:ascii="Book Antiqua" w:hAnsi="Book Antiqua"/>
          <w:sz w:val="20"/>
        </w:rPr>
        <w:t>a</w:t>
      </w:r>
      <w:r w:rsidRPr="00370948">
        <w:rPr>
          <w:rFonts w:ascii="Book Antiqua" w:hAnsi="Book Antiqua"/>
          <w:sz w:val="20"/>
        </w:rPr>
        <w:t xml:space="preserve">me concentrated in carbonates </w:t>
      </w:r>
      <w:r w:rsidR="00215017">
        <w:rPr>
          <w:rFonts w:ascii="Book Antiqua" w:hAnsi="Book Antiqua"/>
          <w:sz w:val="20"/>
        </w:rPr>
        <w:t xml:space="preserve">and chlorides </w:t>
      </w:r>
      <w:r w:rsidRPr="00370948">
        <w:rPr>
          <w:rFonts w:ascii="Book Antiqua" w:hAnsi="Book Antiqua"/>
          <w:sz w:val="20"/>
        </w:rPr>
        <w:t xml:space="preserve">of sodium, potassium, magnesium and calcium. </w:t>
      </w:r>
      <w:r w:rsidR="00215017">
        <w:rPr>
          <w:rFonts w:ascii="Book Antiqua" w:hAnsi="Book Antiqua"/>
          <w:sz w:val="20"/>
        </w:rPr>
        <w:t>These salt-</w:t>
      </w:r>
      <w:r>
        <w:rPr>
          <w:rFonts w:ascii="Book Antiqua" w:hAnsi="Book Antiqua"/>
          <w:sz w:val="20"/>
        </w:rPr>
        <w:t xml:space="preserve">forming </w:t>
      </w:r>
      <w:r w:rsidR="00215017">
        <w:rPr>
          <w:rFonts w:ascii="Book Antiqua" w:hAnsi="Book Antiqua"/>
          <w:sz w:val="20"/>
        </w:rPr>
        <w:t xml:space="preserve">chlorides </w:t>
      </w:r>
      <w:r>
        <w:rPr>
          <w:rFonts w:ascii="Book Antiqua" w:hAnsi="Book Antiqua"/>
          <w:sz w:val="20"/>
        </w:rPr>
        <w:t>were then</w:t>
      </w:r>
      <w:r w:rsidRPr="00370948">
        <w:rPr>
          <w:rFonts w:ascii="Book Antiqua" w:hAnsi="Book Antiqua"/>
          <w:sz w:val="20"/>
        </w:rPr>
        <w:t xml:space="preserve"> transported in concentrated solutions towards the surface. </w:t>
      </w:r>
      <w:r w:rsidR="00DD6A4D">
        <w:rPr>
          <w:rFonts w:ascii="Book Antiqua" w:hAnsi="Book Antiqua"/>
          <w:sz w:val="20"/>
        </w:rPr>
        <w:t xml:space="preserve">Then, </w:t>
      </w:r>
      <w:r>
        <w:rPr>
          <w:rFonts w:ascii="Book Antiqua" w:hAnsi="Book Antiqua"/>
          <w:sz w:val="20"/>
        </w:rPr>
        <w:t xml:space="preserve">through the action of </w:t>
      </w:r>
      <w:r w:rsidRPr="00370948">
        <w:rPr>
          <w:rFonts w:ascii="Book Antiqua" w:hAnsi="Book Antiqua"/>
          <w:sz w:val="20"/>
        </w:rPr>
        <w:t xml:space="preserve">chemical precipitation from supersaturated solutions, </w:t>
      </w:r>
      <w:r>
        <w:rPr>
          <w:rFonts w:ascii="Book Antiqua" w:hAnsi="Book Antiqua"/>
          <w:sz w:val="20"/>
        </w:rPr>
        <w:t>via</w:t>
      </w:r>
      <w:r w:rsidRPr="00370948">
        <w:rPr>
          <w:rFonts w:ascii="Book Antiqua" w:hAnsi="Book Antiqua"/>
          <w:sz w:val="20"/>
        </w:rPr>
        <w:t xml:space="preserve"> hydrothermal vents, or from the action of volcanic fluids</w:t>
      </w:r>
      <w:r w:rsidR="00DD6A4D">
        <w:rPr>
          <w:rFonts w:ascii="Book Antiqua" w:hAnsi="Book Antiqua"/>
          <w:sz w:val="20"/>
        </w:rPr>
        <w:t>,</w:t>
      </w:r>
      <w:r>
        <w:rPr>
          <w:rFonts w:ascii="Book Antiqua" w:hAnsi="Book Antiqua"/>
          <w:sz w:val="20"/>
        </w:rPr>
        <w:t xml:space="preserve"> </w:t>
      </w:r>
      <w:r w:rsidR="00215017">
        <w:rPr>
          <w:rFonts w:ascii="Book Antiqua" w:hAnsi="Book Antiqua"/>
          <w:sz w:val="20"/>
        </w:rPr>
        <w:t xml:space="preserve">the </w:t>
      </w:r>
      <w:r w:rsidRPr="00370948">
        <w:rPr>
          <w:rFonts w:ascii="Book Antiqua" w:hAnsi="Book Antiqua"/>
          <w:sz w:val="20"/>
        </w:rPr>
        <w:t xml:space="preserve">huge ‘evaporite’ deposits </w:t>
      </w:r>
      <w:r w:rsidR="00DD6A4D">
        <w:rPr>
          <w:rFonts w:ascii="Book Antiqua" w:hAnsi="Book Antiqua"/>
          <w:sz w:val="20"/>
        </w:rPr>
        <w:t xml:space="preserve">were </w:t>
      </w:r>
      <w:r w:rsidRPr="00370948">
        <w:rPr>
          <w:rFonts w:ascii="Book Antiqua" w:hAnsi="Book Antiqua"/>
          <w:sz w:val="20"/>
        </w:rPr>
        <w:t>form</w:t>
      </w:r>
      <w:r>
        <w:rPr>
          <w:rFonts w:ascii="Book Antiqua" w:hAnsi="Book Antiqua"/>
          <w:sz w:val="20"/>
        </w:rPr>
        <w:t>ed.</w:t>
      </w:r>
      <w:r w:rsidRPr="00370948">
        <w:rPr>
          <w:rFonts w:ascii="Book Antiqua" w:hAnsi="Book Antiqua"/>
          <w:sz w:val="20"/>
        </w:rPr>
        <w:t xml:space="preserve"> </w:t>
      </w:r>
    </w:p>
    <w:p w:rsidR="005359B2" w:rsidRPr="00370948" w:rsidRDefault="005359B2" w:rsidP="005359B2">
      <w:pPr>
        <w:pStyle w:val="NoSpacing"/>
        <w:ind w:firstLine="720"/>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lastRenderedPageBreak/>
        <w:t>This origin for some of the huge evaporite deposits of various salts, such as those in the Upper Supai Formation of East Central Arizona which attain thicknesses of 485 feet, needs to be investigated.  Even more impressive are the series of Mediterranean basins which have thicknesses of halite and gypsum up to 2 km thick. The evidence suggests that they were all deposited in a very short time, geologically speaking. The additional options that open up when Marklund convection is coupled with the selective transportation of large atoms in fluids hold the potential to overcome at least some of the problems that these deposits present.</w:t>
      </w:r>
    </w:p>
    <w:p w:rsidR="005359B2" w:rsidRPr="00370948" w:rsidRDefault="005359B2" w:rsidP="005359B2">
      <w:pPr>
        <w:pStyle w:val="NoSpacing"/>
        <w:jc w:val="both"/>
        <w:rPr>
          <w:rFonts w:ascii="Book Antiqua" w:hAnsi="Book Antiqua"/>
          <w:b/>
          <w:bCs/>
          <w:iCs/>
          <w:color w:val="000000"/>
          <w:sz w:val="20"/>
        </w:rPr>
      </w:pPr>
    </w:p>
    <w:p w:rsidR="005359B2" w:rsidRPr="00370948" w:rsidRDefault="005359B2" w:rsidP="005359B2">
      <w:pPr>
        <w:pStyle w:val="NoSpacing"/>
        <w:jc w:val="both"/>
        <w:rPr>
          <w:rFonts w:ascii="Book Antiqua" w:hAnsi="Book Antiqua"/>
          <w:b/>
          <w:bCs/>
          <w:iCs/>
          <w:color w:val="000000"/>
          <w:sz w:val="20"/>
        </w:rPr>
      </w:pPr>
      <w:r>
        <w:rPr>
          <w:rFonts w:ascii="Book Antiqua" w:hAnsi="Book Antiqua"/>
          <w:b/>
          <w:bCs/>
          <w:iCs/>
          <w:color w:val="000000"/>
          <w:sz w:val="20"/>
        </w:rPr>
        <w:t>13</w:t>
      </w:r>
      <w:r w:rsidRPr="00370948">
        <w:rPr>
          <w:rFonts w:ascii="Book Antiqua" w:hAnsi="Book Antiqua"/>
          <w:b/>
          <w:bCs/>
          <w:iCs/>
          <w:color w:val="000000"/>
          <w:sz w:val="20"/>
        </w:rPr>
        <w:t>.  Coming to Conclusions</w:t>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r>
    </w:p>
    <w:p w:rsidR="005359B2" w:rsidRPr="00370948" w:rsidRDefault="005359B2" w:rsidP="005359B2">
      <w:pPr>
        <w:pStyle w:val="NoSpacing"/>
        <w:jc w:val="both"/>
        <w:rPr>
          <w:rFonts w:ascii="Book Antiqua" w:hAnsi="Book Antiqua"/>
          <w:sz w:val="20"/>
        </w:rPr>
      </w:pPr>
      <w:r w:rsidRPr="00370948">
        <w:rPr>
          <w:rFonts w:ascii="Book Antiqua" w:hAnsi="Book Antiqua"/>
          <w:sz w:val="20"/>
        </w:rPr>
        <w:tab/>
        <w:t xml:space="preserve">In the same way that Darwin’s view of the cell as just a blob was </w:t>
      </w:r>
      <w:r>
        <w:rPr>
          <w:rFonts w:ascii="Book Antiqua" w:hAnsi="Book Antiqua"/>
          <w:sz w:val="20"/>
        </w:rPr>
        <w:t>inadequate</w:t>
      </w:r>
      <w:r w:rsidRPr="00370948">
        <w:rPr>
          <w:rFonts w:ascii="Book Antiqua" w:hAnsi="Book Antiqua"/>
          <w:sz w:val="20"/>
        </w:rPr>
        <w:t xml:space="preserve">, so the old idea of gravity being the prime mover in the universe is </w:t>
      </w:r>
      <w:r>
        <w:rPr>
          <w:rFonts w:ascii="Book Antiqua" w:hAnsi="Book Antiqua"/>
          <w:sz w:val="20"/>
        </w:rPr>
        <w:t xml:space="preserve">also </w:t>
      </w:r>
      <w:r w:rsidRPr="00370948">
        <w:rPr>
          <w:rFonts w:ascii="Book Antiqua" w:hAnsi="Book Antiqua"/>
          <w:sz w:val="20"/>
        </w:rPr>
        <w:t xml:space="preserve">proving itself </w:t>
      </w:r>
      <w:r>
        <w:rPr>
          <w:rFonts w:ascii="Book Antiqua" w:hAnsi="Book Antiqua"/>
          <w:sz w:val="20"/>
        </w:rPr>
        <w:t>inadequate</w:t>
      </w:r>
      <w:r w:rsidRPr="00370948">
        <w:rPr>
          <w:rFonts w:ascii="Book Antiqua" w:hAnsi="Book Antiqua"/>
          <w:sz w:val="20"/>
        </w:rPr>
        <w:t xml:space="preserve">.  It cannot account for the formation of heavy elements or galaxies without special pleading.  It has invented dark matter and dark energy to account for the speed of rotation of the spiral arms of galaxies.  </w:t>
      </w:r>
      <w:r>
        <w:rPr>
          <w:rFonts w:ascii="Book Antiqua" w:hAnsi="Book Antiqua"/>
          <w:sz w:val="20"/>
        </w:rPr>
        <w:t xml:space="preserve">It also cannot </w:t>
      </w:r>
      <w:r w:rsidRPr="00370948">
        <w:rPr>
          <w:rFonts w:ascii="Book Antiqua" w:hAnsi="Book Antiqua"/>
          <w:sz w:val="20"/>
        </w:rPr>
        <w:t>account for a number of other astronomical and planetary data.</w:t>
      </w: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 xml:space="preserve">As plasma physics </w:t>
      </w:r>
      <w:r>
        <w:rPr>
          <w:rFonts w:ascii="Book Antiqua" w:hAnsi="Book Antiqua"/>
          <w:sz w:val="20"/>
        </w:rPr>
        <w:t>becomes better known and understood</w:t>
      </w:r>
      <w:r w:rsidRPr="00370948">
        <w:rPr>
          <w:rFonts w:ascii="Book Antiqua" w:hAnsi="Book Antiqua"/>
          <w:sz w:val="20"/>
        </w:rPr>
        <w:t xml:space="preserve"> as a field of science, the problems presented by the gravitational model are being </w:t>
      </w:r>
      <w:r>
        <w:rPr>
          <w:rFonts w:ascii="Book Antiqua" w:hAnsi="Book Antiqua"/>
          <w:sz w:val="20"/>
        </w:rPr>
        <w:t>solved</w:t>
      </w:r>
      <w:r w:rsidRPr="00370948">
        <w:rPr>
          <w:rFonts w:ascii="Book Antiqua" w:hAnsi="Book Antiqua"/>
          <w:sz w:val="20"/>
        </w:rPr>
        <w:t xml:space="preserve">.  The universe is </w:t>
      </w:r>
      <w:r>
        <w:rPr>
          <w:rFonts w:ascii="Book Antiqua" w:hAnsi="Book Antiqua"/>
          <w:sz w:val="20"/>
        </w:rPr>
        <w:t>seen</w:t>
      </w:r>
      <w:r w:rsidRPr="00370948">
        <w:rPr>
          <w:rFonts w:ascii="Book Antiqua" w:hAnsi="Book Antiqua"/>
          <w:sz w:val="20"/>
        </w:rPr>
        <w:t xml:space="preserve"> to be full of massive electrical currents and interacting plasma filaments.  Work with plasma filaments in our labs has demonstrated how galaxies can form quickly, on a relatively flat plane, and why their outer spiral arms are moving as fast as their inner regions. This plasma approach to galaxy formation necessarily implies that each galaxy is linked to a cosmic filament structure as </w:t>
      </w:r>
      <w:r>
        <w:rPr>
          <w:rFonts w:ascii="Book Antiqua" w:hAnsi="Book Antiqua"/>
          <w:sz w:val="20"/>
        </w:rPr>
        <w:t>shown before</w:t>
      </w:r>
      <w:r w:rsidRPr="00370948">
        <w:rPr>
          <w:rFonts w:ascii="Book Antiqua" w:hAnsi="Book Antiqua"/>
          <w:sz w:val="20"/>
        </w:rPr>
        <w:t xml:space="preserve"> in Figure 6. This was partly confirmed in 2006 when I. Trujillo et al. from the University of Nottingham, England, discovered that the spin axes of galaxies line up along these huge filaments to a 99.7% confidence level. Figure 3</w:t>
      </w:r>
      <w:r>
        <w:rPr>
          <w:rFonts w:ascii="Book Antiqua" w:hAnsi="Book Antiqua"/>
          <w:sz w:val="20"/>
        </w:rPr>
        <w:t>9</w:t>
      </w:r>
      <w:r w:rsidRPr="00370948">
        <w:rPr>
          <w:rFonts w:ascii="Book Antiqua" w:hAnsi="Book Antiqua"/>
          <w:sz w:val="20"/>
        </w:rPr>
        <w:t xml:space="preserve"> sketches the effect that </w:t>
      </w:r>
      <w:r>
        <w:rPr>
          <w:rFonts w:ascii="Book Antiqua" w:hAnsi="Book Antiqua"/>
          <w:sz w:val="20"/>
        </w:rPr>
        <w:t>they</w:t>
      </w:r>
      <w:r w:rsidRPr="00370948">
        <w:rPr>
          <w:rFonts w:ascii="Book Antiqua" w:hAnsi="Book Antiqua"/>
          <w:sz w:val="20"/>
        </w:rPr>
        <w:t xml:space="preserve"> found [98]. </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5067300" cy="3609975"/>
            <wp:effectExtent l="19050" t="0" r="0" b="0"/>
            <wp:docPr id="972" name="Picture 1" descr="spiral galaxies"/>
            <wp:cNvGraphicFramePr/>
            <a:graphic xmlns:a="http://schemas.openxmlformats.org/drawingml/2006/main">
              <a:graphicData uri="http://schemas.openxmlformats.org/drawingml/2006/picture">
                <pic:pic xmlns:pic="http://schemas.openxmlformats.org/drawingml/2006/picture">
                  <pic:nvPicPr>
                    <pic:cNvPr id="103427" name="Content Placeholder 3" descr="spiral galaxies"/>
                    <pic:cNvPicPr>
                      <a:picLocks noGrp="1"/>
                    </pic:cNvPicPr>
                  </pic:nvPicPr>
                  <pic:blipFill>
                    <a:blip r:embed="rId332" cstate="print"/>
                    <a:srcRect/>
                    <a:stretch>
                      <a:fillRect/>
                    </a:stretch>
                  </pic:blipFill>
                  <pic:spPr bwMode="auto">
                    <a:xfrm>
                      <a:off x="0" y="0"/>
                      <a:ext cx="5066706" cy="3609552"/>
                    </a:xfrm>
                    <a:prstGeom prst="rect">
                      <a:avLst/>
                    </a:prstGeom>
                    <a:noFill/>
                    <a:ln w="9525">
                      <a:noFill/>
                      <a:miter lim="800000"/>
                      <a:headEnd/>
                      <a:tailEnd/>
                    </a:ln>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20"/>
        </w:rPr>
      </w:pPr>
      <w:r w:rsidRPr="00E71EE9">
        <w:rPr>
          <w:rFonts w:ascii="Book Antiqua" w:hAnsi="Book Antiqua"/>
          <w:b/>
          <w:i/>
          <w:sz w:val="18"/>
          <w:szCs w:val="18"/>
        </w:rPr>
        <w:t>Figure 3</w:t>
      </w:r>
      <w:r>
        <w:rPr>
          <w:rFonts w:ascii="Book Antiqua" w:hAnsi="Book Antiqua"/>
          <w:b/>
          <w:i/>
          <w:sz w:val="18"/>
          <w:szCs w:val="18"/>
        </w:rPr>
        <w:t>9</w:t>
      </w:r>
      <w:r w:rsidRPr="00E71EE9">
        <w:rPr>
          <w:rFonts w:ascii="Book Antiqua" w:hAnsi="Book Antiqua"/>
          <w:b/>
          <w:i/>
          <w:sz w:val="18"/>
          <w:szCs w:val="18"/>
        </w:rPr>
        <w:t>:</w:t>
      </w:r>
      <w:r w:rsidRPr="00E71EE9">
        <w:rPr>
          <w:rFonts w:ascii="Book Antiqua" w:hAnsi="Book Antiqua"/>
          <w:i/>
          <w:sz w:val="18"/>
          <w:szCs w:val="18"/>
        </w:rPr>
        <w:t xml:space="preserve"> A sketch illustrating the discovery that the spin axes of galaxies all line up along large-scale cosmic filaments</w:t>
      </w:r>
      <w:r w:rsidRPr="00E71EE9">
        <w:rPr>
          <w:rFonts w:ascii="Book Antiqua" w:hAnsi="Book Antiqua"/>
          <w:i/>
          <w:sz w:val="20"/>
        </w:rPr>
        <w: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Pr>
          <w:rFonts w:ascii="Book Antiqua" w:hAnsi="Book Antiqua"/>
          <w:sz w:val="20"/>
        </w:rPr>
        <w:lastRenderedPageBreak/>
        <w:t>This means</w:t>
      </w:r>
      <w:r w:rsidRPr="00370948">
        <w:rPr>
          <w:rFonts w:ascii="Book Antiqua" w:hAnsi="Book Antiqua"/>
          <w:sz w:val="20"/>
        </w:rPr>
        <w:t xml:space="preserve"> there is an electric circuit for each galaxy. Work with a number of galaxies has </w:t>
      </w:r>
      <w:r>
        <w:rPr>
          <w:rFonts w:ascii="Book Antiqua" w:hAnsi="Book Antiqua"/>
          <w:sz w:val="20"/>
        </w:rPr>
        <w:t xml:space="preserve">also </w:t>
      </w:r>
      <w:r w:rsidRPr="00370948">
        <w:rPr>
          <w:rFonts w:ascii="Book Antiqua" w:hAnsi="Book Antiqua"/>
          <w:sz w:val="20"/>
        </w:rPr>
        <w:t xml:space="preserve">led to this conclusion. </w:t>
      </w:r>
      <w:r>
        <w:rPr>
          <w:rFonts w:ascii="Book Antiqua" w:hAnsi="Book Antiqua"/>
          <w:sz w:val="20"/>
        </w:rPr>
        <w:t>In</w:t>
      </w:r>
      <w:r w:rsidRPr="00370948">
        <w:rPr>
          <w:rFonts w:ascii="Book Antiqua" w:hAnsi="Book Antiqua"/>
          <w:sz w:val="20"/>
        </w:rPr>
        <w:t xml:space="preserve"> the case of the galaxy M82 this has been confirmed. The data for the starburst galaxy M82, which has two symmetric spiral arms, are plotted on the left hand diagram in Figure 4</w:t>
      </w:r>
      <w:r>
        <w:rPr>
          <w:rFonts w:ascii="Book Antiqua" w:hAnsi="Book Antiqua"/>
          <w:sz w:val="20"/>
        </w:rPr>
        <w:t>0</w:t>
      </w:r>
      <w:r w:rsidRPr="00370948">
        <w:rPr>
          <w:rFonts w:ascii="Book Antiqua" w:hAnsi="Book Antiqua"/>
          <w:sz w:val="20"/>
        </w:rPr>
        <w:t>. The resulting stylized generalization is shown on the right.</w:t>
      </w:r>
    </w:p>
    <w:p w:rsidR="005359B2" w:rsidRPr="00370948" w:rsidRDefault="005359B2" w:rsidP="005359B2">
      <w:pPr>
        <w:pStyle w:val="NoSpacing"/>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jc w:val="center"/>
        <w:rPr>
          <w:rFonts w:ascii="Book Antiqua" w:hAnsi="Book Antiqua"/>
          <w:sz w:val="20"/>
        </w:rPr>
      </w:pPr>
      <w:r w:rsidRPr="00370948">
        <w:rPr>
          <w:rFonts w:ascii="Book Antiqua" w:hAnsi="Book Antiqua"/>
          <w:noProof/>
          <w:sz w:val="20"/>
        </w:rPr>
        <w:drawing>
          <wp:inline distT="0" distB="0" distL="0" distR="0">
            <wp:extent cx="6238875" cy="2724150"/>
            <wp:effectExtent l="19050" t="0" r="9525" b="0"/>
            <wp:docPr id="973" name="Picture 2" descr="http://www.holoscience.com/wp/wp-content/uploads/2012/03/m82_and_plasma_galaxy.jpg"/>
            <wp:cNvGraphicFramePr/>
            <a:graphic xmlns:a="http://schemas.openxmlformats.org/drawingml/2006/main">
              <a:graphicData uri="http://schemas.openxmlformats.org/drawingml/2006/picture">
                <pic:pic xmlns:pic="http://schemas.openxmlformats.org/drawingml/2006/picture">
                  <pic:nvPicPr>
                    <pic:cNvPr id="1026" name="Picture 2" descr="http://www.holoscience.com/wp/wp-content/uploads/2012/03/m82_and_plasma_galaxy.jpg"/>
                    <pic:cNvPicPr>
                      <a:picLocks noChangeAspect="1" noChangeArrowheads="1"/>
                    </pic:cNvPicPr>
                  </pic:nvPicPr>
                  <pic:blipFill>
                    <a:blip r:embed="rId333" cstate="print"/>
                    <a:srcRect/>
                    <a:stretch>
                      <a:fillRect/>
                    </a:stretch>
                  </pic:blipFill>
                  <pic:spPr bwMode="auto">
                    <a:xfrm>
                      <a:off x="0" y="0"/>
                      <a:ext cx="6238142" cy="2723830"/>
                    </a:xfrm>
                    <a:prstGeom prst="rect">
                      <a:avLst/>
                    </a:prstGeom>
                    <a:noFill/>
                  </pic:spPr>
                </pic:pic>
              </a:graphicData>
            </a:graphic>
          </wp:inline>
        </w:drawing>
      </w:r>
    </w:p>
    <w:p w:rsidR="005359B2" w:rsidRPr="00370948" w:rsidRDefault="005359B2" w:rsidP="005359B2">
      <w:pPr>
        <w:pStyle w:val="NoSpacing"/>
        <w:jc w:val="both"/>
        <w:rPr>
          <w:rFonts w:ascii="Book Antiqua" w:hAnsi="Book Antiqua"/>
          <w:sz w:val="20"/>
        </w:rPr>
      </w:pPr>
    </w:p>
    <w:p w:rsidR="005359B2" w:rsidRPr="00E71EE9" w:rsidRDefault="005359B2" w:rsidP="005359B2">
      <w:pPr>
        <w:pStyle w:val="NoSpacing"/>
        <w:rPr>
          <w:rFonts w:ascii="Book Antiqua" w:hAnsi="Book Antiqua"/>
          <w:i/>
          <w:sz w:val="18"/>
          <w:szCs w:val="18"/>
        </w:rPr>
      </w:pPr>
      <w:r>
        <w:rPr>
          <w:rFonts w:ascii="Book Antiqua" w:hAnsi="Book Antiqua"/>
          <w:b/>
          <w:i/>
          <w:sz w:val="18"/>
          <w:szCs w:val="18"/>
        </w:rPr>
        <w:t xml:space="preserve">Figure </w:t>
      </w:r>
      <w:r w:rsidRPr="00E71EE9">
        <w:rPr>
          <w:rFonts w:ascii="Book Antiqua" w:hAnsi="Book Antiqua"/>
          <w:b/>
          <w:i/>
          <w:sz w:val="18"/>
          <w:szCs w:val="18"/>
        </w:rPr>
        <w:t>4</w:t>
      </w:r>
      <w:r>
        <w:rPr>
          <w:rFonts w:ascii="Book Antiqua" w:hAnsi="Book Antiqua"/>
          <w:b/>
          <w:i/>
          <w:sz w:val="18"/>
          <w:szCs w:val="18"/>
        </w:rPr>
        <w:t>0</w:t>
      </w:r>
      <w:r w:rsidRPr="00E71EE9">
        <w:rPr>
          <w:rFonts w:ascii="Book Antiqua" w:hAnsi="Book Antiqua"/>
          <w:b/>
          <w:i/>
          <w:sz w:val="18"/>
          <w:szCs w:val="18"/>
        </w:rPr>
        <w:t>: (Left)</w:t>
      </w:r>
      <w:r w:rsidRPr="00E71EE9">
        <w:rPr>
          <w:rFonts w:ascii="Book Antiqua" w:hAnsi="Book Antiqua"/>
          <w:i/>
          <w:sz w:val="18"/>
          <w:szCs w:val="18"/>
        </w:rPr>
        <w:t xml:space="preserve"> Electric and magnetic data plotted for galaxy M82. </w:t>
      </w:r>
      <w:r w:rsidRPr="00E71EE9">
        <w:rPr>
          <w:rFonts w:ascii="Book Antiqua" w:hAnsi="Book Antiqua"/>
          <w:b/>
          <w:i/>
          <w:sz w:val="18"/>
          <w:szCs w:val="18"/>
        </w:rPr>
        <w:t>(Right)</w:t>
      </w:r>
      <w:r w:rsidRPr="00E71EE9">
        <w:rPr>
          <w:rFonts w:ascii="Book Antiqua" w:hAnsi="Book Antiqua"/>
          <w:i/>
          <w:sz w:val="18"/>
          <w:szCs w:val="18"/>
        </w:rPr>
        <w:t xml:space="preserve"> General circuit diagram for a stylized galaxy. The current comes in via the spiral arms and exits at the core where a spherical plasmoid exists with strong currents, high voltages.  The current exits the core via jets (ions in one direction, electrons the other) and circles around back into the spiral arms.</w:t>
      </w:r>
    </w:p>
    <w:p w:rsidR="005359B2" w:rsidRPr="00370948" w:rsidRDefault="005359B2" w:rsidP="005359B2">
      <w:pPr>
        <w:pStyle w:val="NoSpacing"/>
        <w:jc w:val="both"/>
        <w:rPr>
          <w:rFonts w:ascii="Book Antiqua" w:hAnsi="Book Antiqua"/>
          <w:sz w:val="20"/>
        </w:rPr>
      </w:pPr>
    </w:p>
    <w:p w:rsidR="005359B2" w:rsidRDefault="005359B2" w:rsidP="005359B2">
      <w:pPr>
        <w:pStyle w:val="NoSpacing"/>
        <w:jc w:val="both"/>
        <w:rPr>
          <w:rFonts w:ascii="Book Antiqua" w:hAnsi="Book Antiqua"/>
          <w:sz w:val="20"/>
        </w:rPr>
      </w:pPr>
    </w:p>
    <w:p w:rsidR="005359B2" w:rsidRPr="00370948" w:rsidRDefault="005359B2" w:rsidP="005359B2">
      <w:pPr>
        <w:pStyle w:val="NoSpacing"/>
        <w:ind w:firstLine="720"/>
        <w:jc w:val="both"/>
        <w:rPr>
          <w:rFonts w:ascii="Book Antiqua" w:hAnsi="Book Antiqua"/>
          <w:sz w:val="20"/>
        </w:rPr>
      </w:pPr>
      <w:r w:rsidRPr="00370948">
        <w:rPr>
          <w:rFonts w:ascii="Book Antiqua" w:hAnsi="Book Antiqua"/>
          <w:sz w:val="20"/>
        </w:rPr>
        <w:t>Work with the Zero Point Energy, plasma physics and the red shift is pointing to the rapid formation of elements</w:t>
      </w:r>
      <w:r>
        <w:rPr>
          <w:rFonts w:ascii="Book Antiqua" w:hAnsi="Book Antiqua"/>
          <w:sz w:val="20"/>
        </w:rPr>
        <w:t>, STARS,</w:t>
      </w:r>
      <w:r w:rsidRPr="00370948">
        <w:rPr>
          <w:rFonts w:ascii="Book Antiqua" w:hAnsi="Book Antiqua"/>
          <w:sz w:val="20"/>
        </w:rPr>
        <w:t xml:space="preserve"> and galaxies very soon after the inception of the cosmos. This </w:t>
      </w:r>
      <w:r>
        <w:rPr>
          <w:rFonts w:ascii="Book Antiqua" w:hAnsi="Book Antiqua"/>
          <w:sz w:val="20"/>
        </w:rPr>
        <w:t>resolves many problems</w:t>
      </w:r>
      <w:r w:rsidRPr="00370948">
        <w:rPr>
          <w:rFonts w:ascii="Book Antiqua" w:hAnsi="Book Antiqua"/>
          <w:sz w:val="20"/>
        </w:rPr>
        <w:t xml:space="preserve"> raised by gravitational astronomy. Marklund convection </w:t>
      </w:r>
      <w:r>
        <w:rPr>
          <w:rFonts w:ascii="Book Antiqua" w:hAnsi="Book Antiqua"/>
          <w:sz w:val="20"/>
        </w:rPr>
        <w:t>explains</w:t>
      </w:r>
      <w:r w:rsidRPr="00370948">
        <w:rPr>
          <w:rFonts w:ascii="Book Antiqua" w:hAnsi="Book Antiqua"/>
          <w:sz w:val="20"/>
        </w:rPr>
        <w:t xml:space="preserve"> why the planets are layered the way they are and why they are in the particular order they are lining up away from the sun, again on a relatively flat plane.  This layering </w:t>
      </w:r>
      <w:r>
        <w:rPr>
          <w:rFonts w:ascii="Book Antiqua" w:hAnsi="Book Antiqua"/>
          <w:sz w:val="20"/>
        </w:rPr>
        <w:t>also gives</w:t>
      </w:r>
      <w:r w:rsidRPr="00370948">
        <w:rPr>
          <w:rFonts w:ascii="Book Antiqua" w:hAnsi="Book Antiqua"/>
          <w:sz w:val="20"/>
        </w:rPr>
        <w:t xml:space="preserve"> us the answer to the evidence of massive flooding occurring on the inner planets at an earlier time, as well as the cracking and divisions in the crustal material.  </w:t>
      </w:r>
      <w:r w:rsidRPr="00417998">
        <w:rPr>
          <w:rFonts w:ascii="Book Antiqua" w:hAnsi="Book Antiqua"/>
          <w:sz w:val="20"/>
        </w:rPr>
        <w:t xml:space="preserve">It also explains the origin of non-biogenic oil, diamonds and salts. </w:t>
      </w:r>
      <w:r>
        <w:rPr>
          <w:rFonts w:ascii="Book Antiqua" w:hAnsi="Book Antiqua"/>
          <w:sz w:val="20"/>
        </w:rPr>
        <w:t xml:space="preserve"> </w:t>
      </w:r>
      <w:r w:rsidRPr="00370948">
        <w:rPr>
          <w:rFonts w:ascii="Book Antiqua" w:hAnsi="Book Antiqua"/>
          <w:sz w:val="20"/>
        </w:rPr>
        <w:t xml:space="preserve">It </w:t>
      </w:r>
      <w:r>
        <w:rPr>
          <w:rFonts w:ascii="Book Antiqua" w:hAnsi="Book Antiqua"/>
          <w:sz w:val="20"/>
        </w:rPr>
        <w:t>is</w:t>
      </w:r>
      <w:r w:rsidRPr="00370948">
        <w:rPr>
          <w:rFonts w:ascii="Book Antiqua" w:hAnsi="Book Antiqua"/>
          <w:sz w:val="20"/>
        </w:rPr>
        <w:t xml:space="preserve"> time to pay much more attention to plasma physics and its implications in astronomy and geology.</w:t>
      </w:r>
    </w:p>
    <w:p w:rsidR="005359B2" w:rsidRDefault="005359B2" w:rsidP="005359B2">
      <w:pPr>
        <w:pStyle w:val="NoSpacing"/>
        <w:jc w:val="both"/>
        <w:rPr>
          <w:rFonts w:ascii="Book Antiqua" w:hAnsi="Book Antiqua"/>
          <w:sz w:val="20"/>
        </w:rPr>
      </w:pPr>
    </w:p>
    <w:p w:rsidR="005359B2" w:rsidRPr="00370948" w:rsidRDefault="005359B2" w:rsidP="005359B2">
      <w:pPr>
        <w:pStyle w:val="NoSpacing"/>
        <w:jc w:val="both"/>
        <w:rPr>
          <w:rFonts w:ascii="Book Antiqua" w:hAnsi="Book Antiqua"/>
          <w:sz w:val="20"/>
        </w:rPr>
      </w:pPr>
    </w:p>
    <w:p w:rsidR="005359B2" w:rsidRPr="00370948" w:rsidRDefault="005359B2" w:rsidP="005359B2">
      <w:pPr>
        <w:pStyle w:val="NoSpacing"/>
        <w:rPr>
          <w:rFonts w:ascii="Book Antiqua" w:hAnsi="Book Antiqua"/>
          <w:b/>
          <w:bCs/>
          <w:iCs/>
          <w:color w:val="000000"/>
          <w:sz w:val="20"/>
        </w:rPr>
      </w:pPr>
      <w:r w:rsidRPr="00370948">
        <w:rPr>
          <w:rFonts w:ascii="Book Antiqua" w:hAnsi="Book Antiqua"/>
          <w:b/>
          <w:bCs/>
          <w:iCs/>
          <w:color w:val="000000"/>
          <w:sz w:val="20"/>
        </w:rPr>
        <w:t xml:space="preserve">References </w:t>
      </w:r>
      <w:r w:rsidRPr="00370948">
        <w:rPr>
          <w:rFonts w:ascii="Book Antiqua" w:hAnsi="Book Antiqua"/>
          <w:bCs/>
          <w:i/>
          <w:iCs/>
          <w:color w:val="000000"/>
          <w:sz w:val="20"/>
        </w:rPr>
        <w:t>– All URL’s retrieved 9/13/12.</w:t>
      </w:r>
    </w:p>
    <w:p w:rsidR="005359B2" w:rsidRPr="00370948" w:rsidRDefault="005359B2" w:rsidP="005359B2">
      <w:pPr>
        <w:pStyle w:val="NoSpacing"/>
        <w:rPr>
          <w:rFonts w:ascii="Book Antiqua" w:hAnsi="Book Antiqua"/>
          <w:b/>
          <w:bCs/>
          <w:i/>
          <w:iCs/>
          <w:color w:val="000000"/>
          <w:sz w:val="16"/>
          <w:szCs w:val="16"/>
        </w:rPr>
      </w:pP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  K. Birkeland, </w:t>
      </w:r>
      <w:r w:rsidRPr="00370948">
        <w:rPr>
          <w:rFonts w:ascii="Book Antiqua" w:hAnsi="Book Antiqua"/>
          <w:i/>
          <w:sz w:val="16"/>
          <w:szCs w:val="16"/>
        </w:rPr>
        <w:t>The Norwegian Aurora Polaris Expedition 1902-1903</w:t>
      </w:r>
      <w:r w:rsidRPr="00370948">
        <w:rPr>
          <w:rFonts w:ascii="Book Antiqua" w:hAnsi="Book Antiqua"/>
          <w:sz w:val="16"/>
          <w:szCs w:val="16"/>
        </w:rPr>
        <w:t>, (1908).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  J. C. Armstrong, A. J. Zmuda,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78</w:t>
      </w:r>
      <w:r w:rsidRPr="00370948">
        <w:rPr>
          <w:rFonts w:ascii="Book Antiqua" w:hAnsi="Book Antiqua"/>
          <w:sz w:val="16"/>
          <w:szCs w:val="16"/>
        </w:rPr>
        <w:t>, p. 6802 (1973).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A. J. Zmuda,  J. C. Armstrong,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79</w:t>
      </w:r>
      <w:r w:rsidRPr="00370948">
        <w:rPr>
          <w:rFonts w:ascii="Book Antiqua" w:hAnsi="Book Antiqua"/>
          <w:sz w:val="16"/>
          <w:szCs w:val="16"/>
        </w:rPr>
        <w:t>, p.</w:t>
      </w:r>
      <w:r w:rsidRPr="00370948">
        <w:rPr>
          <w:rFonts w:ascii="Book Antiqua" w:hAnsi="Book Antiqua"/>
          <w:b/>
          <w:sz w:val="16"/>
          <w:szCs w:val="16"/>
        </w:rPr>
        <w:t xml:space="preserve"> </w:t>
      </w:r>
      <w:r w:rsidRPr="00370948">
        <w:rPr>
          <w:rFonts w:ascii="Book Antiqua" w:hAnsi="Book Antiqua"/>
          <w:sz w:val="16"/>
          <w:szCs w:val="16"/>
        </w:rPr>
        <w:t>4611 (1974).</w:t>
      </w:r>
    </w:p>
    <w:p w:rsidR="005359B2" w:rsidRPr="00370948" w:rsidRDefault="005359B2" w:rsidP="005359B2">
      <w:pPr>
        <w:pStyle w:val="NoSpacing"/>
        <w:rPr>
          <w:rFonts w:ascii="Book Antiqua" w:hAnsi="Book Antiqua"/>
          <w:color w:val="FF0000"/>
          <w:sz w:val="16"/>
          <w:szCs w:val="16"/>
        </w:rPr>
      </w:pPr>
      <w:r w:rsidRPr="00370948">
        <w:rPr>
          <w:rFonts w:ascii="Book Antiqua" w:hAnsi="Book Antiqua"/>
          <w:sz w:val="16"/>
          <w:szCs w:val="16"/>
        </w:rPr>
        <w:t xml:space="preserve">[4] V. </w:t>
      </w:r>
      <w:r w:rsidRPr="00370948">
        <w:rPr>
          <w:rFonts w:ascii="Book Antiqua" w:hAnsi="Book Antiqua"/>
          <w:color w:val="000000"/>
          <w:sz w:val="16"/>
          <w:szCs w:val="16"/>
        </w:rPr>
        <w:t xml:space="preserve">Angelopoulos, American Geophysical Union meeting 2007, report here: </w:t>
      </w:r>
      <w:hyperlink r:id="rId334" w:history="1">
        <w:r w:rsidRPr="00370948">
          <w:rPr>
            <w:rStyle w:val="Hyperlink"/>
            <w:rFonts w:ascii="Book Antiqua" w:hAnsi="Book Antiqua"/>
            <w:i/>
            <w:szCs w:val="16"/>
          </w:rPr>
          <w:t>http://abcnews.go.com/Technology/story?id=4005338&amp;page=1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 A. Dessler, </w:t>
      </w:r>
      <w:r w:rsidRPr="00370948">
        <w:rPr>
          <w:rFonts w:ascii="Book Antiqua" w:hAnsi="Book Antiqua"/>
          <w:i/>
          <w:sz w:val="16"/>
          <w:szCs w:val="16"/>
        </w:rPr>
        <w:t>Magnetospheric Currents</w:t>
      </w:r>
      <w:r w:rsidRPr="00370948">
        <w:rPr>
          <w:rFonts w:ascii="Book Antiqua" w:hAnsi="Book Antiqua"/>
          <w:sz w:val="16"/>
          <w:szCs w:val="16"/>
        </w:rPr>
        <w:t>, Ed. T.A. Potemra, (Geophysical Monograph No. 28), pp. 340-349,  Washington DC: American Geophysical Union (1984).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 NASA historical comments here: </w:t>
      </w:r>
    </w:p>
    <w:p w:rsidR="005359B2" w:rsidRPr="00370948" w:rsidRDefault="007B3EBC" w:rsidP="005359B2">
      <w:pPr>
        <w:pStyle w:val="NoSpacing"/>
        <w:rPr>
          <w:rFonts w:ascii="Book Antiqua" w:hAnsi="Book Antiqua"/>
          <w:sz w:val="16"/>
          <w:szCs w:val="16"/>
        </w:rPr>
      </w:pPr>
      <w:hyperlink r:id="rId335" w:anchor="250" w:history="1">
        <w:r w:rsidR="005359B2" w:rsidRPr="00370948">
          <w:rPr>
            <w:rStyle w:val="Hyperlink"/>
            <w:rFonts w:ascii="Book Antiqua" w:hAnsi="Book Antiqua"/>
            <w:i/>
            <w:szCs w:val="16"/>
          </w:rPr>
          <w:t>http://history.nasa.gov/SP-345/ch15.htm#250</w:t>
        </w:r>
      </w:hyperlink>
      <w:r w:rsidR="005359B2"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[7]  M. A. Schield, J. W. Freeman, A. J. Dessler,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74</w:t>
      </w:r>
      <w:r w:rsidRPr="00370948">
        <w:rPr>
          <w:rFonts w:ascii="Book Antiqua" w:hAnsi="Book Antiqua"/>
          <w:sz w:val="16"/>
          <w:szCs w:val="16"/>
        </w:rPr>
        <w:t>, p. 247 (1969).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[8]  H. Alfvén, C.-G. Fälthammer, </w:t>
      </w:r>
      <w:r w:rsidRPr="00370948">
        <w:rPr>
          <w:rFonts w:ascii="Book Antiqua" w:hAnsi="Book Antiqua"/>
          <w:i/>
          <w:sz w:val="16"/>
          <w:szCs w:val="16"/>
        </w:rPr>
        <w:t>Cosmical Electrodynamics, Fundamental Principles</w:t>
      </w:r>
      <w:r w:rsidRPr="00370948">
        <w:rPr>
          <w:rFonts w:ascii="Book Antiqua" w:hAnsi="Book Antiqua"/>
          <w:sz w:val="16"/>
          <w:szCs w:val="16"/>
        </w:rPr>
        <w:t>, Monograph (Clarendon  Press, Oxford, 1963).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[9]  H. Alfvén, ‘On the Filamentary Structure of the Solar Corona’, in “The Solar Corona”, </w:t>
      </w:r>
      <w:r w:rsidRPr="00370948">
        <w:rPr>
          <w:rFonts w:ascii="Book Antiqua" w:hAnsi="Book Antiqua"/>
          <w:i/>
          <w:sz w:val="16"/>
          <w:szCs w:val="16"/>
        </w:rPr>
        <w:t>Proceedings of the IAU  Symposium</w:t>
      </w:r>
      <w:r w:rsidRPr="00370948">
        <w:rPr>
          <w:rFonts w:ascii="Book Antiqua" w:hAnsi="Book Antiqua"/>
          <w:sz w:val="16"/>
          <w:szCs w:val="16"/>
        </w:rPr>
        <w:t xml:space="preserve"> </w:t>
      </w:r>
      <w:r w:rsidRPr="00370948">
        <w:rPr>
          <w:rFonts w:ascii="Book Antiqua" w:hAnsi="Book Antiqua"/>
          <w:b/>
          <w:sz w:val="16"/>
          <w:szCs w:val="16"/>
        </w:rPr>
        <w:t>16</w:t>
      </w:r>
      <w:r w:rsidRPr="00370948">
        <w:rPr>
          <w:rFonts w:ascii="Book Antiqua" w:hAnsi="Book Antiqua"/>
          <w:sz w:val="16"/>
          <w:szCs w:val="16"/>
        </w:rPr>
        <w:t xml:space="preserve">, Cloudcroft, New Mexico, USA, p. 35 (28-30 August, 1961), Editor, J.W. Evans (Academic Press,  New York, 1963).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[10]  T. W. Hill, </w:t>
      </w:r>
      <w:r w:rsidRPr="00370948">
        <w:rPr>
          <w:rFonts w:ascii="Book Antiqua" w:hAnsi="Book Antiqua"/>
          <w:i/>
          <w:sz w:val="16"/>
          <w:szCs w:val="16"/>
        </w:rPr>
        <w:t>Magnetospheric Currents</w:t>
      </w:r>
      <w:r w:rsidRPr="00370948">
        <w:rPr>
          <w:rFonts w:ascii="Book Antiqua" w:hAnsi="Book Antiqua"/>
          <w:sz w:val="16"/>
          <w:szCs w:val="16"/>
        </w:rPr>
        <w:t xml:space="preserve">, Ed. T.A. Potemra, (Geophysical Monograph No. 28), pp. 340-349, Washington DC: American Geophysical Union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lastRenderedPageBreak/>
        <w:t xml:space="preserve"> [11]  J. A. Pollock, S. Barraclough, </w:t>
      </w:r>
      <w:r w:rsidRPr="00370948">
        <w:rPr>
          <w:rFonts w:ascii="Book Antiqua" w:hAnsi="Book Antiqua"/>
          <w:i/>
          <w:sz w:val="16"/>
          <w:szCs w:val="16"/>
        </w:rPr>
        <w:t>Proceedings of the Royal Society of New South Wales</w:t>
      </w:r>
      <w:r w:rsidRPr="00370948">
        <w:rPr>
          <w:rFonts w:ascii="Book Antiqua" w:hAnsi="Book Antiqua"/>
          <w:sz w:val="16"/>
          <w:szCs w:val="16"/>
        </w:rPr>
        <w:t>,</w:t>
      </w:r>
      <w:r w:rsidRPr="00370948">
        <w:rPr>
          <w:rFonts w:ascii="Book Antiqua" w:hAnsi="Book Antiqua"/>
          <w:b/>
          <w:sz w:val="16"/>
          <w:szCs w:val="16"/>
        </w:rPr>
        <w:t xml:space="preserve"> 39</w:t>
      </w:r>
      <w:r w:rsidRPr="00370948">
        <w:rPr>
          <w:rFonts w:ascii="Book Antiqua" w:hAnsi="Book Antiqua"/>
          <w:sz w:val="16"/>
          <w:szCs w:val="16"/>
        </w:rPr>
        <w:t>, p. 131 (1905).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[12] W. H. Bennett, </w:t>
      </w:r>
      <w:r w:rsidRPr="00370948">
        <w:rPr>
          <w:rFonts w:ascii="Book Antiqua" w:hAnsi="Book Antiqua"/>
          <w:i/>
          <w:sz w:val="16"/>
          <w:szCs w:val="16"/>
        </w:rPr>
        <w:t>Physical Review</w:t>
      </w:r>
      <w:r w:rsidRPr="00370948">
        <w:rPr>
          <w:rFonts w:ascii="Book Antiqua" w:hAnsi="Book Antiqua"/>
          <w:sz w:val="16"/>
          <w:szCs w:val="16"/>
        </w:rPr>
        <w:t xml:space="preserve">, </w:t>
      </w:r>
      <w:r w:rsidRPr="00370948">
        <w:rPr>
          <w:rFonts w:ascii="Book Antiqua" w:hAnsi="Book Antiqua"/>
          <w:b/>
          <w:sz w:val="16"/>
          <w:szCs w:val="16"/>
        </w:rPr>
        <w:t>45</w:t>
      </w:r>
      <w:r w:rsidRPr="00370948">
        <w:rPr>
          <w:rFonts w:ascii="Book Antiqua" w:hAnsi="Book Antiqua"/>
          <w:sz w:val="16"/>
          <w:szCs w:val="16"/>
        </w:rPr>
        <w:t xml:space="preserve">, p.  890 (1934).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[13] S. G. Brush,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20</w:t>
      </w:r>
      <w:r w:rsidRPr="00370948">
        <w:rPr>
          <w:rFonts w:ascii="Book Antiqua" w:hAnsi="Book Antiqua"/>
          <w:sz w:val="16"/>
          <w:szCs w:val="16"/>
        </w:rPr>
        <w:t xml:space="preserve"> (6), pp. 557-589, (Dec.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[14] C-G Fälthammer, </w:t>
      </w:r>
      <w:r w:rsidRPr="00370948">
        <w:rPr>
          <w:rFonts w:ascii="Book Antiqua" w:hAnsi="Book Antiqua"/>
          <w:i/>
          <w:sz w:val="16"/>
          <w:szCs w:val="16"/>
        </w:rPr>
        <w:t xml:space="preserve">Proceedings of </w:t>
      </w:r>
      <w:smartTag w:uri="urn:schemas-microsoft-com:office:smarttags" w:element="stockticker">
        <w:r w:rsidRPr="00370948">
          <w:rPr>
            <w:rFonts w:ascii="Book Antiqua" w:hAnsi="Book Antiqua"/>
            <w:i/>
            <w:sz w:val="16"/>
            <w:szCs w:val="16"/>
          </w:rPr>
          <w:t>ESA</w:t>
        </w:r>
      </w:smartTag>
      <w:r w:rsidRPr="00370948">
        <w:rPr>
          <w:rFonts w:ascii="Book Antiqua" w:hAnsi="Book Antiqua"/>
          <w:i/>
          <w:sz w:val="16"/>
          <w:szCs w:val="16"/>
        </w:rPr>
        <w:t xml:space="preserve"> Workshop on Future Missions in Solar, Heliospheric, and Space Plasma Physics,</w:t>
      </w:r>
      <w:r w:rsidRPr="00370948">
        <w:rPr>
          <w:rFonts w:ascii="Book Antiqua" w:hAnsi="Book Antiqua"/>
          <w:sz w:val="16"/>
          <w:szCs w:val="16"/>
        </w:rPr>
        <w:t xml:space="preserve"> Garmisch-Partenkirchen, Germany, pp.107-133 (Apr.30-May 3, 1985).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[15] D. E. Scott, </w:t>
      </w:r>
      <w:r w:rsidRPr="00370948">
        <w:rPr>
          <w:rFonts w:ascii="Book Antiqua" w:hAnsi="Book Antiqua"/>
          <w:i/>
          <w:sz w:val="16"/>
          <w:szCs w:val="16"/>
        </w:rPr>
        <w:t>The Electric Sky</w:t>
      </w:r>
      <w:r w:rsidRPr="00370948">
        <w:rPr>
          <w:rFonts w:ascii="Book Antiqua" w:hAnsi="Book Antiqua"/>
          <w:sz w:val="16"/>
          <w:szCs w:val="16"/>
        </w:rPr>
        <w:t>, p. 62, Mikamar Publishing, Portland, Oregon (2006).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[16]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 xml:space="preserve">(6), pp. 639-660 (December 1986).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[17] A. L. Peratt, </w:t>
      </w:r>
      <w:r w:rsidRPr="00370948">
        <w:rPr>
          <w:rFonts w:ascii="Book Antiqua" w:hAnsi="Book Antiqua"/>
          <w:i/>
          <w:sz w:val="16"/>
          <w:szCs w:val="16"/>
        </w:rPr>
        <w:t>Physics of the Plasma Universe”,</w:t>
      </w:r>
      <w:r w:rsidRPr="00370948">
        <w:rPr>
          <w:rFonts w:ascii="Book Antiqua" w:hAnsi="Book Antiqua"/>
          <w:sz w:val="16"/>
          <w:szCs w:val="16"/>
        </w:rPr>
        <w:t xml:space="preserve"> pp. 43-92 (Springer-Verlag, New York &amp; Berlin,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[18] G. A. Germany et al., “Global auroral imaging as a remote diagnostic of geospace,” presented at the </w:t>
      </w:r>
      <w:r w:rsidRPr="00370948">
        <w:rPr>
          <w:rFonts w:ascii="Book Antiqua" w:hAnsi="Book Antiqua"/>
          <w:i/>
          <w:sz w:val="16"/>
          <w:szCs w:val="16"/>
        </w:rPr>
        <w:t>AIAA Plasmadynamics and Lasers Conference</w:t>
      </w:r>
      <w:r w:rsidRPr="00370948">
        <w:rPr>
          <w:rFonts w:ascii="Book Antiqua" w:hAnsi="Book Antiqua"/>
          <w:sz w:val="16"/>
          <w:szCs w:val="16"/>
        </w:rPr>
        <w:t xml:space="preserve"> (25 June, 1997).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[19] </w:t>
      </w:r>
      <w:r w:rsidRPr="00370948">
        <w:rPr>
          <w:rFonts w:ascii="Book Antiqua" w:hAnsi="Book Antiqua"/>
          <w:i/>
          <w:sz w:val="16"/>
          <w:szCs w:val="16"/>
        </w:rPr>
        <w:t>Official Press Release, Lockheed Martin Solar and Astrophysics Lab</w:t>
      </w:r>
      <w:r w:rsidRPr="00370948">
        <w:rPr>
          <w:rFonts w:ascii="Book Antiqua" w:hAnsi="Book Antiqua"/>
          <w:sz w:val="16"/>
          <w:szCs w:val="16"/>
        </w:rPr>
        <w:t xml:space="preserve">. (28 July, 2004). Comments and images in March 2007 at: </w:t>
      </w:r>
      <w:r w:rsidRPr="00370948">
        <w:rPr>
          <w:rFonts w:ascii="Book Antiqua" w:hAnsi="Book Antiqua"/>
          <w:i/>
          <w:sz w:val="16"/>
          <w:szCs w:val="16"/>
        </w:rPr>
        <w:t xml:space="preserve"> </w:t>
      </w:r>
      <w:hyperlink r:id="rId336" w:history="1">
        <w:r w:rsidRPr="00370948">
          <w:rPr>
            <w:rStyle w:val="Hyperlink"/>
            <w:rFonts w:ascii="Book Antiqua" w:hAnsi="Book Antiqua"/>
            <w:i/>
            <w:szCs w:val="16"/>
          </w:rPr>
          <w:t>http://lmsal.com/Press/spicules2004/</w:t>
        </w:r>
      </w:hyperlink>
      <w:r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[20] </w:t>
      </w:r>
      <w:r w:rsidRPr="00370948">
        <w:rPr>
          <w:rFonts w:ascii="Book Antiqua" w:hAnsi="Book Antiqua"/>
          <w:i/>
          <w:sz w:val="16"/>
          <w:szCs w:val="16"/>
        </w:rPr>
        <w:t>New Scientist News Service</w:t>
      </w:r>
      <w:r w:rsidRPr="00370948">
        <w:rPr>
          <w:rFonts w:ascii="Book Antiqua" w:hAnsi="Book Antiqua"/>
          <w:sz w:val="16"/>
          <w:szCs w:val="16"/>
        </w:rPr>
        <w:t xml:space="preserve"> (21 March, 2007). Photographs, images and video on the web at: </w:t>
      </w:r>
      <w:hyperlink r:id="rId337" w:history="1">
        <w:r w:rsidRPr="00370948">
          <w:rPr>
            <w:rStyle w:val="Hyperlink"/>
            <w:rFonts w:ascii="Book Antiqua" w:hAnsi="Book Antiqua"/>
            <w:i/>
            <w:szCs w:val="16"/>
          </w:rPr>
          <w:t>http://space.newscientist.com/article.ns?id=dn11432&amp;print=true</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[21] </w:t>
      </w:r>
      <w:hyperlink r:id="rId338" w:history="1">
        <w:r w:rsidRPr="00370948">
          <w:rPr>
            <w:rStyle w:val="Hyperlink"/>
            <w:rFonts w:ascii="Book Antiqua" w:hAnsi="Book Antiqua"/>
            <w:i/>
            <w:szCs w:val="16"/>
          </w:rPr>
          <w:t>http://www.solarphysics.kva.se/NatureNov2002/images/NP1_Fig3_arrows_color.gif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[22] G. Verschuur,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 xml:space="preserve"> pp. 187-198 (1995). Also in a Press Release quoted at: </w:t>
      </w:r>
      <w:hyperlink r:id="rId339" w:history="1">
        <w:r w:rsidRPr="00370948">
          <w:rPr>
            <w:rStyle w:val="Hyperlink"/>
            <w:rFonts w:ascii="Book Antiqua" w:hAnsi="Book Antiqua"/>
            <w:i/>
            <w:szCs w:val="16"/>
          </w:rPr>
          <w:t>http://plasmascience.net/tpu/CIV.html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[23] F. Yusef-Zudeh et al., </w:t>
      </w:r>
      <w:r w:rsidRPr="00370948">
        <w:rPr>
          <w:rFonts w:ascii="Book Antiqua" w:hAnsi="Book Antiqua"/>
          <w:i/>
          <w:sz w:val="16"/>
          <w:szCs w:val="16"/>
        </w:rPr>
        <w:t>Nature</w:t>
      </w:r>
      <w:r w:rsidRPr="00370948">
        <w:rPr>
          <w:rFonts w:ascii="Book Antiqua" w:hAnsi="Book Antiqua"/>
          <w:sz w:val="16"/>
          <w:szCs w:val="16"/>
        </w:rPr>
        <w:t>,</w:t>
      </w:r>
      <w:r w:rsidRPr="00370948">
        <w:rPr>
          <w:rFonts w:ascii="Book Antiqua" w:hAnsi="Book Antiqua"/>
          <w:b/>
          <w:sz w:val="16"/>
          <w:szCs w:val="16"/>
        </w:rPr>
        <w:t xml:space="preserve"> 310</w:t>
      </w:r>
      <w:r w:rsidRPr="00370948">
        <w:rPr>
          <w:rFonts w:ascii="Book Antiqua" w:hAnsi="Book Antiqua"/>
          <w:sz w:val="16"/>
          <w:szCs w:val="16"/>
        </w:rPr>
        <w:t xml:space="preserve"> pp.557-561 (1984).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[24] R. A. Perley et al.,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285</w:t>
      </w:r>
      <w:r w:rsidRPr="00370948">
        <w:rPr>
          <w:rFonts w:ascii="Book Antiqua" w:hAnsi="Book Antiqua"/>
          <w:sz w:val="16"/>
          <w:szCs w:val="16"/>
        </w:rPr>
        <w:t xml:space="preserve">, pp. L35-L38 (1984).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[25] See comment at: </w:t>
      </w:r>
      <w:hyperlink r:id="rId340" w:history="1">
        <w:r w:rsidRPr="00370948">
          <w:rPr>
            <w:rStyle w:val="Hyperlink"/>
            <w:rFonts w:ascii="Book Antiqua" w:hAnsi="Book Antiqua"/>
            <w:i/>
            <w:szCs w:val="16"/>
          </w:rPr>
          <w:t>http://www.windows.ucar.edu/tour/link=/jupiter/upper_atmosphere.html&amp;edu=high</w:t>
        </w:r>
      </w:hyperlink>
      <w:r w:rsidRPr="00370948">
        <w:rPr>
          <w:rFonts w:ascii="Book Antiqua" w:hAnsi="Book Antiqua"/>
          <w:i/>
          <w:sz w:val="16"/>
          <w:szCs w:val="16"/>
        </w:rPr>
        <w:t>].</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[26] See: </w:t>
      </w:r>
      <w:hyperlink r:id="rId341" w:history="1">
        <w:r w:rsidRPr="00370948">
          <w:rPr>
            <w:rStyle w:val="Hyperlink"/>
            <w:rFonts w:ascii="Book Antiqua" w:hAnsi="Book Antiqua"/>
            <w:i/>
            <w:szCs w:val="16"/>
          </w:rPr>
          <w:t>http://www.nasa.gov/images/content/54346main_m81_highres.jpg</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[27] See: </w:t>
      </w:r>
      <w:hyperlink r:id="rId342" w:history="1">
        <w:r w:rsidRPr="00370948">
          <w:rPr>
            <w:rStyle w:val="Hyperlink"/>
            <w:rFonts w:ascii="Book Antiqua" w:hAnsi="Book Antiqua"/>
            <w:i/>
            <w:szCs w:val="16"/>
          </w:rPr>
          <w:t>http://www.thunderbolts.info/tpod/2006/arch06/060602plasma-galaxy.htm</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[28] ESO Science Release 0941: “Shedding light on the Cosmic Skeleton,”</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 Nov. 2009) at: </w:t>
      </w:r>
      <w:hyperlink r:id="rId343" w:history="1">
        <w:r w:rsidRPr="00370948">
          <w:rPr>
            <w:rStyle w:val="Hyperlink"/>
            <w:rFonts w:ascii="Book Antiqua" w:hAnsi="Book Antiqua"/>
            <w:i/>
            <w:szCs w:val="16"/>
          </w:rPr>
          <w:t>http://www.eso.org/public/news/eso0941/</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[29] Herschel Space Observatory Press Release 139, 17 May, 2012 at:</w:t>
      </w:r>
    </w:p>
    <w:p w:rsidR="005359B2" w:rsidRPr="00370948" w:rsidRDefault="007B3EBC" w:rsidP="005359B2">
      <w:pPr>
        <w:pStyle w:val="NoSpacing"/>
        <w:rPr>
          <w:rFonts w:ascii="Book Antiqua" w:hAnsi="Book Antiqua"/>
          <w:bCs/>
          <w:i/>
          <w:color w:val="FF0000"/>
          <w:sz w:val="16"/>
          <w:szCs w:val="16"/>
        </w:rPr>
      </w:pPr>
      <w:hyperlink r:id="rId344" w:history="1">
        <w:r w:rsidR="005359B2" w:rsidRPr="00370948">
          <w:rPr>
            <w:rStyle w:val="Hyperlink"/>
            <w:rFonts w:ascii="Book Antiqua" w:hAnsi="Book Antiqua"/>
            <w:bCs/>
            <w:i/>
            <w:szCs w:val="16"/>
          </w:rPr>
          <w:t>http://www.jpl.nasa.gov/news/news.cfm?release=2012-139&amp;cid=release_2012-139&amp;msource=12139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[30] J. M. Wilcox, N. F. Ness,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70</w:t>
      </w:r>
      <w:r w:rsidRPr="00370948">
        <w:rPr>
          <w:rFonts w:ascii="Book Antiqua" w:hAnsi="Book Antiqua"/>
          <w:sz w:val="16"/>
          <w:szCs w:val="16"/>
        </w:rPr>
        <w:t>, p. 5793 (1965).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[31] L. P. Block, “Double Layers in the laboratory and above the aurora,” in </w:t>
      </w:r>
      <w:r w:rsidRPr="00370948">
        <w:rPr>
          <w:rFonts w:ascii="Book Antiqua" w:hAnsi="Book Antiqua"/>
          <w:i/>
          <w:sz w:val="16"/>
          <w:szCs w:val="16"/>
        </w:rPr>
        <w:t>Physics of Auroral Arc Formation</w:t>
      </w:r>
      <w:r w:rsidRPr="00370948">
        <w:rPr>
          <w:rFonts w:ascii="Book Antiqua" w:hAnsi="Book Antiqua"/>
          <w:sz w:val="16"/>
          <w:szCs w:val="16"/>
        </w:rPr>
        <w:t xml:space="preserve">, Geophysical Monograph Series, Vol. </w:t>
      </w:r>
      <w:r w:rsidRPr="00370948">
        <w:rPr>
          <w:rFonts w:ascii="Book Antiqua" w:hAnsi="Book Antiqua"/>
          <w:b/>
          <w:sz w:val="16"/>
          <w:szCs w:val="16"/>
        </w:rPr>
        <w:t>25</w:t>
      </w:r>
      <w:r w:rsidRPr="00370948">
        <w:rPr>
          <w:rFonts w:ascii="Book Antiqua" w:hAnsi="Book Antiqua"/>
          <w:sz w:val="16"/>
          <w:szCs w:val="16"/>
        </w:rPr>
        <w:t xml:space="preserve">, pp. 218-225), (American Geophysical Union, Washington DC, 1981).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[32] P. Carlqvist, </w:t>
      </w:r>
      <w:r w:rsidRPr="00370948">
        <w:rPr>
          <w:rFonts w:ascii="Book Antiqua" w:hAnsi="Book Antiqua"/>
          <w:i/>
          <w:sz w:val="16"/>
          <w:szCs w:val="16"/>
        </w:rPr>
        <w:t>Cosmic Electrodynamics</w:t>
      </w:r>
      <w:r w:rsidRPr="00370948">
        <w:rPr>
          <w:rFonts w:ascii="Book Antiqua" w:hAnsi="Book Antiqua"/>
          <w:sz w:val="16"/>
          <w:szCs w:val="16"/>
        </w:rPr>
        <w:t xml:space="preserve">, </w:t>
      </w:r>
      <w:r w:rsidRPr="00370948">
        <w:rPr>
          <w:rFonts w:ascii="Book Antiqua" w:hAnsi="Book Antiqua"/>
          <w:b/>
          <w:sz w:val="16"/>
          <w:szCs w:val="16"/>
        </w:rPr>
        <w:t>3</w:t>
      </w:r>
      <w:r w:rsidRPr="00370948">
        <w:rPr>
          <w:rFonts w:ascii="Book Antiqua" w:hAnsi="Book Antiqua"/>
          <w:sz w:val="16"/>
          <w:szCs w:val="16"/>
        </w:rPr>
        <w:t>, pp.377-388 (1972).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[33] L. P. Block, </w:t>
      </w:r>
      <w:r w:rsidRPr="00370948">
        <w:rPr>
          <w:rFonts w:ascii="Book Antiqua" w:hAnsi="Book Antiqua"/>
          <w:i/>
          <w:sz w:val="16"/>
          <w:szCs w:val="16"/>
        </w:rPr>
        <w:t>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59-83,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[34]. C-G Fälthammer, “Non-resistive electric drops in cosmical plasmas,” in </w:t>
      </w:r>
      <w:r w:rsidRPr="00370948">
        <w:rPr>
          <w:rFonts w:ascii="Book Antiqua" w:hAnsi="Book Antiqua"/>
          <w:i/>
          <w:sz w:val="16"/>
          <w:szCs w:val="16"/>
        </w:rPr>
        <w:t>Particle Acceleration Mechanisms in Astrophysics,</w:t>
      </w:r>
      <w:r w:rsidRPr="00370948">
        <w:rPr>
          <w:rFonts w:ascii="Book Antiqua" w:hAnsi="Book Antiqua"/>
          <w:sz w:val="16"/>
          <w:szCs w:val="16"/>
        </w:rPr>
        <w:t xml:space="preserve"> pp. 27-41, J. Arons, C. McKee, C. Max, Eds. (American Institute of Physics,1979).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[35] </w:t>
      </w:r>
      <w:hyperlink r:id="rId345" w:history="1">
        <w:r w:rsidRPr="00370948">
          <w:rPr>
            <w:rStyle w:val="Hyperlink"/>
            <w:rFonts w:ascii="Book Antiqua" w:hAnsi="Book Antiqua"/>
            <w:i/>
            <w:szCs w:val="16"/>
          </w:rPr>
          <w:t>http://www.damtp.cam.ac.uk/user/gr/public/gal_lss.html</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[36] </w:t>
      </w:r>
      <w:hyperlink r:id="rId346" w:history="1">
        <w:r w:rsidRPr="00370948">
          <w:rPr>
            <w:rStyle w:val="Hyperlink"/>
            <w:rFonts w:ascii="Book Antiqua" w:hAnsi="Book Antiqua"/>
            <w:i/>
            <w:szCs w:val="16"/>
          </w:rPr>
          <w:t>http://192.171.198.135/Ps/aac/images/box.jpg</w:t>
        </w:r>
      </w:hyperlink>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[37] </w:t>
      </w:r>
      <w:hyperlink r:id="rId347" w:history="1">
        <w:r w:rsidRPr="00370948">
          <w:rPr>
            <w:rStyle w:val="Hyperlink"/>
            <w:rFonts w:ascii="Book Antiqua" w:hAnsi="Book Antiqua"/>
            <w:i/>
            <w:szCs w:val="16"/>
          </w:rPr>
          <w:t>http://192.171.198.135/Ps/aac/aac_evuniv_lss.asp</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[38] A. L. Peratt, </w:t>
      </w:r>
      <w:r w:rsidRPr="00370948">
        <w:rPr>
          <w:rFonts w:ascii="Book Antiqua" w:hAnsi="Book Antiqua"/>
          <w:i/>
          <w:sz w:val="16"/>
          <w:szCs w:val="16"/>
        </w:rPr>
        <w:t>IEEE Transactions On Plasma Science</w:t>
      </w:r>
      <w:r w:rsidRPr="00370948">
        <w:rPr>
          <w:rFonts w:ascii="Book Antiqua" w:hAnsi="Book Antiqua"/>
          <w:sz w:val="16"/>
          <w:szCs w:val="16"/>
        </w:rPr>
        <w:t xml:space="preserve">, </w:t>
      </w:r>
      <w:r w:rsidRPr="00370948">
        <w:rPr>
          <w:rFonts w:ascii="Book Antiqua" w:hAnsi="Book Antiqua"/>
          <w:b/>
          <w:sz w:val="16"/>
          <w:szCs w:val="16"/>
        </w:rPr>
        <w:t>PS-14</w:t>
      </w:r>
      <w:r w:rsidRPr="00370948">
        <w:rPr>
          <w:rFonts w:ascii="Book Antiqua" w:hAnsi="Book Antiqua"/>
          <w:sz w:val="16"/>
          <w:szCs w:val="16"/>
        </w:rPr>
        <w:t>(6), pp. 763-778  (December 1986).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[39] A. L. Peratt, </w:t>
      </w:r>
      <w:r w:rsidRPr="00370948">
        <w:rPr>
          <w:rFonts w:ascii="Book Antiqua" w:hAnsi="Book Antiqua"/>
          <w:i/>
          <w:sz w:val="16"/>
          <w:szCs w:val="16"/>
        </w:rPr>
        <w:t>Physics of the Plasma Universe,</w:t>
      </w:r>
      <w:r w:rsidRPr="00370948">
        <w:rPr>
          <w:rFonts w:ascii="Book Antiqua" w:hAnsi="Book Antiqua"/>
          <w:sz w:val="16"/>
          <w:szCs w:val="16"/>
        </w:rPr>
        <w:t xml:space="preserve"> Chapter 4 Section 4.6.3 (Springer-Verlag,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[40] G. T. Marklund,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277</w:t>
      </w:r>
      <w:r w:rsidRPr="00370948">
        <w:rPr>
          <w:rFonts w:ascii="Book Antiqua" w:hAnsi="Book Antiqua"/>
          <w:sz w:val="16"/>
          <w:szCs w:val="16"/>
        </w:rPr>
        <w:t>, pp. 370-371(1</w:t>
      </w:r>
      <w:r w:rsidRPr="00370948">
        <w:rPr>
          <w:rFonts w:ascii="Book Antiqua" w:hAnsi="Book Antiqua"/>
          <w:sz w:val="16"/>
          <w:szCs w:val="16"/>
          <w:vertAlign w:val="superscript"/>
        </w:rPr>
        <w:t>st</w:t>
      </w:r>
      <w:r w:rsidRPr="00370948">
        <w:rPr>
          <w:rFonts w:ascii="Book Antiqua" w:hAnsi="Book Antiqua"/>
          <w:sz w:val="16"/>
          <w:szCs w:val="16"/>
        </w:rPr>
        <w:t xml:space="preserve"> Feb. 1979).</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[41] </w:t>
      </w:r>
      <w:hyperlink r:id="rId348" w:history="1">
        <w:r w:rsidRPr="00370948">
          <w:rPr>
            <w:rStyle w:val="Hyperlink"/>
            <w:rFonts w:ascii="Book Antiqua" w:hAnsi="Book Antiqua"/>
            <w:i/>
            <w:szCs w:val="16"/>
          </w:rPr>
          <w:t>http://www.plasma-universe.com/index.php/Marklund_convection</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[42]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256</w:t>
      </w:r>
      <w:r w:rsidRPr="00370948">
        <w:rPr>
          <w:rFonts w:ascii="Book Antiqua" w:hAnsi="Book Antiqua"/>
          <w:sz w:val="16"/>
          <w:szCs w:val="16"/>
        </w:rPr>
        <w:t>, pp. 51-75 (1998).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[43] A. L. Peratt, </w:t>
      </w:r>
      <w:r w:rsidRPr="00370948">
        <w:rPr>
          <w:rFonts w:ascii="Book Antiqua" w:hAnsi="Book Antiqua"/>
          <w:i/>
          <w:sz w:val="16"/>
          <w:szCs w:val="16"/>
        </w:rPr>
        <w:t>Astrophysics &amp; Space Science</w:t>
      </w:r>
      <w:r w:rsidRPr="00370948">
        <w:rPr>
          <w:rFonts w:ascii="Book Antiqua" w:hAnsi="Book Antiqua"/>
          <w:sz w:val="16"/>
          <w:szCs w:val="16"/>
        </w:rPr>
        <w:t xml:space="preserve">, </w:t>
      </w:r>
      <w:r w:rsidRPr="00370948">
        <w:rPr>
          <w:rFonts w:ascii="Book Antiqua" w:hAnsi="Book Antiqua"/>
          <w:b/>
          <w:sz w:val="16"/>
          <w:szCs w:val="16"/>
        </w:rPr>
        <w:t>227</w:t>
      </w:r>
      <w:r w:rsidRPr="00370948">
        <w:rPr>
          <w:rFonts w:ascii="Book Antiqua" w:hAnsi="Book Antiqua"/>
          <w:sz w:val="16"/>
          <w:szCs w:val="16"/>
        </w:rPr>
        <w:t>(1-2), pp. 97-107 (May 1995).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[44] S. L. Martin, A. K. Connor, </w:t>
      </w:r>
      <w:r w:rsidRPr="00370948">
        <w:rPr>
          <w:rFonts w:ascii="Book Antiqua" w:hAnsi="Book Antiqua"/>
          <w:i/>
          <w:sz w:val="16"/>
          <w:szCs w:val="16"/>
        </w:rPr>
        <w:t>Basic Physics</w:t>
      </w:r>
      <w:r w:rsidRPr="00370948">
        <w:rPr>
          <w:rFonts w:ascii="Book Antiqua" w:hAnsi="Book Antiqua"/>
          <w:sz w:val="16"/>
          <w:szCs w:val="16"/>
        </w:rPr>
        <w:t>, 8</w:t>
      </w:r>
      <w:r w:rsidRPr="00370948">
        <w:rPr>
          <w:rFonts w:ascii="Book Antiqua" w:hAnsi="Book Antiqua"/>
          <w:sz w:val="16"/>
          <w:szCs w:val="16"/>
          <w:vertAlign w:val="superscript"/>
        </w:rPr>
        <w:t>th</w:t>
      </w:r>
      <w:r w:rsidRPr="00370948">
        <w:rPr>
          <w:rFonts w:ascii="Book Antiqua" w:hAnsi="Book Antiqua"/>
          <w:sz w:val="16"/>
          <w:szCs w:val="16"/>
        </w:rPr>
        <w:t xml:space="preserve"> Edition, Vol. 2, pp. 721-724, (Whitcombe &amp; Tombs Pty.Ltd., Melbourne,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[45] I. Langmuir, C. G. Found, A. F. Dittmer, </w:t>
      </w:r>
      <w:r w:rsidRPr="00370948">
        <w:rPr>
          <w:rFonts w:ascii="Book Antiqua" w:hAnsi="Book Antiqua"/>
          <w:i/>
          <w:sz w:val="16"/>
          <w:szCs w:val="16"/>
        </w:rPr>
        <w:t>Science</w:t>
      </w:r>
      <w:r w:rsidRPr="00370948">
        <w:rPr>
          <w:rFonts w:ascii="Book Antiqua" w:hAnsi="Book Antiqua"/>
          <w:sz w:val="16"/>
          <w:szCs w:val="16"/>
        </w:rPr>
        <w:t xml:space="preserve"> </w:t>
      </w:r>
      <w:r w:rsidRPr="00370948">
        <w:rPr>
          <w:rFonts w:ascii="Book Antiqua" w:hAnsi="Book Antiqua"/>
          <w:b/>
          <w:sz w:val="16"/>
          <w:szCs w:val="16"/>
        </w:rPr>
        <w:t>60</w:t>
      </w:r>
      <w:r w:rsidRPr="00370948">
        <w:rPr>
          <w:rFonts w:ascii="Book Antiqua" w:hAnsi="Book Antiqua"/>
          <w:sz w:val="16"/>
          <w:szCs w:val="16"/>
        </w:rPr>
        <w:t>, p. 392 (1924).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[46] L. Spitzer Jr., </w:t>
      </w:r>
      <w:r w:rsidRPr="00370948">
        <w:rPr>
          <w:rFonts w:ascii="Book Antiqua" w:hAnsi="Book Antiqua"/>
          <w:i/>
          <w:sz w:val="16"/>
          <w:szCs w:val="16"/>
        </w:rPr>
        <w:t>Physical Processes in the Interstellar Medium</w:t>
      </w:r>
      <w:r w:rsidRPr="00370948">
        <w:rPr>
          <w:rFonts w:ascii="Book Antiqua" w:hAnsi="Book Antiqua"/>
          <w:sz w:val="16"/>
          <w:szCs w:val="16"/>
        </w:rPr>
        <w:t>, (Wiley, New York, 1978).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[47] H. Alfvén, </w:t>
      </w:r>
      <w:r w:rsidRPr="00370948">
        <w:rPr>
          <w:rFonts w:ascii="Book Antiqua" w:hAnsi="Book Antiqua"/>
          <w:i/>
          <w:sz w:val="16"/>
          <w:szCs w:val="16"/>
        </w:rPr>
        <w:t>On the Origin of the Solar System</w:t>
      </w:r>
      <w:r w:rsidRPr="00370948">
        <w:rPr>
          <w:rFonts w:ascii="Book Antiqua" w:hAnsi="Book Antiqua"/>
          <w:b/>
          <w:sz w:val="16"/>
          <w:szCs w:val="16"/>
        </w:rPr>
        <w:t xml:space="preserve"> </w:t>
      </w:r>
      <w:r w:rsidRPr="00370948">
        <w:rPr>
          <w:rFonts w:ascii="Book Antiqua" w:hAnsi="Book Antiqua"/>
          <w:sz w:val="16"/>
          <w:szCs w:val="16"/>
        </w:rPr>
        <w:t>(Clarendon Press, Oxford, UK, 1954).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[48] C. K. Goertz, G. Morfill, </w:t>
      </w:r>
      <w:r w:rsidRPr="00370948">
        <w:rPr>
          <w:rFonts w:ascii="Book Antiqua" w:hAnsi="Book Antiqua"/>
          <w:i/>
          <w:sz w:val="16"/>
          <w:szCs w:val="16"/>
        </w:rPr>
        <w:t>Icarus</w:t>
      </w:r>
      <w:r w:rsidRPr="00370948">
        <w:rPr>
          <w:rFonts w:ascii="Book Antiqua" w:hAnsi="Book Antiqua"/>
          <w:b/>
          <w:sz w:val="16"/>
          <w:szCs w:val="16"/>
        </w:rPr>
        <w:t xml:space="preserve"> 53</w:t>
      </w:r>
      <w:r w:rsidRPr="00370948">
        <w:rPr>
          <w:rFonts w:ascii="Book Antiqua" w:hAnsi="Book Antiqua"/>
          <w:sz w:val="16"/>
          <w:szCs w:val="16"/>
        </w:rPr>
        <w:t>, p. 219 (1983).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[49] </w:t>
      </w:r>
      <w:r w:rsidRPr="00370948">
        <w:rPr>
          <w:rFonts w:ascii="Book Antiqua" w:hAnsi="Book Antiqua"/>
          <w:i/>
          <w:sz w:val="16"/>
          <w:szCs w:val="16"/>
        </w:rPr>
        <w:t>NASA/JPL Press Release in Science Daily</w:t>
      </w:r>
      <w:r w:rsidRPr="00370948">
        <w:rPr>
          <w:rFonts w:ascii="Book Antiqua" w:hAnsi="Book Antiqua"/>
          <w:sz w:val="16"/>
          <w:szCs w:val="16"/>
        </w:rPr>
        <w:t>,( 17 September, 2005). Available on-line at:</w:t>
      </w:r>
    </w:p>
    <w:p w:rsidR="005359B2" w:rsidRPr="00370948" w:rsidRDefault="007B3EBC" w:rsidP="005359B2">
      <w:pPr>
        <w:pStyle w:val="NoSpacing"/>
        <w:rPr>
          <w:rFonts w:ascii="Book Antiqua" w:hAnsi="Book Antiqua"/>
          <w:i/>
          <w:sz w:val="16"/>
          <w:szCs w:val="16"/>
        </w:rPr>
      </w:pPr>
      <w:hyperlink r:id="rId349" w:history="1">
        <w:r w:rsidR="005359B2" w:rsidRPr="00370948">
          <w:rPr>
            <w:rStyle w:val="Hyperlink"/>
            <w:rFonts w:ascii="Book Antiqua" w:hAnsi="Book Antiqua"/>
            <w:i/>
            <w:szCs w:val="16"/>
          </w:rPr>
          <w:t>http://www.sciencedaily.com/releases/2005/09/050917084531.htm</w:t>
        </w:r>
      </w:hyperlink>
      <w:r w:rsidR="005359B2" w:rsidRPr="00370948">
        <w:rPr>
          <w:rFonts w:ascii="Book Antiqua" w:hAnsi="Book Antiqua"/>
          <w:i/>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[50] R. L. Merlino, J. A. Goree, </w:t>
      </w:r>
      <w:r w:rsidRPr="00370948">
        <w:rPr>
          <w:rFonts w:ascii="Book Antiqua" w:hAnsi="Book Antiqua"/>
          <w:i/>
          <w:sz w:val="16"/>
          <w:szCs w:val="16"/>
        </w:rPr>
        <w:t>Physics Today</w:t>
      </w:r>
      <w:r w:rsidRPr="00370948">
        <w:rPr>
          <w:rFonts w:ascii="Book Antiqua" w:hAnsi="Book Antiqua"/>
          <w:sz w:val="16"/>
          <w:szCs w:val="16"/>
        </w:rPr>
        <w:t>, pp. 32-38 (July 2004).</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[ 51 ] A. Nefedov et al., </w:t>
      </w:r>
      <w:r w:rsidRPr="00370948">
        <w:rPr>
          <w:rFonts w:ascii="Book Antiqua" w:hAnsi="Book Antiqua"/>
          <w:i/>
          <w:sz w:val="16"/>
          <w:szCs w:val="16"/>
        </w:rPr>
        <w:t>New Journal of Physics</w:t>
      </w:r>
      <w:r w:rsidRPr="00370948">
        <w:rPr>
          <w:rFonts w:ascii="Book Antiqua" w:hAnsi="Book Antiqua"/>
          <w:sz w:val="16"/>
          <w:szCs w:val="16"/>
        </w:rPr>
        <w:t>,</w:t>
      </w:r>
      <w:r w:rsidRPr="00370948">
        <w:rPr>
          <w:rFonts w:ascii="Book Antiqua" w:hAnsi="Book Antiqua"/>
          <w:b/>
          <w:sz w:val="16"/>
          <w:szCs w:val="16"/>
        </w:rPr>
        <w:t xml:space="preserve"> 5</w:t>
      </w:r>
      <w:r w:rsidRPr="00370948">
        <w:rPr>
          <w:rFonts w:ascii="Book Antiqua" w:hAnsi="Book Antiqua"/>
          <w:sz w:val="16"/>
          <w:szCs w:val="16"/>
        </w:rPr>
        <w:t>, 33.1 (2003).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[52] A. Gsponer, ‘Physics of high-intensity particle beam propagation in open air and outer-space plasmas’, (October 2004). Found at: </w:t>
      </w:r>
      <w:hyperlink r:id="rId350" w:history="1">
        <w:r w:rsidRPr="00370948">
          <w:rPr>
            <w:rStyle w:val="Hyperlink"/>
            <w:rFonts w:ascii="Book Antiqua" w:hAnsi="Book Antiqua"/>
            <w:i/>
            <w:szCs w:val="16"/>
          </w:rPr>
          <w:t>http://arxiv.org/abs/physics/0409157</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[53] H. Alfvén, </w:t>
      </w:r>
      <w:r w:rsidRPr="00370948">
        <w:rPr>
          <w:rFonts w:ascii="Book Antiqua" w:hAnsi="Book Antiqua"/>
          <w:i/>
          <w:sz w:val="16"/>
          <w:szCs w:val="16"/>
        </w:rPr>
        <w:t>Cosmical Electrodynamics</w:t>
      </w:r>
      <w:r w:rsidRPr="00370948">
        <w:rPr>
          <w:rFonts w:ascii="Book Antiqua" w:hAnsi="Book Antiqua"/>
          <w:sz w:val="16"/>
          <w:szCs w:val="16"/>
        </w:rPr>
        <w:t xml:space="preserve"> (Oxford University Press, New York, 1950).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[54] A. L. Peratt, </w:t>
      </w:r>
      <w:r w:rsidRPr="00370948">
        <w:rPr>
          <w:rFonts w:ascii="Book Antiqua" w:hAnsi="Book Antiqua"/>
          <w:i/>
          <w:sz w:val="16"/>
          <w:szCs w:val="16"/>
        </w:rPr>
        <w:t>Physics of the Plasma Universe</w:t>
      </w:r>
      <w:r w:rsidRPr="00370948">
        <w:rPr>
          <w:rFonts w:ascii="Book Antiqua" w:hAnsi="Book Antiqua"/>
          <w:sz w:val="16"/>
          <w:szCs w:val="16"/>
        </w:rPr>
        <w:t>, op. cit., p.29 (1992).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[55] S. L. Martin, A. K. Connor, op. cit.,,Vol. 2, pp. 543-552 (1959).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[56] B. Chiswell, E. C. M. Grigg, </w:t>
      </w:r>
      <w:r w:rsidRPr="00370948">
        <w:rPr>
          <w:rFonts w:ascii="Book Antiqua" w:hAnsi="Book Antiqua"/>
          <w:i/>
          <w:sz w:val="16"/>
          <w:szCs w:val="16"/>
        </w:rPr>
        <w:t>SI Units</w:t>
      </w:r>
      <w:r w:rsidRPr="00370948">
        <w:rPr>
          <w:rFonts w:ascii="Book Antiqua" w:hAnsi="Book Antiqua"/>
          <w:sz w:val="16"/>
          <w:szCs w:val="16"/>
        </w:rPr>
        <w:t>, p. 45 (John Wiley &amp; Sons Australasia Pty. Ltd. 1970).</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[57] See </w:t>
      </w:r>
      <w:hyperlink r:id="rId351" w:history="1">
        <w:r w:rsidRPr="00370948">
          <w:rPr>
            <w:rStyle w:val="Hyperlink"/>
            <w:rFonts w:ascii="Book Antiqua" w:hAnsi="Book Antiqua"/>
            <w:i/>
            <w:szCs w:val="16"/>
          </w:rPr>
          <w:t>http://cmb.as.arizona.edu/~eisenste/acousticpeak/acoustic_physics.ht</w:t>
        </w:r>
        <w:r w:rsidRPr="00370948">
          <w:rPr>
            <w:rStyle w:val="Hyperlink"/>
            <w:rFonts w:ascii="Book Antiqua" w:hAnsi="Book Antiqua"/>
            <w:szCs w:val="16"/>
          </w:rPr>
          <w:t>ml</w:t>
        </w:r>
      </w:hyperlink>
      <w:r w:rsidRPr="00370948">
        <w:rPr>
          <w:rFonts w:ascii="Book Antiqua" w:hAnsi="Book Antiqua"/>
          <w:sz w:val="16"/>
          <w:szCs w:val="16"/>
        </w:rPr>
        <w:t xml:space="preserve"> November 2007.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[58] See the following sites: </w:t>
      </w:r>
      <w:hyperlink r:id="rId352" w:history="1">
        <w:r w:rsidRPr="00370948">
          <w:rPr>
            <w:rStyle w:val="Hyperlink"/>
            <w:rFonts w:ascii="Book Antiqua" w:hAnsi="Book Antiqua"/>
            <w:i/>
            <w:szCs w:val="16"/>
          </w:rPr>
          <w:t>http://www.physics.ccsu.edu/larsen/wmap.html</w:t>
        </w:r>
      </w:hyperlink>
    </w:p>
    <w:p w:rsidR="005359B2" w:rsidRPr="00370948" w:rsidRDefault="007B3EBC" w:rsidP="005359B2">
      <w:pPr>
        <w:pStyle w:val="NoSpacing"/>
        <w:rPr>
          <w:rFonts w:ascii="Book Antiqua" w:hAnsi="Book Antiqua"/>
          <w:sz w:val="16"/>
          <w:szCs w:val="16"/>
        </w:rPr>
      </w:pPr>
      <w:hyperlink r:id="rId353" w:history="1">
        <w:r w:rsidR="005359B2" w:rsidRPr="00370948">
          <w:rPr>
            <w:rStyle w:val="Hyperlink"/>
            <w:rFonts w:ascii="Book Antiqua" w:hAnsi="Book Antiqua"/>
            <w:i/>
            <w:szCs w:val="16"/>
          </w:rPr>
          <w:t>http://astsun.astro.virginia.edu/~dmw8f/index.php</w:t>
        </w:r>
      </w:hyperlink>
      <w:r w:rsidR="005359B2" w:rsidRPr="00370948">
        <w:rPr>
          <w:rFonts w:ascii="Book Antiqua" w:hAnsi="Book Antiqua"/>
          <w:sz w:val="16"/>
          <w:szCs w:val="16"/>
        </w:rPr>
        <w:t xml:space="preserve"> </w:t>
      </w:r>
      <w:hyperlink r:id="rId354" w:anchor="9" w:history="1">
        <w:r w:rsidR="005359B2" w:rsidRPr="00370948">
          <w:rPr>
            <w:rStyle w:val="Hyperlink"/>
            <w:rFonts w:ascii="Book Antiqua" w:hAnsi="Book Antiqua"/>
            <w:i/>
            <w:szCs w:val="16"/>
          </w:rPr>
          <w:t>http://vmsstreamer1.fnal.gov/VMS_Site_03/Lectures/Colloquium/presentations/070214Eisenstein.ppt#9</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[59] J. Trefil, </w:t>
      </w:r>
      <w:r w:rsidRPr="00370948">
        <w:rPr>
          <w:rFonts w:ascii="Book Antiqua" w:hAnsi="Book Antiqua"/>
          <w:bCs/>
          <w:i/>
          <w:sz w:val="16"/>
          <w:szCs w:val="16"/>
        </w:rPr>
        <w:t>The Dark Side of the Universe</w:t>
      </w:r>
      <w:r w:rsidRPr="00370948">
        <w:rPr>
          <w:rFonts w:ascii="Book Antiqua" w:hAnsi="Book Antiqua"/>
          <w:sz w:val="16"/>
          <w:szCs w:val="16"/>
        </w:rPr>
        <w:t>, p.61, (Scribner, 1988).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[60] M. D. Lehnert, et al, </w:t>
      </w:r>
      <w:r w:rsidRPr="00370948">
        <w:rPr>
          <w:rFonts w:ascii="Book Antiqua" w:hAnsi="Book Antiqua"/>
          <w:i/>
          <w:iCs/>
          <w:sz w:val="16"/>
          <w:szCs w:val="16"/>
        </w:rPr>
        <w:t xml:space="preserve">Nature </w:t>
      </w:r>
      <w:r w:rsidRPr="00370948">
        <w:rPr>
          <w:rFonts w:ascii="Book Antiqua" w:hAnsi="Book Antiqua"/>
          <w:b/>
          <w:bCs/>
          <w:sz w:val="16"/>
          <w:szCs w:val="16"/>
        </w:rPr>
        <w:t>467</w:t>
      </w:r>
      <w:r w:rsidRPr="00370948">
        <w:rPr>
          <w:rFonts w:ascii="Book Antiqua" w:hAnsi="Book Antiqua"/>
          <w:sz w:val="16"/>
          <w:szCs w:val="16"/>
        </w:rPr>
        <w:t>: 490-492 (Oct 2010).</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[61] Nature 483, pp.45-50, (3 November 2005).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lastRenderedPageBreak/>
        <w:t xml:space="preserve">[62] </w:t>
      </w:r>
      <w:r w:rsidRPr="00370948">
        <w:rPr>
          <w:rFonts w:ascii="Book Antiqua" w:hAnsi="Book Antiqua"/>
          <w:i/>
          <w:sz w:val="16"/>
          <w:szCs w:val="16"/>
        </w:rPr>
        <w:t>Astrophysical Journal</w:t>
      </w:r>
      <w:r w:rsidRPr="00370948">
        <w:rPr>
          <w:rFonts w:ascii="Book Antiqua" w:hAnsi="Book Antiqua"/>
          <w:sz w:val="16"/>
          <w:szCs w:val="16"/>
        </w:rPr>
        <w:t xml:space="preserve"> </w:t>
      </w:r>
      <w:r w:rsidRPr="00370948">
        <w:rPr>
          <w:rFonts w:ascii="Book Antiqua" w:hAnsi="Book Antiqua"/>
          <w:b/>
          <w:sz w:val="16"/>
          <w:szCs w:val="16"/>
        </w:rPr>
        <w:t>515</w:t>
      </w:r>
      <w:r w:rsidRPr="00370948">
        <w:rPr>
          <w:rFonts w:ascii="Book Antiqua" w:hAnsi="Book Antiqua"/>
          <w:sz w:val="16"/>
          <w:szCs w:val="16"/>
        </w:rPr>
        <w:t>, pp. 487-496, (1999).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[63] D. E. Scott, op. cit., (reference 15 above), pp. 105-107.</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[64] A. N. Cox, Ed., </w:t>
      </w:r>
      <w:r w:rsidRPr="00370948">
        <w:rPr>
          <w:rFonts w:ascii="Book Antiqua" w:hAnsi="Book Antiqua"/>
          <w:i/>
          <w:color w:val="000000"/>
          <w:sz w:val="16"/>
          <w:szCs w:val="16"/>
        </w:rPr>
        <w:t>Allen’s Astrophysical Quantities</w:t>
      </w:r>
      <w:r w:rsidRPr="00370948">
        <w:rPr>
          <w:rFonts w:ascii="Book Antiqua" w:hAnsi="Book Antiqua"/>
          <w:color w:val="000000"/>
          <w:sz w:val="16"/>
          <w:szCs w:val="16"/>
        </w:rPr>
        <w:t>, 4</w:t>
      </w:r>
      <w:r w:rsidRPr="00370948">
        <w:rPr>
          <w:rFonts w:ascii="Book Antiqua" w:hAnsi="Book Antiqua"/>
          <w:color w:val="000000"/>
          <w:sz w:val="16"/>
          <w:szCs w:val="16"/>
          <w:vertAlign w:val="superscript"/>
        </w:rPr>
        <w:t>th</w:t>
      </w:r>
      <w:r w:rsidRPr="00370948">
        <w:rPr>
          <w:rFonts w:ascii="Book Antiqua" w:hAnsi="Book Antiqua"/>
          <w:color w:val="000000"/>
          <w:sz w:val="16"/>
          <w:szCs w:val="16"/>
        </w:rPr>
        <w:t xml:space="preserve"> edition, p.11, (Springer-Verlag, New York, 2000).</w:t>
      </w:r>
    </w:p>
    <w:p w:rsidR="005359B2" w:rsidRPr="00370948" w:rsidRDefault="005359B2" w:rsidP="005359B2">
      <w:pPr>
        <w:pStyle w:val="NoSpacing"/>
        <w:rPr>
          <w:rFonts w:ascii="Book Antiqua" w:hAnsi="Book Antiqua"/>
          <w:i/>
          <w:color w:val="000000"/>
          <w:sz w:val="16"/>
          <w:szCs w:val="16"/>
        </w:rPr>
      </w:pPr>
      <w:r w:rsidRPr="00370948">
        <w:rPr>
          <w:rFonts w:ascii="Book Antiqua" w:hAnsi="Book Antiqua"/>
          <w:color w:val="000000"/>
          <w:sz w:val="16"/>
          <w:szCs w:val="16"/>
        </w:rPr>
        <w:t xml:space="preserve">[ 65 ] C. L. Bennett et al., </w:t>
      </w:r>
      <w:r w:rsidRPr="00370948">
        <w:rPr>
          <w:rFonts w:ascii="Book Antiqua" w:hAnsi="Book Antiqua"/>
          <w:i/>
          <w:color w:val="000000"/>
          <w:sz w:val="16"/>
          <w:szCs w:val="16"/>
        </w:rPr>
        <w:t>Astrophysical Journal Supplement Series</w:t>
      </w:r>
      <w:r w:rsidRPr="00370948">
        <w:rPr>
          <w:rFonts w:ascii="Book Antiqua" w:hAnsi="Book Antiqua"/>
          <w:color w:val="000000"/>
          <w:sz w:val="16"/>
          <w:szCs w:val="16"/>
        </w:rPr>
        <w:t xml:space="preserve"> </w:t>
      </w:r>
      <w:r w:rsidRPr="00370948">
        <w:rPr>
          <w:rFonts w:ascii="Book Antiqua" w:hAnsi="Book Antiqua"/>
          <w:b/>
          <w:color w:val="000000"/>
          <w:sz w:val="16"/>
          <w:szCs w:val="16"/>
        </w:rPr>
        <w:t>148</w:t>
      </w:r>
      <w:r w:rsidRPr="00370948">
        <w:rPr>
          <w:rFonts w:ascii="Book Antiqua" w:hAnsi="Book Antiqua"/>
          <w:color w:val="000000"/>
          <w:sz w:val="16"/>
          <w:szCs w:val="16"/>
        </w:rPr>
        <w:t xml:space="preserve"> (1), pp. 1-27, 175-194 (Sept. 2003).  Also view the presentation at this URL: </w:t>
      </w:r>
      <w:r w:rsidRPr="00370948">
        <w:rPr>
          <w:rFonts w:ascii="Book Antiqua" w:hAnsi="Book Antiqua"/>
          <w:i/>
          <w:color w:val="000000"/>
          <w:sz w:val="16"/>
          <w:szCs w:val="16"/>
        </w:rPr>
        <w:t>http://astsun.astro.virginia.edu/~dmw8f/sounds/aas/sounds_web_long.pdf</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[66] Z. Merali, </w:t>
      </w:r>
      <w:r w:rsidRPr="00370948">
        <w:rPr>
          <w:rFonts w:ascii="Book Antiqua" w:hAnsi="Book Antiqua"/>
          <w:i/>
          <w:color w:val="000000"/>
          <w:sz w:val="16"/>
          <w:szCs w:val="16"/>
        </w:rPr>
        <w:t>New Scientist</w:t>
      </w:r>
      <w:r w:rsidRPr="00370948">
        <w:rPr>
          <w:rFonts w:ascii="Book Antiqua" w:hAnsi="Book Antiqua"/>
          <w:color w:val="000000"/>
          <w:sz w:val="16"/>
          <w:szCs w:val="16"/>
        </w:rPr>
        <w:t xml:space="preserve">, p. 13 (12 January 2008). Also at: </w:t>
      </w:r>
      <w:hyperlink r:id="rId355" w:history="1">
        <w:r w:rsidRPr="00370948">
          <w:rPr>
            <w:rStyle w:val="Hyperlink"/>
            <w:rFonts w:ascii="Book Antiqua" w:hAnsi="Book Antiqua"/>
            <w:i/>
            <w:szCs w:val="16"/>
          </w:rPr>
          <w:t>www.arxiv.org/abs/0801.0006</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[67] R. W. P. McWhirter, R. Wilson, </w:t>
      </w:r>
      <w:r w:rsidRPr="00370948">
        <w:rPr>
          <w:rFonts w:ascii="Book Antiqua" w:hAnsi="Book Antiqua"/>
          <w:i/>
          <w:color w:val="000000"/>
          <w:sz w:val="16"/>
          <w:szCs w:val="16"/>
        </w:rPr>
        <w:t>Journal of Physics B: Atomic and Molecular Physics</w:t>
      </w:r>
      <w:r w:rsidRPr="00370948">
        <w:rPr>
          <w:rFonts w:ascii="Book Antiqua" w:hAnsi="Book Antiqua"/>
          <w:color w:val="000000"/>
          <w:sz w:val="16"/>
          <w:szCs w:val="16"/>
        </w:rPr>
        <w:t xml:space="preserve">, </w:t>
      </w:r>
      <w:r w:rsidRPr="00370948">
        <w:rPr>
          <w:rFonts w:ascii="Book Antiqua" w:hAnsi="Book Antiqua"/>
          <w:b/>
          <w:color w:val="000000"/>
          <w:sz w:val="16"/>
          <w:szCs w:val="16"/>
        </w:rPr>
        <w:t>7</w:t>
      </w:r>
      <w:r w:rsidRPr="00370948">
        <w:rPr>
          <w:rFonts w:ascii="Book Antiqua" w:hAnsi="Book Antiqua"/>
          <w:color w:val="000000"/>
          <w:sz w:val="16"/>
          <w:szCs w:val="16"/>
        </w:rPr>
        <w:t xml:space="preserve"> (12), pp. 1588 ff (1974).</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[68] </w:t>
      </w:r>
      <w:r w:rsidRPr="00370948">
        <w:rPr>
          <w:rFonts w:ascii="Book Antiqua" w:hAnsi="Book Antiqua"/>
          <w:sz w:val="16"/>
          <w:szCs w:val="16"/>
        </w:rPr>
        <w:t xml:space="preserve">V. Rubin, </w:t>
      </w:r>
      <w:r w:rsidRPr="00370948">
        <w:rPr>
          <w:rStyle w:val="Emphasis"/>
          <w:rFonts w:ascii="Book Antiqua" w:hAnsi="Book Antiqua"/>
          <w:sz w:val="16"/>
          <w:szCs w:val="16"/>
        </w:rPr>
        <w:t xml:space="preserve">Science, </w:t>
      </w:r>
      <w:r w:rsidRPr="00370948">
        <w:rPr>
          <w:rStyle w:val="Strong"/>
          <w:rFonts w:ascii="Book Antiqua" w:eastAsia="Calibri" w:hAnsi="Book Antiqua"/>
          <w:sz w:val="16"/>
          <w:szCs w:val="16"/>
        </w:rPr>
        <w:t>220 (</w:t>
      </w:r>
      <w:r w:rsidRPr="00370948">
        <w:rPr>
          <w:rFonts w:ascii="Book Antiqua" w:hAnsi="Book Antiqua"/>
          <w:sz w:val="16"/>
          <w:szCs w:val="16"/>
        </w:rPr>
        <w:t>4604), p. 1339, (1983).</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[69] </w:t>
      </w:r>
      <w:hyperlink r:id="rId356" w:anchor="3a174" w:history="1">
        <w:r w:rsidRPr="00370948">
          <w:rPr>
            <w:rFonts w:ascii="Book Antiqua" w:hAnsi="Book Antiqua"/>
            <w:sz w:val="16"/>
            <w:szCs w:val="16"/>
          </w:rPr>
          <w:t xml:space="preserve">M. Milgrom, </w:t>
        </w:r>
        <w:r w:rsidRPr="00370948">
          <w:rPr>
            <w:rStyle w:val="Emphasis"/>
            <w:rFonts w:ascii="Book Antiqua" w:hAnsi="Book Antiqua"/>
            <w:sz w:val="16"/>
            <w:szCs w:val="16"/>
          </w:rPr>
          <w:t xml:space="preserve">Astrophysical Journal, </w:t>
        </w:r>
        <w:r w:rsidRPr="00370948">
          <w:rPr>
            <w:rStyle w:val="Strong"/>
            <w:rFonts w:ascii="Book Antiqua" w:eastAsia="Calibri" w:hAnsi="Book Antiqua"/>
            <w:sz w:val="16"/>
            <w:szCs w:val="16"/>
          </w:rPr>
          <w:t xml:space="preserve">270, pp. </w:t>
        </w:r>
        <w:r w:rsidRPr="00370948">
          <w:rPr>
            <w:rFonts w:ascii="Book Antiqua" w:hAnsi="Book Antiqua"/>
            <w:sz w:val="16"/>
            <w:szCs w:val="16"/>
          </w:rPr>
          <w:t>365 ff. (1983).</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[70] H. </w:t>
      </w:r>
      <w:r w:rsidRPr="00370948">
        <w:rPr>
          <w:rFonts w:ascii="Book Antiqua" w:hAnsi="Book Antiqua"/>
          <w:sz w:val="16"/>
          <w:szCs w:val="16"/>
        </w:rPr>
        <w:t>Alfvén, P. Carlqvist,</w:t>
      </w:r>
      <w:r w:rsidRPr="00370948">
        <w:rPr>
          <w:rFonts w:ascii="Book Antiqua" w:hAnsi="Book Antiqua"/>
          <w:i/>
          <w:sz w:val="16"/>
          <w:szCs w:val="16"/>
        </w:rPr>
        <w:t xml:space="preserve"> Astrophysics and Space Science</w:t>
      </w:r>
      <w:r w:rsidRPr="00370948">
        <w:rPr>
          <w:rFonts w:ascii="Book Antiqua" w:hAnsi="Book Antiqua"/>
          <w:sz w:val="16"/>
          <w:szCs w:val="16"/>
        </w:rPr>
        <w:t xml:space="preserve">, </w:t>
      </w:r>
      <w:r w:rsidRPr="00370948">
        <w:rPr>
          <w:rFonts w:ascii="Book Antiqua" w:hAnsi="Book Antiqua"/>
          <w:b/>
          <w:sz w:val="16"/>
          <w:szCs w:val="16"/>
        </w:rPr>
        <w:t>55</w:t>
      </w:r>
      <w:r w:rsidRPr="00370948">
        <w:rPr>
          <w:rFonts w:ascii="Book Antiqua" w:hAnsi="Book Antiqua"/>
          <w:sz w:val="16"/>
          <w:szCs w:val="16"/>
        </w:rPr>
        <w:t>, pp. 484-509 (1978).</w:t>
      </w:r>
    </w:p>
    <w:p w:rsidR="005359B2" w:rsidRPr="00370948" w:rsidRDefault="005359B2" w:rsidP="005359B2">
      <w:pPr>
        <w:pStyle w:val="NoSpacing"/>
        <w:rPr>
          <w:rFonts w:ascii="Book Antiqua" w:eastAsia="Calibri" w:hAnsi="Book Antiqua"/>
          <w:color w:val="0000FF"/>
          <w:sz w:val="16"/>
          <w:szCs w:val="16"/>
        </w:rPr>
      </w:pPr>
      <w:r w:rsidRPr="00370948">
        <w:rPr>
          <w:rFonts w:ascii="Book Antiqua" w:hAnsi="Book Antiqua"/>
          <w:color w:val="000000"/>
          <w:sz w:val="16"/>
          <w:szCs w:val="16"/>
        </w:rPr>
        <w:t xml:space="preserve">[71] </w:t>
      </w:r>
      <w:hyperlink r:id="rId357" w:history="1">
        <w:r w:rsidRPr="00370948">
          <w:rPr>
            <w:rStyle w:val="Hyperlink"/>
            <w:rFonts w:ascii="Book Antiqua" w:eastAsia="Calibri" w:hAnsi="Book Antiqua"/>
            <w:i/>
            <w:szCs w:val="16"/>
          </w:rPr>
          <w:t>http://phys.org/news/2012-04-astronomers-vast-amounts-gas-black.html</w:t>
        </w:r>
      </w:hyperlink>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[72] B. P. Venemans et al., “Detection of atomic carbon [CII] 158 microns and dust emission from a z=7.1 quasar host galaxy,” available at: </w:t>
      </w:r>
      <w:hyperlink r:id="rId358" w:history="1">
        <w:r w:rsidRPr="00370948">
          <w:rPr>
            <w:rStyle w:val="Hyperlink"/>
            <w:rFonts w:ascii="Book Antiqua" w:hAnsi="Book Antiqua"/>
            <w:i/>
            <w:szCs w:val="16"/>
          </w:rPr>
          <w:t>http://arxiv.org/abs/1203.5844</w:t>
        </w:r>
      </w:hyperlink>
      <w:r w:rsidRPr="00370948">
        <w:rPr>
          <w:rFonts w:ascii="Book Antiqua" w:hAnsi="Book Antiqua"/>
          <w:sz w:val="16"/>
          <w:szCs w:val="16"/>
        </w:rPr>
        <w:t>.</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[73] N. Drake, </w:t>
      </w:r>
      <w:r w:rsidRPr="00370948">
        <w:rPr>
          <w:rFonts w:ascii="Book Antiqua" w:hAnsi="Book Antiqua"/>
          <w:i/>
          <w:color w:val="000000"/>
          <w:sz w:val="16"/>
          <w:szCs w:val="16"/>
        </w:rPr>
        <w:t>Nature News</w:t>
      </w:r>
      <w:r w:rsidRPr="00370948">
        <w:rPr>
          <w:rFonts w:ascii="Book Antiqua" w:hAnsi="Book Antiqua"/>
          <w:color w:val="000000"/>
          <w:sz w:val="16"/>
          <w:szCs w:val="16"/>
        </w:rPr>
        <w:t xml:space="preserve"> (18 May,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[ 74 ] T. Sumi, D. Bennett, </w:t>
      </w:r>
      <w:r w:rsidRPr="00370948">
        <w:rPr>
          <w:rFonts w:ascii="Book Antiqua" w:hAnsi="Book Antiqua"/>
          <w:i/>
          <w:color w:val="000000"/>
          <w:sz w:val="16"/>
          <w:szCs w:val="16"/>
        </w:rPr>
        <w:t>Nature</w:t>
      </w:r>
      <w:r w:rsidRPr="00370948">
        <w:rPr>
          <w:rFonts w:ascii="Book Antiqua" w:hAnsi="Book Antiqua"/>
          <w:color w:val="000000"/>
          <w:sz w:val="16"/>
          <w:szCs w:val="16"/>
        </w:rPr>
        <w:t xml:space="preserve">, </w:t>
      </w:r>
      <w:r w:rsidRPr="00370948">
        <w:rPr>
          <w:rFonts w:ascii="Book Antiqua" w:hAnsi="Book Antiqua"/>
          <w:b/>
          <w:color w:val="000000"/>
          <w:sz w:val="16"/>
          <w:szCs w:val="16"/>
        </w:rPr>
        <w:t>473</w:t>
      </w:r>
      <w:r w:rsidRPr="00370948">
        <w:rPr>
          <w:rFonts w:ascii="Book Antiqua" w:hAnsi="Book Antiqua"/>
          <w:color w:val="000000"/>
          <w:sz w:val="16"/>
          <w:szCs w:val="16"/>
        </w:rPr>
        <w:t>, pp. 349-352 (2011).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color w:val="000000"/>
          <w:sz w:val="16"/>
          <w:szCs w:val="16"/>
        </w:rPr>
        <w:t xml:space="preserve">[75] </w:t>
      </w:r>
      <w:r w:rsidRPr="00370948">
        <w:rPr>
          <w:rFonts w:ascii="Book Antiqua" w:hAnsi="Book Antiqua"/>
          <w:sz w:val="16"/>
          <w:szCs w:val="16"/>
        </w:rPr>
        <w:t xml:space="preserve">M. Zuber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483</w:t>
      </w:r>
      <w:r w:rsidRPr="00370948">
        <w:rPr>
          <w:rFonts w:ascii="Book Antiqua" w:hAnsi="Book Antiqua"/>
          <w:sz w:val="16"/>
          <w:szCs w:val="16"/>
        </w:rPr>
        <w:t>, p. 513, (29 March 2012).</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color w:val="000000"/>
          <w:sz w:val="16"/>
          <w:szCs w:val="16"/>
        </w:rPr>
        <w:t>[76]</w:t>
      </w:r>
      <w:r w:rsidRPr="00370948">
        <w:rPr>
          <w:rFonts w:ascii="Book Antiqua" w:hAnsi="Book Antiqua"/>
          <w:sz w:val="16"/>
          <w:szCs w:val="16"/>
        </w:rPr>
        <w:t xml:space="preserve"> A. N. Halliday, </w:t>
      </w:r>
      <w:r w:rsidRPr="00370948">
        <w:rPr>
          <w:rFonts w:ascii="Book Antiqua" w:hAnsi="Book Antiqua"/>
          <w:i/>
          <w:iCs/>
          <w:sz w:val="16"/>
          <w:szCs w:val="16"/>
        </w:rPr>
        <w:t xml:space="preserve">Nature </w:t>
      </w:r>
      <w:r w:rsidRPr="00370948">
        <w:rPr>
          <w:rFonts w:ascii="Book Antiqua" w:hAnsi="Book Antiqua"/>
          <w:b/>
          <w:bCs/>
          <w:sz w:val="16"/>
          <w:szCs w:val="16"/>
        </w:rPr>
        <w:t>409</w:t>
      </w:r>
      <w:r w:rsidRPr="00370948">
        <w:rPr>
          <w:rFonts w:ascii="Book Antiqua" w:hAnsi="Book Antiqua"/>
          <w:bCs/>
          <w:sz w:val="16"/>
          <w:szCs w:val="16"/>
        </w:rPr>
        <w:t>, pp.</w:t>
      </w:r>
      <w:r w:rsidRPr="00370948">
        <w:rPr>
          <w:rFonts w:ascii="Book Antiqua" w:hAnsi="Book Antiqua"/>
          <w:sz w:val="16"/>
          <w:szCs w:val="16"/>
        </w:rPr>
        <w:t xml:space="preserve"> 144-145 (11 Jan 2001).</w:t>
      </w:r>
    </w:p>
    <w:p w:rsidR="005359B2" w:rsidRPr="00370948" w:rsidRDefault="005359B2" w:rsidP="005359B2">
      <w:pPr>
        <w:autoSpaceDE w:val="0"/>
        <w:autoSpaceDN w:val="0"/>
        <w:adjustRightInd w:val="0"/>
        <w:rPr>
          <w:rFonts w:ascii="Book Antiqua" w:hAnsi="Book Antiqua"/>
          <w:sz w:val="16"/>
          <w:szCs w:val="16"/>
        </w:rPr>
      </w:pPr>
      <w:r w:rsidRPr="00370948">
        <w:rPr>
          <w:rFonts w:ascii="Book Antiqua" w:hAnsi="Book Antiqua"/>
          <w:sz w:val="16"/>
          <w:szCs w:val="16"/>
        </w:rPr>
        <w:t xml:space="preserve">[77] S. A. Wilde, et al,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409</w:t>
      </w:r>
      <w:r w:rsidRPr="00370948">
        <w:rPr>
          <w:rFonts w:ascii="Book Antiqua" w:hAnsi="Book Antiqua"/>
          <w:sz w:val="16"/>
          <w:szCs w:val="16"/>
        </w:rPr>
        <w:t>, pp. 175-178; S. J. Mojzsis, et al, pp. 178-181 (11 Jan.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[78] M. Berhanu et al.,</w:t>
      </w:r>
      <w:r w:rsidRPr="00370948">
        <w:rPr>
          <w:rFonts w:ascii="Book Antiqua" w:hAnsi="Book Antiqua"/>
          <w:i/>
          <w:sz w:val="16"/>
          <w:szCs w:val="16"/>
        </w:rPr>
        <w:t xml:space="preserve"> </w:t>
      </w:r>
      <w:r w:rsidRPr="00370948">
        <w:rPr>
          <w:rFonts w:ascii="Book Antiqua" w:hAnsi="Book Antiqua"/>
          <w:sz w:val="16"/>
          <w:szCs w:val="16"/>
        </w:rPr>
        <w:t>“Magnetic field reversals in an experimental turbulent dynamo,”</w:t>
      </w:r>
      <w:r w:rsidRPr="00370948">
        <w:rPr>
          <w:rFonts w:ascii="Book Antiqua" w:hAnsi="Book Antiqua"/>
          <w:i/>
          <w:sz w:val="16"/>
          <w:szCs w:val="16"/>
        </w:rPr>
        <w:t xml:space="preserve"> Euro Physics Letters </w:t>
      </w:r>
      <w:r w:rsidRPr="00370948">
        <w:rPr>
          <w:rFonts w:ascii="Book Antiqua" w:hAnsi="Book Antiqua"/>
          <w:b/>
          <w:sz w:val="16"/>
          <w:szCs w:val="16"/>
        </w:rPr>
        <w:t>77:</w:t>
      </w:r>
      <w:r w:rsidRPr="00370948">
        <w:rPr>
          <w:rFonts w:ascii="Book Antiqua" w:hAnsi="Book Antiqua"/>
          <w:sz w:val="16"/>
          <w:szCs w:val="16"/>
        </w:rPr>
        <w:t xml:space="preserve">5, pp.59001 (2007). Available at: </w:t>
      </w:r>
      <w:hyperlink r:id="rId359" w:history="1">
        <w:r w:rsidRPr="00370948">
          <w:rPr>
            <w:rStyle w:val="Hyperlink"/>
            <w:rFonts w:ascii="Book Antiqua" w:hAnsi="Book Antiqua"/>
            <w:szCs w:val="16"/>
          </w:rPr>
          <w:t>http://arxiv.org/pdf/physics/0701076.pdf</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[79] P.L. Olson et al., “Complex polarity reversals in a geodynamo model”, </w:t>
      </w:r>
      <w:r w:rsidRPr="00370948">
        <w:rPr>
          <w:rFonts w:ascii="Book Antiqua" w:hAnsi="Book Antiqua"/>
          <w:i/>
          <w:sz w:val="16"/>
          <w:szCs w:val="16"/>
        </w:rPr>
        <w:t>Earth and Planetary Science Letters</w:t>
      </w:r>
      <w:r w:rsidRPr="00370948">
        <w:rPr>
          <w:rFonts w:ascii="Book Antiqua" w:hAnsi="Book Antiqua"/>
          <w:sz w:val="16"/>
          <w:szCs w:val="16"/>
        </w:rPr>
        <w:t xml:space="preserve"> </w:t>
      </w:r>
      <w:r w:rsidRPr="00370948">
        <w:rPr>
          <w:rFonts w:ascii="Book Antiqua" w:hAnsi="Book Antiqua"/>
          <w:b/>
          <w:sz w:val="16"/>
          <w:szCs w:val="16"/>
        </w:rPr>
        <w:t>304</w:t>
      </w:r>
      <w:r w:rsidRPr="00370948">
        <w:rPr>
          <w:rFonts w:ascii="Book Antiqua" w:hAnsi="Book Antiqua"/>
          <w:sz w:val="16"/>
          <w:szCs w:val="16"/>
        </w:rPr>
        <w:t>(2011) pp.168-179.</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[80] D. H. Grinspoon, Letter to </w:t>
      </w:r>
      <w:r w:rsidRPr="00370948">
        <w:rPr>
          <w:rFonts w:ascii="Book Antiqua" w:hAnsi="Book Antiqua"/>
          <w:i/>
          <w:sz w:val="16"/>
          <w:szCs w:val="16"/>
        </w:rPr>
        <w:t>Nature</w:t>
      </w:r>
      <w:r w:rsidRPr="00370948">
        <w:rPr>
          <w:rFonts w:ascii="Book Antiqua" w:hAnsi="Book Antiqua"/>
          <w:sz w:val="16"/>
          <w:szCs w:val="16"/>
        </w:rPr>
        <w:t>, pp. 428-431, (3 June 1993).</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[81] J. Audouze, G. Israel, Cambridge Atlas of Astronomy, pp. 74-75,  (Cambridge University Press, Cambridge, 1985).</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[82] M. Wadhwa, G. W. Lugmair, </w:t>
      </w:r>
      <w:r w:rsidRPr="00370948">
        <w:rPr>
          <w:rFonts w:ascii="Book Antiqua" w:hAnsi="Book Antiqua"/>
          <w:i/>
          <w:sz w:val="16"/>
          <w:szCs w:val="16"/>
        </w:rPr>
        <w:t>Meteoritics</w:t>
      </w:r>
      <w:r w:rsidRPr="00370948">
        <w:rPr>
          <w:rFonts w:ascii="Book Antiqua" w:hAnsi="Book Antiqua"/>
          <w:sz w:val="16"/>
          <w:szCs w:val="16"/>
        </w:rPr>
        <w:t xml:space="preserve">, </w:t>
      </w:r>
      <w:r w:rsidRPr="00370948">
        <w:rPr>
          <w:rFonts w:ascii="Book Antiqua" w:hAnsi="Book Antiqua"/>
          <w:b/>
          <w:sz w:val="16"/>
          <w:szCs w:val="16"/>
        </w:rPr>
        <w:t>31</w:t>
      </w:r>
      <w:r w:rsidRPr="00370948">
        <w:rPr>
          <w:rFonts w:ascii="Book Antiqua" w:hAnsi="Book Antiqua"/>
          <w:sz w:val="16"/>
          <w:szCs w:val="16"/>
        </w:rPr>
        <w:t>, A145 (1996).</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[83] J. M. Dohm, “Scientist Find Largest Flood Channels in the Solar System,” </w:t>
      </w:r>
      <w:r w:rsidRPr="00370948">
        <w:rPr>
          <w:rFonts w:ascii="Book Antiqua" w:hAnsi="Book Antiqua"/>
          <w:i/>
          <w:sz w:val="16"/>
          <w:szCs w:val="16"/>
        </w:rPr>
        <w:t>University of Arizona News Release</w:t>
      </w:r>
      <w:r w:rsidRPr="00370948">
        <w:rPr>
          <w:rFonts w:ascii="Book Antiqua" w:hAnsi="Book Antiqua"/>
          <w:sz w:val="16"/>
          <w:szCs w:val="16"/>
        </w:rPr>
        <w:t xml:space="preserve">, (1 August, 2001), At:  </w:t>
      </w:r>
      <w:hyperlink r:id="rId360" w:history="1">
        <w:r w:rsidRPr="00370948">
          <w:rPr>
            <w:rStyle w:val="Hyperlink"/>
            <w:rFonts w:ascii="Book Antiqua" w:hAnsi="Book Antiqua"/>
            <w:i/>
            <w:szCs w:val="16"/>
          </w:rPr>
          <w:t>http://uanews.org/node/5107</w:t>
        </w:r>
      </w:hyperlink>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[84] Dohm, J. M., et al., “</w:t>
      </w:r>
      <w:r w:rsidRPr="00370948">
        <w:rPr>
          <w:rStyle w:val="title0"/>
          <w:rFonts w:ascii="Book Antiqua" w:eastAsia="Calibri" w:hAnsi="Book Antiqua"/>
          <w:sz w:val="16"/>
          <w:szCs w:val="16"/>
        </w:rPr>
        <w:t>Latent outflow activity for western Tharsis, Mars: Significant flood record exposed</w:t>
      </w:r>
      <w:r w:rsidRPr="00370948">
        <w:rPr>
          <w:rFonts w:ascii="Book Antiqua" w:hAnsi="Book Antiqua"/>
          <w:sz w:val="16"/>
          <w:szCs w:val="16"/>
        </w:rPr>
        <w:t xml:space="preserve">,” </w:t>
      </w:r>
      <w:r w:rsidRPr="00370948">
        <w:rPr>
          <w:rStyle w:val="ital"/>
          <w:rFonts w:ascii="Book Antiqua" w:eastAsia="Calibri" w:hAnsi="Book Antiqua"/>
          <w:i/>
          <w:iCs/>
          <w:sz w:val="16"/>
          <w:szCs w:val="16"/>
        </w:rPr>
        <w:t>J. Geophys. Res.</w:t>
      </w:r>
      <w:r w:rsidRPr="00370948">
        <w:rPr>
          <w:rFonts w:ascii="Book Antiqua" w:hAnsi="Book Antiqua"/>
          <w:sz w:val="16"/>
          <w:szCs w:val="16"/>
        </w:rPr>
        <w:t xml:space="preserve">, </w:t>
      </w:r>
      <w:r w:rsidRPr="00370948">
        <w:rPr>
          <w:rStyle w:val="ital"/>
          <w:rFonts w:ascii="Book Antiqua" w:eastAsia="Calibri" w:hAnsi="Book Antiqua"/>
          <w:sz w:val="16"/>
          <w:szCs w:val="16"/>
        </w:rPr>
        <w:t>106</w:t>
      </w:r>
      <w:r w:rsidRPr="00370948">
        <w:rPr>
          <w:rFonts w:ascii="Book Antiqua" w:hAnsi="Book Antiqua"/>
          <w:sz w:val="16"/>
          <w:szCs w:val="16"/>
        </w:rPr>
        <w:t>(E6), pp.12,301–12,314 (25 June, 2001).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[85] B. Moomaw, “Mars: A World Riven by H2O or CO2.” Space Daily, (1 May, 2001) at:</w:t>
      </w:r>
    </w:p>
    <w:p w:rsidR="005359B2" w:rsidRPr="00370948" w:rsidRDefault="005359B2" w:rsidP="005359B2">
      <w:pPr>
        <w:pStyle w:val="NoSpacing"/>
        <w:rPr>
          <w:rFonts w:ascii="Book Antiqua" w:hAnsi="Book Antiqua"/>
          <w:i/>
          <w:sz w:val="16"/>
          <w:szCs w:val="16"/>
        </w:rPr>
      </w:pPr>
      <w:r w:rsidRPr="00370948">
        <w:rPr>
          <w:rFonts w:ascii="Book Antiqua" w:hAnsi="Book Antiqua"/>
          <w:sz w:val="16"/>
          <w:szCs w:val="16"/>
        </w:rPr>
        <w:t xml:space="preserve"> </w:t>
      </w:r>
      <w:hyperlink r:id="rId361" w:history="1">
        <w:r w:rsidRPr="00370948">
          <w:rPr>
            <w:rStyle w:val="Hyperlink"/>
            <w:rFonts w:ascii="Book Antiqua" w:hAnsi="Book Antiqua"/>
            <w:i/>
            <w:szCs w:val="16"/>
          </w:rPr>
          <w:t>http://www.spacedaily.com/news/lunarplanet-2001-01a4.html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[86] D. L. Bindschadler, "Magellan: A new view of Venus' geology and geophysics," </w:t>
      </w:r>
      <w:r w:rsidRPr="00370948">
        <w:rPr>
          <w:rStyle w:val="st"/>
          <w:rFonts w:ascii="Book Antiqua" w:hAnsi="Book Antiqua"/>
          <w:i/>
          <w:color w:val="222222"/>
          <w:sz w:val="16"/>
          <w:szCs w:val="16"/>
        </w:rPr>
        <w:t>Reviews of Geophysics</w:t>
      </w:r>
      <w:r w:rsidRPr="00370948">
        <w:rPr>
          <w:rStyle w:val="st"/>
          <w:rFonts w:ascii="Book Antiqua" w:hAnsi="Book Antiqua"/>
          <w:color w:val="222222"/>
          <w:sz w:val="16"/>
          <w:szCs w:val="16"/>
        </w:rPr>
        <w:t xml:space="preserve">, </w:t>
      </w:r>
      <w:r w:rsidRPr="00370948">
        <w:rPr>
          <w:rStyle w:val="st"/>
          <w:rFonts w:ascii="Book Antiqua" w:hAnsi="Book Antiqua"/>
          <w:b/>
          <w:color w:val="222222"/>
          <w:sz w:val="16"/>
          <w:szCs w:val="16"/>
        </w:rPr>
        <w:t>33</w:t>
      </w:r>
      <w:r w:rsidRPr="00370948">
        <w:rPr>
          <w:rStyle w:val="st"/>
          <w:rFonts w:ascii="Book Antiqua" w:hAnsi="Book Antiqua"/>
          <w:color w:val="222222"/>
          <w:sz w:val="16"/>
          <w:szCs w:val="16"/>
        </w:rPr>
        <w:t>, pp.  459–467, (1995).</w:t>
      </w:r>
      <w:r w:rsidRPr="00370948">
        <w:rPr>
          <w:rFonts w:ascii="Book Antiqua" w:hAnsi="Book Antiqua"/>
          <w:sz w:val="16"/>
          <w:szCs w:val="16"/>
        </w:rPr>
        <w:t xml:space="preserve">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[87] R. G. Strom et al., </w:t>
      </w:r>
      <w:r w:rsidRPr="00370948">
        <w:rPr>
          <w:rFonts w:ascii="Book Antiqua" w:hAnsi="Book Antiqua"/>
          <w:i/>
          <w:sz w:val="16"/>
          <w:szCs w:val="16"/>
        </w:rPr>
        <w:t>Planetary and Space Science</w:t>
      </w:r>
      <w:r w:rsidRPr="00370948">
        <w:rPr>
          <w:rFonts w:ascii="Book Antiqua" w:hAnsi="Book Antiqua"/>
          <w:sz w:val="16"/>
          <w:szCs w:val="16"/>
        </w:rPr>
        <w:t xml:space="preserve">, </w:t>
      </w:r>
      <w:r w:rsidRPr="00370948">
        <w:rPr>
          <w:rFonts w:ascii="Book Antiqua" w:hAnsi="Book Antiqua"/>
          <w:b/>
          <w:sz w:val="16"/>
          <w:szCs w:val="16"/>
        </w:rPr>
        <w:t>59</w:t>
      </w:r>
      <w:r w:rsidRPr="00370948">
        <w:rPr>
          <w:rFonts w:ascii="Book Antiqua" w:hAnsi="Book Antiqua"/>
          <w:sz w:val="16"/>
          <w:szCs w:val="16"/>
        </w:rPr>
        <w:t>, pp 1960 – 1967 (2011).</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[88] M. W. Davidson, “Moon Rocks Under the Microscope,” at:</w:t>
      </w:r>
    </w:p>
    <w:p w:rsidR="005359B2" w:rsidRPr="00370948" w:rsidRDefault="007B3EBC" w:rsidP="005359B2">
      <w:pPr>
        <w:pStyle w:val="NoSpacing"/>
        <w:rPr>
          <w:rFonts w:ascii="Book Antiqua" w:hAnsi="Book Antiqua"/>
          <w:color w:val="000000"/>
          <w:sz w:val="16"/>
          <w:szCs w:val="16"/>
        </w:rPr>
      </w:pPr>
      <w:hyperlink r:id="rId362" w:history="1">
        <w:r w:rsidR="005359B2" w:rsidRPr="00370948">
          <w:rPr>
            <w:rStyle w:val="Hyperlink"/>
            <w:rFonts w:ascii="Book Antiqua" w:hAnsi="Book Antiqua"/>
            <w:i/>
            <w:szCs w:val="16"/>
          </w:rPr>
          <w:t>http://micro.magnet.fsu.edu/publications/pages/rocks.html</w:t>
        </w:r>
      </w:hyperlink>
      <w:r w:rsidR="005359B2" w:rsidRPr="00370948">
        <w:rPr>
          <w:rFonts w:ascii="Book Antiqua" w:hAnsi="Book Antiqua"/>
          <w:color w:val="000000"/>
          <w:sz w:val="16"/>
          <w:szCs w:val="16"/>
        </w:rPr>
        <w:t xml:space="preserve"> .</w:t>
      </w:r>
    </w:p>
    <w:p w:rsidR="005359B2" w:rsidRPr="00370948" w:rsidRDefault="005359B2" w:rsidP="005359B2">
      <w:pPr>
        <w:pStyle w:val="NoSpacing"/>
        <w:jc w:val="both"/>
        <w:rPr>
          <w:rFonts w:ascii="Book Antiqua" w:hAnsi="Book Antiqua"/>
          <w:sz w:val="16"/>
          <w:szCs w:val="16"/>
        </w:rPr>
      </w:pPr>
      <w:r w:rsidRPr="00370948">
        <w:rPr>
          <w:rFonts w:ascii="Book Antiqua" w:hAnsi="Book Antiqua"/>
          <w:color w:val="000000"/>
          <w:sz w:val="16"/>
          <w:szCs w:val="16"/>
        </w:rPr>
        <w:t xml:space="preserve">[89] J. W. Head, et al., </w:t>
      </w:r>
      <w:r w:rsidRPr="00370948">
        <w:rPr>
          <w:rFonts w:ascii="Book Antiqua" w:hAnsi="Book Antiqua"/>
          <w:sz w:val="16"/>
          <w:szCs w:val="16"/>
        </w:rPr>
        <w:t xml:space="preserve">"Lunar Mare Basalt Volcanism", </w:t>
      </w:r>
      <w:r w:rsidRPr="00370948">
        <w:rPr>
          <w:rFonts w:ascii="Book Antiqua" w:hAnsi="Book Antiqua"/>
          <w:i/>
          <w:sz w:val="16"/>
          <w:szCs w:val="16"/>
        </w:rPr>
        <w:t>28th Lunar and Planetary Science Conference</w:t>
      </w:r>
      <w:r w:rsidRPr="00370948">
        <w:rPr>
          <w:rFonts w:ascii="Book Antiqua" w:hAnsi="Book Antiqua"/>
          <w:sz w:val="16"/>
          <w:szCs w:val="16"/>
        </w:rPr>
        <w:t>, Paper 1112, (March 1997).</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[90] </w:t>
      </w:r>
      <w:r w:rsidRPr="00370948">
        <w:rPr>
          <w:rFonts w:ascii="Book Antiqua" w:hAnsi="Book Antiqua"/>
          <w:sz w:val="16"/>
          <w:szCs w:val="16"/>
        </w:rPr>
        <w:t xml:space="preserve">L. T. Silver, </w:t>
      </w:r>
      <w:r w:rsidRPr="00370948">
        <w:rPr>
          <w:rFonts w:ascii="Book Antiqua" w:hAnsi="Book Antiqua"/>
          <w:i/>
          <w:sz w:val="16"/>
          <w:szCs w:val="16"/>
        </w:rPr>
        <w:t>Eos</w:t>
      </w:r>
      <w:r w:rsidRPr="00370948">
        <w:rPr>
          <w:rFonts w:ascii="Book Antiqua" w:hAnsi="Book Antiqua"/>
          <w:sz w:val="16"/>
          <w:szCs w:val="16"/>
        </w:rPr>
        <w:t>,</w:t>
      </w:r>
      <w:r w:rsidRPr="00370948">
        <w:rPr>
          <w:rFonts w:ascii="Book Antiqua" w:hAnsi="Book Antiqua"/>
          <w:b/>
          <w:sz w:val="16"/>
          <w:szCs w:val="16"/>
        </w:rPr>
        <w:t xml:space="preserve"> 52</w:t>
      </w:r>
      <w:r w:rsidRPr="00370948">
        <w:rPr>
          <w:rFonts w:ascii="Book Antiqua" w:hAnsi="Book Antiqua"/>
          <w:sz w:val="16"/>
          <w:szCs w:val="16"/>
        </w:rPr>
        <w:t>, p.534 (1971).</w:t>
      </w:r>
    </w:p>
    <w:p w:rsidR="005359B2" w:rsidRPr="00370948" w:rsidRDefault="005359B2" w:rsidP="005359B2">
      <w:pPr>
        <w:pStyle w:val="NoSpacing"/>
        <w:rPr>
          <w:rFonts w:ascii="Book Antiqua" w:hAnsi="Book Antiqua"/>
          <w:color w:val="000000"/>
          <w:sz w:val="16"/>
          <w:szCs w:val="16"/>
        </w:rPr>
      </w:pPr>
      <w:r w:rsidRPr="00370948">
        <w:rPr>
          <w:rFonts w:ascii="Book Antiqua" w:hAnsi="Book Antiqua"/>
          <w:sz w:val="16"/>
          <w:szCs w:val="16"/>
        </w:rPr>
        <w:t xml:space="preserve">[91] L. T. Silver, P. H. Schultz, </w:t>
      </w:r>
      <w:r w:rsidRPr="00370948">
        <w:rPr>
          <w:rFonts w:ascii="Book Antiqua" w:hAnsi="Book Antiqua"/>
          <w:i/>
          <w:sz w:val="16"/>
          <w:szCs w:val="16"/>
        </w:rPr>
        <w:t>Geological Society of America, Special Paper</w:t>
      </w:r>
      <w:r w:rsidRPr="00370948">
        <w:rPr>
          <w:rFonts w:ascii="Book Antiqua" w:hAnsi="Book Antiqua"/>
          <w:sz w:val="16"/>
          <w:szCs w:val="16"/>
        </w:rPr>
        <w:t xml:space="preserve"> </w:t>
      </w:r>
      <w:r w:rsidRPr="00370948">
        <w:rPr>
          <w:rFonts w:ascii="Book Antiqua" w:hAnsi="Book Antiqua"/>
          <w:b/>
          <w:sz w:val="16"/>
          <w:szCs w:val="16"/>
        </w:rPr>
        <w:t>190</w:t>
      </w:r>
      <w:r w:rsidRPr="00370948">
        <w:rPr>
          <w:rFonts w:ascii="Book Antiqua" w:hAnsi="Book Antiqua"/>
          <w:sz w:val="16"/>
          <w:szCs w:val="16"/>
        </w:rPr>
        <w:t xml:space="preserve">, pp. ii and xiv, (October 1981). </w:t>
      </w:r>
    </w:p>
    <w:p w:rsidR="005359B2" w:rsidRPr="00370948" w:rsidRDefault="005359B2" w:rsidP="005359B2">
      <w:pPr>
        <w:pStyle w:val="NoSpacing"/>
        <w:rPr>
          <w:rFonts w:ascii="Book Antiqua" w:hAnsi="Book Antiqua"/>
          <w:sz w:val="16"/>
          <w:szCs w:val="16"/>
        </w:rPr>
      </w:pPr>
      <w:r w:rsidRPr="00370948">
        <w:rPr>
          <w:rFonts w:ascii="Book Antiqua" w:hAnsi="Book Antiqua"/>
          <w:color w:val="000000"/>
          <w:sz w:val="16"/>
          <w:szCs w:val="16"/>
        </w:rPr>
        <w:t xml:space="preserve">[92] </w:t>
      </w:r>
      <w:r w:rsidRPr="00370948">
        <w:rPr>
          <w:rFonts w:ascii="Book Antiqua" w:hAnsi="Book Antiqua"/>
          <w:sz w:val="16"/>
          <w:szCs w:val="16"/>
        </w:rPr>
        <w:t xml:space="preserve">See, for example, J.K. Russell et al., “Kimberlite ascent by assimilation-fuelled buoyancy,” </w:t>
      </w:r>
      <w:r w:rsidRPr="00370948">
        <w:rPr>
          <w:rFonts w:ascii="Book Antiqua" w:hAnsi="Book Antiqua"/>
          <w:i/>
          <w:sz w:val="16"/>
          <w:szCs w:val="16"/>
        </w:rPr>
        <w:t>Nature</w:t>
      </w:r>
      <w:r w:rsidRPr="00370948">
        <w:rPr>
          <w:rFonts w:ascii="Book Antiqua" w:hAnsi="Book Antiqua"/>
          <w:sz w:val="16"/>
          <w:szCs w:val="16"/>
        </w:rPr>
        <w:t xml:space="preserve">, </w:t>
      </w:r>
      <w:r w:rsidRPr="00370948">
        <w:rPr>
          <w:rFonts w:ascii="Book Antiqua" w:hAnsi="Book Antiqua"/>
          <w:b/>
          <w:sz w:val="16"/>
          <w:szCs w:val="16"/>
        </w:rPr>
        <w:t>481</w:t>
      </w:r>
      <w:r w:rsidRPr="00370948">
        <w:rPr>
          <w:rFonts w:ascii="Book Antiqua" w:hAnsi="Book Antiqua"/>
          <w:sz w:val="16"/>
          <w:szCs w:val="16"/>
        </w:rPr>
        <w:t>, pp.352-356, (19 January, 2012).</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[93] T. Gold, </w:t>
      </w:r>
      <w:r w:rsidRPr="00370948">
        <w:rPr>
          <w:rFonts w:ascii="Book Antiqua" w:hAnsi="Book Antiqua"/>
          <w:i/>
          <w:sz w:val="16"/>
          <w:szCs w:val="16"/>
        </w:rPr>
        <w:t>The Deep Hot Biosphere</w:t>
      </w:r>
      <w:r w:rsidRPr="00370948">
        <w:rPr>
          <w:rFonts w:ascii="Book Antiqua" w:hAnsi="Book Antiqua"/>
          <w:sz w:val="16"/>
          <w:szCs w:val="16"/>
        </w:rPr>
        <w:t xml:space="preserve">, (Copernican Books, 1999). </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[94] S. B. Keith, M. M. Swan in </w:t>
      </w:r>
      <w:r w:rsidRPr="00370948">
        <w:rPr>
          <w:rFonts w:ascii="Book Antiqua" w:hAnsi="Book Antiqua"/>
          <w:i/>
          <w:sz w:val="16"/>
          <w:szCs w:val="16"/>
        </w:rPr>
        <w:t>Abstracts of the AAPG Research Conference, Calgary, Canada</w:t>
      </w:r>
      <w:r w:rsidRPr="00370948">
        <w:rPr>
          <w:rFonts w:ascii="Book Antiqua" w:hAnsi="Book Antiqua"/>
          <w:sz w:val="16"/>
          <w:szCs w:val="16"/>
        </w:rPr>
        <w:t>, (2005).</w:t>
      </w:r>
    </w:p>
    <w:p w:rsidR="005359B2" w:rsidRPr="00370948" w:rsidRDefault="005359B2" w:rsidP="005359B2">
      <w:pPr>
        <w:pStyle w:val="NoSpacing"/>
        <w:rPr>
          <w:rFonts w:ascii="Book Antiqua" w:hAnsi="Book Antiqua"/>
          <w:sz w:val="16"/>
          <w:szCs w:val="16"/>
          <w:lang w:val="en-GB"/>
        </w:rPr>
      </w:pPr>
      <w:r w:rsidRPr="00370948">
        <w:rPr>
          <w:rFonts w:ascii="Book Antiqua" w:hAnsi="Book Antiqua"/>
          <w:sz w:val="16"/>
          <w:szCs w:val="16"/>
        </w:rPr>
        <w:t xml:space="preserve">[95] G. </w:t>
      </w:r>
      <w:r w:rsidRPr="00370948">
        <w:rPr>
          <w:rFonts w:ascii="Book Antiqua" w:hAnsi="Book Antiqua"/>
          <w:iCs/>
          <w:sz w:val="16"/>
          <w:szCs w:val="16"/>
          <w:lang w:val="en-GB"/>
        </w:rPr>
        <w:t>Proskurowski, M. D. Lilley, J. S. Seewald et al., ”Abiogenic Hydrocarbon Production at Lost City Hydrothermal Field,”</w:t>
      </w:r>
      <w:r w:rsidRPr="00370948">
        <w:rPr>
          <w:rFonts w:ascii="Book Antiqua" w:hAnsi="Book Antiqua"/>
          <w:sz w:val="16"/>
          <w:szCs w:val="16"/>
        </w:rPr>
        <w:t xml:space="preserve"> </w:t>
      </w:r>
      <w:r w:rsidRPr="00370948">
        <w:rPr>
          <w:rFonts w:ascii="Book Antiqua" w:hAnsi="Book Antiqua"/>
          <w:i/>
          <w:sz w:val="16"/>
          <w:szCs w:val="16"/>
          <w:lang w:val="en-GB"/>
        </w:rPr>
        <w:t>Science</w:t>
      </w:r>
      <w:r w:rsidRPr="00370948">
        <w:rPr>
          <w:rFonts w:ascii="Book Antiqua" w:hAnsi="Book Antiqua"/>
          <w:sz w:val="16"/>
          <w:szCs w:val="16"/>
          <w:lang w:val="en-GB"/>
        </w:rPr>
        <w:t xml:space="preserve">, </w:t>
      </w:r>
      <w:r w:rsidRPr="00370948">
        <w:rPr>
          <w:rFonts w:ascii="Book Antiqua" w:hAnsi="Book Antiqua"/>
          <w:b/>
          <w:sz w:val="16"/>
          <w:szCs w:val="16"/>
          <w:lang w:val="en-GB"/>
        </w:rPr>
        <w:t>319</w:t>
      </w:r>
      <w:r w:rsidRPr="00370948">
        <w:rPr>
          <w:rFonts w:ascii="Book Antiqua" w:hAnsi="Book Antiqua"/>
          <w:sz w:val="16"/>
          <w:szCs w:val="16"/>
          <w:lang w:val="en-GB"/>
        </w:rPr>
        <w:t>, pp. 604-607, (1 Feb 2008).</w:t>
      </w:r>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lang w:val="en-GB"/>
        </w:rPr>
        <w:t xml:space="preserve">[96] A. M. Stark, </w:t>
      </w:r>
      <w:r w:rsidRPr="00370948">
        <w:rPr>
          <w:rFonts w:ascii="Book Antiqua" w:hAnsi="Book Antiqua"/>
          <w:sz w:val="16"/>
          <w:szCs w:val="16"/>
        </w:rPr>
        <w:t xml:space="preserve">“Hydrocarbons in the deep earth,” Lawrence Livermore National Laboratories </w:t>
      </w:r>
      <w:r w:rsidRPr="00370948">
        <w:rPr>
          <w:rFonts w:ascii="Book Antiqua" w:hAnsi="Book Antiqua"/>
          <w:i/>
          <w:sz w:val="16"/>
          <w:szCs w:val="16"/>
        </w:rPr>
        <w:t>(LLNL) News Release</w:t>
      </w:r>
      <w:r w:rsidRPr="00370948">
        <w:rPr>
          <w:rFonts w:ascii="Book Antiqua" w:hAnsi="Book Antiqua"/>
          <w:sz w:val="16"/>
          <w:szCs w:val="16"/>
        </w:rPr>
        <w:t>, (14</w:t>
      </w:r>
      <w:r w:rsidRPr="00370948">
        <w:rPr>
          <w:rFonts w:ascii="Book Antiqua" w:hAnsi="Book Antiqua"/>
          <w:sz w:val="16"/>
          <w:szCs w:val="16"/>
          <w:vertAlign w:val="superscript"/>
        </w:rPr>
        <w:t>th</w:t>
      </w:r>
      <w:r w:rsidRPr="00370948">
        <w:rPr>
          <w:rFonts w:ascii="Book Antiqua" w:hAnsi="Book Antiqua"/>
          <w:sz w:val="16"/>
          <w:szCs w:val="16"/>
        </w:rPr>
        <w:t xml:space="preserve"> April, 2011) at:</w:t>
      </w:r>
      <w:r w:rsidRPr="00370948">
        <w:rPr>
          <w:rFonts w:ascii="Book Antiqua" w:hAnsi="Book Antiqua"/>
          <w:i/>
          <w:sz w:val="16"/>
          <w:szCs w:val="16"/>
        </w:rPr>
        <w:t xml:space="preserve"> </w:t>
      </w:r>
      <w:hyperlink r:id="rId363" w:history="1">
        <w:r w:rsidRPr="00370948">
          <w:rPr>
            <w:rStyle w:val="Hyperlink"/>
            <w:rFonts w:ascii="Book Antiqua" w:hAnsi="Book Antiqua"/>
            <w:i/>
            <w:szCs w:val="16"/>
          </w:rPr>
          <w:t>https://www.llnl.gov/news/newsreleases/2011/Apr/NR-11-04-04.html</w:t>
        </w:r>
      </w:hyperlink>
    </w:p>
    <w:p w:rsidR="005359B2" w:rsidRPr="00370948" w:rsidRDefault="005359B2" w:rsidP="005359B2">
      <w:pPr>
        <w:pStyle w:val="NoSpacing"/>
        <w:rPr>
          <w:rFonts w:ascii="Book Antiqua" w:hAnsi="Book Antiqua"/>
          <w:sz w:val="16"/>
          <w:szCs w:val="16"/>
        </w:rPr>
      </w:pPr>
      <w:r w:rsidRPr="00370948">
        <w:rPr>
          <w:rFonts w:ascii="Book Antiqua" w:hAnsi="Book Antiqua"/>
          <w:sz w:val="16"/>
          <w:szCs w:val="16"/>
        </w:rPr>
        <w:t xml:space="preserve">[97] Table 1 data from K.L. McDonald and R.M. Guest, </w:t>
      </w:r>
      <w:r w:rsidRPr="00370948">
        <w:rPr>
          <w:rFonts w:ascii="Book Antiqua" w:hAnsi="Book Antiqua"/>
          <w:i/>
          <w:sz w:val="16"/>
          <w:szCs w:val="16"/>
        </w:rPr>
        <w:t>Journal of Geophysical Research</w:t>
      </w:r>
      <w:r w:rsidRPr="00370948">
        <w:rPr>
          <w:rFonts w:ascii="Book Antiqua" w:hAnsi="Book Antiqua"/>
          <w:sz w:val="16"/>
          <w:szCs w:val="16"/>
        </w:rPr>
        <w:t xml:space="preserve"> </w:t>
      </w:r>
      <w:r w:rsidRPr="00370948">
        <w:rPr>
          <w:rFonts w:ascii="Book Antiqua" w:hAnsi="Book Antiqua"/>
          <w:b/>
          <w:sz w:val="16"/>
          <w:szCs w:val="16"/>
        </w:rPr>
        <w:t>73</w:t>
      </w:r>
      <w:r w:rsidRPr="00370948">
        <w:rPr>
          <w:rFonts w:ascii="Book Antiqua" w:hAnsi="Book Antiqua"/>
          <w:sz w:val="16"/>
          <w:szCs w:val="16"/>
        </w:rPr>
        <w:t xml:space="preserve">:6, pp.2057-2067 (Jan 1968). Also T-W. Wang, </w:t>
      </w:r>
      <w:r w:rsidRPr="00370948">
        <w:rPr>
          <w:rFonts w:ascii="Book Antiqua" w:hAnsi="Book Antiqua"/>
          <w:i/>
          <w:sz w:val="16"/>
          <w:szCs w:val="16"/>
        </w:rPr>
        <w:t>Chinese Journal of Geophysics</w:t>
      </w:r>
      <w:r w:rsidRPr="00370948">
        <w:rPr>
          <w:rFonts w:ascii="Book Antiqua" w:hAnsi="Book Antiqua"/>
          <w:sz w:val="16"/>
          <w:szCs w:val="16"/>
        </w:rPr>
        <w:t xml:space="preserve">, </w:t>
      </w:r>
      <w:r w:rsidRPr="00370948">
        <w:rPr>
          <w:rFonts w:ascii="Book Antiqua" w:hAnsi="Book Antiqua"/>
          <w:b/>
          <w:sz w:val="16"/>
          <w:szCs w:val="16"/>
        </w:rPr>
        <w:t>48</w:t>
      </w:r>
      <w:r w:rsidRPr="00370948">
        <w:rPr>
          <w:rFonts w:ascii="Book Antiqua" w:hAnsi="Book Antiqua"/>
          <w:sz w:val="16"/>
          <w:szCs w:val="16"/>
        </w:rPr>
        <w:t xml:space="preserve">:1 (2005) pp.62-65. Also Barton, C. E. 1989, "Geomagnetic secular variation," in </w:t>
      </w:r>
      <w:r w:rsidRPr="00370948">
        <w:rPr>
          <w:rFonts w:ascii="Book Antiqua" w:hAnsi="Book Antiqua"/>
          <w:i/>
          <w:iCs/>
          <w:sz w:val="16"/>
          <w:szCs w:val="16"/>
        </w:rPr>
        <w:t>The Encyclopedia of Solid Earth Geophysics</w:t>
      </w:r>
      <w:r w:rsidRPr="00370948">
        <w:rPr>
          <w:rFonts w:ascii="Book Antiqua" w:hAnsi="Book Antiqua"/>
          <w:sz w:val="16"/>
          <w:szCs w:val="16"/>
        </w:rPr>
        <w:t xml:space="preserve"> edited by D. E. James, 560-577, Table 2, Van Nostrand Reinhold, New York.</w:t>
      </w:r>
    </w:p>
    <w:p w:rsidR="005359B2" w:rsidRPr="00370948" w:rsidRDefault="005359B2" w:rsidP="005359B2">
      <w:pPr>
        <w:pStyle w:val="NoSpacing"/>
        <w:rPr>
          <w:rFonts w:ascii="Book Antiqua" w:hAnsi="Book Antiqua"/>
          <w:b/>
          <w:sz w:val="16"/>
          <w:szCs w:val="16"/>
        </w:rPr>
      </w:pPr>
      <w:r w:rsidRPr="00370948">
        <w:rPr>
          <w:rFonts w:ascii="Book Antiqua" w:hAnsi="Book Antiqua"/>
          <w:sz w:val="16"/>
          <w:szCs w:val="16"/>
        </w:rPr>
        <w:t xml:space="preserve">[98] I. Trujillo et al., </w:t>
      </w:r>
      <w:r w:rsidRPr="00370948">
        <w:rPr>
          <w:rFonts w:ascii="Book Antiqua" w:hAnsi="Book Antiqua"/>
          <w:i/>
          <w:sz w:val="16"/>
          <w:szCs w:val="16"/>
        </w:rPr>
        <w:t>Astrophysical Journal Letters</w:t>
      </w:r>
      <w:r w:rsidRPr="00370948">
        <w:rPr>
          <w:rFonts w:ascii="Book Antiqua" w:hAnsi="Book Antiqua"/>
          <w:sz w:val="16"/>
          <w:szCs w:val="16"/>
        </w:rPr>
        <w:t xml:space="preserve"> </w:t>
      </w:r>
      <w:r w:rsidRPr="00370948">
        <w:rPr>
          <w:rFonts w:ascii="Book Antiqua" w:hAnsi="Book Antiqua"/>
          <w:b/>
          <w:sz w:val="16"/>
          <w:szCs w:val="16"/>
        </w:rPr>
        <w:t>640</w:t>
      </w:r>
      <w:r w:rsidRPr="00370948">
        <w:rPr>
          <w:rFonts w:ascii="Book Antiqua" w:hAnsi="Book Antiqua"/>
          <w:sz w:val="16"/>
          <w:szCs w:val="16"/>
        </w:rPr>
        <w:t xml:space="preserve"> (2006), L111 – L114 .</w:t>
      </w:r>
    </w:p>
    <w:p w:rsidR="005359B2" w:rsidRPr="00370948" w:rsidRDefault="005359B2" w:rsidP="005359B2">
      <w:pPr>
        <w:pStyle w:val="NoSpacing"/>
        <w:jc w:val="center"/>
        <w:rPr>
          <w:rFonts w:ascii="Book Antiqua" w:hAnsi="Book Antiqua"/>
          <w:color w:val="000000"/>
          <w:sz w:val="16"/>
          <w:szCs w:val="16"/>
        </w:rPr>
      </w:pPr>
    </w:p>
    <w:p w:rsidR="005359B2" w:rsidRPr="00370948" w:rsidRDefault="005359B2" w:rsidP="005359B2">
      <w:pPr>
        <w:rPr>
          <w:rFonts w:ascii="Book Antiqua" w:hAnsi="Book Antiqua"/>
          <w:b/>
          <w:sz w:val="16"/>
          <w:szCs w:val="16"/>
        </w:rPr>
      </w:pPr>
      <w:r w:rsidRPr="00370948">
        <w:rPr>
          <w:rFonts w:ascii="Book Antiqua" w:hAnsi="Book Antiqua"/>
          <w:b/>
          <w:sz w:val="16"/>
          <w:szCs w:val="16"/>
        </w:rPr>
        <w:t xml:space="preserve">Figure References </w:t>
      </w:r>
      <w:r w:rsidRPr="00370948">
        <w:rPr>
          <w:rFonts w:ascii="Book Antiqua" w:hAnsi="Book Antiqua"/>
          <w:i/>
          <w:sz w:val="16"/>
          <w:szCs w:val="16"/>
        </w:rPr>
        <w:t>– All URL’s retrieved 9/13/12</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1: The four states of matter: </w:t>
      </w:r>
      <w:hyperlink r:id="rId364" w:history="1">
        <w:r w:rsidRPr="00AA273F">
          <w:rPr>
            <w:rStyle w:val="Hyperlink"/>
            <w:rFonts w:ascii="Book Antiqua" w:hAnsi="Book Antiqua"/>
            <w:i/>
            <w:szCs w:val="16"/>
          </w:rPr>
          <w:t>http://fitz6.wordpress.com/2012/02/27/states-of-matter/</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Left: Kristian Birkeland: </w:t>
      </w:r>
      <w:hyperlink r:id="rId365" w:history="1">
        <w:r w:rsidRPr="00AA273F">
          <w:rPr>
            <w:rStyle w:val="Hyperlink"/>
            <w:rFonts w:ascii="Book Antiqua" w:hAnsi="Book Antiqua"/>
            <w:i/>
            <w:szCs w:val="16"/>
          </w:rPr>
          <w:t>http://snl.no/Kristian_Bernhard_Birkeland</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3:  Right: Sydney Chapman: </w:t>
      </w:r>
      <w:hyperlink r:id="rId366" w:history="1">
        <w:r w:rsidRPr="00AA273F">
          <w:rPr>
            <w:rStyle w:val="Hyperlink"/>
            <w:rFonts w:ascii="Book Antiqua" w:hAnsi="Book Antiqua"/>
            <w:i/>
            <w:szCs w:val="16"/>
          </w:rPr>
          <w:t>http://celebrating200years.noaa.gov/magazine/igy/sydney_chapman.html</w:t>
        </w:r>
      </w:hyperlink>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 xml:space="preserve">Figure 4: (Left) Positive ion current and (Center) negative electron current from: </w:t>
      </w:r>
      <w:hyperlink r:id="rId367" w:history="1">
        <w:r w:rsidRPr="004C1392">
          <w:rPr>
            <w:rStyle w:val="Hyperlink"/>
            <w:rFonts w:ascii="Book Antiqua" w:hAnsi="Book Antiqua"/>
            <w:i/>
            <w:szCs w:val="16"/>
          </w:rPr>
          <w:t>http://cnx.org/content/m42341/latest/?collection=col11458/latest</w:t>
        </w:r>
      </w:hyperlink>
    </w:p>
    <w:p w:rsidR="005359B2" w:rsidRPr="004C1392" w:rsidRDefault="005359B2" w:rsidP="005359B2">
      <w:pPr>
        <w:pStyle w:val="NoSpacing"/>
        <w:rPr>
          <w:rFonts w:ascii="Book Antiqua" w:hAnsi="Book Antiqua"/>
          <w:i/>
          <w:sz w:val="16"/>
          <w:szCs w:val="16"/>
        </w:rPr>
      </w:pPr>
      <w:r>
        <w:rPr>
          <w:rFonts w:ascii="Book Antiqua" w:hAnsi="Book Antiqua"/>
          <w:sz w:val="16"/>
          <w:szCs w:val="16"/>
        </w:rPr>
        <w:t xml:space="preserve">Figure 4: (Right) Every electric current is surrounded by a magnetic field. </w:t>
      </w:r>
      <w:r w:rsidRPr="004C1392">
        <w:rPr>
          <w:rFonts w:ascii="Book Antiqua" w:hAnsi="Book Antiqua"/>
          <w:i/>
          <w:sz w:val="16"/>
          <w:szCs w:val="16"/>
        </w:rPr>
        <w:t>http://www.thunderbolts.info/wp/2011/10/17/essential-guide-to-the-eu-chapter-2/</w:t>
      </w:r>
    </w:p>
    <w:p w:rsidR="005359B2" w:rsidRPr="004C1392" w:rsidRDefault="005359B2" w:rsidP="005359B2">
      <w:pPr>
        <w:pStyle w:val="NoSpacing"/>
        <w:rPr>
          <w:rFonts w:ascii="Book Antiqua" w:hAnsi="Book Antiqua"/>
          <w:sz w:val="16"/>
          <w:szCs w:val="16"/>
        </w:rPr>
      </w:pPr>
      <w:r w:rsidRPr="004C1392">
        <w:rPr>
          <w:rFonts w:ascii="Book Antiqua" w:hAnsi="Book Antiqua"/>
          <w:sz w:val="16"/>
          <w:szCs w:val="16"/>
        </w:rPr>
        <w:t>Figure 5: Cygus Loop plasma filament: http://www.fractaluniverse.org/v2/?page_id=55</w:t>
      </w:r>
    </w:p>
    <w:p w:rsidR="005359B2" w:rsidRPr="00AA273F" w:rsidRDefault="005359B2" w:rsidP="005359B2">
      <w:pPr>
        <w:pStyle w:val="NoSpacing"/>
        <w:rPr>
          <w:rFonts w:ascii="Book Antiqua" w:hAnsi="Book Antiqua"/>
          <w:sz w:val="16"/>
          <w:szCs w:val="16"/>
        </w:rPr>
      </w:pPr>
      <w:r w:rsidRPr="00AA273F">
        <w:rPr>
          <w:rFonts w:ascii="Book Antiqua" w:hAnsi="Book Antiqua"/>
          <w:sz w:val="16"/>
          <w:szCs w:val="16"/>
        </w:rPr>
        <w:t xml:space="preserve">Figure 6: Plasma instabilities and pinch: </w:t>
      </w:r>
      <w:r w:rsidRPr="00AA273F">
        <w:rPr>
          <w:rFonts w:ascii="Book Antiqua" w:hAnsi="Book Antiqua"/>
          <w:i/>
          <w:sz w:val="16"/>
          <w:szCs w:val="16"/>
        </w:rPr>
        <w:t>http://www.answers.com/topic/pinch-effect-1</w:t>
      </w:r>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7: Orion Molecular Cloud and its magnetic “slinky.” </w:t>
      </w:r>
      <w:hyperlink r:id="rId368" w:history="1">
        <w:r w:rsidRPr="00AA273F">
          <w:rPr>
            <w:rStyle w:val="Hyperlink"/>
            <w:rFonts w:ascii="Book Antiqua" w:hAnsi="Book Antiqua"/>
            <w:i/>
            <w:szCs w:val="16"/>
          </w:rPr>
          <w:t>http://berkeley.edu/news/media/releases/2006/01/12_helical.shtml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8: Spitzer Space Telescope image of galaxy M81. </w:t>
      </w:r>
      <w:hyperlink r:id="rId369" w:history="1">
        <w:r w:rsidRPr="00AA273F">
          <w:rPr>
            <w:rStyle w:val="Hyperlink"/>
            <w:rFonts w:ascii="Book Antiqua" w:hAnsi="Book Antiqua"/>
            <w:i/>
            <w:szCs w:val="16"/>
          </w:rPr>
          <w:t>http://jumk.de/astronomie/galaxies/bodes-galaxy.shtml</w:t>
        </w:r>
      </w:hyperlink>
    </w:p>
    <w:p w:rsidR="005359B2" w:rsidRPr="00AA273F" w:rsidRDefault="005359B2" w:rsidP="005359B2">
      <w:pPr>
        <w:pStyle w:val="NoSpacing"/>
        <w:rPr>
          <w:rFonts w:ascii="Book Antiqua" w:hAnsi="Book Antiqua"/>
          <w:i/>
          <w:sz w:val="16"/>
          <w:szCs w:val="16"/>
        </w:rPr>
      </w:pPr>
      <w:r w:rsidRPr="00AA273F">
        <w:rPr>
          <w:rFonts w:ascii="Book Antiqua" w:hAnsi="Book Antiqua"/>
          <w:sz w:val="16"/>
          <w:szCs w:val="16"/>
        </w:rPr>
        <w:t xml:space="preserve">Figure 9: The Sun’s heliospheric current sheet. </w:t>
      </w:r>
      <w:hyperlink r:id="rId370" w:history="1">
        <w:r w:rsidRPr="00AA273F">
          <w:rPr>
            <w:rStyle w:val="Hyperlink"/>
            <w:rFonts w:ascii="Book Antiqua" w:hAnsi="Book Antiqua"/>
            <w:i/>
            <w:szCs w:val="16"/>
          </w:rPr>
          <w:t>http://www.thunderbolts.info/tpod/2005/arch05/051031plasma.htm</w:t>
        </w:r>
      </w:hyperlink>
    </w:p>
    <w:p w:rsidR="005359B2" w:rsidRPr="00AA273F" w:rsidRDefault="005359B2" w:rsidP="005359B2">
      <w:pPr>
        <w:pStyle w:val="NoSpacing"/>
        <w:rPr>
          <w:rStyle w:val="Strong"/>
          <w:rFonts w:ascii="Book Antiqua" w:eastAsia="Calibri" w:hAnsi="Book Antiqua"/>
          <w:b w:val="0"/>
          <w:i/>
          <w:sz w:val="16"/>
          <w:szCs w:val="16"/>
        </w:rPr>
      </w:pPr>
      <w:r w:rsidRPr="00AA273F">
        <w:rPr>
          <w:rFonts w:ascii="Book Antiqua" w:hAnsi="Book Antiqua"/>
          <w:sz w:val="16"/>
          <w:szCs w:val="16"/>
        </w:rPr>
        <w:t xml:space="preserve">Figure 10: Plot of galaxy positions forming filaments: </w:t>
      </w:r>
      <w:hyperlink r:id="rId371" w:tgtFrame="_new" w:history="1">
        <w:r w:rsidRPr="00AA273F">
          <w:rPr>
            <w:rStyle w:val="Hyperlink"/>
            <w:rFonts w:ascii="Book Antiqua" w:hAnsi="Book Antiqua"/>
            <w:bCs/>
            <w:i/>
            <w:szCs w:val="16"/>
          </w:rPr>
          <w:t>http://www.exp-astro.phys.ethz.ch/highlights/oct06_1.gif</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11: Element sorting by Marklund Convection.</w:t>
      </w:r>
    </w:p>
    <w:p w:rsidR="005359B2" w:rsidRPr="00370948" w:rsidRDefault="007B3EBC" w:rsidP="005359B2">
      <w:pPr>
        <w:pStyle w:val="NoSpacing"/>
        <w:jc w:val="both"/>
        <w:rPr>
          <w:rStyle w:val="Strong"/>
          <w:rFonts w:ascii="Book Antiqua" w:eastAsia="Calibri" w:hAnsi="Book Antiqua"/>
          <w:b w:val="0"/>
          <w:sz w:val="16"/>
          <w:szCs w:val="16"/>
        </w:rPr>
      </w:pPr>
      <w:hyperlink r:id="rId372" w:history="1">
        <w:r w:rsidR="005359B2" w:rsidRPr="00370948">
          <w:rPr>
            <w:rStyle w:val="Hyperlink"/>
            <w:rFonts w:ascii="Book Antiqua" w:hAnsi="Book Antiqua"/>
            <w:szCs w:val="16"/>
          </w:rPr>
          <w:t>http://www.holoscience.com/wp/wp-content/uploads/2011/05/Marklund-Convection-2.jpg</w:t>
        </w:r>
      </w:hyperlink>
    </w:p>
    <w:p w:rsidR="005359B2" w:rsidRPr="005350F1"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Figure 13:</w:t>
      </w:r>
      <w:r w:rsidRPr="005350F1">
        <w:rPr>
          <w:rStyle w:val="Strong"/>
          <w:rFonts w:ascii="Book Antiqua" w:eastAsia="Calibri" w:hAnsi="Book Antiqua"/>
          <w:sz w:val="16"/>
          <w:szCs w:val="16"/>
        </w:rPr>
        <w:t xml:space="preserve"> </w:t>
      </w:r>
      <w:r w:rsidRPr="005350F1">
        <w:rPr>
          <w:rFonts w:ascii="Book Antiqua" w:hAnsi="Book Antiqua"/>
          <w:sz w:val="16"/>
          <w:szCs w:val="16"/>
        </w:rPr>
        <w:t>Behavior of Earth’s dipole magnetic moment, M*, in amp-meters</w:t>
      </w:r>
      <w:r w:rsidRPr="005350F1">
        <w:rPr>
          <w:rFonts w:ascii="Book Antiqua" w:hAnsi="Book Antiqua"/>
          <w:sz w:val="16"/>
          <w:szCs w:val="16"/>
          <w:vertAlign w:val="superscript"/>
        </w:rPr>
        <w:t>2</w:t>
      </w:r>
      <w:r w:rsidRPr="005350F1">
        <w:rPr>
          <w:rFonts w:ascii="Book Antiqua" w:hAnsi="Book Antiqua"/>
          <w:sz w:val="16"/>
          <w:szCs w:val="16"/>
        </w:rPr>
        <w:t>.</w:t>
      </w:r>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lastRenderedPageBreak/>
        <w:t>Figure 14: Galaxy formation from interacting plasma filaments.</w:t>
      </w:r>
    </w:p>
    <w:p w:rsidR="005359B2" w:rsidRPr="00370948" w:rsidRDefault="007B3EBC" w:rsidP="005359B2">
      <w:pPr>
        <w:pStyle w:val="NoSpacing"/>
        <w:jc w:val="both"/>
        <w:rPr>
          <w:rStyle w:val="Strong"/>
          <w:rFonts w:ascii="Book Antiqua" w:eastAsia="Calibri" w:hAnsi="Book Antiqua"/>
          <w:b w:val="0"/>
          <w:i/>
          <w:sz w:val="16"/>
          <w:szCs w:val="16"/>
        </w:rPr>
      </w:pPr>
      <w:hyperlink r:id="rId373" w:history="1">
        <w:r w:rsidR="005359B2" w:rsidRPr="00370948">
          <w:rPr>
            <w:rStyle w:val="Hyperlink"/>
            <w:rFonts w:ascii="Book Antiqua" w:hAnsi="Book Antiqua"/>
            <w:i/>
            <w:szCs w:val="16"/>
          </w:rPr>
          <w:t>http://www.thunderbolts.info/wp/2011/12/05/considering-the-electric-sun-part-1/perattsimulations_1/</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15: Top – lab results from approaching interacting filaments. </w:t>
      </w:r>
    </w:p>
    <w:p w:rsidR="005359B2" w:rsidRPr="00370948" w:rsidRDefault="007B3EBC" w:rsidP="005359B2">
      <w:pPr>
        <w:pStyle w:val="NoSpacing"/>
        <w:jc w:val="both"/>
        <w:rPr>
          <w:rStyle w:val="Strong"/>
          <w:rFonts w:ascii="Book Antiqua" w:eastAsia="Calibri" w:hAnsi="Book Antiqua"/>
          <w:b w:val="0"/>
          <w:i/>
          <w:sz w:val="16"/>
          <w:szCs w:val="16"/>
        </w:rPr>
      </w:pPr>
      <w:hyperlink r:id="rId374" w:history="1">
        <w:r w:rsidR="005359B2" w:rsidRPr="00370948">
          <w:rPr>
            <w:rStyle w:val="Hyperlink"/>
            <w:rFonts w:ascii="Book Antiqua" w:hAnsi="Book Antiqua"/>
            <w:i/>
            <w:szCs w:val="16"/>
          </w:rPr>
          <w:t>http://www.holoscience.com/wp/the-spiral-galaxy-at-saturns-pole/</w:t>
        </w:r>
      </w:hyperlink>
    </w:p>
    <w:p w:rsidR="005359B2" w:rsidRPr="003B4CE2" w:rsidRDefault="005359B2" w:rsidP="005359B2">
      <w:pPr>
        <w:pStyle w:val="NoSpacing"/>
        <w:jc w:val="both"/>
        <w:rPr>
          <w:rStyle w:val="Strong"/>
          <w:rFonts w:ascii="Book Antiqua" w:eastAsia="Calibri" w:hAnsi="Book Antiqua"/>
          <w:b w:val="0"/>
          <w:i/>
          <w:sz w:val="16"/>
          <w:szCs w:val="16"/>
          <w:u w:val="single"/>
        </w:rPr>
      </w:pPr>
      <w:r w:rsidRPr="003B4CE2">
        <w:rPr>
          <w:rStyle w:val="Strong"/>
          <w:rFonts w:ascii="Book Antiqua" w:eastAsia="Calibri" w:hAnsi="Book Antiqua"/>
          <w:b w:val="0"/>
          <w:sz w:val="16"/>
          <w:szCs w:val="16"/>
        </w:rPr>
        <w:t xml:space="preserve">Figure 15: Bottom left - Radio galaxy 3C296. </w:t>
      </w:r>
      <w:hyperlink r:id="rId375" w:history="1">
        <w:r w:rsidRPr="003B4CE2">
          <w:rPr>
            <w:rStyle w:val="Hyperlink"/>
            <w:rFonts w:ascii="Book Antiqua" w:hAnsi="Book Antiqua"/>
            <w:b/>
            <w:i/>
            <w:szCs w:val="16"/>
          </w:rPr>
          <w:t>http://apod.nasa.gov/apod/ap020226.html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15: Bottom middle – Radio galaxy Fornax A. </w:t>
      </w:r>
      <w:hyperlink r:id="rId376" w:history="1">
        <w:r w:rsidRPr="003B4CE2">
          <w:rPr>
            <w:rStyle w:val="Hyperlink"/>
            <w:rFonts w:ascii="Book Antiqua" w:hAnsi="Book Antiqua"/>
            <w:b/>
            <w:i/>
            <w:szCs w:val="16"/>
          </w:rPr>
          <w:t>http://images.nrao.edu/501</w:t>
        </w:r>
      </w:hyperlink>
    </w:p>
    <w:p w:rsidR="005359B2" w:rsidRPr="003B4CE2" w:rsidRDefault="005359B2" w:rsidP="005359B2">
      <w:pPr>
        <w:pStyle w:val="NoSpacing"/>
        <w:jc w:val="both"/>
        <w:rPr>
          <w:rFonts w:ascii="Book Antiqua" w:hAnsi="Book Antiqua"/>
          <w:b/>
          <w:sz w:val="16"/>
          <w:szCs w:val="16"/>
        </w:rPr>
      </w:pPr>
      <w:r w:rsidRPr="003B4CE2">
        <w:rPr>
          <w:rStyle w:val="Strong"/>
          <w:rFonts w:ascii="Book Antiqua" w:eastAsia="Calibri" w:hAnsi="Book Antiqua"/>
          <w:b w:val="0"/>
          <w:sz w:val="16"/>
          <w:szCs w:val="16"/>
        </w:rPr>
        <w:t xml:space="preserve">Figure 15: Bottom right – Radio galaxy Centaurus A. </w:t>
      </w:r>
      <w:hyperlink r:id="rId377" w:history="1">
        <w:r w:rsidRPr="003B4CE2">
          <w:rPr>
            <w:rStyle w:val="Hyperlink"/>
            <w:rFonts w:ascii="Book Antiqua" w:hAnsi="Book Antiqua"/>
            <w:b/>
            <w:i/>
            <w:szCs w:val="16"/>
          </w:rPr>
          <w:t>http://apod.nasa.gov/apod/ap080110.html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16: (Top) Radio galaxy NGC 4261 and its core. </w:t>
      </w:r>
      <w:hyperlink r:id="rId378" w:history="1">
        <w:r w:rsidRPr="003B4CE2">
          <w:rPr>
            <w:rStyle w:val="Hyperlink"/>
            <w:rFonts w:ascii="Book Antiqua" w:hAnsi="Book Antiqua"/>
            <w:b/>
            <w:i/>
            <w:szCs w:val="16"/>
          </w:rPr>
          <w:t>http://csep10.phys.utk.edu/astr162/lect/active/ngc4261.html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16: (Bottom) Quasars from various angles </w:t>
      </w:r>
      <w:r w:rsidRPr="003B4CE2">
        <w:rPr>
          <w:rStyle w:val="Strong"/>
          <w:rFonts w:ascii="Book Antiqua" w:eastAsia="Calibri" w:hAnsi="Book Antiqua"/>
          <w:b w:val="0"/>
          <w:i/>
          <w:sz w:val="16"/>
          <w:szCs w:val="16"/>
        </w:rPr>
        <w:t>http://scioly.org/wiki/index.php/Astronomy/Active_Galaxies</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Left: Giant elliptical galaxy M87. </w:t>
      </w:r>
      <w:hyperlink r:id="rId379" w:history="1">
        <w:r w:rsidRPr="003B4CE2">
          <w:rPr>
            <w:rStyle w:val="Hyperlink"/>
            <w:rFonts w:ascii="Book Antiqua" w:hAnsi="Book Antiqua"/>
            <w:b/>
            <w:i/>
            <w:szCs w:val="16"/>
          </w:rPr>
          <w:t>http://csep10.phys.utk.edu/astr162/lect/galaxies/elliptical.html</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17: Right: The huge plasma jet from the nucleus of M87. </w:t>
      </w:r>
      <w:hyperlink r:id="rId380" w:history="1">
        <w:r w:rsidRPr="003B4CE2">
          <w:rPr>
            <w:rStyle w:val="Hyperlink"/>
            <w:rFonts w:ascii="Book Antiqua" w:hAnsi="Book Antiqua"/>
            <w:b/>
            <w:i/>
            <w:szCs w:val="16"/>
          </w:rPr>
          <w:t>http://www.holoscience.com/wp/electric-galaxies/</w:t>
        </w:r>
      </w:hyperlink>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18: Left: Gamma ray lobes on our Galaxy </w:t>
      </w:r>
      <w:hyperlink r:id="rId381" w:history="1">
        <w:r w:rsidRPr="003B4CE2">
          <w:rPr>
            <w:rStyle w:val="Hyperlink"/>
            <w:rFonts w:ascii="Book Antiqua" w:hAnsi="Book Antiqua"/>
            <w:b/>
            <w:i/>
            <w:szCs w:val="16"/>
          </w:rPr>
          <w:t>http://theastronomist.fieldofscience.com/2010/11/milky-way-hides-gamma-ray-lobes.html</w:t>
        </w:r>
      </w:hyperlink>
    </w:p>
    <w:p w:rsidR="005359B2" w:rsidRPr="003B4CE2" w:rsidRDefault="005359B2" w:rsidP="005359B2">
      <w:pPr>
        <w:pStyle w:val="NoSpacing"/>
        <w:jc w:val="both"/>
        <w:rPr>
          <w:rStyle w:val="Strong"/>
          <w:rFonts w:ascii="Book Antiqua" w:eastAsia="Calibri" w:hAnsi="Book Antiqua"/>
          <w:b w:val="0"/>
          <w:sz w:val="16"/>
          <w:szCs w:val="16"/>
        </w:rPr>
      </w:pPr>
      <w:r w:rsidRPr="003B4CE2">
        <w:rPr>
          <w:rStyle w:val="Strong"/>
          <w:rFonts w:ascii="Book Antiqua" w:eastAsia="Calibri" w:hAnsi="Book Antiqua"/>
          <w:b w:val="0"/>
          <w:sz w:val="16"/>
          <w:szCs w:val="16"/>
        </w:rPr>
        <w:t xml:space="preserve">Figure 18: Right: Jets from Milky Way core </w:t>
      </w:r>
      <w:r w:rsidRPr="003B4CE2">
        <w:rPr>
          <w:rStyle w:val="Strong"/>
          <w:rFonts w:ascii="Book Antiqua" w:eastAsia="Calibri" w:hAnsi="Book Antiqua"/>
          <w:b w:val="0"/>
          <w:i/>
          <w:sz w:val="16"/>
          <w:szCs w:val="16"/>
        </w:rPr>
        <w:t>http://orbiter-forum.com/showthread.php?t=19150</w:t>
      </w:r>
      <w:r w:rsidRPr="003B4CE2">
        <w:rPr>
          <w:rStyle w:val="Strong"/>
          <w:rFonts w:ascii="Book Antiqua" w:eastAsia="Calibri" w:hAnsi="Book Antiqua"/>
          <w:b w:val="0"/>
          <w:sz w:val="16"/>
          <w:szCs w:val="16"/>
        </w:rPr>
        <w:t xml:space="preserve"> </w:t>
      </w:r>
    </w:p>
    <w:p w:rsidR="005359B2" w:rsidRPr="003B4CE2" w:rsidRDefault="005359B2" w:rsidP="005359B2">
      <w:pPr>
        <w:pStyle w:val="NoSpacing"/>
        <w:jc w:val="both"/>
        <w:rPr>
          <w:rStyle w:val="Strong"/>
          <w:rFonts w:ascii="Book Antiqua" w:eastAsia="Calibri" w:hAnsi="Book Antiqua"/>
          <w:b w:val="0"/>
          <w:i/>
          <w:sz w:val="16"/>
          <w:szCs w:val="16"/>
        </w:rPr>
      </w:pPr>
      <w:r w:rsidRPr="003B4CE2">
        <w:rPr>
          <w:rStyle w:val="Strong"/>
          <w:rFonts w:ascii="Book Antiqua" w:eastAsia="Calibri" w:hAnsi="Book Antiqua"/>
          <w:b w:val="0"/>
          <w:sz w:val="16"/>
          <w:szCs w:val="16"/>
        </w:rPr>
        <w:t xml:space="preserve">Figure 20 Left: Barred spiral galaxy NGC 1300. </w:t>
      </w:r>
      <w:hyperlink r:id="rId382" w:history="1">
        <w:r w:rsidRPr="003B4CE2">
          <w:rPr>
            <w:rStyle w:val="Hyperlink"/>
            <w:rFonts w:ascii="Book Antiqua" w:hAnsi="Book Antiqua"/>
            <w:b/>
            <w:i/>
            <w:szCs w:val="16"/>
          </w:rPr>
          <w:t>http://apod.nasa.gov/apod/ap050112.html</w:t>
        </w:r>
      </w:hyperlink>
    </w:p>
    <w:p w:rsidR="005359B2" w:rsidRPr="00AA273F" w:rsidRDefault="005359B2" w:rsidP="005359B2">
      <w:pPr>
        <w:pStyle w:val="NoSpacing"/>
        <w:jc w:val="both"/>
        <w:rPr>
          <w:rFonts w:ascii="Book Antiqua" w:hAnsi="Book Antiqua"/>
          <w:i/>
          <w:sz w:val="16"/>
          <w:szCs w:val="16"/>
        </w:rPr>
      </w:pPr>
      <w:r w:rsidRPr="003B4CE2">
        <w:rPr>
          <w:rStyle w:val="Strong"/>
          <w:rFonts w:ascii="Book Antiqua" w:eastAsia="Calibri" w:hAnsi="Book Antiqua"/>
          <w:b w:val="0"/>
          <w:sz w:val="16"/>
          <w:szCs w:val="16"/>
        </w:rPr>
        <w:t xml:space="preserve">Figure 20 Right: Spiral galaxy M81 (composite). </w:t>
      </w:r>
      <w:hyperlink r:id="rId383" w:history="1">
        <w:r w:rsidRPr="00AA273F">
          <w:rPr>
            <w:rStyle w:val="Hyperlink"/>
            <w:rFonts w:ascii="Book Antiqua" w:hAnsi="Book Antiqua"/>
            <w:i/>
            <w:szCs w:val="16"/>
          </w:rPr>
          <w:t>http://chandra.harvard.edu/photo/2008/m81/more.html</w:t>
        </w:r>
      </w:hyperlink>
    </w:p>
    <w:p w:rsidR="005359B2" w:rsidRPr="00AA273F" w:rsidRDefault="005359B2" w:rsidP="005359B2">
      <w:pPr>
        <w:pStyle w:val="NoSpacing"/>
        <w:jc w:val="both"/>
        <w:rPr>
          <w:rFonts w:ascii="Book Antiqua" w:hAnsi="Book Antiqua"/>
          <w:i/>
          <w:sz w:val="16"/>
          <w:szCs w:val="16"/>
        </w:rPr>
      </w:pPr>
      <w:r w:rsidRPr="00AA273F">
        <w:rPr>
          <w:rFonts w:ascii="Book Antiqua" w:hAnsi="Book Antiqua"/>
          <w:sz w:val="16"/>
          <w:szCs w:val="16"/>
        </w:rPr>
        <w:t xml:space="preserve">Figure </w:t>
      </w:r>
      <w:r>
        <w:rPr>
          <w:rFonts w:ascii="Book Antiqua" w:hAnsi="Book Antiqua"/>
          <w:sz w:val="16"/>
          <w:szCs w:val="16"/>
        </w:rPr>
        <w:t>2</w:t>
      </w:r>
      <w:r w:rsidRPr="00AA273F">
        <w:rPr>
          <w:rFonts w:ascii="Book Antiqua" w:hAnsi="Book Antiqua"/>
          <w:sz w:val="16"/>
          <w:szCs w:val="16"/>
        </w:rPr>
        <w:t xml:space="preserve">1: Rotation curves of a typical galaxy. </w:t>
      </w:r>
      <w:hyperlink r:id="rId384" w:history="1">
        <w:r w:rsidRPr="00AA273F">
          <w:rPr>
            <w:rStyle w:val="Hyperlink"/>
            <w:rFonts w:ascii="Book Antiqua" w:hAnsi="Book Antiqua"/>
            <w:i/>
            <w:szCs w:val="16"/>
          </w:rPr>
          <w:t>http://large.stanford.edu/courses/2007/ph210/sugarbaker2/</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22: Galaxy rotation curves compared with plasma experiments. </w:t>
      </w:r>
      <w:hyperlink r:id="rId385" w:history="1">
        <w:r w:rsidRPr="00323BEC">
          <w:rPr>
            <w:rStyle w:val="Hyperlink"/>
            <w:rFonts w:ascii="Book Antiqua" w:hAnsi="Book Antiqua"/>
            <w:i/>
            <w:szCs w:val="16"/>
          </w:rPr>
          <w:t>http://www.holoscience.com/wp/electric-galaxies/</w:t>
        </w:r>
      </w:hyperlink>
    </w:p>
    <w:p w:rsidR="005359B2" w:rsidRPr="00323BEC" w:rsidRDefault="005359B2" w:rsidP="005359B2">
      <w:pPr>
        <w:pStyle w:val="NoSpacing"/>
        <w:rPr>
          <w:rFonts w:ascii="Book Antiqua" w:hAnsi="Book Antiqua"/>
          <w:i/>
          <w:sz w:val="16"/>
          <w:szCs w:val="16"/>
        </w:rPr>
      </w:pPr>
      <w:r w:rsidRPr="00323BEC">
        <w:rPr>
          <w:rFonts w:ascii="Book Antiqua" w:hAnsi="Book Antiqua"/>
          <w:sz w:val="16"/>
          <w:szCs w:val="16"/>
        </w:rPr>
        <w:t xml:space="preserve">Figure 23: Top Left: Ant Nebula Mz3 in Norma. </w:t>
      </w:r>
      <w:hyperlink r:id="rId386" w:history="1">
        <w:r w:rsidRPr="00323BEC">
          <w:rPr>
            <w:rStyle w:val="Hyperlink"/>
            <w:rFonts w:ascii="Book Antiqua" w:hAnsi="Book Antiqua"/>
            <w:i/>
            <w:szCs w:val="16"/>
          </w:rPr>
          <w:t>http://hubblesite.org/gallery/album/pr2001005a/</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Top Right: Bug nebula NGC 6302 in Scorpius.</w:t>
      </w:r>
    </w:p>
    <w:p w:rsidR="005359B2" w:rsidRPr="009D21E5" w:rsidRDefault="007B3EBC" w:rsidP="005359B2">
      <w:pPr>
        <w:pStyle w:val="NoSpacing"/>
        <w:rPr>
          <w:rFonts w:ascii="Book Antiqua" w:hAnsi="Book Antiqua"/>
          <w:i/>
          <w:sz w:val="16"/>
          <w:szCs w:val="16"/>
        </w:rPr>
      </w:pPr>
      <w:hyperlink r:id="rId387" w:history="1">
        <w:r w:rsidR="005359B2" w:rsidRPr="009D21E5">
          <w:rPr>
            <w:rStyle w:val="Hyperlink"/>
            <w:rFonts w:ascii="Book Antiqua" w:hAnsi="Book Antiqua"/>
            <w:i/>
            <w:szCs w:val="16"/>
          </w:rPr>
          <w:t>http://www.nasa.gov/mission_pages/hubble/multimedia/ero/ero_ngc6302.html</w:t>
        </w:r>
      </w:hyperlink>
    </w:p>
    <w:p w:rsidR="005359B2" w:rsidRPr="009D21E5" w:rsidRDefault="005359B2" w:rsidP="005359B2">
      <w:pPr>
        <w:pStyle w:val="NoSpacing"/>
        <w:rPr>
          <w:rStyle w:val="Hyperlink"/>
          <w:rFonts w:ascii="Book Antiqua" w:hAnsi="Book Antiqua"/>
          <w:bCs/>
          <w:i/>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Left: Double balloon nebula in Sagittarius. </w:t>
      </w:r>
      <w:hyperlink r:id="rId388" w:history="1">
        <w:r w:rsidRPr="009D21E5">
          <w:rPr>
            <w:rStyle w:val="Hyperlink"/>
            <w:rFonts w:ascii="Book Antiqua" w:hAnsi="Book Antiqua"/>
            <w:bCs/>
            <w:i/>
            <w:szCs w:val="16"/>
          </w:rPr>
          <w:t>http://hubblesite.org/newscenter/archive/releases/1997/38/image/f/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23:</w:t>
      </w:r>
      <w:r w:rsidRPr="009D21E5">
        <w:rPr>
          <w:rFonts w:ascii="Book Antiqua" w:hAnsi="Book Antiqua"/>
          <w:sz w:val="16"/>
          <w:szCs w:val="16"/>
        </w:rPr>
        <w:t xml:space="preserve"> Bottom Right: Butterfly wing nebula M2-9 in Ophiuchus.</w:t>
      </w:r>
    </w:p>
    <w:p w:rsidR="005359B2" w:rsidRPr="009D21E5" w:rsidRDefault="007B3EBC" w:rsidP="005359B2">
      <w:pPr>
        <w:pStyle w:val="NoSpacing"/>
        <w:rPr>
          <w:rFonts w:ascii="Book Antiqua" w:hAnsi="Book Antiqua"/>
          <w:i/>
          <w:sz w:val="16"/>
          <w:szCs w:val="16"/>
        </w:rPr>
      </w:pPr>
      <w:hyperlink r:id="rId389" w:history="1">
        <w:r w:rsidR="005359B2" w:rsidRPr="009D21E5">
          <w:rPr>
            <w:rStyle w:val="Hyperlink"/>
            <w:rFonts w:ascii="Book Antiqua" w:hAnsi="Book Antiqua"/>
            <w:i/>
            <w:szCs w:val="16"/>
          </w:rPr>
          <w:t>http://www.spacetelescope.org/projects/fits_liberator/fitsimages/danny_lacrue_11/</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24</w:t>
      </w:r>
      <w:r w:rsidRPr="009D21E5">
        <w:rPr>
          <w:rFonts w:ascii="Book Antiqua" w:hAnsi="Book Antiqua"/>
          <w:sz w:val="16"/>
          <w:szCs w:val="16"/>
        </w:rPr>
        <w:t xml:space="preserve">: The spiral galaxy M31 in Andromeda. </w:t>
      </w:r>
    </w:p>
    <w:p w:rsidR="005359B2" w:rsidRPr="009D21E5" w:rsidRDefault="005359B2" w:rsidP="005359B2">
      <w:pPr>
        <w:pStyle w:val="NoSpacing"/>
        <w:rPr>
          <w:rFonts w:ascii="Book Antiqua" w:hAnsi="Book Antiqua"/>
          <w:i/>
          <w:sz w:val="16"/>
          <w:szCs w:val="16"/>
        </w:rPr>
      </w:pPr>
      <w:r w:rsidRPr="009D21E5">
        <w:rPr>
          <w:rFonts w:ascii="Book Antiqua" w:hAnsi="Book Antiqua"/>
          <w:i/>
          <w:sz w:val="16"/>
          <w:szCs w:val="16"/>
        </w:rPr>
        <w:t>http://www.dailymail.co.uk/sciencetech/article-1106383/Hold-tight-Milky-Way-poised-collide-nearest-galaxy-sooner-predicted.html</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6</w:t>
      </w:r>
      <w:r w:rsidRPr="009D21E5">
        <w:rPr>
          <w:rFonts w:ascii="Book Antiqua" w:hAnsi="Book Antiqua"/>
          <w:sz w:val="16"/>
          <w:szCs w:val="16"/>
        </w:rPr>
        <w:t>: The relative magnetic moment of the Earth’s magnetic field through geological time.</w:t>
      </w:r>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 </w:t>
      </w:r>
      <w:hyperlink r:id="rId390" w:history="1">
        <w:r w:rsidRPr="009D21E5">
          <w:rPr>
            <w:rStyle w:val="Hyperlink"/>
            <w:rFonts w:ascii="Book Antiqua" w:hAnsi="Book Antiqua"/>
            <w:i/>
            <w:szCs w:val="16"/>
          </w:rPr>
          <w:t>http://ars.els-cdn.com/content/image/1-s2.0-S0264370702000492-gr2.gif</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Figure 2</w:t>
      </w:r>
      <w:r>
        <w:rPr>
          <w:rFonts w:ascii="Book Antiqua" w:hAnsi="Book Antiqua"/>
          <w:sz w:val="16"/>
          <w:szCs w:val="16"/>
        </w:rPr>
        <w:t>7</w:t>
      </w:r>
      <w:r w:rsidRPr="009D21E5">
        <w:rPr>
          <w:rFonts w:ascii="Book Antiqua" w:hAnsi="Book Antiqua"/>
          <w:sz w:val="16"/>
          <w:szCs w:val="16"/>
        </w:rPr>
        <w:t xml:space="preserve">: Reversals of the Earth’s magnetic field through geologic time… </w:t>
      </w:r>
    </w:p>
    <w:p w:rsidR="005359B2" w:rsidRDefault="007B3EBC" w:rsidP="005359B2">
      <w:pPr>
        <w:pStyle w:val="NoSpacing"/>
        <w:rPr>
          <w:rFonts w:ascii="Book Antiqua" w:hAnsi="Book Antiqua"/>
          <w:sz w:val="16"/>
          <w:szCs w:val="16"/>
        </w:rPr>
      </w:pPr>
      <w:hyperlink r:id="rId391" w:history="1">
        <w:r w:rsidR="005359B2" w:rsidRPr="009D21E5">
          <w:rPr>
            <w:rStyle w:val="Hyperlink"/>
            <w:rFonts w:ascii="Book Antiqua" w:hAnsi="Book Antiqua"/>
            <w:i/>
            <w:szCs w:val="16"/>
          </w:rPr>
          <w:t>http://ars.els-cdn.com/content/image/1-s2.0-S0031920112001720-gr8.jpg</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30</w:t>
      </w:r>
      <w:r w:rsidRPr="009D21E5">
        <w:rPr>
          <w:rFonts w:ascii="Book Antiqua" w:hAnsi="Book Antiqua"/>
          <w:sz w:val="16"/>
          <w:szCs w:val="16"/>
        </w:rPr>
        <w:t xml:space="preserve">: Tharsis outflow channels, Mars. </w:t>
      </w:r>
      <w:hyperlink r:id="rId392" w:history="1">
        <w:r w:rsidRPr="009D21E5">
          <w:rPr>
            <w:rStyle w:val="Hyperlink"/>
            <w:rFonts w:ascii="Book Antiqua" w:hAnsi="Book Antiqua"/>
            <w:i/>
            <w:szCs w:val="16"/>
          </w:rPr>
          <w:t>http://abyss.uoregon.edu/~js/ast121/lectures/tharsis.html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31</w:t>
      </w:r>
      <w:r w:rsidRPr="009D21E5">
        <w:rPr>
          <w:rFonts w:ascii="Book Antiqua" w:hAnsi="Book Antiqua"/>
          <w:sz w:val="16"/>
          <w:szCs w:val="16"/>
        </w:rPr>
        <w:t xml:space="preserve">: Radar topographic map of Venus. </w:t>
      </w:r>
      <w:hyperlink r:id="rId393" w:history="1">
        <w:r w:rsidRPr="009D21E5">
          <w:rPr>
            <w:rStyle w:val="Hyperlink"/>
            <w:rFonts w:ascii="Book Antiqua" w:hAnsi="Book Antiqua"/>
            <w:i/>
            <w:szCs w:val="16"/>
          </w:rPr>
          <w:t>http://nssdc.gsfc.nasa.gov/photo_gallery/photogallery-venus.html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w:t>
      </w:r>
      <w:r w:rsidRPr="009D21E5">
        <w:rPr>
          <w:rFonts w:ascii="Book Antiqua" w:hAnsi="Book Antiqua"/>
          <w:sz w:val="16"/>
          <w:szCs w:val="16"/>
        </w:rPr>
        <w:t xml:space="preserve">2: Major impact basins on Mars. </w:t>
      </w:r>
      <w:hyperlink r:id="rId394" w:history="1">
        <w:r w:rsidRPr="009D21E5">
          <w:rPr>
            <w:rStyle w:val="Hyperlink"/>
            <w:rFonts w:ascii="Book Antiqua" w:hAnsi="Book Antiqua"/>
            <w:i/>
            <w:szCs w:val="16"/>
          </w:rPr>
          <w:t>http://www.psrd.hawaii.edu/May10/YoungerALH84001.html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33</w:t>
      </w:r>
      <w:r w:rsidRPr="009D21E5">
        <w:rPr>
          <w:rFonts w:ascii="Book Antiqua" w:hAnsi="Book Antiqua"/>
          <w:sz w:val="16"/>
          <w:szCs w:val="16"/>
        </w:rPr>
        <w:t xml:space="preserve">: Inter-crater plains, Mercury. </w:t>
      </w:r>
      <w:hyperlink r:id="rId395"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 xml:space="preserve">Figure </w:t>
      </w:r>
      <w:r>
        <w:rPr>
          <w:rFonts w:ascii="Book Antiqua" w:hAnsi="Book Antiqua"/>
          <w:sz w:val="16"/>
          <w:szCs w:val="16"/>
        </w:rPr>
        <w:t>34</w:t>
      </w:r>
      <w:r w:rsidRPr="009D21E5">
        <w:rPr>
          <w:rFonts w:ascii="Book Antiqua" w:hAnsi="Book Antiqua"/>
          <w:sz w:val="16"/>
          <w:szCs w:val="16"/>
        </w:rPr>
        <w:t xml:space="preserve">: The giant Caloris Basin and associated magma outpouring. </w:t>
      </w:r>
      <w:hyperlink r:id="rId396" w:history="1">
        <w:r w:rsidRPr="009D21E5">
          <w:rPr>
            <w:rStyle w:val="Hyperlink"/>
            <w:rFonts w:ascii="Book Antiqua" w:hAnsi="Book Antiqua"/>
            <w:i/>
            <w:szCs w:val="16"/>
          </w:rPr>
          <w:t>http://www.setterfield.org/Astronomy_Lesson_3.html</w:t>
        </w:r>
      </w:hyperlink>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35</w:t>
      </w:r>
      <w:r w:rsidRPr="009D21E5">
        <w:rPr>
          <w:rFonts w:ascii="Book Antiqua" w:hAnsi="Book Antiqua"/>
          <w:sz w:val="16"/>
          <w:szCs w:val="16"/>
        </w:rPr>
        <w:t>: The Moon with the solidified magma plains labeled.</w:t>
      </w:r>
    </w:p>
    <w:p w:rsidR="005359B2" w:rsidRPr="009D21E5" w:rsidRDefault="007B3EBC" w:rsidP="005359B2">
      <w:pPr>
        <w:pStyle w:val="NoSpacing"/>
        <w:rPr>
          <w:rFonts w:ascii="Book Antiqua" w:hAnsi="Book Antiqua"/>
          <w:i/>
          <w:sz w:val="16"/>
          <w:szCs w:val="16"/>
        </w:rPr>
      </w:pPr>
      <w:hyperlink r:id="rId397" w:history="1">
        <w:r w:rsidR="005359B2" w:rsidRPr="009D21E5">
          <w:rPr>
            <w:rStyle w:val="Hyperlink"/>
            <w:rFonts w:ascii="Book Antiqua" w:hAnsi="Book Antiqua"/>
            <w:i/>
            <w:szCs w:val="16"/>
          </w:rPr>
          <w:t>http://greensleeves-hubs.hubpages.com/hub/AstronomyBeginnersGuideMoon-Greensleeves</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6</w:t>
      </w:r>
      <w:r w:rsidRPr="009D21E5">
        <w:rPr>
          <w:rFonts w:ascii="Book Antiqua" w:hAnsi="Book Antiqua"/>
          <w:sz w:val="16"/>
          <w:szCs w:val="16"/>
        </w:rPr>
        <w:t xml:space="preserve">: The Moon showing locations of Apollo landings. </w:t>
      </w:r>
      <w:hyperlink r:id="rId398" w:history="1">
        <w:r w:rsidRPr="009D21E5">
          <w:rPr>
            <w:rStyle w:val="Hyperlink"/>
            <w:rFonts w:ascii="Book Antiqua" w:hAnsi="Book Antiqua"/>
            <w:i/>
            <w:szCs w:val="16"/>
          </w:rPr>
          <w:t>http://uanews.org/node/17385</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7</w:t>
      </w:r>
      <w:r w:rsidRPr="009D21E5">
        <w:rPr>
          <w:rFonts w:ascii="Book Antiqua" w:hAnsi="Book Antiqua"/>
          <w:sz w:val="16"/>
          <w:szCs w:val="16"/>
        </w:rPr>
        <w:t xml:space="preserve">: Internal structure of the earth showing asthenosphere. </w:t>
      </w:r>
      <w:hyperlink r:id="rId399" w:history="1">
        <w:r w:rsidRPr="009D21E5">
          <w:rPr>
            <w:rStyle w:val="Hyperlink"/>
            <w:rFonts w:ascii="Book Antiqua" w:hAnsi="Book Antiqua"/>
            <w:i/>
            <w:szCs w:val="16"/>
          </w:rPr>
          <w:t>http://yoelnatanbooks.blogspot.com/</w:t>
        </w:r>
      </w:hyperlink>
    </w:p>
    <w:p w:rsidR="005359B2" w:rsidRPr="009D21E5" w:rsidRDefault="005359B2" w:rsidP="005359B2">
      <w:pPr>
        <w:pStyle w:val="NoSpacing"/>
        <w:rPr>
          <w:rFonts w:ascii="Book Antiqua" w:hAnsi="Book Antiqua"/>
          <w:i/>
          <w:sz w:val="16"/>
          <w:szCs w:val="16"/>
        </w:rPr>
      </w:pPr>
      <w:r w:rsidRPr="009D21E5">
        <w:rPr>
          <w:rFonts w:ascii="Book Antiqua" w:hAnsi="Book Antiqua"/>
          <w:sz w:val="16"/>
          <w:szCs w:val="16"/>
        </w:rPr>
        <w:t>Figure 3</w:t>
      </w:r>
      <w:r>
        <w:rPr>
          <w:rFonts w:ascii="Book Antiqua" w:hAnsi="Book Antiqua"/>
          <w:sz w:val="16"/>
          <w:szCs w:val="16"/>
        </w:rPr>
        <w:t>8</w:t>
      </w:r>
      <w:r w:rsidRPr="009D21E5">
        <w:rPr>
          <w:rFonts w:ascii="Book Antiqua" w:hAnsi="Book Antiqua"/>
          <w:sz w:val="16"/>
          <w:szCs w:val="16"/>
        </w:rPr>
        <w:t xml:space="preserve">: A kimberlite pipe which brought diamonds to the surface. </w:t>
      </w:r>
      <w:hyperlink r:id="rId400" w:history="1">
        <w:r w:rsidRPr="009D21E5">
          <w:rPr>
            <w:rStyle w:val="Hyperlink"/>
            <w:rFonts w:ascii="Book Antiqua" w:hAnsi="Book Antiqua"/>
            <w:i/>
            <w:szCs w:val="16"/>
          </w:rPr>
          <w:t>http://www.kgs.ku.edu/Publications/GeoRecord/2000/vol6.1/Page1.html</w:t>
        </w:r>
      </w:hyperlink>
    </w:p>
    <w:p w:rsidR="005359B2" w:rsidRDefault="005359B2" w:rsidP="005359B2">
      <w:pPr>
        <w:pStyle w:val="NoSpacing"/>
        <w:rPr>
          <w:rFonts w:ascii="Book Antiqua" w:hAnsi="Book Antiqua"/>
          <w:sz w:val="16"/>
          <w:szCs w:val="16"/>
        </w:rPr>
      </w:pPr>
      <w:r>
        <w:rPr>
          <w:rFonts w:ascii="Book Antiqua" w:hAnsi="Book Antiqua"/>
          <w:sz w:val="16"/>
          <w:szCs w:val="16"/>
        </w:rPr>
        <w:t>Figure 39: Galaxies spin axes line up on filament</w:t>
      </w:r>
    </w:p>
    <w:p w:rsidR="005359B2" w:rsidRPr="009D21E5" w:rsidRDefault="005359B2" w:rsidP="005359B2">
      <w:pPr>
        <w:pStyle w:val="NoSpacing"/>
        <w:rPr>
          <w:rFonts w:ascii="Book Antiqua" w:hAnsi="Book Antiqua"/>
          <w:sz w:val="16"/>
          <w:szCs w:val="16"/>
        </w:rPr>
      </w:pPr>
      <w:r w:rsidRPr="009D21E5">
        <w:rPr>
          <w:rFonts w:ascii="Book Antiqua" w:hAnsi="Book Antiqua"/>
          <w:sz w:val="16"/>
          <w:szCs w:val="16"/>
        </w:rPr>
        <w:t xml:space="preserve">Figure </w:t>
      </w:r>
      <w:r>
        <w:rPr>
          <w:rFonts w:ascii="Book Antiqua" w:hAnsi="Book Antiqua"/>
          <w:sz w:val="16"/>
          <w:szCs w:val="16"/>
        </w:rPr>
        <w:t>40</w:t>
      </w:r>
      <w:r w:rsidRPr="009D21E5">
        <w:rPr>
          <w:rFonts w:ascii="Book Antiqua" w:hAnsi="Book Antiqua"/>
          <w:sz w:val="16"/>
          <w:szCs w:val="16"/>
        </w:rPr>
        <w:t>: Galaxy M82 with electric and magnetic data and stylized galaxy electric and magnetic circuit.</w:t>
      </w:r>
    </w:p>
    <w:p w:rsidR="005359B2" w:rsidRPr="009D21E5" w:rsidRDefault="007B3EBC" w:rsidP="005359B2">
      <w:pPr>
        <w:pStyle w:val="NoSpacing"/>
        <w:rPr>
          <w:rFonts w:ascii="Book Antiqua" w:hAnsi="Book Antiqua"/>
          <w:sz w:val="16"/>
          <w:szCs w:val="16"/>
        </w:rPr>
      </w:pPr>
      <w:hyperlink r:id="rId401" w:history="1">
        <w:r w:rsidR="005359B2" w:rsidRPr="009D21E5">
          <w:rPr>
            <w:rStyle w:val="Hyperlink"/>
            <w:rFonts w:ascii="Book Antiqua" w:hAnsi="Book Antiqua"/>
            <w:szCs w:val="16"/>
          </w:rPr>
          <w:t>http://www.holoscience.com/wp/synopsis/synopsis-5-electric-galaxies/</w:t>
        </w:r>
      </w:hyperlink>
    </w:p>
    <w:p w:rsidR="005359B2" w:rsidRPr="00370948" w:rsidRDefault="005359B2" w:rsidP="005359B2">
      <w:pPr>
        <w:rPr>
          <w:rFonts w:ascii="Book Antiqua" w:hAnsi="Book Antiqua"/>
          <w:sz w:val="16"/>
          <w:szCs w:val="16"/>
        </w:rPr>
      </w:pPr>
    </w:p>
    <w:p w:rsidR="005359B2" w:rsidRDefault="005359B2" w:rsidP="005359B2">
      <w:pPr>
        <w:pStyle w:val="Els-body-text"/>
        <w:ind w:firstLine="0"/>
        <w:jc w:val="center"/>
        <w:rPr>
          <w:rFonts w:ascii="Book Antiqua" w:hAnsi="Book Antiqua"/>
          <w:b/>
          <w:sz w:val="28"/>
          <w:szCs w:val="28"/>
        </w:rPr>
      </w:pPr>
      <w:r w:rsidRPr="00AD2E51">
        <w:rPr>
          <w:rFonts w:ascii="Book Antiqua" w:hAnsi="Book Antiqua"/>
          <w:b/>
          <w:sz w:val="28"/>
          <w:szCs w:val="28"/>
        </w:rPr>
        <w:t>*  *  *  *  *  *  *</w:t>
      </w:r>
    </w:p>
    <w:p w:rsidR="005359B2" w:rsidRDefault="005359B2" w:rsidP="005359B2">
      <w:pPr>
        <w:pStyle w:val="NoSpacing"/>
        <w:jc w:val="center"/>
      </w:pPr>
    </w:p>
    <w:p w:rsidR="00F17B23" w:rsidRDefault="00F17B23">
      <w:pPr>
        <w:widowControl/>
        <w:spacing w:after="200" w:line="276" w:lineRule="auto"/>
        <w:rPr>
          <w:rFonts w:ascii="Book Antiqua" w:hAnsi="Book Antiqua"/>
          <w:b/>
          <w:sz w:val="28"/>
          <w:szCs w:val="28"/>
          <w:lang w:val="en-US"/>
        </w:rPr>
      </w:pPr>
      <w:r>
        <w:rPr>
          <w:rFonts w:ascii="Book Antiqua" w:hAnsi="Book Antiqua"/>
          <w:b/>
          <w:sz w:val="28"/>
          <w:szCs w:val="28"/>
        </w:rPr>
        <w:br w:type="page"/>
      </w:r>
    </w:p>
    <w:p w:rsidR="006D41BD" w:rsidRPr="00F87319" w:rsidRDefault="006D41BD" w:rsidP="006D41BD">
      <w:pPr>
        <w:pStyle w:val="NoSpacing"/>
        <w:jc w:val="center"/>
        <w:rPr>
          <w:rFonts w:ascii="Book Antiqua" w:hAnsi="Book Antiqua"/>
          <w:b/>
          <w:bCs/>
          <w:iCs/>
          <w:color w:val="000000"/>
          <w:szCs w:val="24"/>
        </w:rPr>
      </w:pPr>
      <w:r w:rsidRPr="00F87319">
        <w:rPr>
          <w:rFonts w:ascii="Book Antiqua" w:hAnsi="Book Antiqua"/>
          <w:b/>
          <w:bCs/>
          <w:iCs/>
          <w:color w:val="000000"/>
          <w:szCs w:val="24"/>
        </w:rPr>
        <w:lastRenderedPageBreak/>
        <w:t xml:space="preserve">Chapter 7: </w:t>
      </w:r>
      <w:r w:rsidRPr="00912D2D">
        <w:rPr>
          <w:rFonts w:ascii="Book Antiqua" w:hAnsi="Book Antiqua"/>
          <w:b/>
          <w:bCs/>
          <w:i/>
          <w:iCs/>
          <w:color w:val="000000"/>
          <w:szCs w:val="24"/>
        </w:rPr>
        <w:t>The ZPE and Relativity.</w:t>
      </w:r>
    </w:p>
    <w:p w:rsidR="006D41BD" w:rsidRPr="00F87319" w:rsidRDefault="006D41BD" w:rsidP="006D41BD">
      <w:pPr>
        <w:pStyle w:val="NormalWeb"/>
        <w:spacing w:before="0" w:beforeAutospacing="0" w:after="240" w:afterAutospacing="0" w:line="210" w:lineRule="atLeast"/>
        <w:jc w:val="both"/>
        <w:rPr>
          <w:rFonts w:ascii="Book Antiqua" w:hAnsi="Book Antiqua"/>
          <w:b/>
          <w:sz w:val="20"/>
          <w:szCs w:val="20"/>
        </w:rPr>
      </w:pPr>
      <w:r w:rsidRPr="00F87319">
        <w:rPr>
          <w:rFonts w:ascii="Book Antiqua" w:hAnsi="Book Antiqua"/>
          <w:b/>
          <w:sz w:val="20"/>
          <w:szCs w:val="20"/>
        </w:rPr>
        <w:t>1.  Overview of the topic</w:t>
      </w:r>
    </w:p>
    <w:p w:rsidR="006D41BD" w:rsidRPr="00F87319" w:rsidRDefault="006D41BD" w:rsidP="006D41BD">
      <w:pPr>
        <w:pStyle w:val="NormalWeb"/>
        <w:spacing w:before="0" w:beforeAutospacing="0" w:after="240" w:afterAutospacing="0" w:line="210" w:lineRule="atLeast"/>
        <w:jc w:val="both"/>
        <w:rPr>
          <w:rFonts w:ascii="Book Antiqua" w:hAnsi="Book Antiqua"/>
          <w:i/>
          <w:sz w:val="20"/>
          <w:szCs w:val="20"/>
        </w:rPr>
      </w:pPr>
      <w:r w:rsidRPr="00F87319">
        <w:rPr>
          <w:rFonts w:ascii="Book Antiqua" w:hAnsi="Book Antiqua"/>
          <w:i/>
          <w:sz w:val="20"/>
          <w:szCs w:val="20"/>
        </w:rPr>
        <w:t>1. 1. Introduction</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Mathematics is an interesting field.  It allows one to construct a completely imaginary model, totally divorced from reality, yet internally consistent within itself.  It is the current mood in science to accept mathematical models as if they were a description of reality, provided that they demonstrate this internal consistency. In some cases is it true that mathematical modeling has produced some predictions that have later been verified. This tends to give credibility to the model.  However, some have correctly cautioned that mathematical modeling is only legitimate if it is firmly anchored in physical reality and data. This is because mathematical models, divorced from physical reality, are nothing more than elegant mathematics.  There are also instances where, despite an apparent initial verification of the mathematical approach, it was subsequently demonstrated that the model itself was incorrect and out of touch with reality. </w:t>
      </w:r>
    </w:p>
    <w:p w:rsidR="006D41BD" w:rsidRPr="00F87319" w:rsidRDefault="006D41BD" w:rsidP="006D41BD">
      <w:pPr>
        <w:pStyle w:val="NoSpacing"/>
        <w:jc w:val="both"/>
        <w:rPr>
          <w:rStyle w:val="Strong"/>
          <w:rFonts w:ascii="Book Antiqua" w:hAnsi="Book Antiqua"/>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1.2. Two Illustrations</w:t>
      </w: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One example of this is Dirac's mathematical model in which the quantum vacuum was composed of a "sea" of electrons. From this model, presented in 1929-1930, Dirac predicted the existence of the positron. The existence of the positron was then experimentally verified in 1932, and Dirac received a Nobel Prize as a result. However, his mathematical model of the vacuum was later abandoned because other physical evidence – reality – proved it to be incorrect, despite its correct prediction of positrons and the resulting Nobel Prize.</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Today, the Big Bang is in an even worse situation. The mathematical model contains over a dozen free parameters each of which have to be adjusted to obtain the correct results. Under other circumstances, this procedure would result in the rejection of the model. In an open letter to the scientific community, published in </w:t>
      </w:r>
      <w:r w:rsidRPr="00F87319">
        <w:rPr>
          <w:rStyle w:val="Emphasis"/>
          <w:rFonts w:ascii="Book Antiqua" w:hAnsi="Book Antiqua"/>
          <w:sz w:val="20"/>
        </w:rPr>
        <w:t>New Scientist</w:t>
      </w:r>
      <w:r w:rsidRPr="00F87319">
        <w:rPr>
          <w:rFonts w:ascii="Book Antiqua" w:hAnsi="Book Antiqua"/>
          <w:sz w:val="20"/>
        </w:rPr>
        <w:t xml:space="preserve">, May 22, 2004, over 400 scientists have pointed out some of the numerous failings of Big Bang cosmology. They stated, along with cosmologist Eric Lerner, that: </w:t>
      </w:r>
      <w:r w:rsidRPr="00F87319">
        <w:rPr>
          <w:rStyle w:val="Emphasis"/>
          <w:rFonts w:ascii="Book Antiqua" w:hAnsi="Book Antiqua"/>
          <w:sz w:val="20"/>
        </w:rPr>
        <w:t>"Contradictions between observations and Big Bang predictions are 'resolved' by the introduction of such entities [as dark matter and dark energy], entities that we cannot or do not observe."</w:t>
      </w:r>
      <w:r w:rsidRPr="00F87319">
        <w:rPr>
          <w:rFonts w:ascii="Book Antiqua" w:hAnsi="Book Antiqua"/>
          <w:sz w:val="20"/>
        </w:rPr>
        <w:t xml:space="preserve"> </w:t>
      </w:r>
    </w:p>
    <w:p w:rsidR="006D41BD" w:rsidRPr="00F87319" w:rsidRDefault="006D41BD" w:rsidP="006D41BD">
      <w:pPr>
        <w:pStyle w:val="NoSpacing"/>
        <w:jc w:val="both"/>
        <w:rPr>
          <w:rFonts w:ascii="Book Antiqua" w:hAnsi="Book Antiqua"/>
          <w:sz w:val="20"/>
        </w:rPr>
      </w:pPr>
    </w:p>
    <w:p w:rsidR="006D41BD" w:rsidRPr="00F87319" w:rsidRDefault="006D41BD" w:rsidP="006D41BD">
      <w:pPr>
        <w:pStyle w:val="NoSpacing"/>
        <w:jc w:val="both"/>
        <w:rPr>
          <w:rFonts w:ascii="Book Antiqua" w:hAnsi="Book Antiqua"/>
          <w:sz w:val="20"/>
        </w:rPr>
      </w:pPr>
      <w:r w:rsidRPr="00F87319">
        <w:rPr>
          <w:rFonts w:ascii="Book Antiqua" w:hAnsi="Book Antiqua"/>
          <w:sz w:val="20"/>
        </w:rPr>
        <w:tab/>
        <w:t xml:space="preserve">On the other hand Big Bang cosmologists persistently fail to acknowledge the data that are contrary to their position. These data include quantized redshifts, quasar distribution, and the failure of the gravitational model to account for the filamentary structure of the universe except under extremely special conditions.  Astronomer Halton Arp has pointed out a long list of data that has been ignored in order to maintain the popular theory. In frustration, Arp has stated: </w:t>
      </w:r>
    </w:p>
    <w:p w:rsidR="006D41BD" w:rsidRPr="00F87319" w:rsidRDefault="006D41BD" w:rsidP="006D41BD">
      <w:pPr>
        <w:pStyle w:val="NoSpacing"/>
        <w:jc w:val="both"/>
        <w:rPr>
          <w:rStyle w:val="Emphasis"/>
          <w:rFonts w:ascii="Book Antiqua" w:hAnsi="Book Antiqua"/>
          <w:color w:val="000000"/>
          <w:sz w:val="20"/>
        </w:rPr>
      </w:pPr>
    </w:p>
    <w:p w:rsidR="006D41BD" w:rsidRPr="00F87319" w:rsidRDefault="006D41BD" w:rsidP="000C2FA1">
      <w:pPr>
        <w:pStyle w:val="NoSpacing"/>
        <w:jc w:val="both"/>
        <w:rPr>
          <w:rFonts w:ascii="Book Antiqua" w:hAnsi="Book Antiqua"/>
          <w:sz w:val="20"/>
        </w:rPr>
      </w:pPr>
      <w:r w:rsidRPr="00F87319">
        <w:rPr>
          <w:rStyle w:val="Emphasis"/>
          <w:rFonts w:ascii="Book Antiqua" w:hAnsi="Book Antiqua"/>
          <w:color w:val="000000"/>
          <w:sz w:val="20"/>
        </w:rPr>
        <w:t xml:space="preserve">"It seems the toughest thing for scientists to grasp—that a cherished paradigm like the big bang can be wrong. ... I gloomily came to the ironic conclusion that </w:t>
      </w:r>
      <w:r w:rsidRPr="00F87319">
        <w:rPr>
          <w:rStyle w:val="Strong"/>
          <w:rFonts w:ascii="Book Antiqua" w:hAnsi="Book Antiqua"/>
          <w:i/>
          <w:iCs/>
          <w:color w:val="000000"/>
          <w:sz w:val="20"/>
        </w:rPr>
        <w:t>if you take a highly intelligent person and give them the best possible, elite education, then you will most likely wind up with an academic who is completely impervious to reality.</w:t>
      </w:r>
      <w:r w:rsidRPr="00F87319">
        <w:rPr>
          <w:rStyle w:val="style11"/>
          <w:rFonts w:ascii="Book Antiqua" w:hAnsi="Book Antiqua"/>
          <w:sz w:val="20"/>
        </w:rPr>
        <w:t xml:space="preserve"> " [Emphasis in the original available at:</w:t>
      </w:r>
      <w:r w:rsidR="000C2FA1">
        <w:rPr>
          <w:rStyle w:val="style11"/>
          <w:rFonts w:ascii="Book Antiqua" w:hAnsi="Book Antiqua"/>
          <w:sz w:val="20"/>
        </w:rPr>
        <w:t xml:space="preserve"> </w:t>
      </w:r>
      <w:hyperlink r:id="rId402" w:history="1">
        <w:r w:rsidRPr="00F87319">
          <w:rPr>
            <w:rStyle w:val="Hyperlink"/>
            <w:rFonts w:ascii="Book Antiqua" w:hAnsi="Book Antiqua"/>
            <w:i/>
            <w:sz w:val="20"/>
          </w:rPr>
          <w:t>http://www.thunderbolts.info/tpod/2009/arch09/091229seeing.htm</w:t>
        </w:r>
      </w:hyperlink>
      <w:r w:rsidRPr="00F87319">
        <w:rPr>
          <w:rFonts w:ascii="Book Antiqua" w:hAnsi="Book Antiqua"/>
          <w:sz w:val="20"/>
        </w:rPr>
        <w:t>]</w:t>
      </w:r>
    </w:p>
    <w:p w:rsidR="00253084" w:rsidRPr="00F87319" w:rsidRDefault="00253084" w:rsidP="006D41BD">
      <w:pPr>
        <w:pStyle w:val="NoSpacing"/>
        <w:rPr>
          <w:rFonts w:ascii="Book Antiqua" w:hAnsi="Book Antiqua"/>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1.3. Why Relativity was Introduced</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At the beginning of the twentieth century, it was assumed that there had to be a medium filling the entire vacuum of space so that light waves could be transmitted.  This “light-carrying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1887, and the maximum drift recorded, about 8 km/s, was considered by </w:t>
      </w:r>
      <w:r w:rsidRPr="00F87319">
        <w:rPr>
          <w:sz w:val="20"/>
        </w:rPr>
        <w:lastRenderedPageBreak/>
        <w:t>most to be near the error limits of the equipment.  The results of the experiment as plotted by Michelson are shown in Fig. 1 [1].</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4017688" cy="2066925"/>
            <wp:effectExtent l="19050" t="0" r="1862" b="0"/>
            <wp:docPr id="1513" name="Picture 284" descr="http://upload.wikimedia.org/wikipedia/en/d/d1/Michelson_Morley_1887_Figur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upload.wikimedia.org/wikipedia/en/d/d1/Michelson_Morley_1887_Figure_6.png"/>
                    <pic:cNvPicPr>
                      <a:picLocks noChangeAspect="1" noChangeArrowheads="1"/>
                    </pic:cNvPicPr>
                  </pic:nvPicPr>
                  <pic:blipFill>
                    <a:blip r:embed="rId403" cstate="print"/>
                    <a:srcRect/>
                    <a:stretch>
                      <a:fillRect/>
                    </a:stretch>
                  </pic:blipFill>
                  <pic:spPr bwMode="auto">
                    <a:xfrm>
                      <a:off x="0" y="0"/>
                      <a:ext cx="4017688" cy="2066925"/>
                    </a:xfrm>
                    <a:prstGeom prst="rect">
                      <a:avLst/>
                    </a:prstGeom>
                    <a:noFill/>
                    <a:ln w="9525">
                      <a:noFill/>
                      <a:miter lim="800000"/>
                      <a:headEnd/>
                      <a:tailEnd/>
                    </a:ln>
                  </pic:spPr>
                </pic:pic>
              </a:graphicData>
            </a:graphic>
          </wp:inline>
        </w:drawing>
      </w:r>
    </w:p>
    <w:p w:rsidR="006D41BD" w:rsidRPr="000C2FA1"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w:t>
      </w:r>
      <w:r w:rsidRPr="000C2FA1">
        <w:rPr>
          <w:b/>
          <w:i/>
          <w:szCs w:val="18"/>
        </w:rPr>
        <w:t xml:space="preserve"> 1.</w:t>
      </w:r>
      <w:r w:rsidRPr="000C2FA1">
        <w:rPr>
          <w:i/>
          <w:szCs w:val="18"/>
        </w:rPr>
        <w:t xml:space="preserve">  The official results of the Michelson-Morley experiment to detect the presence of an ether (Fig. 6 in their report). Top figure is for the noon observations; the bottom for the evening experiments. The Earth’s orbit speed is about 30 km/s.  The dashed curve represents one-eighth of this. The experiment itself gave the solid line of small amplitude about the x-axis [1].</w:t>
      </w:r>
    </w:p>
    <w:p w:rsidR="00253084" w:rsidRPr="00F87319" w:rsidRDefault="00253084"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Michelson concluded from his experiment in 1887 that [2]: </w:t>
      </w:r>
      <w:r w:rsidRPr="00F87319">
        <w:rPr>
          <w:i/>
          <w:sz w:val="20"/>
        </w:rPr>
        <w:t xml:space="preserve">The interpretation of these results is that there is no displacement of the interference bands.  The result of the hypothesis of a stationary ether is thus shown to be incorrect, and the necessary conclusion follows that the hypothesis is erroneous. </w:t>
      </w:r>
      <w:r w:rsidRPr="00F87319">
        <w:rPr>
          <w:sz w:val="20"/>
        </w:rPr>
        <w:t>In order to account for this lack of motion through the stationary ether, a number of proposals were made by a variety of physicists.  These included Lorentz [3] in 1904 and Einstein in 1905, who published their respective theories of relativity in those years.</w:t>
      </w:r>
    </w:p>
    <w:p w:rsidR="006D41BD" w:rsidRPr="00F87319" w:rsidRDefault="006D41BD" w:rsidP="006D41BD">
      <w:pPr>
        <w:pStyle w:val="NormPara"/>
        <w:ind w:firstLine="270"/>
        <w:rPr>
          <w:sz w:val="20"/>
        </w:rPr>
      </w:pPr>
    </w:p>
    <w:p w:rsidR="006D41BD" w:rsidRPr="00F87319" w:rsidRDefault="006D41BD" w:rsidP="006D41BD">
      <w:pPr>
        <w:pStyle w:val="NormalWeb"/>
        <w:spacing w:before="0" w:beforeAutospacing="0" w:after="240" w:afterAutospacing="0" w:line="210" w:lineRule="atLeast"/>
        <w:rPr>
          <w:rFonts w:ascii="Book Antiqua" w:hAnsi="Book Antiqua"/>
          <w:i/>
          <w:sz w:val="20"/>
          <w:szCs w:val="20"/>
        </w:rPr>
      </w:pPr>
      <w:r w:rsidRPr="00F87319">
        <w:rPr>
          <w:rFonts w:ascii="Book Antiqua" w:hAnsi="Book Antiqua"/>
          <w:i/>
          <w:sz w:val="20"/>
          <w:szCs w:val="20"/>
        </w:rPr>
        <w:t>1.4. Lorentz’s &amp; Einstein’s Relativity Compared</w:t>
      </w:r>
    </w:p>
    <w:p w:rsidR="00253084" w:rsidRPr="00F87319" w:rsidRDefault="006D41BD" w:rsidP="006D41BD">
      <w:pPr>
        <w:pStyle w:val="NormPara"/>
        <w:ind w:firstLine="720"/>
        <w:rPr>
          <w:sz w:val="20"/>
        </w:rPr>
      </w:pPr>
      <w:r w:rsidRPr="00F87319">
        <w:rPr>
          <w:sz w:val="20"/>
        </w:rPr>
        <w:t xml:space="preserve">Einstein explained the M-M results in Special Relativity (SR) by proposing (1) that there was no absolute frame of reference anywhere in the universe; (2) that the speed of light was an absolute constant; and (3) that mathematical transformations had to be applied to time, space, and mass and had to be applied both ways when comparing two objects in motion.  By contrast, Lorentz (1) did not have the restriction regarding an absolute frame of reference; (2) did not require a constant speed of light; and (3) proposed that mathematical transformations only apply one way and that only clocks, meter sticks, and momentum are affected, not time, space, and matter. </w:t>
      </w:r>
    </w:p>
    <w:p w:rsidR="00253084" w:rsidRPr="00F87319" w:rsidRDefault="00253084"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 There is an important distinction in this latter point.  For example, SR requires time itself to be affected by velocity or gravitational potential.  By contrast, in Lorentz Relativity (LR) nothing ever happens to time itself, just to certain types of clock attempting to keep time.  In a somewhat similar way, an increase in temperature may lengthen the pendulum of some clocks and affect their time-keeping, but not the actual time itself. LR thus accepts that other types of clock exist for measuring time that may be unaffected by speed or potential.  In contrast, SR requires not only time itself to be affected by velocity or potential, but mass and length as well.  Just recently, an entirely new approach to the problem was attempted and the early results suggest that Lorentz was basically correct </w:t>
      </w:r>
      <w:hyperlink r:id="rId404" w:anchor="7a219" w:history="1">
        <w:r w:rsidRPr="00F87319">
          <w:rPr>
            <w:rStyle w:val="Hyperlink"/>
            <w:sz w:val="20"/>
          </w:rPr>
          <w:t>[4]</w:t>
        </w:r>
      </w:hyperlink>
      <w:r w:rsidRPr="00F87319">
        <w:rPr>
          <w:sz w:val="20"/>
        </w:rPr>
        <w: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Einstein made use of his required length transformation of space to overcome the problem of the lack of fringe shifts.  He claimed that the contraction of the arms of the interferometer in the direction of travel made the interferometer arms shorter by just the amount needed to compensate for what was expected to be a longer travel time for light through the moving ether.  Even as late as 1929 and 1931 in the Rhodes Lectures, Einstein claimed that the aether existed, but that his SR overcame the problems with the observations in an aether-filled universe.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However, there is another logical explanation for the lack of fringe shifts in the Michelson-Morley experiment.  The absence of the fringes may mean that the Earth apparently has no motion relative to the ether or light-carrying medium.  This was a problem in 1905.  But if we now exchange the old ether concept for the actual Zero Point Energy (ZPE) which is known to fill the cosmos, and through which light propagates, we can obtain a satisfactory answer to the fringe shift problem.  This option first became available through Planck’s work, in 1911, but did not really emerge until 1962.</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jc w:val="both"/>
        <w:rPr>
          <w:rFonts w:ascii="Book Antiqua" w:hAnsi="Book Antiqua" w:cs="Times New Roman"/>
          <w:b w:val="0"/>
          <w:sz w:val="20"/>
          <w:szCs w:val="20"/>
        </w:rPr>
      </w:pPr>
      <w:r w:rsidRPr="00F87319">
        <w:rPr>
          <w:rFonts w:ascii="Book Antiqua" w:hAnsi="Book Antiqua" w:cs="Times New Roman"/>
          <w:b w:val="0"/>
          <w:sz w:val="20"/>
          <w:szCs w:val="20"/>
        </w:rPr>
        <w:t>1.5. Developments in Physics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1911, Planck published his 'second paper' in which the existence of an all-pervasive vacuum Zero Point Energy (ZPE) was shown to be the reason why quantum uncertainty exists [5].  Investigations by Einstein and Stern in 1913 and Nernst in 1916 gave further insights to this proposition, which was appearing very attractive [6,7].  The presence of the ZPE was verified experimentally by Mulliken in 1925.  However, these concepts were ignored for a number of years as papers were being written and published using Planck’s first paper of 1901, which presented a purely theoretical concept (which Planck himself was unhappy about from the beginning [8]).  Planck’s first theory, and those resulting papers, led to the birth of Quantum Electro-Dynamics (QED), or Quantum Physics as we know it today, which only envisages a virtual, not a real, ZPE.</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Then, in 1962, de Broglie, who had written one of those early papers which gave rise to quantum physics, suggested that, after all, perhaps physics had missed something important.  He suggested re-examining the material in Planck’s second paper which stated that the Zero Point Energy was a real physical entity which caused the observed quantum effects [9].  In this second paper, the constant</w:t>
      </w:r>
      <w:proofErr w:type="gramStart"/>
      <w:r w:rsidRPr="00F87319">
        <w:rPr>
          <w:sz w:val="20"/>
        </w:rPr>
        <w:t>,</w:t>
      </w:r>
      <w:proofErr w:type="gramEnd"/>
      <w:r w:rsidRPr="00F87319">
        <w:rPr>
          <w:position w:val="-6"/>
          <w:sz w:val="20"/>
        </w:rPr>
        <w:object w:dxaOrig="180" w:dyaOrig="240">
          <v:shape id="_x0000_i1052" type="#_x0000_t75" style="width:9.1pt;height:12.1pt" o:ole="">
            <v:imagedata r:id="rId405" o:title=""/>
          </v:shape>
          <o:OLEObject Type="Embed" ProgID="Equation.DSMT4" ShapeID="_x0000_i1052" DrawAspect="Content" ObjectID="_1433920204" r:id="rId406"/>
        </w:object>
      </w:r>
      <w:r w:rsidRPr="00F87319">
        <w:rPr>
          <w:sz w:val="20"/>
        </w:rPr>
        <w:t>(subsequently called Planck’s constant), was a scale factor to bring theory into line with experiment.  The result is that</w:t>
      </w:r>
      <w:r w:rsidRPr="00F87319">
        <w:rPr>
          <w:position w:val="-6"/>
          <w:sz w:val="20"/>
        </w:rPr>
        <w:object w:dxaOrig="180" w:dyaOrig="240">
          <v:shape id="_x0000_i1053" type="#_x0000_t75" style="width:9.1pt;height:12.1pt" o:ole="">
            <v:imagedata r:id="rId407" o:title=""/>
          </v:shape>
          <o:OLEObject Type="Embed" ProgID="Equation.DSMT4" ShapeID="_x0000_i1053" DrawAspect="Content" ObjectID="_1433920205" r:id="rId408"/>
        </w:object>
      </w:r>
      <w:r w:rsidRPr="00F87319">
        <w:rPr>
          <w:sz w:val="20"/>
        </w:rPr>
        <w:t>is a direct measure of the strength of the ZPE.  Thus, if the ZPE strength,</w:t>
      </w:r>
      <w:r w:rsidRPr="00F87319">
        <w:rPr>
          <w:position w:val="-6"/>
          <w:sz w:val="20"/>
        </w:rPr>
        <w:object w:dxaOrig="220" w:dyaOrig="240">
          <v:shape id="_x0000_i1054" type="#_x0000_t75" style="width:10.3pt;height:12.1pt" o:ole="">
            <v:imagedata r:id="rId409" o:title=""/>
          </v:shape>
          <o:OLEObject Type="Embed" ProgID="Equation.3" ShapeID="_x0000_i1054" DrawAspect="Content" ObjectID="_1433920206" r:id="rId410"/>
        </w:object>
      </w:r>
      <w:proofErr w:type="gramStart"/>
      <w:r w:rsidRPr="00F87319">
        <w:rPr>
          <w:sz w:val="20"/>
        </w:rPr>
        <w:t>,</w:t>
      </w:r>
      <w:proofErr w:type="gramEnd"/>
      <w:r w:rsidRPr="00F87319">
        <w:rPr>
          <w:sz w:val="20"/>
        </w:rPr>
        <w:t xml:space="preserve"> changed, so did</w:t>
      </w:r>
      <w:r w:rsidRPr="00F87319">
        <w:rPr>
          <w:position w:val="-6"/>
          <w:sz w:val="20"/>
        </w:rPr>
        <w:object w:dxaOrig="180" w:dyaOrig="240">
          <v:shape id="_x0000_i1055" type="#_x0000_t75" style="width:9.1pt;height:12.1pt" o:ole="">
            <v:imagedata r:id="rId411" o:title=""/>
          </v:shape>
          <o:OLEObject Type="Embed" ProgID="Equation.3" ShapeID="_x0000_i1055" DrawAspect="Content" ObjectID="_1433920207" r:id="rId412"/>
        </w:object>
      </w:r>
      <w:r w:rsidRPr="00F87319">
        <w:rPr>
          <w:i/>
          <w:sz w:val="20"/>
        </w:rPr>
        <w:t>,</w:t>
      </w:r>
      <w:r w:rsidRPr="00F87319">
        <w:rPr>
          <w:sz w:val="20"/>
        </w:rPr>
        <w:t xml:space="preserve"> in direct proportion.  This can be written as</w:t>
      </w: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499" w:dyaOrig="240">
          <v:shape id="_x0000_i1056" type="#_x0000_t75" style="width:24.8pt;height:12.1pt" o:ole="">
            <v:imagedata r:id="rId413" o:title=""/>
          </v:shape>
          <o:OLEObject Type="Embed" ProgID="Equation.DSMT4" ShapeID="_x0000_i1056" DrawAspect="Content" ObjectID="_1433920208" r:id="rId414"/>
        </w:object>
      </w:r>
      <w:r w:rsidRPr="00F87319">
        <w:rPr>
          <w:sz w:val="20"/>
        </w:rPr>
        <w:tab/>
      </w:r>
      <w:r w:rsidRPr="00F87319">
        <w:rPr>
          <w:sz w:val="20"/>
        </w:rPr>
        <w:tab/>
      </w:r>
      <w:r w:rsidRPr="00F87319">
        <w:rPr>
          <w:sz w:val="20"/>
        </w:rPr>
        <w:tab/>
      </w:r>
      <w:r w:rsidRPr="00F87319">
        <w:rPr>
          <w:sz w:val="20"/>
        </w:rPr>
        <w:tab/>
      </w:r>
      <w:r w:rsidRPr="00F87319">
        <w:rPr>
          <w:i/>
          <w:sz w:val="20"/>
        </w:rPr>
        <w:tab/>
        <w:t xml:space="preserve"> (1)</w:t>
      </w:r>
    </w:p>
    <w:p w:rsidR="006D41BD" w:rsidRPr="00F87319" w:rsidRDefault="006D41BD" w:rsidP="006D41BD">
      <w:pPr>
        <w:pStyle w:val="NormPara"/>
        <w:ind w:firstLine="0"/>
        <w:rPr>
          <w:sz w:val="20"/>
        </w:rPr>
      </w:pPr>
      <w:r w:rsidRPr="00F87319">
        <w:rPr>
          <w:sz w:val="20"/>
        </w:rPr>
        <w:t>As noted earlier, the symbol “</w:t>
      </w:r>
      <w:r w:rsidRPr="00F87319">
        <w:rPr>
          <w:position w:val="-4"/>
          <w:sz w:val="20"/>
        </w:rPr>
        <w:object w:dxaOrig="180" w:dyaOrig="160">
          <v:shape id="_x0000_i1057" type="#_x0000_t75" style="width:9.1pt;height:8.45pt" o:ole="">
            <v:imagedata r:id="rId415" o:title=""/>
          </v:shape>
          <o:OLEObject Type="Embed" ProgID="PowerPoint.Slide.12" ShapeID="_x0000_i1057" DrawAspect="Content" ObjectID="_1433920209" r:id="rId416"/>
        </w:object>
      </w:r>
      <w:r w:rsidRPr="00F87319">
        <w:rPr>
          <w:sz w:val="20"/>
        </w:rPr>
        <w:t>” means “is proportional to.”</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This re-examination of the reality of the ZPE is ongoing and has produced the branch of physics known as Stochastic Electro-Dynamics (SED).  The SED approach to quantum phenomena holds the promise of explaining quantum effects via the action of a real ZPE.  It should also be noted that it has also produced results that allow Relativity’s predictions to be simply explained.</w:t>
      </w:r>
    </w:p>
    <w:p w:rsidR="006D41BD" w:rsidRPr="00F87319" w:rsidRDefault="006D41BD" w:rsidP="006D41BD">
      <w:pPr>
        <w:pStyle w:val="NormPara"/>
        <w:ind w:firstLine="27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1.6. The Zero Point Energy (ZPE)</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The Zero Point Energy exists as all-pervasive electromagnetic waves of all wavelengths throughout the universe.  It exists independently of any thermal radiation, even at zero degrees Kelvin, and is composed of many more waves of short wavelengths than long.  The precise description is that it has a frequency-cubed spectrum.  This means that on the scale of feet or meters there are very few ZPE waves.  However, on smaller scales, the number of short-wavelength ZPE waves increases significantly.  The smallest of the ZPE’s more numerous short waves approaches what is called the Planck length cut-off.  The Planck length of</w:t>
      </w:r>
      <w:r w:rsidRPr="00F87319">
        <w:rPr>
          <w:position w:val="-6"/>
          <w:sz w:val="20"/>
        </w:rPr>
        <w:object w:dxaOrig="480" w:dyaOrig="300">
          <v:shape id="_x0000_i1058" type="#_x0000_t75" style="width:24.2pt;height:15.15pt" o:ole="">
            <v:imagedata r:id="rId417" o:title=""/>
          </v:shape>
          <o:OLEObject Type="Embed" ProgID="PowerPoint.Slide.12" ShapeID="_x0000_i1058" DrawAspect="Content" ObjectID="_1433920210" r:id="rId418"/>
        </w:object>
      </w:r>
      <w:r w:rsidRPr="00F87319">
        <w:rPr>
          <w:sz w:val="20"/>
        </w:rPr>
        <w:t>meters is the smallest length possible in our universe.  Beyond this limit, the vacuum itself breaks down and space assumes a granular structure, like a fabric.  Any waves with a shorter wavelength than the Planck length are simply absorbed into the structure of the vacuum.</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By the time the scale of atomic size is reached, the characteristic phrase used to describe the ZPE is </w:t>
      </w:r>
      <w:r w:rsidRPr="00F87319">
        <w:rPr>
          <w:i/>
          <w:sz w:val="20"/>
        </w:rPr>
        <w:t>“the seething vacuum.”</w:t>
      </w:r>
      <w:r w:rsidRPr="00F87319">
        <w:rPr>
          <w:sz w:val="20"/>
        </w:rPr>
        <w:t xml:space="preserve">  Every atom is immersed in this turbulent sea of activity.  The fact that cooling alone will never freeze liquid helium is one of the strong indications of the existence of the ZPE.  Unless pressure is applied, ZPE fluctuations at the atomic level prevent helium’s atoms from getting close enough to permit solidification.</w:t>
      </w:r>
    </w:p>
    <w:p w:rsidR="006D41BD" w:rsidRPr="00F87319" w:rsidRDefault="006D41BD" w:rsidP="006D41BD">
      <w:pPr>
        <w:pStyle w:val="NormPara"/>
        <w:ind w:firstLine="720"/>
        <w:rPr>
          <w:sz w:val="20"/>
        </w:rPr>
      </w:pPr>
      <w:r w:rsidRPr="00F87319">
        <w:rPr>
          <w:sz w:val="20"/>
        </w:rPr>
        <w:t>In electronic circuits, such as microwave receivers, ZPE fluctuations cause a random “noise” that places limits on the level to which signals can be amplified.  This “noise” can never be removed no matter how perfect the technology.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 evidence comes from what is called the Lamb shift of spectral lines.  ZPE waves slightly perturb electrons in atoms so that, when electrons make a transition from one state to another, the atom emits light whose wavelength is shifted slightly from the position that line would have had if the ZPE did not exist.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Casimir effect also indicates the existence of the ZPE and that it is comprised of electromagnetic waves.  This effect can be demonstrated by bringing two large metal plates very close together in a vacuum.  When they are close, but not touching, there is a small but measurable force that pushes them together.</w:t>
      </w:r>
    </w:p>
    <w:p w:rsidR="006D41BD" w:rsidRPr="00F87319" w:rsidRDefault="006D41BD" w:rsidP="006D41BD">
      <w:pPr>
        <w:pStyle w:val="NormPara"/>
        <w:ind w:firstLine="720"/>
        <w:rPr>
          <w:sz w:val="20"/>
        </w:rPr>
      </w:pPr>
    </w:p>
    <w:p w:rsidR="00EA25F1" w:rsidRPr="00F87319" w:rsidRDefault="006D41BD" w:rsidP="00EA25F1">
      <w:pPr>
        <w:pStyle w:val="NormPara"/>
        <w:spacing w:before="80" w:after="80"/>
        <w:ind w:right="274" w:firstLine="0"/>
        <w:rPr>
          <w:sz w:val="20"/>
        </w:rPr>
      </w:pPr>
      <w:r w:rsidRPr="00F87319">
        <w:rPr>
          <w:sz w:val="20"/>
        </w:rPr>
        <w:t xml:space="preserve">The explanation of this effect comes straight from classical physics.  As the metal plates are brought closer, they exclude all wavelengths of the ZPE except those which fit exactly between the plates.  In other words, all the long wavelengths of the ZPE have </w:t>
      </w:r>
      <w:r w:rsidR="00EA25F1" w:rsidRPr="00F87319">
        <w:rPr>
          <w:sz w:val="20"/>
        </w:rPr>
        <w:t>been excluded and are now acting on the plates from the outside (see Figure 2).  Because there are no long waves acting from within to balance the pressure, the combined radiation pressure of these external waves then forces the plates together.  In November 1998, Mohideen and Roy reported verification of the effect to within 1% [10].</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92074" cy="2981325"/>
            <wp:effectExtent l="19050" t="0" r="8476" b="0"/>
            <wp:docPr id="296" name="il_fi" descr="http://www.calphysics.org/images/cas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alphysics.org/images/casimir.jpg"/>
                    <pic:cNvPicPr>
                      <a:picLocks noChangeAspect="1" noChangeArrowheads="1"/>
                    </pic:cNvPicPr>
                  </pic:nvPicPr>
                  <pic:blipFill>
                    <a:blip r:embed="rId419" cstate="print"/>
                    <a:srcRect l="2020" t="1839" r="2199" b="1840"/>
                    <a:stretch>
                      <a:fillRect/>
                    </a:stretch>
                  </pic:blipFill>
                  <pic:spPr bwMode="auto">
                    <a:xfrm>
                      <a:off x="0" y="0"/>
                      <a:ext cx="4395906" cy="2983926"/>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center"/>
        <w:rPr>
          <w:sz w:val="20"/>
        </w:rPr>
      </w:pPr>
    </w:p>
    <w:p w:rsidR="006D41BD" w:rsidRPr="00F87319" w:rsidRDefault="006D41BD" w:rsidP="000C2FA1">
      <w:pPr>
        <w:pStyle w:val="NormPara"/>
        <w:spacing w:before="80" w:after="80"/>
        <w:ind w:right="274" w:firstLine="0"/>
        <w:jc w:val="left"/>
        <w:rPr>
          <w:i/>
          <w:szCs w:val="18"/>
        </w:rPr>
      </w:pPr>
      <w:r w:rsidRPr="000C2FA1">
        <w:rPr>
          <w:b/>
          <w:i/>
          <w:szCs w:val="18"/>
        </w:rPr>
        <w:t>Fig</w:t>
      </w:r>
      <w:r w:rsidR="000C2FA1" w:rsidRPr="000C2FA1">
        <w:rPr>
          <w:b/>
          <w:i/>
          <w:szCs w:val="18"/>
        </w:rPr>
        <w:t>ure 2:</w:t>
      </w:r>
      <w:r w:rsidRPr="000C2FA1">
        <w:rPr>
          <w:i/>
          <w:szCs w:val="18"/>
        </w:rPr>
        <w:t xml:space="preserve">  The Casimir Effect.  The two vertical blue lines represent the two parallel metal plates in a vacuum.  The distance the plates are apart is d.  The top three series of waves have wavelengths, λ, which are short enough to fit exactly between the plates.  The bottom two series of waves have wavelengths greater than d, and so do not fit between the plates.  This bottom two series of waves exert an excess pressure on the plates, which pushes them together.  The wave series third from bottom has the largest wavelength that will fit exactly between the plates.  All longer waves are excluded and exert a pressure from the outside</w:t>
      </w:r>
      <w:r w:rsidRPr="00F87319">
        <w:rPr>
          <w:i/>
          <w:szCs w:val="18"/>
        </w:rPr>
        <w:t>.</w:t>
      </w:r>
    </w:p>
    <w:p w:rsidR="006D41BD" w:rsidRPr="00F87319" w:rsidRDefault="006D41BD" w:rsidP="006D41BD">
      <w:pPr>
        <w:pStyle w:val="NormPara"/>
        <w:spacing w:before="80" w:after="80"/>
        <w:ind w:left="274" w:right="274" w:firstLine="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1.7. Motion through the ZPE is Undetectable</w:t>
      </w:r>
    </w:p>
    <w:p w:rsidR="006D41BD" w:rsidRPr="00F87319" w:rsidRDefault="006D41BD" w:rsidP="006D41BD">
      <w:pPr>
        <w:pStyle w:val="NormPara"/>
        <w:ind w:firstLine="270"/>
        <w:rPr>
          <w:sz w:val="20"/>
        </w:rPr>
      </w:pPr>
    </w:p>
    <w:p w:rsidR="006D41BD" w:rsidRPr="00F87319" w:rsidRDefault="006D41BD" w:rsidP="006D41BD">
      <w:pPr>
        <w:pStyle w:val="NormPara"/>
        <w:ind w:firstLine="548"/>
        <w:rPr>
          <w:rStyle w:val="Emphasis"/>
          <w:sz w:val="20"/>
        </w:rPr>
      </w:pPr>
      <w:r w:rsidRPr="00F87319">
        <w:rPr>
          <w:sz w:val="20"/>
        </w:rPr>
        <w:t xml:space="preserve">Every source of radiation has a characteristic intensity distribution with frequency.  That is to say, every radiation source will have its intensity (the number of waves) rising to a maximum in a given frequency range, producing a characteristic curve.  Because of its frequency-cubed distribution, the ZPE has an enormous energy density.  In discussing </w:t>
      </w:r>
      <w:r w:rsidRPr="00F87319">
        <w:rPr>
          <w:sz w:val="20"/>
        </w:rPr>
        <w:lastRenderedPageBreak/>
        <w:t>this, Timothy Boyer in his article “The Classical Vacuum”, has this to say about the ZPE, explaining why any motion through the ZPE will be undetectable.</w:t>
      </w:r>
    </w:p>
    <w:p w:rsidR="006D41BD" w:rsidRPr="00F87319" w:rsidRDefault="006D41BD" w:rsidP="006D41BD">
      <w:pPr>
        <w:pStyle w:val="NormPara"/>
        <w:spacing w:before="80" w:after="80"/>
        <w:ind w:left="274" w:firstLine="274"/>
        <w:rPr>
          <w:rStyle w:val="Emphasis"/>
          <w:i w:val="0"/>
          <w:color w:val="FF0000"/>
          <w:sz w:val="20"/>
        </w:rPr>
      </w:pPr>
      <w:r w:rsidRPr="00F87319">
        <w:rPr>
          <w:rStyle w:val="Emphasis"/>
          <w:sz w:val="20"/>
        </w:rPr>
        <w:t xml:space="preserve">It turns out that the zero-point spectrum can only have one possible shape….  [T]he intensity of the radiation at any frequency must be proportional to the cube of that frequency.  A spectrum defined by such a cubic curve is the same for all unaccelerated observers, no matter what their velocity; moreover, it is the only spectrum that has this property. </w:t>
      </w:r>
      <w:r w:rsidRPr="00F87319">
        <w:rPr>
          <w:rStyle w:val="Emphasis"/>
          <w:i w:val="0"/>
          <w:sz w:val="20"/>
        </w:rPr>
        <w:t>[11]</w:t>
      </w:r>
    </w:p>
    <w:p w:rsidR="006D41BD" w:rsidRPr="00F87319" w:rsidRDefault="006D41BD" w:rsidP="006D41BD">
      <w:pPr>
        <w:pStyle w:val="NormPara"/>
        <w:spacing w:before="80" w:after="80"/>
        <w:ind w:left="274" w:firstLine="274"/>
        <w:rPr>
          <w:sz w:val="20"/>
        </w:rPr>
      </w:pPr>
    </w:p>
    <w:p w:rsidR="006D41BD" w:rsidRDefault="006D41BD" w:rsidP="006D41BD">
      <w:pPr>
        <w:pStyle w:val="NormPara"/>
        <w:ind w:firstLine="548"/>
        <w:rPr>
          <w:sz w:val="20"/>
        </w:rPr>
      </w:pPr>
      <w:r w:rsidRPr="00F87319">
        <w:rPr>
          <w:sz w:val="20"/>
        </w:rPr>
        <w:t>Remember that any motion through the ZPE produces a genuine Doppler shift.  Because of this, radiation will appear shifted towards the blue end of the spectrum for an approaching observer or towards the red end of the spectrum for a receding observer.  Here is what Boyer goes on to say:</w:t>
      </w:r>
    </w:p>
    <w:p w:rsidR="00F87319" w:rsidRPr="00F87319" w:rsidRDefault="00F87319" w:rsidP="006D41BD">
      <w:pPr>
        <w:pStyle w:val="NormPara"/>
        <w:ind w:firstLine="548"/>
        <w:rPr>
          <w:sz w:val="20"/>
        </w:rPr>
      </w:pPr>
    </w:p>
    <w:p w:rsidR="006D41BD" w:rsidRDefault="006D41BD" w:rsidP="006D41BD">
      <w:pPr>
        <w:pStyle w:val="NormPara"/>
        <w:spacing w:before="80" w:after="80"/>
        <w:ind w:left="274" w:firstLine="274"/>
        <w:rPr>
          <w:rStyle w:val="Emphasis"/>
          <w:i w:val="0"/>
          <w:sz w:val="20"/>
        </w:rPr>
      </w:pPr>
      <w:r w:rsidRPr="00F87319">
        <w:rPr>
          <w:rStyle w:val="Emphasis"/>
          <w:sz w:val="20"/>
        </w:rPr>
        <w:t xml:space="preserve">The Zero Point Spectrum is independent of the observer's velocity because of compensating changes in frequency and intensity.  When an observer is approaching [any] source of radiation, all frequencies are shifted to higher values [that is, become bluer] and all intensities increased; moving away from any source has the opposite effect.  Thus a spectrum that has a peak in the green region for a stationary observer has a larger blue[r] peak for an approaching observer and a smaller red[er] peak for a receding observer.  The cubic curve that defines the zero-point spectrum balances the shifts in frequency and intensity.  Light that appears green in the stationary frame of reference becomes blue to an approaching observer, but its intensity matches that of the blue light seen by an observer at rest.  By the same token, green light is shifted to red frequencies for a receding observer, but its intensity is diminished accordingly. </w:t>
      </w:r>
      <w:r w:rsidRPr="00F87319">
        <w:rPr>
          <w:rStyle w:val="Emphasis"/>
          <w:i w:val="0"/>
          <w:sz w:val="20"/>
        </w:rPr>
        <w:t>[11]</w:t>
      </w:r>
    </w:p>
    <w:p w:rsidR="00F87319" w:rsidRPr="00F87319" w:rsidRDefault="00F87319" w:rsidP="006D41BD">
      <w:pPr>
        <w:pStyle w:val="NormPara"/>
        <w:spacing w:before="80" w:after="80"/>
        <w:ind w:left="274" w:firstLine="274"/>
        <w:rPr>
          <w:rStyle w:val="Emphasis"/>
          <w:i w:val="0"/>
          <w:sz w:val="20"/>
        </w:rPr>
      </w:pPr>
    </w:p>
    <w:p w:rsidR="006D41BD" w:rsidRPr="00F87319" w:rsidRDefault="006D41BD" w:rsidP="006D41BD">
      <w:pPr>
        <w:pStyle w:val="NormPara"/>
        <w:ind w:firstLine="548"/>
        <w:rPr>
          <w:sz w:val="20"/>
        </w:rPr>
      </w:pPr>
      <w:r w:rsidRPr="00F87319">
        <w:rPr>
          <w:sz w:val="20"/>
        </w:rPr>
        <w:t>In this way, the distribution of intensity with frequency for the ZPE remains the same no matter what your velocity is.  In other words, because of its frequency-cubed distribution, the ZPE is said to be Lorentz invariant, meaning that the velocity through the ZPE cannot, in itself, be detected. (see additional note on this below in citation for reference [32]).  In an examination of this, Davies and Unruh found that, while velocities through the ZPE cannot be detected, acceleration can be detected, but that acceleration has to be of the order of</w:t>
      </w:r>
      <w:r w:rsidRPr="00F87319">
        <w:rPr>
          <w:position w:val="-6"/>
          <w:sz w:val="20"/>
        </w:rPr>
        <w:object w:dxaOrig="400" w:dyaOrig="300">
          <v:shape id="_x0000_i1059" type="#_x0000_t75" style="width:19.95pt;height:15.15pt" o:ole="">
            <v:imagedata r:id="rId420" o:title=""/>
          </v:shape>
          <o:OLEObject Type="Embed" ProgID="PowerPoint.Slide.12" ShapeID="_x0000_i1059" DrawAspect="Content" ObjectID="_1433920211" r:id="rId421"/>
        </w:object>
      </w:r>
      <w:r w:rsidRPr="00F87319">
        <w:rPr>
          <w:sz w:val="20"/>
        </w:rPr>
        <w:t>times that of Earth’s gravity before the effect becomes significant enough to observe.  This is called the Davies-Unruh effect.  Therefore, for all practical purposes, the motion of the Earth, or any other body, through the ZPE cannot be detected.</w:t>
      </w:r>
    </w:p>
    <w:p w:rsidR="006D41BD" w:rsidRPr="00F87319" w:rsidRDefault="006D41BD" w:rsidP="006D41BD">
      <w:pPr>
        <w:pStyle w:val="NormPara"/>
        <w:ind w:firstLine="548"/>
        <w:rPr>
          <w:sz w:val="20"/>
        </w:rPr>
      </w:pPr>
    </w:p>
    <w:p w:rsidR="006D41BD" w:rsidRPr="00F87319" w:rsidRDefault="006D41BD" w:rsidP="006D41BD">
      <w:pPr>
        <w:pStyle w:val="NormPara"/>
        <w:ind w:firstLine="548"/>
        <w:rPr>
          <w:sz w:val="20"/>
        </w:rPr>
      </w:pPr>
      <w:r w:rsidRPr="00F87319">
        <w:rPr>
          <w:sz w:val="20"/>
        </w:rPr>
        <w:t>There is another reason, also rooted in the ZPE, why the Earth’s motion through the “ether” is undetectable.  The local gravitational field of the Earth can be shown to be an augmentation of the ZPE in our vicinity brought about by the presence of oscillating point charges.  The impacting waves of the ZPE jiggle these point charges or “partons”, which make up all matter, and these charges emit recoil or secondary electromagnetic radiation [7].  This secondary field locally boosts the strength of the ambient ZPE around massive objects.  This local field of the (augmented) ZPE has no motion with respect to the Earth’s center of mass since it originates with the presence of the Earth’s mass.  Thus, the Michelson-Morley experiment will show no fringe shifts.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However, the Earth does rotate with respect to its own gravitational field, and hence with respect to the augmented ZPE.  This motion does produce fringe shifts, known as the Sagnac effect, that were first seen in 1913 when a rotating platform was used for the experiment.  It was replicated in the Michelson-Gale experiment of 1925 using the Earth’s own rotation.  The ZPE approach is thereby shown to be a far simpler explanation for the lack of fringe shifts in the Michelson-Morley experiment than the complication of SR</w:t>
      </w:r>
    </w:p>
    <w:p w:rsidR="006D41BD" w:rsidRPr="00F87319" w:rsidRDefault="006D41BD" w:rsidP="006D41BD">
      <w:pPr>
        <w:pStyle w:val="NormPara"/>
        <w:ind w:firstLine="548"/>
        <w:rPr>
          <w:sz w:val="20"/>
        </w:rPr>
      </w:pPr>
      <w:r w:rsidRPr="00F87319">
        <w:rPr>
          <w:sz w:val="20"/>
        </w:rPr>
        <w:t>.</w:t>
      </w: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1.8. The ZPE and the Speed of Light</w:t>
      </w:r>
    </w:p>
    <w:p w:rsidR="006D41BD" w:rsidRPr="00F87319" w:rsidRDefault="006D41BD" w:rsidP="006D41BD">
      <w:pPr>
        <w:pStyle w:val="NormPara"/>
        <w:ind w:firstLine="270"/>
        <w:rPr>
          <w:sz w:val="20"/>
        </w:rPr>
      </w:pPr>
    </w:p>
    <w:p w:rsidR="00F87319" w:rsidRDefault="006D41BD" w:rsidP="006D41BD">
      <w:pPr>
        <w:pStyle w:val="NormPara"/>
        <w:ind w:firstLine="720"/>
        <w:rPr>
          <w:sz w:val="20"/>
        </w:rPr>
      </w:pPr>
      <w:r w:rsidRPr="00F87319">
        <w:rPr>
          <w:sz w:val="20"/>
        </w:rPr>
        <w:t xml:space="preserve">The Michelson-Morley experiment indicated that the speed of light in any direction through the Zero Point Field is always the same.  This experimental result agrees with the SED approach.  Because the ZPE is made up of electromagnetic waves of all wavelengths going in all directions simultaneously, the points where these waves intersect result in a concentration of energy.  These energy concentrations allow the formation of pairs of virtual particles, such as electron-positron pairs.  </w:t>
      </w:r>
    </w:p>
    <w:p w:rsidR="00F87319" w:rsidRDefault="00F87319"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The</w:t>
      </w:r>
      <w:r w:rsidR="00F87319">
        <w:rPr>
          <w:sz w:val="20"/>
        </w:rPr>
        <w:t>se</w:t>
      </w:r>
      <w:r w:rsidRPr="00F87319">
        <w:rPr>
          <w:sz w:val="20"/>
        </w:rPr>
        <w:t xml:space="preserve"> virtual particles snap into and out of existence almost, but not quite, instantaneously.  During their brief existence they can absorb a light photon, and when the positive and negative of each pair snap back together, the photon of light is released to continue on its way.  Even in a very small volume of space, the number of virtual particle pairs is enormous.  From the “jiggling” of electrons, their volume and their Compton frequency, it can be deduced that a cubic meter contains about </w:t>
      </w:r>
      <m:oMath>
        <m:sSup>
          <m:sSupPr>
            <m:ctrlPr>
              <w:rPr>
                <w:rFonts w:ascii="Cambria Math" w:hAnsi="Cambria Math"/>
                <w:i/>
                <w:sz w:val="20"/>
              </w:rPr>
            </m:ctrlPr>
          </m:sSupPr>
          <m:e>
            <m:r>
              <w:rPr>
                <w:rFonts w:ascii="Cambria Math"/>
                <w:sz w:val="20"/>
              </w:rPr>
              <m:t>10</m:t>
            </m:r>
          </m:e>
          <m:sup>
            <m:r>
              <w:rPr>
                <w:rFonts w:ascii="Cambria Math"/>
                <w:sz w:val="20"/>
              </w:rPr>
              <m:t>63</m:t>
            </m:r>
          </m:sup>
        </m:sSup>
      </m:oMath>
      <w:r w:rsidRPr="00F87319">
        <w:rPr>
          <w:sz w:val="20"/>
        </w:rPr>
        <w:t xml:space="preserve"> virtual particles.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Photons of light must interact with these particles in their path.  The greater the strength of the Zero Point Energy, the greater the numbers of virtual particles that exist in any given volume of space at any given time.  As a result, light photons are slowed even more because space has effectively become “thicker” with virtual particles.  Thus, in a manner similar to light slowing in water compared to air, light will also slow with a stronger ZPE.  In fact, it can be shown that the speed of light, </w:t>
      </w:r>
      <w:r w:rsidRPr="00F87319">
        <w:rPr>
          <w:i/>
          <w:sz w:val="20"/>
        </w:rPr>
        <w:t>c</w:t>
      </w:r>
      <w:r w:rsidRPr="00F87319">
        <w:rPr>
          <w:sz w:val="20"/>
        </w:rPr>
        <w:t xml:space="preserve">, is inversely proportional to ZPE </w:t>
      </w:r>
      <w:proofErr w:type="gramStart"/>
      <w:r w:rsidRPr="00F87319">
        <w:rPr>
          <w:sz w:val="20"/>
        </w:rPr>
        <w:t>strength,</w:t>
      </w:r>
      <w:r w:rsidRPr="00F87319">
        <w:rPr>
          <w:position w:val="-6"/>
          <w:sz w:val="20"/>
        </w:rPr>
        <w:object w:dxaOrig="220" w:dyaOrig="240">
          <v:shape id="_x0000_i1060" type="#_x0000_t75" style="width:10.3pt;height:12.1pt" o:ole="">
            <v:imagedata r:id="rId422" o:title=""/>
          </v:shape>
          <o:OLEObject Type="Embed" ProgID="PowerPoint.Slide.12" ShapeID="_x0000_i1060" DrawAspect="Content" ObjectID="_1433920212" r:id="rId423"/>
        </w:object>
      </w:r>
      <w:r w:rsidRPr="00F87319">
        <w:rPr>
          <w:sz w:val="20"/>
        </w:rPr>
        <w:t>.</w:t>
      </w:r>
      <w:proofErr w:type="gramEnd"/>
      <w:r w:rsidRPr="00F87319">
        <w:rPr>
          <w:sz w:val="20"/>
        </w:rPr>
        <w:t xml:space="preserve">  This is done in detail in “The Zero Point Energy, Light and Time” [12], which establishes that</w:t>
      </w: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39" w:dyaOrig="279">
          <v:shape id="_x0000_i1061" type="#_x0000_t75" style="width:31.45pt;height:14.5pt" o:ole="">
            <v:imagedata r:id="rId424" o:title=""/>
          </v:shape>
          <o:OLEObject Type="Embed" ProgID="PowerPoint.Slide.12" ShapeID="_x0000_i1061" DrawAspect="Content" ObjectID="_1433920213" r:id="rId42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w:t>
      </w:r>
    </w:p>
    <w:p w:rsidR="006D41BD" w:rsidRPr="00F87319" w:rsidRDefault="006D41BD" w:rsidP="006D41BD">
      <w:pPr>
        <w:pStyle w:val="NormPara"/>
        <w:ind w:firstLine="270"/>
        <w:rPr>
          <w:sz w:val="20"/>
        </w:rPr>
      </w:pPr>
      <w:r w:rsidRPr="00F87319">
        <w:rPr>
          <w:sz w:val="20"/>
        </w:rPr>
        <w:t>When Eqs. (1) and (2) are considered together, the inescapable result is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859" w:dyaOrig="240">
          <v:shape id="_x0000_i1062" type="#_x0000_t75" style="width:42.95pt;height:12.1pt" o:ole="">
            <v:imagedata r:id="rId426" o:title=""/>
          </v:shape>
          <o:OLEObject Type="Embed" ProgID="Equation.DSMT4" ShapeID="_x0000_i1062" DrawAspect="Content" ObjectID="_1433920214" r:id="rId42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270"/>
        <w:rPr>
          <w:sz w:val="20"/>
        </w:rPr>
      </w:pPr>
      <w:r w:rsidRPr="00F87319">
        <w:rPr>
          <w:sz w:val="20"/>
        </w:rPr>
        <w:t>Since the strength of the Zero Point Energy also determines the electromagnetic properties of the vacuum, it was shown in the same paper, and in Chapters 2 and 4 here, that</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iCs/>
          <w:sz w:val="20"/>
        </w:rPr>
        <w:tab/>
      </w:r>
      <w:r w:rsidRPr="00F87319">
        <w:rPr>
          <w:iCs/>
          <w:position w:val="-8"/>
          <w:sz w:val="20"/>
        </w:rPr>
        <w:object w:dxaOrig="800" w:dyaOrig="260">
          <v:shape id="_x0000_i1063" type="#_x0000_t75" style="width:39.95pt;height:12.7pt" o:ole="">
            <v:imagedata r:id="rId428" o:title=""/>
          </v:shape>
          <o:OLEObject Type="Embed" ProgID="Equation.DSMT4" ShapeID="_x0000_i1063" DrawAspect="Content" ObjectID="_1433920215" r:id="rId429"/>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
          <w:iCs/>
          <w:sz w:val="20"/>
        </w:rPr>
        <w:tab/>
        <w:t>(4)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180" w:dyaOrig="200">
          <v:shape id="_x0000_i1064" type="#_x0000_t75" style="width:9.1pt;height:9.7pt" o:ole="">
            <v:imagedata r:id="rId430" o:title=""/>
          </v:shape>
          <o:OLEObject Type="Embed" ProgID="Equation.DSMT4" ShapeID="_x0000_i1064" DrawAspect="Content" ObjectID="_1433920216" r:id="rId431"/>
        </w:object>
      </w:r>
      <w:r w:rsidRPr="00F87319">
        <w:rPr>
          <w:sz w:val="20"/>
        </w:rPr>
        <w:t>is the permittivity of the vacuum and</w:t>
      </w:r>
      <w:r w:rsidRPr="00F87319">
        <w:rPr>
          <w:position w:val="-8"/>
          <w:sz w:val="20"/>
        </w:rPr>
        <w:object w:dxaOrig="180" w:dyaOrig="220">
          <v:shape id="_x0000_i1065" type="#_x0000_t75" style="width:9.1pt;height:10.3pt" o:ole="">
            <v:imagedata r:id="rId432" o:title=""/>
          </v:shape>
          <o:OLEObject Type="Embed" ProgID="Equation.DSMT4" ShapeID="_x0000_i1065" DrawAspect="Content" ObjectID="_1433920217" r:id="rId433"/>
        </w:object>
      </w:r>
      <w:r w:rsidRPr="00F87319">
        <w:rPr>
          <w:sz w:val="20"/>
        </w:rPr>
        <w:t>is its magnetic permeability.  Therefore, since the standard equation reads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660" w:dyaOrig="520">
          <v:shape id="_x0000_i1066" type="#_x0000_t75" style="width:33.3pt;height:26pt" o:ole="">
            <v:imagedata r:id="rId434" o:title=""/>
          </v:shape>
          <o:OLEObject Type="Embed" ProgID="Equation.DSMT4" ShapeID="_x0000_i1066" DrawAspect="Content" ObjectID="_1433920218" r:id="rId43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then it follows that the speed of light, </w:t>
      </w:r>
      <w:r w:rsidRPr="00F87319">
        <w:rPr>
          <w:i/>
          <w:sz w:val="20"/>
        </w:rPr>
        <w:t>c</w:t>
      </w:r>
      <w:r w:rsidRPr="00F87319">
        <w:rPr>
          <w:sz w:val="20"/>
        </w:rPr>
        <w:t>, behaves as follows: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500" w:dyaOrig="520">
          <v:shape id="_x0000_i1067" type="#_x0000_t75" style="width:75.05pt;height:26pt" o:ole="">
            <v:imagedata r:id="rId436" o:title=""/>
          </v:shape>
          <o:OLEObject Type="Embed" ProgID="Equation.DSMT4" ShapeID="_x0000_i1067" DrawAspect="Content" ObjectID="_1433920219" r:id="rId43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(6)</w:t>
      </w:r>
    </w:p>
    <w:p w:rsidR="006D41BD" w:rsidRPr="00F87319" w:rsidRDefault="006D41BD" w:rsidP="006D41BD">
      <w:pPr>
        <w:pStyle w:val="NormPara"/>
        <w:ind w:firstLine="270"/>
        <w:rPr>
          <w:sz w:val="20"/>
        </w:rPr>
      </w:pPr>
    </w:p>
    <w:p w:rsidR="006D41BD" w:rsidRDefault="006D41BD" w:rsidP="006D41BD">
      <w:pPr>
        <w:pStyle w:val="NormPara"/>
        <w:ind w:firstLine="720"/>
        <w:rPr>
          <w:sz w:val="20"/>
        </w:rPr>
      </w:pPr>
      <w:r w:rsidRPr="00F87319">
        <w:rPr>
          <w:sz w:val="20"/>
        </w:rPr>
        <w:t>Since the ZPE is uniform through all space at any given time, the speed of light will also be uniform throughout all of space at any given time.  In other words, light speed is not dependent on direction of travel.  It is the universal changes in the strength of the ZPE which will affect the speed of light, not direction of travel.  This explains the result of the M-M experiment, which shows the speed of light to be the same in all directions.</w:t>
      </w:r>
    </w:p>
    <w:p w:rsidR="00F87319" w:rsidRDefault="00F87319"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1.9.  Zero Point Energy Behavior over Time</w:t>
      </w:r>
    </w:p>
    <w:p w:rsidR="006D41BD" w:rsidRPr="00F87319" w:rsidRDefault="006D41BD" w:rsidP="006D41BD">
      <w:pPr>
        <w:rPr>
          <w:rFonts w:ascii="Book Antiqua" w:hAnsi="Book Antiqua"/>
        </w:rPr>
      </w:pPr>
    </w:p>
    <w:p w:rsidR="006D41BD" w:rsidRPr="00F87319" w:rsidRDefault="006D41BD" w:rsidP="006D41BD">
      <w:pPr>
        <w:pStyle w:val="NormPara"/>
        <w:ind w:firstLine="270"/>
        <w:rPr>
          <w:sz w:val="20"/>
        </w:rPr>
      </w:pPr>
      <w:r w:rsidRPr="00F87319">
        <w:rPr>
          <w:sz w:val="20"/>
        </w:rPr>
        <w:t xml:space="preserve">There are </w:t>
      </w:r>
      <w:r w:rsidR="00A80554" w:rsidRPr="00F87319">
        <w:rPr>
          <w:sz w:val="20"/>
        </w:rPr>
        <w:t>good</w:t>
      </w:r>
      <w:r w:rsidRPr="00F87319">
        <w:rPr>
          <w:sz w:val="20"/>
        </w:rPr>
        <w:t xml:space="preserve"> reasons to believe that the strength of the Zero Point Energy has changed with time.  Briefly</w:t>
      </w:r>
      <w:r w:rsidR="00A80554" w:rsidRPr="00F87319">
        <w:rPr>
          <w:sz w:val="20"/>
        </w:rPr>
        <w:t xml:space="preserve">, </w:t>
      </w:r>
      <w:r w:rsidRPr="00F87319">
        <w:rPr>
          <w:sz w:val="20"/>
        </w:rPr>
        <w:t xml:space="preserve">original </w:t>
      </w:r>
      <w:r w:rsidR="00A80554" w:rsidRPr="00F87319">
        <w:rPr>
          <w:sz w:val="20"/>
        </w:rPr>
        <w:t>cosm</w:t>
      </w:r>
      <w:r w:rsidR="00434F2D" w:rsidRPr="00F87319">
        <w:rPr>
          <w:sz w:val="20"/>
        </w:rPr>
        <w:t xml:space="preserve">ic </w:t>
      </w:r>
      <w:r w:rsidRPr="00F87319">
        <w:rPr>
          <w:sz w:val="20"/>
        </w:rPr>
        <w:t xml:space="preserve">expansion invested energy into the fabric of space which ultimately appeared as the ZPE.  Hydrogen cloud data suggest that the expansion slowed and ultimately stopped so that the cosmos became static.  The ZPE built up to its full value after expansion ceased.  </w:t>
      </w:r>
    </w:p>
    <w:p w:rsidR="006D41BD" w:rsidRPr="00F87319" w:rsidRDefault="006D41BD" w:rsidP="006D41BD">
      <w:pPr>
        <w:pStyle w:val="NormPara"/>
        <w:ind w:firstLine="0"/>
        <w:rPr>
          <w:sz w:val="20"/>
        </w:rPr>
      </w:pPr>
    </w:p>
    <w:tbl>
      <w:tblPr>
        <w:tblStyle w:val="TableGrid"/>
        <w:tblW w:w="0" w:type="auto"/>
        <w:jc w:val="center"/>
        <w:tblLook w:val="04A0"/>
      </w:tblPr>
      <w:tblGrid>
        <w:gridCol w:w="4356"/>
        <w:gridCol w:w="4476"/>
      </w:tblGrid>
      <w:tr w:rsidR="006D41BD" w:rsidRPr="00F87319" w:rsidTr="00E01094">
        <w:trPr>
          <w:trHeight w:val="2936"/>
          <w:jc w:val="center"/>
        </w:trPr>
        <w:tc>
          <w:tcPr>
            <w:tcW w:w="3309" w:type="dxa"/>
          </w:tcPr>
          <w:p w:rsidR="006D41BD" w:rsidRPr="00F87319" w:rsidRDefault="006D41BD" w:rsidP="00BD495E">
            <w:pPr>
              <w:pStyle w:val="NormPara"/>
              <w:ind w:firstLine="0"/>
              <w:rPr>
                <w:sz w:val="20"/>
              </w:rPr>
            </w:pPr>
            <w:r w:rsidRPr="00F87319">
              <w:rPr>
                <w:noProof/>
                <w:sz w:val="20"/>
              </w:rPr>
              <w:lastRenderedPageBreak/>
              <w:drawing>
                <wp:inline distT="0" distB="0" distL="0" distR="0">
                  <wp:extent cx="2600325" cy="2823528"/>
                  <wp:effectExtent l="19050" t="0" r="9525" b="0"/>
                  <wp:docPr id="298" name="Picture 4" descr="E:\PlancksConstant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lancksConstantGraph.jpg"/>
                          <pic:cNvPicPr>
                            <a:picLocks noChangeAspect="1" noChangeArrowheads="1"/>
                          </pic:cNvPicPr>
                        </pic:nvPicPr>
                        <pic:blipFill>
                          <a:blip r:embed="rId12" cstate="print">
                            <a:lum bright="-30000" contrast="30000"/>
                          </a:blip>
                          <a:srcRect/>
                          <a:stretch>
                            <a:fillRect/>
                          </a:stretch>
                        </pic:blipFill>
                        <pic:spPr bwMode="auto">
                          <a:xfrm>
                            <a:off x="0" y="0"/>
                            <a:ext cx="2602256" cy="2825624"/>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5674" cy="2819400"/>
                  <wp:effectExtent l="19050" t="0" r="376" b="0"/>
                  <wp:docPr id="305" name="Picture 6" descr="E:\ElectronRestM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lectronRestMass.jpg"/>
                          <pic:cNvPicPr>
                            <a:picLocks noChangeAspect="1" noChangeArrowheads="1"/>
                          </pic:cNvPicPr>
                        </pic:nvPicPr>
                        <pic:blipFill>
                          <a:blip r:embed="rId13" cstate="print">
                            <a:lum bright="-30000" contrast="30000"/>
                          </a:blip>
                          <a:srcRect/>
                          <a:stretch>
                            <a:fillRect/>
                          </a:stretch>
                        </pic:blipFill>
                        <pic:spPr bwMode="auto">
                          <a:xfrm>
                            <a:off x="0" y="0"/>
                            <a:ext cx="2685674" cy="2819400"/>
                          </a:xfrm>
                          <a:prstGeom prst="rect">
                            <a:avLst/>
                          </a:prstGeom>
                          <a:noFill/>
                          <a:ln w="9525">
                            <a:noFill/>
                            <a:miter lim="800000"/>
                            <a:headEnd/>
                            <a:tailEnd/>
                          </a:ln>
                        </pic:spPr>
                      </pic:pic>
                    </a:graphicData>
                  </a:graphic>
                </wp:inline>
              </w:drawing>
            </w:r>
          </w:p>
        </w:tc>
      </w:tr>
      <w:tr w:rsidR="006D41BD" w:rsidRPr="00F87319" w:rsidTr="00E01094">
        <w:trPr>
          <w:trHeight w:val="2863"/>
          <w:jc w:val="center"/>
        </w:trPr>
        <w:tc>
          <w:tcPr>
            <w:tcW w:w="3309" w:type="dxa"/>
          </w:tcPr>
          <w:p w:rsidR="006D41BD" w:rsidRPr="00F87319" w:rsidRDefault="006D41BD" w:rsidP="00BD495E">
            <w:pPr>
              <w:pStyle w:val="NormPara"/>
              <w:ind w:firstLine="0"/>
              <w:rPr>
                <w:sz w:val="20"/>
              </w:rPr>
            </w:pPr>
            <w:r w:rsidRPr="00F87319">
              <w:rPr>
                <w:noProof/>
                <w:sz w:val="20"/>
              </w:rPr>
              <w:drawing>
                <wp:inline distT="0" distB="0" distL="0" distR="0">
                  <wp:extent cx="2589213" cy="2733675"/>
                  <wp:effectExtent l="19050" t="0" r="1587" b="0"/>
                  <wp:docPr id="307"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14" cstate="print">
                            <a:lum bright="-30000" contrast="30000"/>
                          </a:blip>
                          <a:srcRect/>
                          <a:stretch>
                            <a:fillRect/>
                          </a:stretch>
                        </pic:blipFill>
                        <pic:spPr bwMode="auto">
                          <a:xfrm>
                            <a:off x="0" y="0"/>
                            <a:ext cx="2602802" cy="2748023"/>
                          </a:xfrm>
                          <a:prstGeom prst="rect">
                            <a:avLst/>
                          </a:prstGeom>
                          <a:noFill/>
                          <a:ln w="9525">
                            <a:noFill/>
                            <a:miter lim="800000"/>
                            <a:headEnd/>
                            <a:tailEnd/>
                          </a:ln>
                        </pic:spPr>
                      </pic:pic>
                    </a:graphicData>
                  </a:graphic>
                </wp:inline>
              </w:drawing>
            </w:r>
          </w:p>
        </w:tc>
        <w:tc>
          <w:tcPr>
            <w:tcW w:w="3440" w:type="dxa"/>
          </w:tcPr>
          <w:p w:rsidR="006D41BD" w:rsidRPr="00F87319" w:rsidRDefault="006D41BD" w:rsidP="00BD495E">
            <w:pPr>
              <w:pStyle w:val="NormPara"/>
              <w:ind w:firstLine="0"/>
              <w:rPr>
                <w:sz w:val="20"/>
              </w:rPr>
            </w:pPr>
            <w:r w:rsidRPr="00F87319">
              <w:rPr>
                <w:noProof/>
                <w:sz w:val="20"/>
              </w:rPr>
              <w:drawing>
                <wp:inline distT="0" distB="0" distL="0" distR="0">
                  <wp:extent cx="2686050" cy="2733675"/>
                  <wp:effectExtent l="19050" t="0" r="0" b="0"/>
                  <wp:docPr id="308" name="Objec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tc>
      </w:tr>
    </w:tbl>
    <w:p w:rsidR="006D41BD" w:rsidRPr="00F87319" w:rsidRDefault="006D41BD" w:rsidP="006D41BD">
      <w:pPr>
        <w:pStyle w:val="NormPara"/>
        <w:spacing w:before="80" w:after="80"/>
        <w:ind w:right="274" w:firstLine="0"/>
        <w:jc w:val="left"/>
        <w:rPr>
          <w:szCs w:val="18"/>
        </w:rPr>
      </w:pPr>
    </w:p>
    <w:p w:rsidR="006D41BD" w:rsidRPr="000C2FA1" w:rsidRDefault="006D41BD" w:rsidP="00E01094">
      <w:pPr>
        <w:pStyle w:val="NormPara"/>
        <w:spacing w:before="80" w:after="80"/>
        <w:ind w:right="274" w:firstLine="0"/>
        <w:rPr>
          <w:i/>
          <w:szCs w:val="18"/>
        </w:rPr>
      </w:pPr>
      <w:r w:rsidRPr="000C2FA1">
        <w:rPr>
          <w:b/>
          <w:i/>
          <w:szCs w:val="18"/>
        </w:rPr>
        <w:t>Fig</w:t>
      </w:r>
      <w:r w:rsidR="000C2FA1" w:rsidRPr="000C2FA1">
        <w:rPr>
          <w:b/>
          <w:i/>
          <w:szCs w:val="18"/>
        </w:rPr>
        <w:t>ure</w:t>
      </w:r>
      <w:r w:rsidRPr="000C2FA1">
        <w:rPr>
          <w:b/>
          <w:i/>
          <w:szCs w:val="18"/>
        </w:rPr>
        <w:t xml:space="preserve"> 3</w:t>
      </w:r>
      <w:r w:rsidR="000C2FA1" w:rsidRPr="000C2FA1">
        <w:rPr>
          <w:b/>
          <w:i/>
          <w:szCs w:val="18"/>
        </w:rPr>
        <w:t>:</w:t>
      </w:r>
      <w:r w:rsidRPr="000C2FA1">
        <w:rPr>
          <w:i/>
          <w:szCs w:val="18"/>
        </w:rPr>
        <w:t xml:space="preserve">  Clockwise from top left—Recommended values of Planck’s constant, h; electron rest mass, m; the run-rate of atomic clocks, t, with orbital time horizontally; and light-speed, c [12].</w:t>
      </w:r>
    </w:p>
    <w:p w:rsidR="00F87319" w:rsidRPr="00F87319" w:rsidRDefault="00F87319" w:rsidP="006D41BD">
      <w:pPr>
        <w:pStyle w:val="NormPara"/>
        <w:spacing w:before="80" w:after="80"/>
        <w:ind w:right="274" w:firstLine="0"/>
        <w:jc w:val="left"/>
        <w:rPr>
          <w:szCs w:val="18"/>
        </w:rPr>
      </w:pPr>
    </w:p>
    <w:p w:rsidR="006D41BD" w:rsidRPr="00F87319" w:rsidRDefault="006D41BD" w:rsidP="006D41BD">
      <w:pPr>
        <w:pStyle w:val="NormPara"/>
        <w:ind w:firstLine="720"/>
        <w:rPr>
          <w:sz w:val="20"/>
        </w:rPr>
      </w:pPr>
      <w:r w:rsidRPr="00F87319">
        <w:rPr>
          <w:sz w:val="20"/>
        </w:rPr>
        <w:t>Narlikar and Arp have shown that a static cosmos will be stable against collapse but will oscillate slightly [13]. This oscillation results in a slightly changing ZPE through the current time, since a fixed quantity of energy in a smaller volume gives a higher energy density.  The converse is also true.  All these concepts are discussed in more detail in “The Zero Point Energy, Light and Time” [12] and chapters 1, 2 and 4 here.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experimental data support a changing ZPE strength.  Data show that atomic masses, </w:t>
      </w:r>
      <w:r w:rsidRPr="00F87319">
        <w:rPr>
          <w:i/>
          <w:sz w:val="20"/>
        </w:rPr>
        <w:t>m</w:t>
      </w:r>
      <w:r w:rsidRPr="00F87319">
        <w:rPr>
          <w:sz w:val="20"/>
        </w:rPr>
        <w:t xml:space="preserve">, were increasing synchronously with Planck’s constant, </w:t>
      </w:r>
      <w:r w:rsidRPr="00F87319">
        <w:rPr>
          <w:i/>
          <w:sz w:val="20"/>
        </w:rPr>
        <w:t>h</w:t>
      </w:r>
      <w:r w:rsidRPr="00F87319">
        <w:rPr>
          <w:sz w:val="20"/>
        </w:rPr>
        <w:t xml:space="preserve">, up to 1970.  Conversely, light speed, </w:t>
      </w:r>
      <w:r w:rsidRPr="00F87319">
        <w:rPr>
          <w:i/>
          <w:sz w:val="20"/>
        </w:rPr>
        <w:t>c</w:t>
      </w:r>
      <w:r w:rsidRPr="00F87319">
        <w:rPr>
          <w:sz w:val="20"/>
        </w:rPr>
        <w:t xml:space="preserve">, and atomic clock rates, </w:t>
      </w:r>
      <w:r w:rsidRPr="00F87319">
        <w:rPr>
          <w:i/>
          <w:sz w:val="20"/>
        </w:rPr>
        <w:t>t</w:t>
      </w:r>
      <w:r w:rsidRPr="00F87319">
        <w:rPr>
          <w:sz w:val="20"/>
        </w:rPr>
        <w:t>, were decreasing up to 1970.  The data are summarized by the graphs in Fig. 3.  They suggest that the ZPE strength was increasing until 1970 as part of the oscillation of a static universe which Narlikar and Arp proposed.  A reversal of the trend of each of these measurements started near 1970 and indicates the oscillation reversed or reached a flat-point then.</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Although the speed of light changes with a change in the Zero Point Energy, this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will be slowing simultaneously although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Therefore, in the wave equation</w:t>
      </w:r>
      <w:r w:rsidRPr="00F87319">
        <w:rPr>
          <w:position w:val="-10"/>
          <w:sz w:val="20"/>
        </w:rPr>
        <w:object w:dxaOrig="660" w:dyaOrig="279">
          <v:shape id="_x0000_i1068" type="#_x0000_t75" style="width:33.3pt;height:14.5pt" o:ole="">
            <v:imagedata r:id="rId439" o:title=""/>
          </v:shape>
          <o:OLEObject Type="Embed" ProgID="Equation.DSMT4" ShapeID="_x0000_i1068" DrawAspect="Content" ObjectID="_1433920220" r:id="rId440"/>
        </w:object>
      </w:r>
      <w:r w:rsidRPr="00F87319">
        <w:rPr>
          <w:sz w:val="20"/>
        </w:rPr>
        <w:t>, where</w:t>
      </w:r>
      <w:r w:rsidRPr="00F87319">
        <w:rPr>
          <w:i/>
          <w:sz w:val="20"/>
        </w:rPr>
        <w:t xml:space="preserve"> c</w:t>
      </w:r>
      <w:r w:rsidRPr="00F87319">
        <w:rPr>
          <w:sz w:val="20"/>
        </w:rPr>
        <w:t xml:space="preserve"> is light speed, and </w:t>
      </w:r>
      <w:r w:rsidRPr="00F87319">
        <w:rPr>
          <w:i/>
          <w:sz w:val="20"/>
        </w:rPr>
        <w:t>f</w:t>
      </w:r>
      <w:r w:rsidRPr="00F87319">
        <w:rPr>
          <w:sz w:val="20"/>
        </w:rPr>
        <w:t xml:space="preserve"> is frequency, the wavelength </w:t>
      </w:r>
      <w:r w:rsidRPr="00F87319">
        <w:rPr>
          <w:i/>
          <w:sz w:val="20"/>
        </w:rPr>
        <w:t>W</w:t>
      </w:r>
      <w:r w:rsidRPr="00F87319">
        <w:rPr>
          <w:sz w:val="20"/>
        </w:rPr>
        <w:t xml:space="preserve"> remains constant.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460" w:dyaOrig="279">
          <v:shape id="_x0000_i1069" type="#_x0000_t75" style="width:23pt;height:14.5pt" o:ole="">
            <v:imagedata r:id="rId441" o:title=""/>
          </v:shape>
          <o:OLEObject Type="Embed" ProgID="Equation.DSMT4" ShapeID="_x0000_i1069" DrawAspect="Content" ObjectID="_1433920221" r:id="rId44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r w:rsidRPr="00F87319">
        <w:rPr>
          <w:sz w:val="20"/>
        </w:rPr>
        <w:t>Martin and Connor point out that there is no refraction or “bending” of the light beam if the wavelengths remain constant or are not “bunched up” in the new medium [14].  This means that there will be no refraction of light in transit with any universal ZPE changes, since wavelengths remain constant with all of them.</w:t>
      </w:r>
    </w:p>
    <w:p w:rsidR="006D41BD" w:rsidRPr="00F87319" w:rsidRDefault="006D41BD" w:rsidP="006D41BD">
      <w:pPr>
        <w:pStyle w:val="NormPara"/>
        <w:ind w:firstLine="720"/>
        <w:rPr>
          <w:sz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1.10. The ZPE Replaces the Old Aether</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While ZPE provides something like an all-pervasive “ether”, it is one whose properties are vastly different from those imagined by physicists when the Michelson-Morley experiment was done.  The Zero Point Energy is the light carrying medium or “ether” that exists in reality.  The ZPE is Lorentz invariant, simply meaning you cannot distinguish any motion through it relative to itself, and the speed of light is the same in all directions.  If all this had been known then, the results of the M-M experiment could have been readily explained.  Interestingly, this would also mean that the necessity for Einstein's theory of relativity would have been eliminated.</w:t>
      </w:r>
    </w:p>
    <w:p w:rsidR="006D41BD" w:rsidRPr="00F87319" w:rsidRDefault="006D41BD" w:rsidP="006D41BD">
      <w:pPr>
        <w:pStyle w:val="NormPara"/>
        <w:ind w:firstLine="720"/>
        <w:rPr>
          <w:sz w:val="20"/>
        </w:rPr>
      </w:pPr>
    </w:p>
    <w:p w:rsidR="006D41BD" w:rsidRPr="00F87319" w:rsidRDefault="006D41BD" w:rsidP="006D41BD">
      <w:pPr>
        <w:pStyle w:val="NormPara"/>
        <w:ind w:firstLine="548"/>
        <w:rPr>
          <w:sz w:val="20"/>
        </w:rPr>
      </w:pPr>
      <w:r w:rsidRPr="00F87319">
        <w:rPr>
          <w:sz w:val="20"/>
        </w:rPr>
        <w:t>Effectively, then, there were three choices when the M-M results came in.</w:t>
      </w:r>
    </w:p>
    <w:p w:rsidR="006D41BD" w:rsidRPr="00F87319" w:rsidRDefault="006D41BD" w:rsidP="00252491">
      <w:pPr>
        <w:pStyle w:val="NoSpacing"/>
        <w:numPr>
          <w:ilvl w:val="0"/>
          <w:numId w:val="37"/>
        </w:numPr>
        <w:spacing w:before="80" w:line="240" w:lineRule="atLeast"/>
        <w:ind w:left="548" w:hanging="274"/>
        <w:jc w:val="both"/>
        <w:rPr>
          <w:rFonts w:ascii="Book Antiqua" w:hAnsi="Book Antiqua"/>
          <w:sz w:val="20"/>
        </w:rPr>
      </w:pPr>
      <w:r w:rsidRPr="00F87319">
        <w:rPr>
          <w:rFonts w:ascii="Book Antiqua" w:hAnsi="Book Antiqua"/>
          <w:sz w:val="20"/>
        </w:rPr>
        <w:t>The results can be explained by changes in the properties of matter, so that a moving object undergoes length contraction, mass increase, and time dilation.  This was the approach of Fitzgerald and Lorentz.</w:t>
      </w:r>
    </w:p>
    <w:p w:rsidR="006D41BD" w:rsidRPr="00F87319" w:rsidRDefault="006D41BD" w:rsidP="00252491">
      <w:pPr>
        <w:pStyle w:val="NoSpacing"/>
        <w:numPr>
          <w:ilvl w:val="0"/>
          <w:numId w:val="37"/>
        </w:numPr>
        <w:spacing w:line="240" w:lineRule="atLeast"/>
        <w:ind w:left="540" w:hanging="270"/>
        <w:jc w:val="both"/>
        <w:rPr>
          <w:rFonts w:ascii="Book Antiqua" w:hAnsi="Book Antiqua"/>
          <w:sz w:val="20"/>
        </w:rPr>
      </w:pPr>
      <w:r w:rsidRPr="00F87319">
        <w:rPr>
          <w:rFonts w:ascii="Book Antiqua" w:hAnsi="Book Antiqua"/>
          <w:sz w:val="20"/>
        </w:rPr>
        <w:t>Einstein proposed the second option, namely, that instead of physical changes in matter these same effects were due to changes in the properties of space and time.  This meant that the absoluteness of space and time, which had been introduced by Newton, had to be discarded.</w:t>
      </w:r>
    </w:p>
    <w:p w:rsidR="006D41BD" w:rsidRPr="00F87319" w:rsidRDefault="006D41BD" w:rsidP="00252491">
      <w:pPr>
        <w:pStyle w:val="NoSpacing"/>
        <w:numPr>
          <w:ilvl w:val="0"/>
          <w:numId w:val="37"/>
        </w:numPr>
        <w:spacing w:after="80" w:line="240" w:lineRule="atLeast"/>
        <w:ind w:left="548" w:hanging="274"/>
        <w:jc w:val="both"/>
        <w:rPr>
          <w:rFonts w:ascii="Book Antiqua" w:hAnsi="Book Antiqua"/>
          <w:sz w:val="20"/>
        </w:rPr>
      </w:pPr>
      <w:r w:rsidRPr="00F87319">
        <w:rPr>
          <w:rFonts w:ascii="Book Antiqua" w:hAnsi="Book Antiqua"/>
          <w:sz w:val="20"/>
        </w:rPr>
        <w:t>The third option was to conclude that the ether had entirely different properties than those imagined by scientists when the M-M experiment was done.</w:t>
      </w:r>
    </w:p>
    <w:p w:rsidR="006D41BD" w:rsidRPr="00F87319" w:rsidRDefault="006D41BD" w:rsidP="006D41BD">
      <w:pPr>
        <w:pStyle w:val="NoSpacing"/>
        <w:spacing w:after="80" w:line="240" w:lineRule="atLeast"/>
        <w:ind w:left="548"/>
        <w:jc w:val="both"/>
        <w:rPr>
          <w:rFonts w:ascii="Book Antiqua" w:hAnsi="Book Antiqua"/>
          <w:sz w:val="20"/>
        </w:rPr>
      </w:pPr>
    </w:p>
    <w:p w:rsidR="006D41BD" w:rsidRPr="00F87319" w:rsidRDefault="006D41BD" w:rsidP="006D41BD">
      <w:pPr>
        <w:pStyle w:val="NormPara"/>
        <w:ind w:firstLine="548"/>
        <w:rPr>
          <w:sz w:val="20"/>
        </w:rPr>
      </w:pPr>
      <w:r w:rsidRPr="00F87319">
        <w:rPr>
          <w:sz w:val="20"/>
        </w:rPr>
        <w:t>Although the Fitzgerald and Lorentz propositions (1) were complicated, Einstein’s solution to the problem (2) was even more complicated and esoteric.  The third option was, and is, far simpler than either of the other two.  History, experiment, data, and theory have all shown that the third option would have been the simpler, better way to go.  It has been discovered that the “ether” of the ZPE has a frequency distribution which makes it Lorentz invariant, so motion through this “ether” cannot be detected. In addition, the speed of light depends only on the energy density of the ZPE “ether”, which is independent of the direction of travel.  The mathematical models proposed by Fitzgerald, Lorentz, and Einstein were unnecessarily complex.  For that reason alone, they should have been regarded with suspicion and the third option given some serious thought.  The existence of the real, not virtual, Zero Point Energy gives good physical reasons why these things happen, without resorting to esoteric mathematics which are not connected to reality.</w:t>
      </w:r>
    </w:p>
    <w:p w:rsidR="006D41BD" w:rsidRPr="00F87319" w:rsidRDefault="006D41BD" w:rsidP="006D41BD">
      <w:pPr>
        <w:pStyle w:val="Els-body-text"/>
        <w:rPr>
          <w:rFonts w:ascii="Book Antiqua" w:hAnsi="Book Antiqua"/>
        </w:rPr>
      </w:pP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lastRenderedPageBreak/>
        <w:t>1.11 Special Relativity and Maxwell’s Equations</w:t>
      </w:r>
    </w:p>
    <w:p w:rsidR="006D41BD" w:rsidRPr="00F87319" w:rsidRDefault="006D41BD" w:rsidP="006D41BD">
      <w:pPr>
        <w:rPr>
          <w:rFonts w:ascii="Book Antiqua" w:hAnsi="Book Antiqua"/>
        </w:rPr>
      </w:pPr>
    </w:p>
    <w:p w:rsidR="006D41BD" w:rsidRPr="00F87319" w:rsidRDefault="006D41BD" w:rsidP="006D41BD">
      <w:pPr>
        <w:pStyle w:val="NormPara"/>
        <w:ind w:firstLine="548"/>
        <w:rPr>
          <w:szCs w:val="18"/>
        </w:rPr>
      </w:pPr>
      <w:r w:rsidRPr="00F87319">
        <w:rPr>
          <w:szCs w:val="18"/>
        </w:rPr>
        <w:t xml:space="preserve">It is customary procedure to derive Maxwell’s equations describing electromagnetic phenomena from relativity.  This gives relativity additional credibility.  Because of this approach, it may be objected that Eq. (5) is obtained on the assumption that </w:t>
      </w:r>
      <w:r w:rsidRPr="00F87319">
        <w:rPr>
          <w:rStyle w:val="Emphasis"/>
          <w:b/>
          <w:bCs/>
          <w:szCs w:val="18"/>
        </w:rPr>
        <w:t>c</w:t>
      </w:r>
      <w:r w:rsidRPr="00F87319">
        <w:rPr>
          <w:szCs w:val="18"/>
        </w:rPr>
        <w:t xml:space="preserve"> is a constant.  But, as shown by Bleany and Bleany </w:t>
      </w:r>
      <w:hyperlink r:id="rId443" w:anchor="7a196" w:history="1">
        <w:r w:rsidRPr="00F87319">
          <w:rPr>
            <w:rStyle w:val="Hyperlink"/>
            <w:szCs w:val="18"/>
          </w:rPr>
          <w:t>[15]</w:t>
        </w:r>
      </w:hyperlink>
      <w:r w:rsidRPr="00F87319">
        <w:rPr>
          <w:szCs w:val="18"/>
        </w:rPr>
        <w:t xml:space="preserve">, (5) can be readily derived without any initial assumptions about the behavior of </w:t>
      </w:r>
      <w:r w:rsidRPr="00F87319">
        <w:rPr>
          <w:rStyle w:val="Emphasis"/>
          <w:bCs/>
          <w:szCs w:val="18"/>
        </w:rPr>
        <w:t>c</w:t>
      </w:r>
      <w:r w:rsidRPr="00F87319">
        <w:rPr>
          <w:szCs w:val="18"/>
        </w:rPr>
        <w:t xml:space="preserve">, </w:t>
      </w:r>
      <w:r w:rsidRPr="00F87319">
        <w:rPr>
          <w:rStyle w:val="style41"/>
          <w:bCs/>
          <w:szCs w:val="18"/>
        </w:rPr>
        <w:t>ε</w:t>
      </w:r>
      <w:r w:rsidRPr="00F87319">
        <w:rPr>
          <w:szCs w:val="18"/>
        </w:rPr>
        <w:t xml:space="preserve">, or </w:t>
      </w:r>
      <w:r w:rsidRPr="00F87319">
        <w:rPr>
          <w:rStyle w:val="Emphasis"/>
          <w:bCs/>
          <w:szCs w:val="18"/>
        </w:rPr>
        <w:t>μ</w:t>
      </w:r>
      <w:r w:rsidRPr="00F87319">
        <w:rPr>
          <w:szCs w:val="18"/>
        </w:rPr>
        <w:t xml:space="preserve">, just as Maxwell himself did many years before relativity was introduced.  This is done by obtaining a set of four simultaneous partial </w:t>
      </w:r>
      <w:r w:rsidRPr="00F87319">
        <w:t>differential</w:t>
      </w:r>
      <w:r w:rsidRPr="00F87319">
        <w:rPr>
          <w:szCs w:val="18"/>
        </w:rPr>
        <w:t xml:space="preserve"> equations based on</w:t>
      </w:r>
    </w:p>
    <w:p w:rsidR="006D41BD" w:rsidRPr="00F87319" w:rsidRDefault="006D41BD" w:rsidP="00252491">
      <w:pPr>
        <w:pStyle w:val="NoSpacing"/>
        <w:numPr>
          <w:ilvl w:val="0"/>
          <w:numId w:val="38"/>
        </w:numPr>
        <w:spacing w:before="80" w:line="240" w:lineRule="atLeast"/>
        <w:ind w:left="548" w:hanging="274"/>
        <w:jc w:val="both"/>
        <w:rPr>
          <w:rFonts w:ascii="Book Antiqua" w:hAnsi="Book Antiqua"/>
          <w:sz w:val="18"/>
          <w:szCs w:val="18"/>
        </w:rPr>
      </w:pPr>
      <w:r w:rsidRPr="00F87319">
        <w:rPr>
          <w:rFonts w:ascii="Book Antiqua" w:hAnsi="Book Antiqua"/>
          <w:sz w:val="18"/>
          <w:szCs w:val="18"/>
        </w:rPr>
        <w:t>Gauss’s theorem applied to electrostatics,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Gauss’s theorem applied to magnetic fields,</w:t>
      </w:r>
    </w:p>
    <w:p w:rsidR="006D41BD" w:rsidRPr="00F87319" w:rsidRDefault="006D41BD" w:rsidP="00252491">
      <w:pPr>
        <w:pStyle w:val="NoSpacing"/>
        <w:numPr>
          <w:ilvl w:val="0"/>
          <w:numId w:val="38"/>
        </w:numPr>
        <w:spacing w:line="240" w:lineRule="atLeast"/>
        <w:ind w:left="540" w:hanging="270"/>
        <w:jc w:val="both"/>
        <w:rPr>
          <w:rFonts w:ascii="Book Antiqua" w:hAnsi="Book Antiqua"/>
          <w:sz w:val="18"/>
          <w:szCs w:val="18"/>
        </w:rPr>
      </w:pPr>
      <w:r w:rsidRPr="00F87319">
        <w:rPr>
          <w:rFonts w:ascii="Book Antiqua" w:hAnsi="Book Antiqua"/>
          <w:sz w:val="18"/>
          <w:szCs w:val="18"/>
        </w:rPr>
        <w:t>Faraday’s and Lenz’s law of electromagnetic induction,</w:t>
      </w:r>
    </w:p>
    <w:p w:rsidR="006D41BD" w:rsidRPr="00F87319" w:rsidRDefault="006D41BD" w:rsidP="00252491">
      <w:pPr>
        <w:pStyle w:val="NoSpacing"/>
        <w:numPr>
          <w:ilvl w:val="0"/>
          <w:numId w:val="38"/>
        </w:numPr>
        <w:spacing w:after="80" w:line="240" w:lineRule="atLeast"/>
        <w:ind w:left="548" w:hanging="274"/>
        <w:jc w:val="both"/>
        <w:rPr>
          <w:rFonts w:ascii="Book Antiqua" w:hAnsi="Book Antiqua"/>
          <w:sz w:val="18"/>
          <w:szCs w:val="18"/>
        </w:rPr>
      </w:pPr>
      <w:r w:rsidRPr="00F87319">
        <w:rPr>
          <w:rFonts w:ascii="Book Antiqua" w:hAnsi="Book Antiqua"/>
          <w:sz w:val="18"/>
          <w:szCs w:val="18"/>
        </w:rPr>
        <w:t>Ampere’s law for magnetomotive force.</w:t>
      </w:r>
    </w:p>
    <w:p w:rsidR="006D41BD" w:rsidRPr="00F87319" w:rsidRDefault="006D41BD" w:rsidP="006D41BD">
      <w:pPr>
        <w:pStyle w:val="NormPara"/>
        <w:ind w:firstLine="0"/>
        <w:rPr>
          <w:szCs w:val="18"/>
        </w:rPr>
      </w:pPr>
      <w:r w:rsidRPr="00F87319">
        <w:rPr>
          <w:szCs w:val="18"/>
        </w:rPr>
        <w:t xml:space="preserve">It can be shown </w:t>
      </w:r>
      <w:r w:rsidRPr="00F87319">
        <w:t>that</w:t>
      </w:r>
      <w:r w:rsidRPr="00F87319">
        <w:rPr>
          <w:szCs w:val="18"/>
        </w:rPr>
        <w:t xml:space="preserve"> the equations from 1. and 2. become [15]</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rStyle w:val="Strong"/>
          <w:rFonts w:eastAsia="Lucida Sans Unicode"/>
          <w:b w:val="0"/>
          <w:i/>
          <w:szCs w:val="18"/>
        </w:rPr>
      </w:pPr>
      <w:r w:rsidRPr="00F87319">
        <w:rPr>
          <w:rStyle w:val="style21"/>
          <w:rFonts w:eastAsia="Calibri"/>
          <w:bCs/>
          <w:szCs w:val="18"/>
        </w:rPr>
        <w:tab/>
      </w:r>
      <w:r w:rsidRPr="00F87319">
        <w:rPr>
          <w:rStyle w:val="style21"/>
          <w:rFonts w:eastAsia="Calibri"/>
          <w:bCs/>
          <w:szCs w:val="18"/>
        </w:rPr>
        <w:object w:dxaOrig="840" w:dyaOrig="320">
          <v:shape id="_x0000_i1070" type="#_x0000_t75" style="width:41.75pt;height:15.75pt" o:ole="">
            <v:imagedata r:id="rId444" o:title=""/>
          </v:shape>
          <o:OLEObject Type="Embed" ProgID="Equation.3" ShapeID="_x0000_i1070" DrawAspect="Content" ObjectID="_1433920222" r:id="rId445"/>
        </w:object>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yle21"/>
          <w:rFonts w:eastAsia="Calibri"/>
          <w:bCs/>
          <w:szCs w:val="18"/>
        </w:rPr>
        <w:tab/>
      </w:r>
      <w:r w:rsidRPr="00F87319">
        <w:rPr>
          <w:rStyle w:val="Strong"/>
          <w:rFonts w:eastAsia="Lucida Sans Unicode"/>
          <w:b w:val="0"/>
          <w:szCs w:val="18"/>
        </w:rPr>
        <w:tab/>
      </w:r>
      <w:r w:rsidRPr="00F87319">
        <w:rPr>
          <w:rStyle w:val="Strong"/>
          <w:rFonts w:eastAsia="Lucida Sans Unicode"/>
          <w:b w:val="0"/>
          <w:i/>
          <w:szCs w:val="18"/>
        </w:rPr>
        <w:t>(8)</w:t>
      </w:r>
    </w:p>
    <w:p w:rsidR="006D41BD" w:rsidRPr="00F87319" w:rsidRDefault="006D41BD" w:rsidP="006D41BD">
      <w:pPr>
        <w:pStyle w:val="equation"/>
        <w:spacing w:before="80" w:after="80"/>
        <w:jc w:val="right"/>
        <w:rPr>
          <w:rStyle w:val="Strong"/>
          <w:rFonts w:eastAsia="Lucida Sans Unicode"/>
          <w:b w:val="0"/>
          <w:szCs w:val="18"/>
        </w:rPr>
      </w:pPr>
    </w:p>
    <w:p w:rsidR="006D41BD" w:rsidRPr="00F87319" w:rsidRDefault="006D41BD" w:rsidP="006D41BD">
      <w:pPr>
        <w:pStyle w:val="equation"/>
        <w:spacing w:before="80" w:after="80"/>
        <w:jc w:val="right"/>
        <w:rPr>
          <w:i/>
          <w:szCs w:val="18"/>
        </w:rPr>
      </w:pPr>
      <w:r w:rsidRPr="00F87319">
        <w:rPr>
          <w:rStyle w:val="Emphasis"/>
          <w:bCs/>
          <w:i w:val="0"/>
          <w:szCs w:val="18"/>
        </w:rPr>
        <w:t>And</w:t>
      </w:r>
      <w:r w:rsidRPr="00F87319">
        <w:rPr>
          <w:rStyle w:val="Emphasis"/>
          <w:bCs/>
          <w:i w:val="0"/>
          <w:szCs w:val="18"/>
        </w:rPr>
        <w:tab/>
      </w:r>
      <w:r w:rsidRPr="00F87319">
        <w:rPr>
          <w:rStyle w:val="Emphasis"/>
          <w:bCs/>
          <w:i w:val="0"/>
          <w:szCs w:val="18"/>
        </w:rPr>
        <w:object w:dxaOrig="920" w:dyaOrig="320">
          <v:shape id="_x0000_i1071" type="#_x0000_t75" style="width:46pt;height:15.75pt" o:ole="">
            <v:imagedata r:id="rId446" o:title=""/>
          </v:shape>
          <o:OLEObject Type="Embed" ProgID="Equation.DSMT4" ShapeID="_x0000_i1071" DrawAspect="Content" ObjectID="_1433920223" r:id="rId447"/>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szCs w:val="18"/>
        </w:rPr>
        <w:tab/>
      </w:r>
      <w:r w:rsidRPr="00F87319">
        <w:rPr>
          <w:i/>
          <w:szCs w:val="18"/>
        </w:rPr>
        <w:t>(9)</w:t>
      </w:r>
    </w:p>
    <w:p w:rsidR="006D41BD" w:rsidRPr="00F87319" w:rsidRDefault="006D41BD" w:rsidP="006D41BD">
      <w:pPr>
        <w:pStyle w:val="equation"/>
        <w:spacing w:before="80" w:after="80"/>
        <w:jc w:val="right"/>
        <w:rPr>
          <w:i/>
          <w:szCs w:val="18"/>
        </w:rPr>
      </w:pPr>
    </w:p>
    <w:p w:rsidR="006D41BD" w:rsidRPr="00F87319" w:rsidRDefault="006D41BD" w:rsidP="006D41BD">
      <w:pPr>
        <w:pStyle w:val="NormPara"/>
        <w:ind w:firstLine="0"/>
        <w:rPr>
          <w:szCs w:val="18"/>
        </w:rPr>
      </w:pPr>
      <w:proofErr w:type="gramStart"/>
      <w:r w:rsidRPr="00F87319">
        <w:rPr>
          <w:szCs w:val="18"/>
        </w:rPr>
        <w:t>for</w:t>
      </w:r>
      <w:proofErr w:type="gramEnd"/>
      <w:r w:rsidRPr="00F87319">
        <w:rPr>
          <w:szCs w:val="18"/>
        </w:rPr>
        <w:t xml:space="preserve"> a vacuum, and so are independent of any variations in </w:t>
      </w:r>
      <w:r w:rsidRPr="00F87319">
        <w:rPr>
          <w:position w:val="-6"/>
          <w:szCs w:val="18"/>
        </w:rPr>
        <w:object w:dxaOrig="160" w:dyaOrig="200">
          <v:shape id="_x0000_i1072" type="#_x0000_t75" style="width:8.45pt;height:9.7pt" o:ole="">
            <v:imagedata r:id="rId448" o:title=""/>
          </v:shape>
          <o:OLEObject Type="Embed" ProgID="Equation.DSMT4" ShapeID="_x0000_i1072" DrawAspect="Content" ObjectID="_1433920224" r:id="rId449"/>
        </w:object>
      </w:r>
      <w:r w:rsidRPr="00F87319">
        <w:rPr>
          <w:szCs w:val="18"/>
        </w:rPr>
        <w:t>and</w:t>
      </w:r>
      <w:r w:rsidRPr="00F87319">
        <w:rPr>
          <w:position w:val="-8"/>
          <w:szCs w:val="18"/>
        </w:rPr>
        <w:object w:dxaOrig="200" w:dyaOrig="220">
          <v:shape id="_x0000_i1073" type="#_x0000_t75" style="width:9.7pt;height:10.3pt" o:ole="">
            <v:imagedata r:id="rId450" o:title=""/>
          </v:shape>
          <o:OLEObject Type="Embed" ProgID="PowerPoint.Slide.12" ShapeID="_x0000_i1073" DrawAspect="Content" ObjectID="_1433920225" r:id="rId451"/>
        </w:object>
      </w:r>
      <w:r w:rsidRPr="00F87319">
        <w:rPr>
          <w:szCs w:val="18"/>
        </w:rPr>
        <w:t xml:space="preserve">.  Further, it can be shown that </w:t>
      </w:r>
      <w:r w:rsidRPr="00F87319">
        <w:t>the</w:t>
      </w:r>
      <w:r w:rsidRPr="00F87319">
        <w:rPr>
          <w:szCs w:val="18"/>
        </w:rPr>
        <w:t xml:space="preserve"> equations from 3. and 4. eventually become</w:t>
      </w:r>
    </w:p>
    <w:p w:rsidR="006D41BD" w:rsidRPr="00F87319" w:rsidRDefault="006D41BD" w:rsidP="006D41BD">
      <w:pPr>
        <w:pStyle w:val="NormPara"/>
        <w:ind w:firstLine="0"/>
        <w:rPr>
          <w:szCs w:val="18"/>
        </w:rPr>
      </w:pPr>
    </w:p>
    <w:p w:rsidR="006D41BD" w:rsidRPr="00F87319" w:rsidRDefault="006D41BD" w:rsidP="006D41BD">
      <w:pPr>
        <w:pStyle w:val="equation"/>
        <w:spacing w:before="80" w:after="80"/>
        <w:jc w:val="right"/>
        <w:rPr>
          <w:szCs w:val="18"/>
        </w:rPr>
      </w:pPr>
      <w:r w:rsidRPr="00F87319">
        <w:rPr>
          <w:rStyle w:val="Emphasis"/>
          <w:bCs/>
          <w:i w:val="0"/>
          <w:szCs w:val="18"/>
        </w:rPr>
        <w:tab/>
      </w:r>
      <w:r w:rsidRPr="00F87319">
        <w:rPr>
          <w:rStyle w:val="Emphasis"/>
          <w:bCs/>
          <w:i w:val="0"/>
          <w:szCs w:val="18"/>
        </w:rPr>
        <w:object w:dxaOrig="1160" w:dyaOrig="540">
          <v:shape id="_x0000_i1074" type="#_x0000_t75" style="width:57.5pt;height:27.25pt" o:ole="">
            <v:imagedata r:id="rId452" o:title=""/>
          </v:shape>
          <o:OLEObject Type="Embed" ProgID="PowerPoint.Slide.12" ShapeID="_x0000_i1074" DrawAspect="Content" ObjectID="_1433920226" r:id="rId453"/>
        </w:objec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(10)</w:t>
      </w:r>
    </w:p>
    <w:p w:rsidR="006D41BD" w:rsidRPr="00F87319" w:rsidRDefault="006D41BD" w:rsidP="006D41BD">
      <w:pPr>
        <w:pStyle w:val="equation"/>
        <w:spacing w:before="80" w:after="80"/>
        <w:jc w:val="right"/>
        <w:rPr>
          <w:szCs w:val="18"/>
        </w:rPr>
      </w:pPr>
      <w:proofErr w:type="gramStart"/>
      <w:r w:rsidRPr="00F87319">
        <w:rPr>
          <w:rStyle w:val="Emphasis"/>
          <w:bCs/>
          <w:i w:val="0"/>
          <w:szCs w:val="18"/>
        </w:rPr>
        <w:t>and</w:t>
      </w:r>
      <w:proofErr w:type="gramEnd"/>
      <w:r w:rsidRPr="00F87319">
        <w:rPr>
          <w:rStyle w:val="Emphasis"/>
          <w:bCs/>
          <w:i w:val="0"/>
          <w:szCs w:val="18"/>
        </w:rPr>
        <w:tab/>
      </w:r>
      <w:r w:rsidRPr="00F87319">
        <w:rPr>
          <w:rStyle w:val="Emphasis"/>
          <w:bCs/>
          <w:i w:val="0"/>
          <w:szCs w:val="18"/>
        </w:rPr>
        <w:object w:dxaOrig="1040" w:dyaOrig="540">
          <v:shape id="_x0000_i1075" type="#_x0000_t75" style="width:52.05pt;height:27.25pt" o:ole="">
            <v:imagedata r:id="rId454" o:title=""/>
          </v:shape>
          <o:OLEObject Type="Embed" ProgID="Equation.DSMT4" ShapeID="_x0000_i1075" DrawAspect="Content" ObjectID="_1433920227" r:id="rId455"/>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
          <w:bCs/>
          <w:szCs w:val="18"/>
        </w:rPr>
        <w:tab/>
      </w:r>
      <w:r w:rsidRPr="00F87319">
        <w:rPr>
          <w:i/>
          <w:szCs w:val="18"/>
        </w:rPr>
        <w:t>(11)</w:t>
      </w:r>
    </w:p>
    <w:p w:rsidR="006D41BD" w:rsidRPr="00F87319" w:rsidRDefault="006D41BD" w:rsidP="006D41BD">
      <w:pPr>
        <w:pStyle w:val="NormPara"/>
        <w:ind w:firstLine="720"/>
        <w:rPr>
          <w:szCs w:val="18"/>
        </w:rPr>
      </w:pPr>
      <w:r w:rsidRPr="00F87319">
        <w:rPr>
          <w:szCs w:val="18"/>
        </w:rPr>
        <w:t>Provided that</w:t>
      </w:r>
      <w:r w:rsidRPr="00F87319">
        <w:rPr>
          <w:position w:val="-8"/>
          <w:szCs w:val="18"/>
        </w:rPr>
        <w:object w:dxaOrig="200" w:dyaOrig="220">
          <v:shape id="_x0000_i1076" type="#_x0000_t75" style="width:9.7pt;height:10.3pt" o:ole="">
            <v:imagedata r:id="rId456" o:title=""/>
          </v:shape>
          <o:OLEObject Type="Embed" ProgID="PowerPoint.Slide.12" ShapeID="_x0000_i1076" DrawAspect="Content" ObjectID="_1433920228" r:id="rId457"/>
        </w:object>
      </w:r>
      <w:r w:rsidRPr="00F87319">
        <w:rPr>
          <w:szCs w:val="18"/>
        </w:rPr>
        <w:t>varies slowly with respect to</w:t>
      </w:r>
      <w:r w:rsidRPr="00F87319">
        <w:rPr>
          <w:position w:val="-4"/>
          <w:szCs w:val="18"/>
        </w:rPr>
        <w:object w:dxaOrig="220" w:dyaOrig="260">
          <v:shape id="_x0000_i1077" type="#_x0000_t75" style="width:10.3pt;height:12.7pt" o:ole="">
            <v:imagedata r:id="rId458" o:title=""/>
          </v:shape>
          <o:OLEObject Type="Embed" ProgID="Equation.DSMT4" ShapeID="_x0000_i1077" DrawAspect="Content" ObjectID="_1433920229" r:id="rId459"/>
        </w:object>
      </w:r>
      <w:r w:rsidRPr="00F87319">
        <w:rPr>
          <w:szCs w:val="18"/>
        </w:rPr>
        <w:t xml:space="preserve">, and that </w:t>
      </w:r>
      <m:oMath>
        <m:r>
          <w:rPr>
            <w:rFonts w:ascii="Cambria Math" w:hAnsi="Cambria Math"/>
            <w:szCs w:val="18"/>
          </w:rPr>
          <m:t>ε</m:t>
        </m:r>
      </m:oMath>
      <w:r w:rsidRPr="00F87319">
        <w:rPr>
          <w:szCs w:val="18"/>
        </w:rPr>
        <w:t xml:space="preserve"> varies slowly with respect </w:t>
      </w:r>
      <w:proofErr w:type="gramStart"/>
      <w:r w:rsidRPr="00F87319">
        <w:rPr>
          <w:szCs w:val="18"/>
        </w:rPr>
        <w:t xml:space="preserve">to </w:t>
      </w:r>
      <w:proofErr w:type="gramEnd"/>
      <w:r w:rsidRPr="00F87319">
        <w:rPr>
          <w:position w:val="-4"/>
          <w:szCs w:val="18"/>
        </w:rPr>
        <w:object w:dxaOrig="180" w:dyaOrig="260">
          <v:shape id="_x0000_i1078" type="#_x0000_t75" style="width:9.1pt;height:12.7pt" o:ole="">
            <v:imagedata r:id="rId460" o:title=""/>
          </v:shape>
          <o:OLEObject Type="Embed" ProgID="PowerPoint.Slide.12" ShapeID="_x0000_i1078" DrawAspect="Content" ObjectID="_1433920230" r:id="rId461"/>
        </w:object>
      </w:r>
      <w:r w:rsidRPr="00F87319">
        <w:rPr>
          <w:szCs w:val="18"/>
        </w:rPr>
        <w:t>, this formulation is still valid.  The general wave equation which 1, 2, 3, and 4 reduce to then has the form</w:t>
      </w:r>
      <w:r w:rsidRPr="00F87319">
        <w:rPr>
          <w:szCs w:val="18"/>
        </w:rPr>
        <w:tab/>
      </w:r>
    </w:p>
    <w:p w:rsidR="006D41BD" w:rsidRPr="00F87319" w:rsidRDefault="006D41BD" w:rsidP="006D41BD">
      <w:pPr>
        <w:pStyle w:val="equation"/>
        <w:spacing w:before="0" w:after="80"/>
        <w:jc w:val="right"/>
        <w:rPr>
          <w:rStyle w:val="Strong"/>
          <w:rFonts w:eastAsia="Lucida Sans Unicode"/>
          <w:b w:val="0"/>
          <w:szCs w:val="18"/>
        </w:rPr>
      </w:pPr>
      <w:r w:rsidRPr="00F87319">
        <w:rPr>
          <w:rStyle w:val="Emphasis"/>
          <w:bCs/>
          <w:i w:val="0"/>
          <w:szCs w:val="18"/>
        </w:rPr>
        <w:tab/>
      </w:r>
      <w:r w:rsidRPr="00F87319">
        <w:rPr>
          <w:rStyle w:val="Emphasis"/>
          <w:bCs/>
          <w:i w:val="0"/>
          <w:szCs w:val="18"/>
        </w:rPr>
        <w:object w:dxaOrig="1219" w:dyaOrig="580">
          <v:shape id="_x0000_i1079" type="#_x0000_t75" style="width:60.5pt;height:29.05pt" o:ole="">
            <v:imagedata r:id="rId462" o:title=""/>
          </v:shape>
          <o:OLEObject Type="Embed" ProgID="PowerPoint.Slide.12" ShapeID="_x0000_i1079" DrawAspect="Content" ObjectID="_1433920231" r:id="rId463"/>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Strong"/>
          <w:rFonts w:eastAsia="Lucida Sans Unicode"/>
          <w:szCs w:val="18"/>
        </w:rPr>
        <w:tab/>
      </w:r>
      <w:r w:rsidRPr="00F87319">
        <w:rPr>
          <w:rStyle w:val="Strong"/>
          <w:rFonts w:eastAsia="Lucida Sans Unicode"/>
          <w:szCs w:val="18"/>
        </w:rPr>
        <w:tab/>
      </w:r>
      <w:r w:rsidRPr="00F87319">
        <w:rPr>
          <w:rStyle w:val="Strong"/>
          <w:rFonts w:eastAsia="Lucida Sans Unicode"/>
          <w:b w:val="0"/>
          <w:i/>
          <w:szCs w:val="18"/>
        </w:rPr>
        <w:t>(12)</w:t>
      </w:r>
    </w:p>
    <w:p w:rsidR="006D41BD" w:rsidRPr="00F87319" w:rsidRDefault="006D41BD" w:rsidP="006D41BD">
      <w:pPr>
        <w:pStyle w:val="equation"/>
        <w:spacing w:before="0" w:after="80"/>
        <w:jc w:val="right"/>
        <w:rPr>
          <w:rStyle w:val="Strong"/>
          <w:rFonts w:eastAsia="Lucida Sans Unicode"/>
          <w:szCs w:val="18"/>
        </w:rPr>
      </w:pPr>
    </w:p>
    <w:p w:rsidR="006D41BD" w:rsidRPr="00F87319" w:rsidRDefault="006D41BD" w:rsidP="006D41BD">
      <w:pPr>
        <w:pStyle w:val="equation"/>
        <w:spacing w:before="80" w:after="80"/>
        <w:jc w:val="right"/>
        <w:rPr>
          <w:i/>
          <w:szCs w:val="18"/>
        </w:rPr>
      </w:pPr>
      <w:proofErr w:type="gramStart"/>
      <w:r w:rsidRPr="00F87319">
        <w:rPr>
          <w:rStyle w:val="Emphasis"/>
          <w:bCs/>
          <w:i w:val="0"/>
          <w:szCs w:val="18"/>
        </w:rPr>
        <w:t>where</w:t>
      </w:r>
      <w:proofErr w:type="gramEnd"/>
      <w:r w:rsidRPr="00F87319">
        <w:rPr>
          <w:rStyle w:val="Emphasis"/>
          <w:bCs/>
          <w:i w:val="0"/>
          <w:szCs w:val="18"/>
        </w:rPr>
        <w:tab/>
      </w:r>
      <w:r w:rsidRPr="00F87319">
        <w:rPr>
          <w:rStyle w:val="Emphasis"/>
          <w:bCs/>
          <w:i w:val="0"/>
          <w:szCs w:val="18"/>
        </w:rPr>
        <w:object w:dxaOrig="1040" w:dyaOrig="520">
          <v:shape id="_x0000_i1080" type="#_x0000_t75" style="width:52.05pt;height:26pt" o:ole="">
            <v:imagedata r:id="rId464" o:title=""/>
          </v:shape>
          <o:OLEObject Type="Embed" ProgID="PowerPoint.Slide.12" ShapeID="_x0000_i1080" DrawAspect="Content" ObjectID="_1433920232" r:id="rId465"/>
        </w:object>
      </w:r>
      <w:r w:rsidRPr="00F87319">
        <w:rPr>
          <w:rStyle w:val="Emphasis"/>
          <w:bCs/>
          <w:i w:val="0"/>
          <w:szCs w:val="18"/>
        </w:rPr>
        <w:t xml:space="preserve"> .</w:t>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rStyle w:val="Emphasis"/>
          <w:bCs/>
          <w:i w:val="0"/>
          <w:szCs w:val="18"/>
        </w:rPr>
        <w:tab/>
      </w:r>
      <w:r w:rsidRPr="00F87319">
        <w:rPr>
          <w:i/>
          <w:szCs w:val="18"/>
        </w:rPr>
        <w:tab/>
        <w:t>(13)</w:t>
      </w:r>
    </w:p>
    <w:p w:rsidR="006D41BD" w:rsidRPr="00F87319" w:rsidRDefault="006D41BD" w:rsidP="006D41BD">
      <w:pPr>
        <w:pStyle w:val="equation"/>
        <w:spacing w:before="80" w:after="80"/>
        <w:jc w:val="right"/>
        <w:rPr>
          <w:szCs w:val="18"/>
        </w:rPr>
      </w:pPr>
    </w:p>
    <w:p w:rsidR="006D41BD" w:rsidRPr="00F87319" w:rsidRDefault="006D41BD" w:rsidP="006D41BD">
      <w:pPr>
        <w:pStyle w:val="NormPara"/>
        <w:ind w:firstLine="0"/>
        <w:rPr>
          <w:szCs w:val="18"/>
        </w:rPr>
      </w:pPr>
      <w:r w:rsidRPr="00F87319">
        <w:rPr>
          <w:szCs w:val="18"/>
        </w:rPr>
        <w:t xml:space="preserve">and </w:t>
      </w:r>
      <w:r w:rsidRPr="00F87319">
        <w:rPr>
          <w:rStyle w:val="Emphasis"/>
          <w:b/>
          <w:bCs/>
          <w:i w:val="0"/>
          <w:szCs w:val="18"/>
        </w:rPr>
        <w:t>A</w:t>
      </w:r>
      <w:r w:rsidRPr="00F87319">
        <w:rPr>
          <w:szCs w:val="18"/>
        </w:rPr>
        <w:t xml:space="preserve"> is some scalar or vector quantity.  Again, this equation is valid for describing wave motion provided that </w:t>
      </w:r>
      <w:r w:rsidRPr="00F87319">
        <w:rPr>
          <w:position w:val="-6"/>
          <w:szCs w:val="18"/>
        </w:rPr>
        <w:object w:dxaOrig="260" w:dyaOrig="300">
          <v:shape id="_x0000_i1081" type="#_x0000_t75" style="width:12.7pt;height:15.15pt" o:ole="">
            <v:imagedata r:id="rId466" o:title=""/>
          </v:shape>
          <o:OLEObject Type="Embed" ProgID="Equation.DSMT4" ShapeID="_x0000_i1081" DrawAspect="Content" ObjectID="_1433920233" r:id="rId467"/>
        </w:object>
      </w:r>
      <w:r w:rsidRPr="00F87319">
        <w:rPr>
          <w:szCs w:val="18"/>
        </w:rPr>
        <w:t xml:space="preserve"> varies slowly with respect to </w:t>
      </w:r>
      <w:r w:rsidRPr="00F87319">
        <w:rPr>
          <w:rStyle w:val="Emphasis"/>
          <w:b/>
          <w:bCs/>
          <w:i w:val="0"/>
          <w:szCs w:val="18"/>
        </w:rPr>
        <w:t>A</w:t>
      </w:r>
      <w:r w:rsidRPr="00F87319">
        <w:rPr>
          <w:szCs w:val="18"/>
        </w:rPr>
        <w:t xml:space="preserve">.  Since a ZPE change manifests as a change </w:t>
      </w:r>
      <w:proofErr w:type="gramStart"/>
      <w:r w:rsidRPr="00F87319">
        <w:rPr>
          <w:szCs w:val="18"/>
        </w:rPr>
        <w:t xml:space="preserve">in </w:t>
      </w:r>
      <w:proofErr w:type="gramEnd"/>
      <w:r w:rsidRPr="00F87319">
        <w:rPr>
          <w:position w:val="-6"/>
          <w:szCs w:val="18"/>
        </w:rPr>
        <w:object w:dxaOrig="180" w:dyaOrig="200">
          <v:shape id="_x0000_i1082" type="#_x0000_t75" style="width:9.1pt;height:9.7pt" o:ole="">
            <v:imagedata r:id="rId468" o:title=""/>
          </v:shape>
          <o:OLEObject Type="Embed" ProgID="Equation.DSMT4" ShapeID="_x0000_i1082" DrawAspect="Content" ObjectID="_1433920234" r:id="rId469"/>
        </w:object>
      </w:r>
      <w:r w:rsidRPr="00F87319">
        <w:rPr>
          <w:szCs w:val="18"/>
        </w:rPr>
        <w:t xml:space="preserve">, </w:t>
      </w:r>
      <w:r w:rsidRPr="00F87319">
        <w:rPr>
          <w:position w:val="-8"/>
          <w:szCs w:val="18"/>
        </w:rPr>
        <w:object w:dxaOrig="200" w:dyaOrig="220">
          <v:shape id="_x0000_i1083" type="#_x0000_t75" style="width:9.7pt;height:10.3pt" o:ole="">
            <v:imagedata r:id="rId470" o:title=""/>
          </v:shape>
          <o:OLEObject Type="Embed" ProgID="Equation.DSMT4" ShapeID="_x0000_i1083" DrawAspect="Content" ObjectID="_1433920235" r:id="rId471"/>
        </w:object>
      </w:r>
      <w:r w:rsidRPr="00F87319">
        <w:rPr>
          <w:szCs w:val="18"/>
        </w:rPr>
        <w:t xml:space="preserve">, and </w:t>
      </w:r>
      <w:r w:rsidRPr="00F87319">
        <w:rPr>
          <w:position w:val="-6"/>
          <w:szCs w:val="18"/>
        </w:rPr>
        <w:object w:dxaOrig="160" w:dyaOrig="200">
          <v:shape id="_x0000_i1084" type="#_x0000_t75" style="width:8.45pt;height:9.7pt" o:ole="">
            <v:imagedata r:id="rId472" o:title=""/>
          </v:shape>
          <o:OLEObject Type="Embed" ProgID="Equation.DSMT4" ShapeID="_x0000_i1084" DrawAspect="Content" ObjectID="_1433920236" r:id="rId473"/>
        </w:object>
      </w:r>
      <w:r w:rsidRPr="00F87319">
        <w:rPr>
          <w:szCs w:val="18"/>
        </w:rPr>
        <w:t xml:space="preserve">, as well as proportional changes in atomic clock rates, this condition is always maintained.  In addition, another derivation of Maxwell’s equations </w:t>
      </w:r>
      <w:r w:rsidRPr="00F87319">
        <w:t>shows</w:t>
      </w:r>
      <w:r w:rsidRPr="00F87319">
        <w:rPr>
          <w:szCs w:val="18"/>
        </w:rPr>
        <w:t xml:space="preserve"> an almost infinite variation </w:t>
      </w:r>
      <w:proofErr w:type="gramStart"/>
      <w:r w:rsidRPr="00F87319">
        <w:rPr>
          <w:szCs w:val="18"/>
        </w:rPr>
        <w:t xml:space="preserve">in </w:t>
      </w:r>
      <w:proofErr w:type="gramEnd"/>
      <w:r w:rsidRPr="00F87319">
        <w:rPr>
          <w:position w:val="-6"/>
          <w:szCs w:val="18"/>
        </w:rPr>
        <w:object w:dxaOrig="180" w:dyaOrig="200">
          <v:shape id="_x0000_i1085" type="#_x0000_t75" style="width:9.1pt;height:9.7pt" o:ole="">
            <v:imagedata r:id="rId474" o:title=""/>
          </v:shape>
          <o:OLEObject Type="Embed" ProgID="Equation.DSMT4" ShapeID="_x0000_i1085" DrawAspect="Content" ObjectID="_1433920237" r:id="rId475"/>
        </w:object>
      </w:r>
      <w:r w:rsidRPr="00F87319">
        <w:rPr>
          <w:szCs w:val="18"/>
        </w:rPr>
        <w:t xml:space="preserve">, </w:t>
      </w:r>
      <w:r w:rsidRPr="00F87319">
        <w:rPr>
          <w:position w:val="-8"/>
          <w:szCs w:val="18"/>
        </w:rPr>
        <w:object w:dxaOrig="200" w:dyaOrig="220">
          <v:shape id="_x0000_i1086" type="#_x0000_t75" style="width:9.7pt;height:10.3pt" o:ole="">
            <v:imagedata r:id="rId476" o:title=""/>
          </v:shape>
          <o:OLEObject Type="Embed" ProgID="Equation.DSMT4" ShapeID="_x0000_i1086" DrawAspect="Content" ObjectID="_1433920238" r:id="rId477"/>
        </w:object>
      </w:r>
      <w:r w:rsidRPr="00F87319">
        <w:rPr>
          <w:szCs w:val="18"/>
        </w:rPr>
        <w:t xml:space="preserve">, and </w:t>
      </w:r>
      <w:r w:rsidRPr="00F87319">
        <w:rPr>
          <w:position w:val="-6"/>
          <w:szCs w:val="18"/>
        </w:rPr>
        <w:object w:dxaOrig="160" w:dyaOrig="200">
          <v:shape id="_x0000_i1087" type="#_x0000_t75" style="width:8.45pt;height:9.7pt" o:ole="">
            <v:imagedata r:id="rId472" o:title=""/>
          </v:shape>
          <o:OLEObject Type="Embed" ProgID="Equation.DSMT4" ShapeID="_x0000_i1087" DrawAspect="Content" ObjectID="_1433920239" r:id="rId478"/>
        </w:object>
      </w:r>
      <w:r w:rsidRPr="00F87319">
        <w:rPr>
          <w:szCs w:val="18"/>
        </w:rPr>
        <w:t xml:space="preserve"> is permitted in the system of units that Maxwell himself was using </w:t>
      </w:r>
      <w:hyperlink r:id="rId479" w:anchor="7a49" w:history="1">
        <w:r w:rsidRPr="00F87319">
          <w:rPr>
            <w:rStyle w:val="Hyperlink"/>
            <w:szCs w:val="18"/>
          </w:rPr>
          <w:t>[16</w:t>
        </w:r>
      </w:hyperlink>
      <w:r w:rsidRPr="00F87319">
        <w:rPr>
          <w:szCs w:val="18"/>
        </w:rPr>
        <w:t>].  The analysis here therefore indicates that Maxwell’s equations can be satisfied with a varying ZPE,</w:t>
      </w:r>
      <w:r w:rsidRPr="00F87319">
        <w:rPr>
          <w:position w:val="-6"/>
          <w:szCs w:val="18"/>
        </w:rPr>
        <w:object w:dxaOrig="180" w:dyaOrig="200">
          <v:shape id="_x0000_i1088" type="#_x0000_t75" style="width:9.1pt;height:9.7pt" o:ole="">
            <v:imagedata r:id="rId474" o:title=""/>
          </v:shape>
          <o:OLEObject Type="Embed" ProgID="Equation.DSMT4" ShapeID="_x0000_i1088" DrawAspect="Content" ObjectID="_1433920240" r:id="rId480"/>
        </w:object>
      </w:r>
      <w:proofErr w:type="gramStart"/>
      <w:r w:rsidRPr="00F87319">
        <w:rPr>
          <w:szCs w:val="18"/>
        </w:rPr>
        <w:t>,</w:t>
      </w:r>
      <w:r w:rsidRPr="00F87319">
        <w:rPr>
          <w:position w:val="-8"/>
          <w:szCs w:val="18"/>
        </w:rPr>
        <w:object w:dxaOrig="200" w:dyaOrig="220">
          <v:shape id="_x0000_i1089" type="#_x0000_t75" style="width:9.7pt;height:10.3pt" o:ole="">
            <v:imagedata r:id="rId476" o:title=""/>
          </v:shape>
          <o:OLEObject Type="Embed" ProgID="Equation.DSMT4" ShapeID="_x0000_i1089" DrawAspect="Content" ObjectID="_1433920241" r:id="rId481"/>
        </w:object>
      </w:r>
      <w:r w:rsidRPr="00F87319">
        <w:rPr>
          <w:szCs w:val="18"/>
        </w:rPr>
        <w:t>,</w:t>
      </w:r>
      <w:proofErr w:type="gramEnd"/>
      <w:r w:rsidRPr="00F87319">
        <w:rPr>
          <w:szCs w:val="18"/>
        </w:rPr>
        <w:t xml:space="preserve"> and </w:t>
      </w:r>
      <w:r w:rsidRPr="00F87319">
        <w:rPr>
          <w:position w:val="-6"/>
          <w:szCs w:val="18"/>
        </w:rPr>
        <w:object w:dxaOrig="160" w:dyaOrig="200">
          <v:shape id="_x0000_i1090" type="#_x0000_t75" style="width:8.45pt;height:9.7pt" o:ole="">
            <v:imagedata r:id="rId472" o:title=""/>
          </v:shape>
          <o:OLEObject Type="Embed" ProgID="Equation.DSMT4" ShapeID="_x0000_i1090" DrawAspect="Content" ObjectID="_1433920242" r:id="rId482"/>
        </w:object>
      </w:r>
      <w:r w:rsidRPr="00F87319">
        <w:rPr>
          <w:rStyle w:val="Emphasis"/>
          <w:bCs/>
          <w:i w:val="0"/>
          <w:szCs w:val="18"/>
        </w:rPr>
        <w:t>in a manner</w:t>
      </w:r>
      <w:r w:rsidRPr="00F87319">
        <w:rPr>
          <w:rStyle w:val="Emphasis"/>
          <w:bCs/>
          <w:szCs w:val="18"/>
        </w:rPr>
        <w:t xml:space="preserve"> </w:t>
      </w:r>
      <w:r w:rsidRPr="00F87319">
        <w:rPr>
          <w:szCs w:val="18"/>
        </w:rPr>
        <w:t>independent of relativity.</w:t>
      </w:r>
    </w:p>
    <w:p w:rsidR="006D41BD" w:rsidRPr="00F87319" w:rsidRDefault="006D41BD" w:rsidP="006D41BD">
      <w:pPr>
        <w:pStyle w:val="Heading2"/>
        <w:widowControl/>
        <w:spacing w:before="80" w:after="80" w:line="240" w:lineRule="atLeast"/>
        <w:rPr>
          <w:rFonts w:ascii="Book Antiqua" w:hAnsi="Book Antiqua"/>
          <w:b w:val="0"/>
          <w:sz w:val="20"/>
        </w:rPr>
      </w:pPr>
      <w:r w:rsidRPr="00F87319">
        <w:rPr>
          <w:rFonts w:ascii="Book Antiqua" w:hAnsi="Book Antiqua"/>
          <w:b w:val="0"/>
          <w:sz w:val="20"/>
        </w:rPr>
        <w:t>1.12. Einstein’s Two Postulates</w:t>
      </w:r>
    </w:p>
    <w:p w:rsidR="006D41BD" w:rsidRPr="00F87319" w:rsidRDefault="006D41BD" w:rsidP="006D41BD">
      <w:pPr>
        <w:rPr>
          <w:rFonts w:ascii="Book Antiqua" w:hAnsi="Book Antiqua"/>
        </w:rPr>
      </w:pPr>
    </w:p>
    <w:p w:rsidR="006D41BD" w:rsidRPr="00F87319" w:rsidRDefault="006D41BD" w:rsidP="006D41BD">
      <w:pPr>
        <w:pStyle w:val="NormPara"/>
        <w:ind w:firstLine="720"/>
        <w:rPr>
          <w:rStyle w:val="Emphasis"/>
          <w:i w:val="0"/>
          <w:szCs w:val="18"/>
        </w:rPr>
      </w:pPr>
      <w:r w:rsidRPr="00F87319">
        <w:rPr>
          <w:szCs w:val="18"/>
        </w:rPr>
        <w:t xml:space="preserve">Einstein's basic postulate, </w:t>
      </w:r>
      <w:r w:rsidRPr="00F87319">
        <w:t>from</w:t>
      </w:r>
      <w:r w:rsidRPr="00F87319">
        <w:rPr>
          <w:szCs w:val="18"/>
        </w:rPr>
        <w:t xml:space="preserve"> which the theory of relativity takes its name, is that there is no absolute frame of reference anywhere in the universe.  This appeared to be true for some time.  However, in 1964 the Cosmic Microwave Background Radiation (CMBR) was discovered by Penzias and Wilson.  In contrast with relativity theory, the physical reality of the CMBR has provided an absolute rest frame against which the actual velocity of the solar system, our galaxy, and our Local Group of galaxies can be measured. </w:t>
      </w:r>
      <w:r w:rsidRPr="00F87319">
        <w:rPr>
          <w:szCs w:val="18"/>
        </w:rPr>
        <w:lastRenderedPageBreak/>
        <w:t xml:space="preserve">In his book </w:t>
      </w:r>
      <w:r w:rsidRPr="00F87319">
        <w:rPr>
          <w:b/>
          <w:szCs w:val="18"/>
        </w:rPr>
        <w:t>Astrophysical Concepts</w:t>
      </w:r>
      <w:r w:rsidRPr="00F87319">
        <w:rPr>
          <w:szCs w:val="18"/>
        </w:rPr>
        <w:t xml:space="preserve">, Martin Harwit writes: </w:t>
      </w:r>
      <w:r w:rsidRPr="00F87319">
        <w:rPr>
          <w:rStyle w:val="Emphasis"/>
          <w:szCs w:val="18"/>
        </w:rPr>
        <w:t xml:space="preserve">Current observations indicate that the universe is bathed by an isotropic bath of microwave radiation.  It is interesting that the presence of such a radiation field should allow us to determine an absolute rest frame on the basis of local measurement. </w:t>
      </w:r>
      <w:r w:rsidRPr="00F87319">
        <w:rPr>
          <w:rStyle w:val="Emphasis"/>
          <w:i w:val="0"/>
          <w:szCs w:val="18"/>
        </w:rPr>
        <w:t>[17]</w:t>
      </w:r>
    </w:p>
    <w:p w:rsidR="006D41BD" w:rsidRPr="00F87319" w:rsidRDefault="006D41BD" w:rsidP="006D41BD">
      <w:pPr>
        <w:pStyle w:val="NormPara"/>
        <w:ind w:firstLine="720"/>
        <w:rPr>
          <w:rStyle w:val="Emphasis"/>
          <w:i w:val="0"/>
          <w:szCs w:val="18"/>
        </w:rPr>
      </w:pPr>
    </w:p>
    <w:p w:rsidR="006D41BD" w:rsidRPr="00F87319" w:rsidRDefault="006D41BD" w:rsidP="006D41BD">
      <w:pPr>
        <w:pStyle w:val="NormPara"/>
        <w:ind w:firstLine="548"/>
        <w:rPr>
          <w:szCs w:val="18"/>
        </w:rPr>
      </w:pPr>
      <w:r w:rsidRPr="00F87319">
        <w:rPr>
          <w:rStyle w:val="Emphasis"/>
          <w:i w:val="0"/>
          <w:szCs w:val="18"/>
        </w:rPr>
        <w:t xml:space="preserve">Using the CMBR, the velocity of our Solar System has been measured as 390 km/s towards the constellation of Leo, and our Milky Way galaxy is moving at 600 km/s in the direction of the Centaurus cluster. </w:t>
      </w:r>
      <w:r w:rsidRPr="00F87319">
        <w:rPr>
          <w:rStyle w:val="Emphasis"/>
          <w:szCs w:val="18"/>
        </w:rPr>
        <w:t xml:space="preserve"> </w:t>
      </w:r>
      <w:r w:rsidRPr="00F87319">
        <w:rPr>
          <w:szCs w:val="18"/>
        </w:rPr>
        <w:t xml:space="preserve">Harwit then goes on to salvage what he can for relativity by saying: </w:t>
      </w:r>
      <w:r w:rsidRPr="00F87319">
        <w:rPr>
          <w:rStyle w:val="Emphasis"/>
          <w:szCs w:val="18"/>
        </w:rPr>
        <w:t xml:space="preserve">[T]he establishment of an absolute rest frame would emphasize the fact that special relativity is really only able to deal with small-scale phenomena and that phenomena on larger scales allow us to determine a preferred frame of reference in which cosmic processes look isotropic. </w:t>
      </w:r>
      <w:r w:rsidRPr="00F87319">
        <w:rPr>
          <w:rStyle w:val="Emphasis"/>
          <w:i w:val="0"/>
          <w:szCs w:val="18"/>
        </w:rPr>
        <w:t>[17] Martin</w:t>
      </w:r>
      <w:r w:rsidRPr="00F87319">
        <w:rPr>
          <w:rStyle w:val="Emphasis"/>
          <w:szCs w:val="18"/>
        </w:rPr>
        <w:t xml:space="preserve"> </w:t>
      </w:r>
      <w:r w:rsidRPr="00F87319">
        <w:rPr>
          <w:szCs w:val="18"/>
        </w:rPr>
        <w:t>Harwit is correct.  The work based on the ZPE also shows that Einstein’s equations may be valid in the atomic frame of reference but not in the larger world.</w:t>
      </w:r>
    </w:p>
    <w:p w:rsidR="006D41BD" w:rsidRPr="00F87319" w:rsidRDefault="006D41BD" w:rsidP="006D41BD">
      <w:pPr>
        <w:pStyle w:val="NormPara"/>
        <w:ind w:firstLine="548"/>
        <w:rPr>
          <w:szCs w:val="18"/>
        </w:rPr>
      </w:pPr>
    </w:p>
    <w:p w:rsidR="006D41BD" w:rsidRPr="00F87319" w:rsidRDefault="006D41BD" w:rsidP="006D41BD">
      <w:pPr>
        <w:pStyle w:val="NormPara"/>
        <w:ind w:firstLine="450"/>
        <w:rPr>
          <w:szCs w:val="18"/>
        </w:rPr>
      </w:pPr>
      <w:r w:rsidRPr="00F87319">
        <w:rPr>
          <w:szCs w:val="18"/>
        </w:rPr>
        <w:t xml:space="preserve">Einstein’s second </w:t>
      </w:r>
      <w:r w:rsidRPr="00F87319">
        <w:t>basic</w:t>
      </w:r>
      <w:r w:rsidRPr="00F87319">
        <w:rPr>
          <w:szCs w:val="18"/>
        </w:rPr>
        <w:t xml:space="preserve"> postulate, stating that the speed of light is an absolute constant, is also called into doubt by the speed of light experiments that were discussed in Chapters 2 and 3.  Relativity cannot account for these variations in </w:t>
      </w:r>
      <w:r w:rsidRPr="00F87319">
        <w:rPr>
          <w:i/>
          <w:szCs w:val="18"/>
        </w:rPr>
        <w:t xml:space="preserve">c </w:t>
      </w:r>
      <w:r w:rsidRPr="00F87319">
        <w:rPr>
          <w:szCs w:val="18"/>
        </w:rPr>
        <w:t xml:space="preserve">and so declares them to be erroneous.  Einstein stated that the speed of light was the uppermost possible speed for anything in the universe.  A different approach to relativity, based on Galilean concepts, shows that although there is an upper maximum speed for the cosmos, it need not be the current speed of light.  This approach received prominence in “New Scientist” for 1 November 2008.  The cover page read </w:t>
      </w:r>
      <w:r w:rsidRPr="00F87319">
        <w:rPr>
          <w:rStyle w:val="Emphasis"/>
          <w:szCs w:val="18"/>
        </w:rPr>
        <w:t>“Why Einstein was wrong about relativity: the speed of light is nothing special.”</w:t>
      </w:r>
      <w:r w:rsidRPr="00F87319">
        <w:rPr>
          <w:szCs w:val="18"/>
        </w:rPr>
        <w:t xml:space="preserve">  The article on pages 28-31 carried the bolded comment “</w:t>
      </w:r>
      <w:r w:rsidRPr="00F87319">
        <w:rPr>
          <w:rStyle w:val="Emphasis"/>
          <w:szCs w:val="18"/>
        </w:rPr>
        <w:t>Not only is light not necessary in relativity—there's no room in the theory for it.”</w:t>
      </w:r>
      <w:r w:rsidRPr="00F87319">
        <w:rPr>
          <w:szCs w:val="18"/>
        </w:rPr>
        <w:t xml:space="preserve">  Then it goes on to state: “</w:t>
      </w:r>
      <w:r w:rsidRPr="00F87319">
        <w:rPr>
          <w:rStyle w:val="Emphasis"/>
          <w:szCs w:val="18"/>
        </w:rPr>
        <w:t xml:space="preserve">Light's special position in relativity is a historical accident.” </w:t>
      </w:r>
      <w:r w:rsidRPr="00F87319">
        <w:rPr>
          <w:szCs w:val="18"/>
        </w:rPr>
        <w:t xml:space="preserve">[18]  Thus the second basic postulate has also been shown to be problematical.  It is possible, however, that this upper maximum speed for the cosmos was the original speed of light, which then slowed </w:t>
      </w:r>
      <w:r w:rsidRPr="00F87319">
        <w:t>as</w:t>
      </w:r>
      <w:r w:rsidRPr="00F87319">
        <w:rPr>
          <w:szCs w:val="18"/>
        </w:rPr>
        <w:t xml:space="preserve"> the ZPE strength increased.</w:t>
      </w:r>
    </w:p>
    <w:p w:rsidR="006D41BD" w:rsidRPr="00F87319" w:rsidRDefault="006D41BD" w:rsidP="006D41BD">
      <w:pPr>
        <w:pStyle w:val="NormPara"/>
        <w:ind w:firstLine="450"/>
        <w:rPr>
          <w:szCs w:val="18"/>
        </w:rPr>
      </w:pPr>
    </w:p>
    <w:p w:rsidR="006D41BD" w:rsidRPr="00D818DD" w:rsidRDefault="006D41BD" w:rsidP="00252491">
      <w:pPr>
        <w:pStyle w:val="Heading2"/>
        <w:widowControl/>
        <w:numPr>
          <w:ilvl w:val="0"/>
          <w:numId w:val="39"/>
        </w:numPr>
        <w:spacing w:before="80" w:after="80" w:line="240" w:lineRule="atLeast"/>
        <w:rPr>
          <w:rFonts w:ascii="Book Antiqua" w:hAnsi="Book Antiqua"/>
          <w:b w:val="0"/>
          <w:sz w:val="20"/>
        </w:rPr>
      </w:pPr>
      <w:r w:rsidRPr="00D818DD">
        <w:rPr>
          <w:rFonts w:ascii="Book Antiqua" w:hAnsi="Book Antiqua"/>
          <w:b w:val="0"/>
          <w:sz w:val="20"/>
        </w:rPr>
        <w:t>13. That Famous Equation</w:t>
      </w:r>
    </w:p>
    <w:p w:rsidR="006D41BD" w:rsidRPr="00F87319" w:rsidRDefault="006D41BD" w:rsidP="006D41BD">
      <w:pPr>
        <w:rPr>
          <w:rFonts w:ascii="Book Antiqua" w:hAnsi="Book Antiqua"/>
        </w:rPr>
      </w:pPr>
    </w:p>
    <w:p w:rsidR="006D41BD" w:rsidRPr="00F87319" w:rsidRDefault="006D41BD" w:rsidP="006D41BD">
      <w:pPr>
        <w:pStyle w:val="NormPara"/>
        <w:ind w:firstLine="270"/>
        <w:rPr>
          <w:szCs w:val="18"/>
        </w:rPr>
      </w:pPr>
      <w:r w:rsidRPr="00F87319">
        <w:rPr>
          <w:rStyle w:val="superscript1"/>
          <w:rFonts w:eastAsia="SimSun"/>
          <w:szCs w:val="18"/>
        </w:rPr>
        <w:tab/>
      </w:r>
      <m:oMath>
        <m:r>
          <w:rPr>
            <w:rStyle w:val="superscript1"/>
            <w:rFonts w:ascii="Cambria Math" w:hAnsi="Cambria Math"/>
            <w:szCs w:val="18"/>
          </w:rPr>
          <m:t>E</m:t>
        </m:r>
        <m:r>
          <w:rPr>
            <w:rStyle w:val="superscript1"/>
            <w:rFonts w:ascii="Cambria Math"/>
            <w:szCs w:val="18"/>
          </w:rPr>
          <m:t xml:space="preserve"> = </m:t>
        </m:r>
        <m:r>
          <w:rPr>
            <w:rStyle w:val="superscript1"/>
            <w:rFonts w:ascii="Cambria Math" w:hAnsi="Cambria Math"/>
            <w:szCs w:val="18"/>
          </w:rPr>
          <m:t>m</m:t>
        </m:r>
        <m:sSup>
          <m:sSupPr>
            <m:ctrlPr>
              <w:rPr>
                <w:rStyle w:val="superscript1"/>
                <w:rFonts w:ascii="Cambria Math"/>
                <w:i/>
                <w:szCs w:val="18"/>
              </w:rPr>
            </m:ctrlPr>
          </m:sSupPr>
          <m:e>
            <m:r>
              <w:rPr>
                <w:rStyle w:val="superscript1"/>
                <w:rFonts w:ascii="Cambria Math" w:hAnsi="Cambria Math"/>
                <w:szCs w:val="18"/>
              </w:rPr>
              <m:t>c</m:t>
            </m:r>
          </m:e>
          <m:sup>
            <m:r>
              <w:rPr>
                <w:rStyle w:val="superscript1"/>
                <w:rFonts w:ascii="Cambria Math"/>
                <w:szCs w:val="18"/>
              </w:rPr>
              <m:t>2</m:t>
            </m:r>
          </m:sup>
        </m:sSup>
      </m:oMath>
      <w:r w:rsidRPr="00F87319">
        <w:rPr>
          <w:rStyle w:val="superscript1"/>
          <w:szCs w:val="18"/>
        </w:rPr>
        <w:t xml:space="preserve"> ,</w:t>
      </w:r>
      <w:r w:rsidRPr="00F87319">
        <w:rPr>
          <w:szCs w:val="18"/>
        </w:rPr>
        <w:t xml:space="preserve">, the equation associated with Einstein, is </w:t>
      </w:r>
      <w:r w:rsidRPr="00F87319">
        <w:t>probably</w:t>
      </w:r>
      <w:r w:rsidRPr="00F87319">
        <w:rPr>
          <w:szCs w:val="18"/>
        </w:rPr>
        <w:t xml:space="preserve"> one of the most famous equations in the world.  Interestingly, however, this equation did not originate with him.  It appears to have been scientific “politics” which led to the idea that the equation was his.  Many believe this famous equation is a triumph for relativity theory.  But </w:t>
      </w:r>
      <w:r w:rsidRPr="00F87319">
        <w:rPr>
          <w:position w:val="-6"/>
          <w:szCs w:val="18"/>
        </w:rPr>
        <w:object w:dxaOrig="660" w:dyaOrig="300">
          <v:shape id="_x0000_i1091" type="#_x0000_t75" style="width:33.3pt;height:15.15pt" o:ole="">
            <v:imagedata r:id="rId483" o:title=""/>
          </v:shape>
          <o:OLEObject Type="Embed" ProgID="Equation.DSMT4" ShapeID="_x0000_i1091" DrawAspect="Content" ObjectID="_1433920243" r:id="rId484"/>
        </w:object>
      </w:r>
      <w:r w:rsidRPr="00F87319">
        <w:rPr>
          <w:szCs w:val="18"/>
        </w:rPr>
        <w:t xml:space="preserve"> does not depend upon relativity </w:t>
      </w:r>
      <w:proofErr w:type="gramStart"/>
      <w:r w:rsidRPr="00F87319">
        <w:rPr>
          <w:szCs w:val="18"/>
        </w:rPr>
        <w:t>nor</w:t>
      </w:r>
      <w:proofErr w:type="gramEnd"/>
      <w:r w:rsidRPr="00F87319">
        <w:rPr>
          <w:szCs w:val="18"/>
        </w:rPr>
        <w:t xml:space="preserve"> does it need any relativistic concepts.  It can be obtained in a manner which is entirely independent of both, using simple classical physics.  Alfred O'Rahilly did this in </w:t>
      </w:r>
      <w:r w:rsidRPr="00F87319">
        <w:rPr>
          <w:rStyle w:val="Emphasis"/>
          <w:szCs w:val="18"/>
        </w:rPr>
        <w:t>Electromagnetic Theory: A Critical Examination of Fundamentals</w:t>
      </w:r>
      <w:r w:rsidRPr="00F87319">
        <w:rPr>
          <w:rStyle w:val="Emphasis"/>
          <w:i w:val="0"/>
          <w:szCs w:val="18"/>
        </w:rPr>
        <w:t xml:space="preserve"> </w:t>
      </w:r>
      <w:r w:rsidRPr="00F87319">
        <w:rPr>
          <w:szCs w:val="18"/>
        </w:rPr>
        <w:t>[19].  Others such as Thomas G. Barnes, late Emeritus Professor of Physics, University of Texas at El Paso, have similarly derived it [20].  In order to understand what happened, let us look at the events as they unfolded historically.</w:t>
      </w:r>
    </w:p>
    <w:p w:rsidR="006D41BD" w:rsidRPr="00F87319" w:rsidRDefault="006D41BD" w:rsidP="006D41BD">
      <w:pPr>
        <w:pStyle w:val="NormPara"/>
        <w:ind w:firstLine="270"/>
        <w:rPr>
          <w:szCs w:val="18"/>
        </w:rPr>
      </w:pPr>
    </w:p>
    <w:p w:rsidR="006D41BD" w:rsidRPr="00F87319" w:rsidRDefault="006D41BD" w:rsidP="006D41BD">
      <w:pPr>
        <w:pStyle w:val="NormPara"/>
        <w:ind w:firstLine="720"/>
        <w:rPr>
          <w:szCs w:val="18"/>
        </w:rPr>
      </w:pPr>
      <w:r w:rsidRPr="00F87319">
        <w:rPr>
          <w:szCs w:val="18"/>
        </w:rPr>
        <w:t xml:space="preserve">In 1881, J. J. Thomson was working with the mass of the electron in relation to its electromagnetic energy.  In his papers, he showed there was a relationship between electromagnetic energy and the masses of subatomic particles.  In 1900, before any ideas of relativity, the work of Henri Poincaré mathematically implied the form of the equation we are familiar with today.  Within a few years, physicists Wilhelm Wien in 1900, Max Abraham in 1902, and Hendrik Lorentz in 1904 were all working in this area, using a similar equation relating mass and energy.  Their equation was the same as the famous one, but, unlike Poincaré, often had a factor of </w:t>
      </w:r>
      <w:r w:rsidRPr="00F87319">
        <w:rPr>
          <w:position w:val="-10"/>
          <w:szCs w:val="18"/>
        </w:rPr>
        <w:object w:dxaOrig="340" w:dyaOrig="279">
          <v:shape id="_x0000_i1092" type="#_x0000_t75" style="width:17.55pt;height:14.5pt" o:ole="">
            <v:imagedata r:id="rId485" o:title=""/>
          </v:shape>
          <o:OLEObject Type="Embed" ProgID="Equation.DSMT4" ShapeID="_x0000_i1092" DrawAspect="Content" ObjectID="_1433920244" r:id="rId486"/>
        </w:object>
      </w:r>
      <w:r w:rsidRPr="00F87319">
        <w:rPr>
          <w:szCs w:val="18"/>
        </w:rPr>
        <w:t xml:space="preserve"> inserted.  Then, in </w:t>
      </w:r>
      <w:r w:rsidRPr="00F87319">
        <w:t>1904</w:t>
      </w:r>
      <w:r w:rsidRPr="00F87319">
        <w:rPr>
          <w:szCs w:val="18"/>
        </w:rPr>
        <w:t xml:space="preserve"> and 1905, F. Hasenöhrl published several papers which specifically derived a mass-energy conversion statement related </w:t>
      </w:r>
      <w:proofErr w:type="gramStart"/>
      <w:r w:rsidRPr="00F87319">
        <w:rPr>
          <w:szCs w:val="18"/>
        </w:rPr>
        <w:t xml:space="preserve">to </w:t>
      </w:r>
      <w:proofErr w:type="gramEnd"/>
      <w:r w:rsidRPr="00F87319">
        <w:rPr>
          <w:position w:val="-6"/>
          <w:szCs w:val="18"/>
        </w:rPr>
        <w:object w:dxaOrig="240" w:dyaOrig="300">
          <v:shape id="_x0000_i1093" type="#_x0000_t75" style="width:12.1pt;height:15.15pt" o:ole="">
            <v:imagedata r:id="rId487" o:title=""/>
          </v:shape>
          <o:OLEObject Type="Embed" ProgID="Equation.DSMT4" ShapeID="_x0000_i1093" DrawAspect="Content" ObjectID="_1433920245" r:id="rId488"/>
        </w:object>
      </w:r>
      <w:r w:rsidRPr="00F87319">
        <w:rPr>
          <w:szCs w:val="18"/>
        </w:rPr>
        <w:t xml:space="preserve">.  In the first paper [21], a factor of </w:t>
      </w:r>
      <w:r w:rsidRPr="00F87319">
        <w:rPr>
          <w:position w:val="-10"/>
          <w:szCs w:val="18"/>
        </w:rPr>
        <w:object w:dxaOrig="320" w:dyaOrig="279">
          <v:shape id="_x0000_i1094" type="#_x0000_t75" style="width:15.75pt;height:14.5pt" o:ole="">
            <v:imagedata r:id="rId489" o:title=""/>
          </v:shape>
          <o:OLEObject Type="Embed" ProgID="PowerPoint.Slide.12" ShapeID="_x0000_i1094" DrawAspect="Content" ObjectID="_1433920246" r:id="rId490"/>
        </w:object>
      </w:r>
      <w:r w:rsidRPr="00F87319">
        <w:rPr>
          <w:szCs w:val="18"/>
        </w:rPr>
        <w:t xml:space="preserve"> was employed, while his second paper [22] had the factor as the (then) more usual</w:t>
      </w:r>
      <w:r w:rsidRPr="00F87319">
        <w:rPr>
          <w:position w:val="-10"/>
          <w:szCs w:val="18"/>
        </w:rPr>
        <w:object w:dxaOrig="340" w:dyaOrig="279">
          <v:shape id="_x0000_i1095" type="#_x0000_t75" style="width:17.55pt;height:14.5pt" o:ole="">
            <v:imagedata r:id="rId491" o:title=""/>
          </v:shape>
          <o:OLEObject Type="Embed" ProgID="PowerPoint.Slide.12" ShapeID="_x0000_i1095" DrawAspect="Content" ObjectID="_1433920247" r:id="rId492"/>
        </w:object>
      </w:r>
      <w:r w:rsidRPr="00F87319">
        <w:rPr>
          <w:szCs w:val="18"/>
        </w:rPr>
        <w:t>.  If he had used a slightly modified approach in his calculation, he would have eliminated the fraction and the result would have been the equation as we know it today.  It was Max Planck who derived the exact equation from classical physics [23].  So Poincaré had essentially derived the relationship in 1900; Hasenöhrl had approximately derived it in 1904 and was awarded the Haitinger prize of the Austrian Academy of Sciences for it; and Planck derived it exactly in 1907.  All these pioneers achieved this without the help of relativity.</w:t>
      </w:r>
    </w:p>
    <w:p w:rsidR="006D41BD" w:rsidRPr="00F87319" w:rsidRDefault="006D41BD" w:rsidP="006D41BD">
      <w:pPr>
        <w:pStyle w:val="NormPara"/>
        <w:ind w:firstLine="720"/>
        <w:rPr>
          <w:szCs w:val="18"/>
        </w:rPr>
      </w:pPr>
    </w:p>
    <w:p w:rsidR="006D41BD" w:rsidRPr="00F87319" w:rsidRDefault="006D41BD" w:rsidP="006D41BD">
      <w:pPr>
        <w:pStyle w:val="NormPara"/>
        <w:ind w:firstLine="548"/>
        <w:rPr>
          <w:i/>
          <w:szCs w:val="18"/>
        </w:rPr>
      </w:pPr>
      <w:r w:rsidRPr="00F87319">
        <w:rPr>
          <w:szCs w:val="18"/>
        </w:rPr>
        <w:t xml:space="preserve">Einstein's derivation occurred in 1905 in a manner which was linked with relativity.  However, as a number of commentators have pointed out, Einstein's derivation was not exact, but was only an approximation.  Indeed, in 1907, Planck himself wrote a comment that said: </w:t>
      </w:r>
      <w:r w:rsidRPr="00F87319">
        <w:rPr>
          <w:i/>
          <w:szCs w:val="18"/>
        </w:rPr>
        <w:t xml:space="preserve">Einstein has already drawn essentially the same conclusion [Ann. Physik </w:t>
      </w:r>
      <w:r w:rsidRPr="00F87319">
        <w:rPr>
          <w:b/>
          <w:i/>
          <w:szCs w:val="18"/>
        </w:rPr>
        <w:t>18</w:t>
      </w:r>
      <w:r w:rsidRPr="00F87319">
        <w:rPr>
          <w:i/>
          <w:szCs w:val="18"/>
        </w:rPr>
        <w:t xml:space="preserve">: 639 (1905)] by application of the relativity principle to a special radiation process, however, under the assumption permissible only as a first approximation that the total energy is composed additively of its kinetic energy and its energy referred to a system with which it is at rest. </w:t>
      </w:r>
      <w:r w:rsidRPr="00F87319">
        <w:rPr>
          <w:szCs w:val="18"/>
        </w:rPr>
        <w:t>[24]</w:t>
      </w:r>
    </w:p>
    <w:p w:rsidR="006D41BD" w:rsidRPr="00F87319" w:rsidRDefault="006D41BD" w:rsidP="006D41BD">
      <w:pPr>
        <w:pStyle w:val="NormPara"/>
        <w:ind w:firstLine="270"/>
        <w:rPr>
          <w:rStyle w:val="Strong"/>
          <w:rFonts w:eastAsia="Lucida Sans Unicode"/>
          <w:b w:val="0"/>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 xml:space="preserve">Thus, an approximation is all that Einstein achieved; it was not an exact relationship.  In addition, the suggestion has been made that even this derivation of Einstein contained an </w:t>
      </w:r>
      <w:r w:rsidRPr="00F87319">
        <w:rPr>
          <w:bCs/>
        </w:rPr>
        <w:t>error</w:t>
      </w:r>
      <w:r w:rsidRPr="00F87319">
        <w:rPr>
          <w:rStyle w:val="Strong"/>
          <w:rFonts w:eastAsia="Lucida Sans Unicode"/>
          <w:b w:val="0"/>
          <w:szCs w:val="18"/>
        </w:rPr>
        <w:t xml:space="preserve"> which invalidated his procedure.  One such article by R.A. Herrmann points out that [25]: </w:t>
      </w:r>
      <w:r w:rsidRPr="00F87319">
        <w:rPr>
          <w:rStyle w:val="Strong"/>
          <w:rFonts w:eastAsia="Lucida Sans Unicode"/>
          <w:b w:val="0"/>
          <w:i/>
          <w:szCs w:val="18"/>
        </w:rPr>
        <w:t xml:space="preserve">Indeed, there is a fundamental problem with Einstein's derivation.  It mixes stationary and moving energy observations without taking into account the required relativistic alterations.  Thus, Einstein's derivation does not actually say anything concrete about what the complete energy change would be as viewed from just one [of the two] platform[s].  Indeed, actual analysis by Ives </w:t>
      </w:r>
      <w:r w:rsidRPr="00F87319">
        <w:rPr>
          <w:rStyle w:val="Strong"/>
          <w:rFonts w:eastAsia="Lucida Sans Unicode"/>
          <w:b w:val="0"/>
          <w:szCs w:val="18"/>
        </w:rPr>
        <w:t>[26]</w:t>
      </w:r>
      <w:r w:rsidRPr="00F87319">
        <w:rPr>
          <w:rStyle w:val="Strong"/>
          <w:rFonts w:eastAsia="Lucida Sans Unicode"/>
          <w:b w:val="0"/>
          <w:i/>
          <w:szCs w:val="18"/>
        </w:rPr>
        <w:t xml:space="preserve"> shows that Einstein forced this result to occur from some sort of prior knowledge and did not derive it. </w:t>
      </w:r>
      <w:r w:rsidRPr="00F87319">
        <w:rPr>
          <w:rStyle w:val="Strong"/>
          <w:rFonts w:eastAsia="Lucida Sans Unicode"/>
          <w:b w:val="0"/>
          <w:szCs w:val="18"/>
        </w:rPr>
        <w:t>[25]</w:t>
      </w:r>
    </w:p>
    <w:p w:rsidR="006D41BD" w:rsidRPr="00F87319" w:rsidRDefault="006D41BD" w:rsidP="006D41BD">
      <w:pPr>
        <w:pStyle w:val="NormPara"/>
        <w:ind w:firstLine="548"/>
        <w:rPr>
          <w:rStyle w:val="Strong"/>
          <w:rFonts w:eastAsia="Lucida Sans Unicode"/>
          <w:b w:val="0"/>
          <w:i/>
          <w:szCs w:val="18"/>
        </w:rPr>
      </w:pPr>
    </w:p>
    <w:p w:rsidR="006D41BD" w:rsidRPr="00F87319" w:rsidRDefault="006D41BD" w:rsidP="006D41BD">
      <w:pPr>
        <w:pStyle w:val="NormPara"/>
        <w:ind w:firstLine="548"/>
        <w:rPr>
          <w:rStyle w:val="Strong"/>
          <w:rFonts w:eastAsia="Lucida Sans Unicode"/>
          <w:b w:val="0"/>
          <w:szCs w:val="18"/>
        </w:rPr>
      </w:pPr>
      <w:r w:rsidRPr="00F87319">
        <w:rPr>
          <w:rStyle w:val="Strong"/>
          <w:rFonts w:eastAsia="Lucida Sans Unicode"/>
          <w:b w:val="0"/>
          <w:szCs w:val="18"/>
        </w:rPr>
        <w:t>The aforementioned physicists working in the early part of the 20</w:t>
      </w:r>
      <w:r w:rsidRPr="00F87319">
        <w:rPr>
          <w:rStyle w:val="Strong"/>
          <w:rFonts w:eastAsia="Lucida Sans Unicode"/>
          <w:b w:val="0"/>
          <w:szCs w:val="18"/>
          <w:vertAlign w:val="superscript"/>
        </w:rPr>
        <w:t>th</w:t>
      </w:r>
      <w:r w:rsidRPr="00F87319">
        <w:rPr>
          <w:rStyle w:val="Strong"/>
          <w:rFonts w:eastAsia="Lucida Sans Unicode"/>
          <w:b w:val="0"/>
          <w:szCs w:val="18"/>
        </w:rPr>
        <w:t xml:space="preserve"> century were not the only ones fueling the discussion. Professor R.A. Herrmann [25] points out that: </w:t>
      </w:r>
    </w:p>
    <w:p w:rsidR="006D41BD" w:rsidRPr="00F87319" w:rsidRDefault="006D41BD" w:rsidP="006D41BD">
      <w:pPr>
        <w:pStyle w:val="NormPara"/>
        <w:spacing w:before="80"/>
        <w:ind w:firstLine="548"/>
        <w:rPr>
          <w:i/>
          <w:szCs w:val="18"/>
        </w:rPr>
      </w:pPr>
      <w:r w:rsidRPr="00F87319">
        <w:rPr>
          <w:rStyle w:val="Strong"/>
          <w:rFonts w:eastAsia="Lucida Sans Unicode"/>
          <w:b w:val="0"/>
          <w:i/>
          <w:szCs w:val="18"/>
        </w:rPr>
        <w:t>Olinto De Pretto published the expression</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r>
          <m:rPr>
            <m:sty m:val="bi"/>
          </m:rPr>
          <w:rPr>
            <w:rStyle w:val="Strong"/>
            <w:rFonts w:ascii="Cambria Math" w:eastAsia="Lucida Sans Unicode" w:hAnsi="Cambria Math"/>
            <w:szCs w:val="18"/>
          </w:rPr>
          <m:t xml:space="preserve"> </m:t>
        </m:r>
      </m:oMath>
      <w:r w:rsidRPr="00F87319">
        <w:rPr>
          <w:rStyle w:val="Strong"/>
          <w:rFonts w:eastAsia="Lucida Sans Unicode"/>
          <w:b w:val="0"/>
          <w:i/>
          <w:szCs w:val="18"/>
        </w:rPr>
        <w:t xml:space="preserve">in the science magazine Atti (Atte) in 1903.  ...  There is considerable evidence that Einstein was aware of the De Pretto speculation and that this was an additional driving force behind his faulty attempt to derive this expression for radiation, at least.  There is also very strong evidence that Einstein never gave De Pretto any credit for his great insight.  ...  There is also no doubt in my mind that Einstein would have known of the last </w:t>
      </w:r>
      <w:r w:rsidRPr="00F87319">
        <w:rPr>
          <w:i/>
          <w:szCs w:val="18"/>
        </w:rPr>
        <w:t xml:space="preserve">Hasenöhrl paper since it appeared in the principle journal that Einstein used six months later to publish his own claimed (1905) derivation.  ...  Einstein would thus have been aware of Hasenöhrl's first paper as well.  Poincaré was a very well-known mathematician who had won the first Bolyai </w:t>
      </w:r>
      <w:r w:rsidRPr="00F87319">
        <w:rPr>
          <w:rStyle w:val="Strong"/>
          <w:rFonts w:eastAsia="Lucida Sans Unicode"/>
          <w:b w:val="0"/>
          <w:i/>
        </w:rPr>
        <w:t>prize</w:t>
      </w:r>
      <w:r w:rsidRPr="00F87319">
        <w:rPr>
          <w:i/>
          <w:szCs w:val="18"/>
        </w:rPr>
        <w:t>, a prize that Einstein did not win when nominated by Hilbert….</w:t>
      </w:r>
    </w:p>
    <w:p w:rsidR="006D41BD" w:rsidRPr="00F87319" w:rsidRDefault="006D41BD" w:rsidP="006D41BD">
      <w:pPr>
        <w:pStyle w:val="NormPara"/>
        <w:spacing w:before="80"/>
        <w:ind w:firstLine="274"/>
        <w:rPr>
          <w:i/>
          <w:szCs w:val="18"/>
        </w:rPr>
      </w:pPr>
    </w:p>
    <w:p w:rsidR="006D41BD" w:rsidRPr="00F87319" w:rsidRDefault="006D41BD" w:rsidP="006D41BD">
      <w:pPr>
        <w:pStyle w:val="NormPara"/>
        <w:spacing w:after="80"/>
        <w:ind w:firstLine="720"/>
        <w:rPr>
          <w:szCs w:val="18"/>
        </w:rPr>
      </w:pPr>
      <w:r w:rsidRPr="00F87319">
        <w:rPr>
          <w:rStyle w:val="Strong"/>
          <w:rFonts w:eastAsia="Lucida Sans Unicode"/>
          <w:b w:val="0"/>
          <w:i/>
          <w:szCs w:val="18"/>
        </w:rPr>
        <w:t>Although his radiation derivation of 1905 was incorrect, [Einstein] still considered himself as having priority over all those that suggested an inertial mass-energy equivalence….  In a paper written by Stark (Physikalische Zeitschrift 8 (1907):881) Stark stated that Planck gave the first derivation for</w:t>
      </w:r>
      <w:r w:rsidR="00BE70DC">
        <w:rPr>
          <w:rStyle w:val="Strong"/>
          <w:rFonts w:eastAsia="Lucida Sans Unicode"/>
          <w:b w:val="0"/>
          <w:i/>
          <w:szCs w:val="18"/>
        </w:rPr>
        <w:t xml:space="preserve"> </w:t>
      </w:r>
      <m:oMath>
        <m:r>
          <m:rPr>
            <m:sty m:val="bi"/>
          </m:rPr>
          <w:rPr>
            <w:rStyle w:val="Strong"/>
            <w:rFonts w:ascii="Cambria Math" w:eastAsia="Lucida Sans Unicode" w:hAnsi="Cambria Math"/>
            <w:szCs w:val="18"/>
          </w:rPr>
          <m:t>E = m</m:t>
        </m:r>
        <m:sSup>
          <m:sSupPr>
            <m:ctrlPr>
              <w:rPr>
                <w:rStyle w:val="Strong"/>
                <w:rFonts w:ascii="Cambria Math" w:eastAsia="Lucida Sans Unicode" w:hAnsi="Cambria Math"/>
                <w:b w:val="0"/>
                <w:i/>
                <w:szCs w:val="18"/>
              </w:rPr>
            </m:ctrlPr>
          </m:sSupPr>
          <m:e>
            <m:r>
              <m:rPr>
                <m:sty m:val="bi"/>
              </m:rPr>
              <w:rPr>
                <w:rStyle w:val="Strong"/>
                <w:rFonts w:ascii="Cambria Math" w:eastAsia="Lucida Sans Unicode" w:hAnsi="Cambria Math"/>
                <w:szCs w:val="18"/>
              </w:rPr>
              <m:t>c</m:t>
            </m:r>
          </m:e>
          <m:sup>
            <m:r>
              <m:rPr>
                <m:sty m:val="bi"/>
              </m:rPr>
              <w:rPr>
                <w:rStyle w:val="Strong"/>
                <w:rFonts w:ascii="Cambria Math" w:eastAsia="Lucida Sans Unicode" w:hAnsi="Cambria Math"/>
                <w:szCs w:val="18"/>
              </w:rPr>
              <m:t>2</m:t>
            </m:r>
          </m:sup>
        </m:sSup>
      </m:oMath>
      <w:r w:rsidRPr="00F87319">
        <w:rPr>
          <w:rStyle w:val="Strong"/>
          <w:rFonts w:eastAsia="Lucida Sans Unicode"/>
          <w:b w:val="0"/>
          <w:i/>
          <w:szCs w:val="18"/>
        </w:rPr>
        <w:t xml:space="preserve">.  Einstein wrote to Stark in 1908:  “I was rather disturbed that you did not acknowledge my priority with regard to the connection between inertial mass and energy. (17 Feb. 1908) (Albert Einstein, Vol. 2, J. Stached, Ed.)…. </w:t>
      </w:r>
      <w:r w:rsidRPr="00F87319">
        <w:rPr>
          <w:i/>
          <w:szCs w:val="18"/>
        </w:rPr>
        <w:t xml:space="preserve"> [T]oday proper credit is not being given to the contributions of Hasenöhrl, Poincaré, Planck and De Pretto. </w:t>
      </w:r>
      <w:r w:rsidRPr="00F87319">
        <w:rPr>
          <w:szCs w:val="18"/>
        </w:rPr>
        <w:t>[25]</w:t>
      </w:r>
    </w:p>
    <w:p w:rsidR="006D41BD" w:rsidRPr="00F87319" w:rsidRDefault="006D41BD" w:rsidP="006D41BD">
      <w:pPr>
        <w:pStyle w:val="NormPara"/>
        <w:spacing w:after="80"/>
        <w:ind w:firstLine="720"/>
        <w:rPr>
          <w:i/>
          <w:szCs w:val="18"/>
        </w:rPr>
      </w:pPr>
    </w:p>
    <w:p w:rsidR="006D41BD" w:rsidRPr="00F87319" w:rsidRDefault="006D41BD" w:rsidP="006D41BD">
      <w:pPr>
        <w:pStyle w:val="NormPara"/>
        <w:ind w:firstLine="720"/>
        <w:rPr>
          <w:szCs w:val="18"/>
        </w:rPr>
      </w:pPr>
      <w:r w:rsidRPr="00F87319">
        <w:rPr>
          <w:szCs w:val="18"/>
        </w:rPr>
        <w:t>The reason for this lack of credit can be laid at the feet of those who supported Einstein.  Among them was Max von Laue.  He sidelined the early physics pioneers by stating that the inertia of electromagnetic energy was known before their time.  Laue continued by saying that the credit for establishing the inertia of all forms of energy, the actual mass-energy equivalence of all matter, goes to Einstein, who was the first to understand this in relation to relativity [27].  With this enthusiastic support for both relativistic concepts and Einstein, it is no wonder that the scientific community generally attributed the equation to him as if it was his own unique achievement and a triumph for relativity.  The truth is, it is a derivation from classical physics.</w:t>
      </w:r>
    </w:p>
    <w:p w:rsidR="006D41BD" w:rsidRPr="00F87319" w:rsidRDefault="006D41BD" w:rsidP="006D41BD">
      <w:pPr>
        <w:pStyle w:val="NormPara"/>
        <w:ind w:firstLine="720"/>
        <w:rPr>
          <w:szCs w:val="18"/>
        </w:rPr>
      </w:pPr>
    </w:p>
    <w:p w:rsidR="006D41BD" w:rsidRDefault="006D41BD" w:rsidP="006D41BD">
      <w:pPr>
        <w:pStyle w:val="NormPara"/>
        <w:ind w:firstLine="720"/>
        <w:rPr>
          <w:szCs w:val="18"/>
        </w:rPr>
      </w:pPr>
      <w:r w:rsidRPr="00F87319">
        <w:rPr>
          <w:szCs w:val="18"/>
        </w:rPr>
        <w:t xml:space="preserve">It may be objected that Einstein's relativity has made predictions that proved correct.  The implication is that the whole theory must therefore be correct.  However, it is important to note that all the major predictions of relativity </w:t>
      </w:r>
      <w:r w:rsidRPr="00F87319">
        <w:t>also</w:t>
      </w:r>
      <w:r w:rsidRPr="00F87319">
        <w:rPr>
          <w:szCs w:val="18"/>
        </w:rPr>
        <w:t xml:space="preserve"> follow naturally and intuitively from classical physics using the ZPE approach.  Furthermore, this approach uses very much simpler mathematics.  Let us look at some of these predictions.</w:t>
      </w:r>
    </w:p>
    <w:p w:rsidR="00685A78" w:rsidRPr="00F87319" w:rsidRDefault="00685A78" w:rsidP="006D41BD">
      <w:pPr>
        <w:pStyle w:val="NormPara"/>
        <w:ind w:firstLine="720"/>
        <w:rPr>
          <w:szCs w:val="18"/>
        </w:rPr>
      </w:pPr>
    </w:p>
    <w:p w:rsidR="006D41BD" w:rsidRDefault="006D41BD" w:rsidP="00252491">
      <w:pPr>
        <w:pStyle w:val="ListParagraph"/>
        <w:numPr>
          <w:ilvl w:val="0"/>
          <w:numId w:val="40"/>
        </w:numPr>
        <w:spacing w:before="120" w:after="120" w:line="240" w:lineRule="atLeast"/>
        <w:jc w:val="both"/>
        <w:outlineLvl w:val="0"/>
        <w:rPr>
          <w:rFonts w:ascii="Book Antiqua" w:hAnsi="Book Antiqua"/>
          <w:b/>
        </w:rPr>
      </w:pPr>
      <w:r w:rsidRPr="00F87319">
        <w:rPr>
          <w:rFonts w:ascii="Book Antiqua" w:hAnsi="Book Antiqua"/>
          <w:b/>
        </w:rPr>
        <w:t>Some Predictions of Relativity</w:t>
      </w:r>
    </w:p>
    <w:p w:rsidR="00685A78" w:rsidRPr="00F87319" w:rsidRDefault="00685A78" w:rsidP="00685A78">
      <w:pPr>
        <w:pStyle w:val="ListParagraph"/>
        <w:spacing w:before="120" w:after="120" w:line="240" w:lineRule="atLeast"/>
        <w:ind w:left="360"/>
        <w:jc w:val="both"/>
        <w:outlineLvl w:val="0"/>
        <w:rPr>
          <w:rFonts w:ascii="Book Antiqua" w:hAnsi="Book Antiqua"/>
          <w:b/>
        </w:rPr>
      </w:pPr>
    </w:p>
    <w:p w:rsidR="006D41BD" w:rsidRPr="00F87319" w:rsidRDefault="006D41BD" w:rsidP="00252491">
      <w:pPr>
        <w:pStyle w:val="Heading2"/>
        <w:widowControl/>
        <w:numPr>
          <w:ilvl w:val="1"/>
          <w:numId w:val="4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Length contraction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Einstein’s theory of Special Relativity (SR) deals with the effects of velocities on moving objects.  These effects include length contraction and increases in atomic masses (including the resulting slowing of atomic clocks) as velocities become high.</w:t>
      </w:r>
    </w:p>
    <w:p w:rsidR="006D41BD" w:rsidRPr="00F87319" w:rsidRDefault="006D41BD" w:rsidP="006D41BD">
      <w:pPr>
        <w:pStyle w:val="NormPara"/>
        <w:ind w:firstLine="720"/>
        <w:rPr>
          <w:sz w:val="20"/>
        </w:rPr>
      </w:pPr>
      <w:r w:rsidRPr="00F87319">
        <w:rPr>
          <w:sz w:val="20"/>
        </w:rPr>
        <w:t xml:space="preserve">Incredibly for a theory that is so widely accepted, it seems that length contraction has never been seen directly in any experiment but has only been inferred.  Regarding the constancy of lengths in SR, Tom Van Flandern concludes in an article:  </w:t>
      </w:r>
      <w:r w:rsidRPr="00F87319">
        <w:rPr>
          <w:rStyle w:val="Emphasis"/>
          <w:sz w:val="20"/>
        </w:rPr>
        <w:t>“[T]he clear implication of our considerations here is that length contraction is not a physical shortening, but is merely an observational consequence of time desynchronization.  In SR, physical bodies do not actually change dimensions.”</w:t>
      </w:r>
      <w:hyperlink r:id="rId493" w:anchor="7a208" w:history="1">
        <w:r w:rsidRPr="00F87319">
          <w:rPr>
            <w:rStyle w:val="Hyperlink"/>
            <w:sz w:val="20"/>
          </w:rPr>
          <w:t>[28]</w:t>
        </w:r>
      </w:hyperlink>
      <w:r w:rsidRPr="00F87319">
        <w:rPr>
          <w:rStyle w:val="Emphasis"/>
          <w:sz w:val="20"/>
        </w:rPr>
        <w:t xml:space="preserve">  </w:t>
      </w:r>
      <w:r w:rsidRPr="00F87319">
        <w:rPr>
          <w:sz w:val="20"/>
        </w:rPr>
        <w:t>The whole idea of length-contraction is therefore unsubstantiated and has no experimental backing.</w:t>
      </w:r>
    </w:p>
    <w:p w:rsidR="001508F0" w:rsidRDefault="001508F0" w:rsidP="006D41BD">
      <w:pPr>
        <w:pStyle w:val="Heading2"/>
        <w:widowControl/>
        <w:spacing w:before="80" w:after="80" w:line="240" w:lineRule="atLeast"/>
        <w:rPr>
          <w:rFonts w:ascii="Book Antiqua" w:hAnsi="Book Antiqua" w:cs="Times New Roman"/>
          <w:b w:val="0"/>
          <w:sz w:val="20"/>
          <w:szCs w:val="20"/>
        </w:rPr>
      </w:pPr>
    </w:p>
    <w:p w:rsidR="006D41BD" w:rsidRPr="00F87319" w:rsidRDefault="006D41BD" w:rsidP="006D41BD">
      <w:pPr>
        <w:pStyle w:val="Heading2"/>
        <w:widowControl/>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2.2. Atomic Mass Increases</w:t>
      </w:r>
      <w:r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In contrast to ideas about length contraction, we have solid observational proof that accelerating an electron (or proton) through a linear accelerator results in an increase in its mass.  This has been hailed as proof that relativity is correct.  However, the SED approach predicts exactly the same effect as a result of the existence of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SED physics considers the Zero Point Energy itself as the agency that imparts mass to all subatomic particles.  For the last 100 years or so, all the equations of physicists describing the behavior of matter have started with massless charged point particles.  This picture of every subatomic particle being charged, but massless, posed the problem of how to impart mass to these point charges.  QED physicists are looking to the Higgs boson to do this. But even though a “Higgs-like particle” was found recently, its true nature may not fulfill physicists expectations.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However, SED physicists note that the electromagnetic waves of the ZPE impinge upon all these charged, massless particles, which Richard Feynman called “partons”.  This action of the ZPE causes them to jitter in a random manner similar to what we see in the Brownian motion of a dust particle bombarded by molecules of air.  Schrödinger referred to this “jitter motion” by its German equivalent word, </w:t>
      </w:r>
      <w:r w:rsidRPr="00F87319">
        <w:rPr>
          <w:i/>
          <w:iCs/>
          <w:sz w:val="20"/>
        </w:rPr>
        <w:t>Zitterbewegung</w:t>
      </w:r>
      <w:r w:rsidRPr="00F87319">
        <w:rPr>
          <w:sz w:val="20"/>
        </w:rPr>
        <w:t xml:space="preserve">.  Dirac pointed out that the </w:t>
      </w:r>
      <w:r w:rsidRPr="00F87319">
        <w:rPr>
          <w:i/>
          <w:iCs/>
          <w:sz w:val="20"/>
        </w:rPr>
        <w:t>Zitterbewegung</w:t>
      </w:r>
      <w:r w:rsidRPr="00F87319">
        <w:rPr>
          <w:iCs/>
          <w:sz w:val="20"/>
        </w:rPr>
        <w:t xml:space="preserve"> jitter </w:t>
      </w:r>
      <w:r w:rsidRPr="00F87319">
        <w:rPr>
          <w:sz w:val="20"/>
        </w:rPr>
        <w:t xml:space="preserve">occurs either at, or very close to, the speed of light.  This conclusion has been sustained by recent studies, and the term “ultra-relativistic” has been used to describe it [29, 30].  The physical reality of the </w:t>
      </w:r>
      <w:r w:rsidRPr="00F87319">
        <w:rPr>
          <w:i/>
          <w:sz w:val="20"/>
        </w:rPr>
        <w:t>Zitterbewegung</w:t>
      </w:r>
      <w:r w:rsidRPr="00F87319">
        <w:rPr>
          <w:sz w:val="20"/>
        </w:rPr>
        <w:t xml:space="preserve"> was demonstrated experimentally in 2010 with calcium ions by Roos and colleagues (Gerritsma was the lead author of the report) [31].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Hal Puthoff then explains what happens according to SED physics: </w:t>
      </w:r>
      <w:r w:rsidRPr="00F87319">
        <w:rPr>
          <w:i/>
          <w:iCs/>
          <w:sz w:val="20"/>
        </w:rPr>
        <w:t xml:space="preserve">“In this view the particle mass </w:t>
      </w:r>
      <w:r w:rsidRPr="00F87319">
        <w:rPr>
          <w:b/>
          <w:i/>
          <w:sz w:val="20"/>
        </w:rPr>
        <w:t>m</w:t>
      </w:r>
      <w:r w:rsidRPr="00F87319">
        <w:rPr>
          <w:sz w:val="20"/>
        </w:rPr>
        <w:t xml:space="preserve"> </w:t>
      </w:r>
      <w:r w:rsidRPr="00F87319">
        <w:rPr>
          <w:i/>
          <w:iCs/>
          <w:sz w:val="20"/>
        </w:rPr>
        <w:t>is of dynamical origin, originating in parton-motion response to the electromagnetic zeropoint fluctuations of the vacuum.  It is therefore simply a special case of the general proposition that the internal kinetic energy of a system contributes to the effective mass of that system.”</w:t>
      </w:r>
      <w:r w:rsidRPr="00F87319">
        <w:rPr>
          <w:sz w:val="20"/>
        </w:rPr>
        <w:t xml:space="preserve">[32]  As a result, it has been stated that, even if it is found to exist, </w:t>
      </w:r>
      <w:r w:rsidRPr="00F87319">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F87319">
        <w:rPr>
          <w:color w:val="FF0000"/>
          <w:sz w:val="20"/>
        </w:rPr>
        <w:t>[33]</w:t>
      </w:r>
    </w:p>
    <w:p w:rsidR="006D41BD" w:rsidRPr="00F87319" w:rsidRDefault="006D41BD" w:rsidP="006D41BD">
      <w:pPr>
        <w:pStyle w:val="NormPara"/>
        <w:ind w:firstLine="720"/>
        <w:rPr>
          <w:sz w:val="20"/>
        </w:rPr>
      </w:pPr>
      <w:r w:rsidRPr="00F87319">
        <w:rPr>
          <w:sz w:val="20"/>
        </w:rPr>
        <w:t xml:space="preserve">Mathematical calculations by SED physicists quantitatively support this view.  The formulations of Haisch, Rueda, and Puthoff show the parton’s atomic mass, </w:t>
      </w:r>
      <w:r w:rsidRPr="00F87319">
        <w:rPr>
          <w:i/>
          <w:sz w:val="20"/>
        </w:rPr>
        <w:t>m</w:t>
      </w:r>
      <w:r w:rsidRPr="00F87319">
        <w:rPr>
          <w:sz w:val="20"/>
        </w:rPr>
        <w:t>, of ZPE origin is given by the equation [34, 35]:</w:t>
      </w:r>
      <w:r w:rsidRPr="00F87319">
        <w:rPr>
          <w:sz w:val="20"/>
        </w:rPr>
        <w:tab/>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100" w:dyaOrig="580">
          <v:shape id="_x0000_i1096" type="#_x0000_t75" style="width:105.3pt;height:29.05pt" o:ole="">
            <v:imagedata r:id="rId494" o:title=""/>
          </v:shape>
          <o:OLEObject Type="Embed" ProgID="Equation.DSMT4" ShapeID="_x0000_i1096" DrawAspect="Content" ObjectID="_1433920248" r:id="rId49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 xml:space="preserve">In Eq. (14), </w:t>
      </w:r>
      <w:r w:rsidRPr="00F87319">
        <w:rPr>
          <w:position w:val="-6"/>
          <w:sz w:val="20"/>
        </w:rPr>
        <w:object w:dxaOrig="200" w:dyaOrig="200">
          <v:shape id="_x0000_i1097" type="#_x0000_t75" style="width:9.7pt;height:9.7pt" o:ole="">
            <v:imagedata r:id="rId496" o:title=""/>
          </v:shape>
          <o:OLEObject Type="Embed" ProgID="Equation.DSMT4" ShapeID="_x0000_i1097" DrawAspect="Content" ObjectID="_1433920249" r:id="rId497"/>
        </w:object>
      </w:r>
      <w:r w:rsidRPr="00F87319">
        <w:rPr>
          <w:sz w:val="20"/>
        </w:rPr>
        <w:t xml:space="preserve"> is the </w:t>
      </w:r>
      <w:r w:rsidRPr="00F87319">
        <w:rPr>
          <w:rStyle w:val="Emphasis"/>
          <w:sz w:val="20"/>
        </w:rPr>
        <w:t xml:space="preserve">Zitterbewegung </w:t>
      </w:r>
      <w:r w:rsidRPr="00F87319">
        <w:rPr>
          <w:sz w:val="20"/>
        </w:rPr>
        <w:t>oscillation frequency of the particle,</w:t>
      </w:r>
      <w:r w:rsidRPr="00F87319">
        <w:rPr>
          <w:position w:val="-6"/>
          <w:sz w:val="20"/>
        </w:rPr>
        <w:object w:dxaOrig="160" w:dyaOrig="200">
          <v:shape id="_x0000_i1098" type="#_x0000_t75" style="width:8.45pt;height:9.7pt" o:ole="">
            <v:imagedata r:id="rId498" o:title=""/>
          </v:shape>
          <o:OLEObject Type="Embed" ProgID="Equation.DSMT4" ShapeID="_x0000_i1098" DrawAspect="Content" ObjectID="_1433920250" r:id="rId499"/>
        </w:object>
      </w:r>
      <w:r w:rsidRPr="00F87319">
        <w:rPr>
          <w:sz w:val="20"/>
        </w:rPr>
        <w:t>is the speed of light,</w:t>
      </w:r>
      <w:r w:rsidRPr="00F87319">
        <w:rPr>
          <w:position w:val="-6"/>
          <w:sz w:val="20"/>
        </w:rPr>
        <w:object w:dxaOrig="180" w:dyaOrig="240">
          <v:shape id="_x0000_i1099" type="#_x0000_t75" style="width:9.1pt;height:12.1pt" o:ole="">
            <v:imagedata r:id="rId500" o:title=""/>
          </v:shape>
          <o:OLEObject Type="Embed" ProgID="Equation.DSMT4" ShapeID="_x0000_i1099" DrawAspect="Content" ObjectID="_1433920251" r:id="rId501"/>
        </w:object>
      </w:r>
      <w:r w:rsidRPr="00F87319">
        <w:rPr>
          <w:sz w:val="20"/>
        </w:rPr>
        <w:t>is Planck’s constant, and</w:t>
      </w:r>
      <w:r w:rsidRPr="00F87319">
        <w:rPr>
          <w:position w:val="-4"/>
          <w:sz w:val="20"/>
        </w:rPr>
        <w:object w:dxaOrig="180" w:dyaOrig="200">
          <v:shape id="_x0000_i1100" type="#_x0000_t75" style="width:9.1pt;height:9.7pt" o:ole="">
            <v:imagedata r:id="rId502" o:title=""/>
          </v:shape>
          <o:OLEObject Type="Embed" ProgID="Equation.DSMT4" ShapeID="_x0000_i1100" DrawAspect="Content" ObjectID="_1433920252" r:id="rId503"/>
        </w:object>
      </w:r>
      <w:r w:rsidRPr="00F87319">
        <w:rPr>
          <w:sz w:val="20"/>
        </w:rPr>
        <w:t>is the Abraham-Lorentz damping constant of the parton.  The proportionalities in (14) hold because the terms</w:t>
      </w:r>
      <w:r w:rsidRPr="00F87319">
        <w:rPr>
          <w:position w:val="-6"/>
          <w:sz w:val="20"/>
        </w:rPr>
        <w:object w:dxaOrig="480" w:dyaOrig="300">
          <v:shape id="_x0000_i1101" type="#_x0000_t75" style="width:24.2pt;height:15.15pt" o:ole="">
            <v:imagedata r:id="rId504" o:title=""/>
          </v:shape>
          <o:OLEObject Type="Embed" ProgID="Equation.DSMT4" ShapeID="_x0000_i1101" DrawAspect="Content" ObjectID="_1433920253" r:id="rId505"/>
        </w:object>
      </w:r>
      <w:r w:rsidRPr="00F87319">
        <w:rPr>
          <w:sz w:val="20"/>
        </w:rPr>
        <w:t>which make up the numerator can be shown to remain constant in a changing ZPE scenario, even though the individual terms are ZPE dependent [36, 37].  Analysis there shows that the angular frequency of the particle’s jitter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10"/>
          <w:sz w:val="20"/>
        </w:rPr>
        <w:object w:dxaOrig="800" w:dyaOrig="340">
          <v:shape id="_x0000_i1102" type="#_x0000_t75" style="width:39.95pt;height:17.55pt" o:ole="">
            <v:imagedata r:id="rId506" o:title=""/>
          </v:shape>
          <o:OLEObject Type="Embed" ProgID="Equation.DSMT4" ShapeID="_x0000_i1102" DrawAspect="Content" ObjectID="_1433920254" r:id="rId507"/>
        </w:object>
      </w:r>
      <w:r w:rsidRPr="00F87319">
        <w:rPr>
          <w:sz w:val="20"/>
        </w:rPr>
        <w:t xml:space="preserve"> ,</w:t>
      </w:r>
      <w:r w:rsidRPr="00F87319">
        <w:rPr>
          <w:sz w:val="20"/>
        </w:rPr>
        <w:tab/>
      </w:r>
      <w:r w:rsidRPr="00F87319">
        <w:rPr>
          <w:sz w:val="20"/>
        </w:rPr>
        <w:tab/>
      </w:r>
      <w:r w:rsidRPr="00F87319">
        <w:rPr>
          <w:sz w:val="20"/>
        </w:rPr>
        <w:tab/>
      </w:r>
      <w:r w:rsidRPr="00F87319">
        <w:rPr>
          <w:i/>
          <w:sz w:val="20"/>
        </w:rPr>
        <w:tab/>
      </w:r>
      <w:r w:rsidRPr="00F87319">
        <w:rPr>
          <w:i/>
          <w:sz w:val="20"/>
        </w:rPr>
        <w:tab/>
        <w:t>(15)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00" w:dyaOrig="279">
          <v:shape id="_x0000_i1103" type="#_x0000_t75" style="width:9.7pt;height:14.5pt" o:ole="">
            <v:imagedata r:id="rId508" o:title=""/>
          </v:shape>
          <o:OLEObject Type="Embed" ProgID="Equation.DSMT4" ShapeID="_x0000_i1103" DrawAspect="Content" ObjectID="_1433920255" r:id="rId509"/>
        </w:object>
      </w:r>
      <w:r w:rsidRPr="00F87319">
        <w:rPr>
          <w:sz w:val="20"/>
        </w:rPr>
        <w:t xml:space="preserve">is the particle’s Compton frequency. From (14) it can be seen that energy, </w:t>
      </w:r>
      <w:r w:rsidRPr="00F87319">
        <w:rPr>
          <w:i/>
          <w:sz w:val="20"/>
        </w:rPr>
        <w:t>E</w:t>
      </w:r>
      <w:r w:rsidRPr="00F87319">
        <w:rPr>
          <w:sz w:val="20"/>
        </w:rPr>
        <w:t>, will be conserved with any change in ZPE strength since atomic masses are changing as the inverse square of the speed of light.  Thus, energy</w:t>
      </w:r>
      <w:r w:rsidRPr="00F87319">
        <w:rPr>
          <w:position w:val="-6"/>
          <w:sz w:val="20"/>
        </w:rPr>
        <w:object w:dxaOrig="660" w:dyaOrig="300">
          <v:shape id="_x0000_i1104" type="#_x0000_t75" style="width:33.3pt;height:15.15pt" o:ole="">
            <v:imagedata r:id="rId510" o:title=""/>
          </v:shape>
          <o:OLEObject Type="Embed" ProgID="Equation.DSMT4" ShapeID="_x0000_i1104" DrawAspect="Content" ObjectID="_1433920256" r:id="rId511"/>
        </w:object>
      </w:r>
      <w:r w:rsidRPr="00F87319">
        <w:rPr>
          <w:sz w:val="20"/>
        </w:rPr>
        <w:t xml:space="preserve"> will remain constant, and the equation is valid for SED physics with a changing ZPE.</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lastRenderedPageBreak/>
        <w:t>Since masses for all subatomic particles comes from the “jiggling” of these particles by the impacting waves of the ZPE, consider what happens with a particle in motion.  Because of its motion, the particle is running into more ZPE waves than when it is at rest.  An increase in particle mass is then the result.  The higher the velocity, the more “jiggling” occurs and the greater the resulting mass.  This has been mathematically quantified by SED physicists and yields the same results as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rate of ticking of atomic clocks is also implicated in this. The reason is that kinetic energy is conserved in atomic processes [37, 12].  Consequently, atomic particles must move more slowly as they gain mass.  If kinetic energy is </w:t>
      </w:r>
      <w:r w:rsidRPr="00F87319">
        <w:rPr>
          <w:i/>
          <w:sz w:val="20"/>
        </w:rPr>
        <w:t>E</w:t>
      </w:r>
      <w:r w:rsidRPr="00F87319">
        <w:rPr>
          <w:sz w:val="20"/>
        </w:rPr>
        <w:t>, then it can be written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500" w:dyaOrig="300">
          <v:shape id="_x0000_i1105" type="#_x0000_t75" style="width:75.05pt;height:15.15pt" o:ole="">
            <v:imagedata r:id="rId512" o:title=""/>
          </v:shape>
          <o:OLEObject Type="Embed" ProgID="Equation.DSMT4" ShapeID="_x0000_i1105" DrawAspect="Content" ObjectID="_1433920257" r:id="rId51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(16)</w:t>
      </w:r>
    </w:p>
    <w:p w:rsidR="006D41BD" w:rsidRPr="00F87319" w:rsidRDefault="006D41BD" w:rsidP="006D41BD">
      <w:pPr>
        <w:pStyle w:val="NormPara"/>
        <w:ind w:firstLine="270"/>
        <w:rPr>
          <w:sz w:val="20"/>
        </w:rPr>
      </w:pPr>
    </w:p>
    <w:p w:rsidR="006D41BD" w:rsidRPr="00F87319" w:rsidRDefault="006D41BD" w:rsidP="006D41BD">
      <w:pPr>
        <w:pStyle w:val="NormPara"/>
        <w:ind w:firstLine="270"/>
        <w:rPr>
          <w:sz w:val="20"/>
        </w:rPr>
      </w:pPr>
      <w:r w:rsidRPr="00F87319">
        <w:rPr>
          <w:sz w:val="20"/>
        </w:rPr>
        <w:t>As a result, since Eq. (14) shows that atomic masses</w:t>
      </w:r>
      <w:r w:rsidRPr="00F87319">
        <w:rPr>
          <w:position w:val="-6"/>
          <w:sz w:val="20"/>
        </w:rPr>
        <w:object w:dxaOrig="220" w:dyaOrig="200">
          <v:shape id="_x0000_i1106" type="#_x0000_t75" style="width:10.3pt;height:9.7pt" o:ole="">
            <v:imagedata r:id="rId514" o:title=""/>
          </v:shape>
          <o:OLEObject Type="Embed" ProgID="Equation.DSMT4" ShapeID="_x0000_i1106" DrawAspect="Content" ObjectID="_1433920258" r:id="rId515"/>
        </w:object>
      </w:r>
      <w:r w:rsidRPr="00F87319">
        <w:rPr>
          <w:sz w:val="20"/>
        </w:rPr>
        <w:t>are proportional to</w:t>
      </w:r>
      <w:r w:rsidRPr="00F87319">
        <w:rPr>
          <w:position w:val="-10"/>
          <w:sz w:val="20"/>
        </w:rPr>
        <w:object w:dxaOrig="440" w:dyaOrig="340">
          <v:shape id="_x0000_i1107" type="#_x0000_t75" style="width:21.8pt;height:17.55pt" o:ole="">
            <v:imagedata r:id="rId516" o:title=""/>
          </v:shape>
          <o:OLEObject Type="Embed" ProgID="Equation.DSMT4" ShapeID="_x0000_i1107" DrawAspect="Content" ObjectID="_1433920259" r:id="rId517"/>
        </w:object>
      </w:r>
      <w:r w:rsidRPr="00F87319">
        <w:rPr>
          <w:sz w:val="20"/>
        </w:rPr>
        <w:t xml:space="preserve">, </w:t>
      </w:r>
      <w:proofErr w:type="gramStart"/>
      <w:r w:rsidRPr="00F87319">
        <w:rPr>
          <w:sz w:val="20"/>
        </w:rPr>
        <w:t>then</w:t>
      </w:r>
      <w:proofErr w:type="gramEnd"/>
      <w:r w:rsidRPr="00F87319">
        <w:rPr>
          <w:sz w:val="20"/>
        </w:rPr>
        <w:t xml:space="preserve"> it follows that atomic velocities</w:t>
      </w:r>
      <w:r w:rsidRPr="00F87319">
        <w:rPr>
          <w:position w:val="-6"/>
          <w:sz w:val="20"/>
        </w:rPr>
        <w:object w:dxaOrig="180" w:dyaOrig="200">
          <v:shape id="_x0000_i1108" type="#_x0000_t75" style="width:9.1pt;height:9.7pt" o:ole="">
            <v:imagedata r:id="rId518" o:title=""/>
          </v:shape>
          <o:OLEObject Type="Embed" ProgID="Equation.DSMT4" ShapeID="_x0000_i1108" DrawAspect="Content" ObjectID="_1433920260" r:id="rId519"/>
        </w:object>
      </w:r>
      <w:r w:rsidRPr="00F87319">
        <w:rPr>
          <w:sz w:val="20"/>
        </w:rPr>
        <w:t>in Eq. (16) must go as</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20" w:dyaOrig="300">
          <v:shape id="_x0000_i1109" type="#_x0000_t75" style="width:30.85pt;height:15.15pt" o:ole="">
            <v:imagedata r:id="rId520" o:title=""/>
          </v:shape>
          <o:OLEObject Type="Embed" ProgID="Equation.DSMT4" ShapeID="_x0000_i1109" DrawAspect="Content" ObjectID="_1433920261" r:id="rId521"/>
        </w:object>
      </w:r>
      <w:r w:rsidRPr="00F87319">
        <w:rPr>
          <w:sz w:val="20"/>
        </w:rPr>
        <w:t xml:space="preserve">   </w:t>
      </w:r>
      <w:proofErr w:type="gramStart"/>
      <w:r w:rsidRPr="00F87319">
        <w:rPr>
          <w:sz w:val="20"/>
        </w:rPr>
        <w:t>so</w:t>
      </w:r>
      <w:proofErr w:type="gramEnd"/>
      <w:r w:rsidRPr="00F87319">
        <w:rPr>
          <w:sz w:val="20"/>
        </w:rPr>
        <w:t xml:space="preserve">   </w:t>
      </w:r>
      <w:r w:rsidRPr="00F87319">
        <w:rPr>
          <w:position w:val="-20"/>
          <w:sz w:val="20"/>
        </w:rPr>
        <w:object w:dxaOrig="800" w:dyaOrig="499">
          <v:shape id="_x0000_i1110" type="#_x0000_t75" style="width:39.95pt;height:24.8pt" o:ole="">
            <v:imagedata r:id="rId522" o:title=""/>
          </v:shape>
          <o:OLEObject Type="Embed" ProgID="Equation.DSMT4" ShapeID="_x0000_i1110" DrawAspect="Content" ObjectID="_1433920262" r:id="rId52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(17)</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Thus, subatomic particle velocities are proportional to the speed of light</w:t>
      </w:r>
      <w:r w:rsidRPr="00F87319">
        <w:rPr>
          <w:position w:val="-6"/>
          <w:sz w:val="20"/>
        </w:rPr>
        <w:object w:dxaOrig="160" w:dyaOrig="200">
          <v:shape id="_x0000_i1111" type="#_x0000_t75" style="width:8.45pt;height:9.7pt" o:ole="">
            <v:imagedata r:id="rId524" o:title=""/>
          </v:shape>
          <o:OLEObject Type="Embed" ProgID="Equation.DSMT4" ShapeID="_x0000_i1111" DrawAspect="Content" ObjectID="_1433920263" r:id="rId525"/>
        </w:object>
      </w:r>
      <w:r w:rsidRPr="00F87319">
        <w:rPr>
          <w:sz w:val="20"/>
        </w:rPr>
        <w:t>or to the inverse of the ZPE strength</w:t>
      </w:r>
      <w:r w:rsidRPr="00F87319">
        <w:rPr>
          <w:position w:val="-6"/>
          <w:sz w:val="20"/>
        </w:rPr>
        <w:object w:dxaOrig="220" w:dyaOrig="240">
          <v:shape id="_x0000_i1112" type="#_x0000_t75" style="width:10.3pt;height:12.1pt" o:ole="">
            <v:imagedata r:id="rId526" o:title=""/>
          </v:shape>
          <o:OLEObject Type="Embed" ProgID="Equation.DSMT4" ShapeID="_x0000_i1112" DrawAspect="Content" ObjectID="_1433920264" r:id="rId527"/>
        </w:object>
      </w:r>
      <w:r w:rsidRPr="00F87319">
        <w:rPr>
          <w:sz w:val="20"/>
        </w:rPr>
        <w:t>.  This velocity change affects the rate of atomic processes, including the orbit times for electrons and the rate of escape of particles from nuclear orbitals.  This means atomic time varies with changes in mass because the square of the velocity of subatomic particle is inversely proportional to the mass.  Thus, any increase in mass would result in a slowing of the atomic clock involved.  Therefore atomic frequencies</w:t>
      </w:r>
      <w:r w:rsidRPr="00F87319">
        <w:rPr>
          <w:position w:val="-10"/>
          <w:sz w:val="20"/>
        </w:rPr>
        <w:object w:dxaOrig="200" w:dyaOrig="279">
          <v:shape id="_x0000_i1113" type="#_x0000_t75" style="width:9.7pt;height:14.5pt" o:ole="">
            <v:imagedata r:id="rId528" o:title=""/>
          </v:shape>
          <o:OLEObject Type="Embed" ProgID="Equation.DSMT4" ShapeID="_x0000_i1113" DrawAspect="Content" ObjectID="_1433920265" r:id="rId529"/>
        </w:object>
      </w:r>
      <w:r w:rsidRPr="00F87319">
        <w:rPr>
          <w:sz w:val="20"/>
        </w:rPr>
        <w:t>bear the same dependencies as atomic velocities, so Eq. (17) may be written:</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1100" w:dyaOrig="499">
          <v:shape id="_x0000_i1114" type="#_x0000_t75" style="width:54.45pt;height:24.8pt" o:ole="">
            <v:imagedata r:id="rId530" o:title=""/>
          </v:shape>
          <o:OLEObject Type="Embed" ProgID="Equation.DSMT4" ShapeID="_x0000_i1114" DrawAspect="Content" ObjectID="_1433920266" r:id="rId531"/>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(17A)</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It has been experimentally demonstrated that, after accelerating a short-half-life radioactive particle, the mass has increased and the rate of decay has slowed down.  This has been used to show Einstein’s theory of Special Relativity is right.  But exactly the same result is predicted from SED physics because there is increased jiggling of the parton that occurs with acceleration through the ZPE.</w:t>
      </w:r>
    </w:p>
    <w:p w:rsidR="006D41BD" w:rsidRPr="00F87319" w:rsidRDefault="006D41BD" w:rsidP="006D41BD">
      <w:pPr>
        <w:pStyle w:val="NormPara"/>
        <w:ind w:firstLine="72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2.3 Zero Point Energy and Mass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kinetic energy given to the particle by the jiggling imparted by the ZPE appears as its atomic mass. As a result, this mass depends on the strength of the ZPE.  Its mass describes the way the parton or electron behaves in its atomic environment.  This is described by Eq. (4).  In that equation, the damping constant </w:t>
      </w:r>
      <w:r w:rsidRPr="00F87319">
        <w:rPr>
          <w:position w:val="-4"/>
          <w:sz w:val="20"/>
        </w:rPr>
        <w:object w:dxaOrig="180" w:dyaOrig="200">
          <v:shape id="_x0000_i1115" type="#_x0000_t75" style="width:9.1pt;height:9.7pt" o:ole="">
            <v:imagedata r:id="rId532" o:title=""/>
          </v:shape>
          <o:OLEObject Type="Embed" ProgID="Equation.DSMT4" ShapeID="_x0000_i1115" DrawAspect="Content" ObjectID="_1433920267" r:id="rId533"/>
        </w:object>
      </w:r>
      <w:r w:rsidRPr="00F87319">
        <w:rPr>
          <w:sz w:val="20"/>
        </w:rPr>
        <w:t>appears.  It is made up of the following terms: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20" w:dyaOrig="580">
          <v:shape id="_x0000_i1116" type="#_x0000_t75" style="width:56.25pt;height:29.05pt" o:ole="">
            <v:imagedata r:id="rId534" o:title=""/>
          </v:shape>
          <o:OLEObject Type="Embed" ProgID="Equation.DSMT4" ShapeID="_x0000_i1116" DrawAspect="Content" ObjectID="_1433920268" r:id="rId53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In Eq. (18), there appears another form of mass,</w:t>
      </w:r>
      <w:r w:rsidRPr="00F87319">
        <w:rPr>
          <w:position w:val="-6"/>
          <w:sz w:val="20"/>
        </w:rPr>
        <w:object w:dxaOrig="279" w:dyaOrig="300">
          <v:shape id="_x0000_i1117" type="#_x0000_t75" style="width:14.5pt;height:15.15pt" o:ole="">
            <v:imagedata r:id="rId536" o:title=""/>
          </v:shape>
          <o:OLEObject Type="Embed" ProgID="Equation.DSMT4" ShapeID="_x0000_i1117" DrawAspect="Content" ObjectID="_1433920269" r:id="rId537"/>
        </w:object>
      </w:r>
      <w:proofErr w:type="gramStart"/>
      <w:r w:rsidRPr="00F87319">
        <w:rPr>
          <w:sz w:val="20"/>
        </w:rPr>
        <w:t>,</w:t>
      </w:r>
      <w:proofErr w:type="gramEnd"/>
      <w:r w:rsidRPr="00F87319">
        <w:rPr>
          <w:sz w:val="20"/>
        </w:rPr>
        <w:t xml:space="preserve"> which might be called the intrinsic mass.  Unlike atomic mass, intrinsic mass</w:t>
      </w:r>
      <w:r w:rsidRPr="00F87319">
        <w:rPr>
          <w:position w:val="-6"/>
          <w:sz w:val="20"/>
        </w:rPr>
        <w:object w:dxaOrig="279" w:dyaOrig="300">
          <v:shape id="_x0000_i1118" type="#_x0000_t75" style="width:14.5pt;height:15.15pt" o:ole="">
            <v:imagedata r:id="rId538" o:title=""/>
          </v:shape>
          <o:OLEObject Type="Embed" ProgID="Equation.DSMT4" ShapeID="_x0000_i1118" DrawAspect="Content" ObjectID="_1433920270" r:id="rId539"/>
        </w:object>
      </w:r>
      <w:r w:rsidRPr="00F87319">
        <w:rPr>
          <w:sz w:val="20"/>
        </w:rPr>
        <w:t xml:space="preserve">is due only to the charge which makes up the parton or electron.  In other words, the intrinsic mass </w:t>
      </w:r>
      <w:r w:rsidRPr="00F87319">
        <w:rPr>
          <w:position w:val="-6"/>
          <w:sz w:val="20"/>
        </w:rPr>
        <w:object w:dxaOrig="279" w:dyaOrig="300">
          <v:shape id="_x0000_i1119" type="#_x0000_t75" style="width:14.5pt;height:15.15pt" o:ole="">
            <v:imagedata r:id="rId540" o:title=""/>
          </v:shape>
          <o:OLEObject Type="Embed" ProgID="Equation.DSMT4" ShapeID="_x0000_i1119" DrawAspect="Content" ObjectID="_1433920271" r:id="rId541"/>
        </w:object>
      </w:r>
      <w:r w:rsidRPr="00F87319">
        <w:rPr>
          <w:sz w:val="20"/>
        </w:rPr>
        <w:t xml:space="preserve"> is </w:t>
      </w:r>
      <w:r w:rsidRPr="00F87319">
        <w:rPr>
          <w:sz w:val="20"/>
        </w:rPr>
        <w:lastRenderedPageBreak/>
        <w:t xml:space="preserve">purely electromagnetic in origin.  An approximation for this mass can be derived from the formula for Classical Electron </w:t>
      </w:r>
      <w:proofErr w:type="gramStart"/>
      <w:r w:rsidRPr="00F87319">
        <w:rPr>
          <w:sz w:val="20"/>
        </w:rPr>
        <w:t xml:space="preserve">Radius </w:t>
      </w:r>
      <w:proofErr w:type="gramEnd"/>
      <w:r w:rsidRPr="00F87319">
        <w:rPr>
          <w:position w:val="-10"/>
          <w:sz w:val="20"/>
        </w:rPr>
        <w:object w:dxaOrig="200" w:dyaOrig="279">
          <v:shape id="_x0000_i1120" type="#_x0000_t75" style="width:9.7pt;height:14.5pt" o:ole="">
            <v:imagedata r:id="rId542" o:title=""/>
          </v:shape>
          <o:OLEObject Type="Embed" ProgID="Equation.DSMT4" ShapeID="_x0000_i1120" DrawAspect="Content" ObjectID="_1433920272" r:id="rId543"/>
        </w:object>
      </w:r>
      <w:r w:rsidRPr="00F87319">
        <w:rPr>
          <w:sz w:val="20"/>
        </w:rPr>
        <w:t>, from which we get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m:oMath>
        <m:sSup>
          <m:sSupPr>
            <m:ctrlPr>
              <w:rPr>
                <w:rFonts w:ascii="Cambria Math" w:hAnsi="Cambria Math"/>
                <w:i/>
                <w:sz w:val="20"/>
              </w:rPr>
            </m:ctrlPr>
          </m:sSupPr>
          <m:e>
            <m:r>
              <w:rPr>
                <w:rFonts w:ascii="Cambria Math" w:hAnsi="Cambria Math"/>
                <w:sz w:val="20"/>
              </w:rPr>
              <m:t>m</m:t>
            </m:r>
          </m:e>
          <m:sup>
            <m:r>
              <w:rPr>
                <w:rFonts w:hAnsi="Cambria Math"/>
                <w:sz w:val="20"/>
              </w:rPr>
              <m:t>*</m:t>
            </m:r>
          </m:sup>
        </m:sSup>
        <m:r>
          <w:rPr>
            <w:rFonts w:ascii="Cambria Math"/>
            <w:sz w:val="20"/>
          </w:rPr>
          <m:t xml:space="preserve"> </m:t>
        </m:r>
        <m:r>
          <w:rPr>
            <w:rFonts w:hAnsi="Cambria Math"/>
            <w:sz w:val="20"/>
          </w:rPr>
          <m:t>≅</m:t>
        </m:r>
        <m:r>
          <w:rPr>
            <w:rFonts w:ascii="Cambria Math"/>
            <w:sz w:val="20"/>
          </w:rPr>
          <m:t xml:space="preserve"> </m:t>
        </m:r>
        <m:d>
          <m:dPr>
            <m:ctrlPr>
              <w:rPr>
                <w:rFonts w:ascii="Cambria Math" w:hAnsi="Cambria Math"/>
                <w:i/>
                <w:sz w:val="20"/>
              </w:rPr>
            </m:ctrlPr>
          </m:dPr>
          <m:e>
            <m:f>
              <m:fPr>
                <m:ctrlPr>
                  <w:rPr>
                    <w:rFonts w:ascii="Cambria Math" w:hAnsi="Cambria Math"/>
                    <w:i/>
                    <w:sz w:val="20"/>
                  </w:rPr>
                </m:ctrlPr>
              </m:fPr>
              <m:num>
                <m:sSup>
                  <m:sSupPr>
                    <m:ctrlPr>
                      <w:rPr>
                        <w:rFonts w:ascii="Cambria Math" w:hAnsi="Cambria Math"/>
                        <w:i/>
                        <w:sz w:val="20"/>
                      </w:rPr>
                    </m:ctrlPr>
                  </m:sSupPr>
                  <m:e>
                    <m:r>
                      <w:rPr>
                        <w:rFonts w:ascii="Cambria Math" w:hAnsi="Cambria Math"/>
                        <w:sz w:val="20"/>
                      </w:rPr>
                      <m:t>e</m:t>
                    </m:r>
                  </m:e>
                  <m:sup>
                    <m:r>
                      <w:rPr>
                        <w:rFonts w:ascii="Cambria Math"/>
                        <w:sz w:val="20"/>
                      </w:rPr>
                      <m:t>2</m:t>
                    </m:r>
                  </m:sup>
                </m:sSup>
              </m:num>
              <m:den>
                <m:r>
                  <w:rPr>
                    <w:rFonts w:ascii="Cambria Math" w:hAnsi="Cambria Math"/>
                    <w:sz w:val="20"/>
                  </w:rPr>
                  <m:t>ε</m:t>
                </m:r>
              </m:den>
            </m:f>
          </m:e>
        </m:d>
        <m:d>
          <m:dPr>
            <m:ctrlPr>
              <w:rPr>
                <w:rFonts w:ascii="Cambria Math" w:hAnsi="Cambria Math"/>
                <w:i/>
                <w:sz w:val="20"/>
              </w:rPr>
            </m:ctrlPr>
          </m:dPr>
          <m:e>
            <m:f>
              <m:fPr>
                <m:ctrlPr>
                  <w:rPr>
                    <w:rFonts w:ascii="Cambria Math" w:hAnsi="Cambria Math"/>
                    <w:i/>
                    <w:sz w:val="20"/>
                  </w:rPr>
                </m:ctrlPr>
              </m:fPr>
              <m:num>
                <m:r>
                  <w:rPr>
                    <w:rFonts w:ascii="Cambria Math"/>
                    <w:sz w:val="20"/>
                  </w:rPr>
                  <m:t>1</m:t>
                </m:r>
              </m:num>
              <m:den>
                <m:sSub>
                  <m:sSubPr>
                    <m:ctrlPr>
                      <w:rPr>
                        <w:rFonts w:ascii="Cambria Math" w:hAnsi="Cambria Math"/>
                        <w:i/>
                        <w:sz w:val="20"/>
                      </w:rPr>
                    </m:ctrlPr>
                  </m:sSubPr>
                  <m:e>
                    <m:r>
                      <w:rPr>
                        <w:rFonts w:ascii="Cambria Math" w:hAnsi="Cambria Math"/>
                        <w:sz w:val="20"/>
                      </w:rPr>
                      <m:t>r</m:t>
                    </m:r>
                  </m:e>
                  <m:sub>
                    <m:r>
                      <w:rPr>
                        <w:rFonts w:ascii="Cambria Math"/>
                        <w:sz w:val="20"/>
                      </w:rPr>
                      <m:t>0</m:t>
                    </m:r>
                  </m:sub>
                </m:sSub>
                <m:sSup>
                  <m:sSupPr>
                    <m:ctrlPr>
                      <w:rPr>
                        <w:rFonts w:ascii="Cambria Math" w:hAnsi="Cambria Math"/>
                        <w:i/>
                        <w:sz w:val="20"/>
                      </w:rPr>
                    </m:ctrlPr>
                  </m:sSupPr>
                  <m:e>
                    <m:r>
                      <w:rPr>
                        <w:rFonts w:ascii="Cambria Math" w:hAnsi="Cambria Math"/>
                        <w:sz w:val="20"/>
                      </w:rPr>
                      <m:t>c</m:t>
                    </m:r>
                  </m:e>
                  <m:sup>
                    <m:r>
                      <w:rPr>
                        <w:rFonts w:ascii="Cambria Math"/>
                        <w:sz w:val="20"/>
                      </w:rPr>
                      <m:t>2</m:t>
                    </m:r>
                  </m:sup>
                </m:sSup>
              </m:den>
            </m:f>
          </m:e>
        </m:d>
      </m:oMath>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(19)</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0"/>
        <w:rPr>
          <w:sz w:val="20"/>
        </w:rPr>
      </w:pPr>
      <w:r w:rsidRPr="00F87319">
        <w:rPr>
          <w:sz w:val="20"/>
        </w:rPr>
        <w:t xml:space="preserve">where </w:t>
      </w:r>
      <m:oMath>
        <m:r>
          <w:rPr>
            <w:rFonts w:ascii="Cambria Math" w:hAnsi="Cambria Math"/>
            <w:sz w:val="20"/>
          </w:rPr>
          <m:t>≅</m:t>
        </m:r>
      </m:oMath>
      <w:r w:rsidRPr="00F87319">
        <w:rPr>
          <w:sz w:val="20"/>
        </w:rPr>
        <w:t xml:space="preserve"> means “approximately equal to.”  A rigorous derivation results in the formula</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1160" w:dyaOrig="620">
          <v:shape id="_x0000_i1121" type="#_x0000_t75" style="width:57.5pt;height:30.85pt" o:ole="">
            <v:imagedata r:id="rId544" o:title=""/>
          </v:shape>
          <o:OLEObject Type="Embed" ProgID="Equation.DSMT4" ShapeID="_x0000_i1121" DrawAspect="Content" ObjectID="_1433920273" r:id="rId54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 xml:space="preserve"> (20) </w:t>
      </w:r>
    </w:p>
    <w:p w:rsidR="006D41BD" w:rsidRPr="00F87319" w:rsidRDefault="006D41BD" w:rsidP="006D41BD">
      <w:pPr>
        <w:pStyle w:val="NormPara"/>
        <w:ind w:firstLine="0"/>
        <w:rPr>
          <w:sz w:val="20"/>
        </w:rPr>
      </w:pPr>
      <w:r w:rsidRPr="00F87319">
        <w:rPr>
          <w:sz w:val="20"/>
        </w:rPr>
        <w:t xml:space="preserve">Since it has been shown that </w:t>
      </w:r>
      <w:r w:rsidRPr="00F87319">
        <w:rPr>
          <w:position w:val="-10"/>
          <w:sz w:val="20"/>
        </w:rPr>
        <w:object w:dxaOrig="420" w:dyaOrig="340">
          <v:shape id="_x0000_i1122" type="#_x0000_t75" style="width:21.2pt;height:17.55pt" o:ole="">
            <v:imagedata r:id="rId546" o:title=""/>
          </v:shape>
          <o:OLEObject Type="Embed" ProgID="Equation.DSMT4" ShapeID="_x0000_i1122" DrawAspect="Content" ObjectID="_1433920274" r:id="rId547"/>
        </w:object>
      </w:r>
      <w:r w:rsidRPr="00F87319">
        <w:rPr>
          <w:sz w:val="20"/>
        </w:rPr>
        <w:t xml:space="preserve"> is a constant out to the limits of the universe, even with a changing ZPE [36, 38</w:t>
      </w:r>
      <w:r w:rsidRPr="00F87319">
        <w:rPr>
          <w:b/>
          <w:sz w:val="20"/>
        </w:rPr>
        <w:t>]</w:t>
      </w:r>
      <w:r w:rsidRPr="00F87319">
        <w:rPr>
          <w:sz w:val="20"/>
        </w:rPr>
        <w:t>,</w:t>
      </w:r>
      <w:r w:rsidRPr="00F87319">
        <w:rPr>
          <w:b/>
          <w:sz w:val="20"/>
        </w:rPr>
        <w:t xml:space="preserve"> </w:t>
      </w:r>
      <w:r w:rsidRPr="00F87319">
        <w:rPr>
          <w:sz w:val="20"/>
        </w:rPr>
        <w:t xml:space="preserve">then it follows that the intrinsic mass </w:t>
      </w:r>
      <w:r w:rsidRPr="00F87319">
        <w:rPr>
          <w:position w:val="-6"/>
          <w:sz w:val="20"/>
        </w:rPr>
        <w:object w:dxaOrig="279" w:dyaOrig="300">
          <v:shape id="_x0000_i1123" type="#_x0000_t75" style="width:14.5pt;height:15.15pt" o:ole="">
            <v:imagedata r:id="rId548" o:title=""/>
          </v:shape>
          <o:OLEObject Type="Embed" ProgID="Equation.DSMT4" ShapeID="_x0000_i1123" DrawAspect="Content" ObjectID="_1433920275" r:id="rId549"/>
        </w:object>
      </w:r>
      <w:r w:rsidRPr="00F87319">
        <w:rPr>
          <w:sz w:val="20"/>
        </w:rPr>
        <w:t xml:space="preserve"> is inversely proportional to both the radius of the parton or electron </w:t>
      </w:r>
      <w:r w:rsidRPr="00F87319">
        <w:rPr>
          <w:position w:val="-10"/>
          <w:sz w:val="20"/>
        </w:rPr>
        <w:object w:dxaOrig="200" w:dyaOrig="279">
          <v:shape id="_x0000_i1124" type="#_x0000_t75" style="width:9.7pt;height:14.5pt" o:ole="">
            <v:imagedata r:id="rId550" o:title=""/>
          </v:shape>
          <o:OLEObject Type="Embed" ProgID="Equation.DSMT4" ShapeID="_x0000_i1124" DrawAspect="Content" ObjectID="_1433920276" r:id="rId551"/>
        </w:object>
      </w:r>
      <w:r w:rsidRPr="00F87319">
        <w:rPr>
          <w:sz w:val="20"/>
        </w:rPr>
        <w:t xml:space="preserve"> and </w:t>
      </w:r>
      <w:proofErr w:type="gramStart"/>
      <w:r w:rsidRPr="00F87319">
        <w:rPr>
          <w:sz w:val="20"/>
        </w:rPr>
        <w:t xml:space="preserve">to </w:t>
      </w:r>
      <w:proofErr w:type="gramEnd"/>
      <w:r w:rsidRPr="00F87319">
        <w:rPr>
          <w:position w:val="-6"/>
          <w:sz w:val="20"/>
        </w:rPr>
        <w:object w:dxaOrig="240" w:dyaOrig="300">
          <v:shape id="_x0000_i1125" type="#_x0000_t75" style="width:12.1pt;height:15.15pt" o:ole="">
            <v:imagedata r:id="rId552" o:title=""/>
          </v:shape>
          <o:OLEObject Type="Embed" ProgID="Equation.DSMT4" ShapeID="_x0000_i1125" DrawAspect="Content" ObjectID="_1433920277" r:id="rId553"/>
        </w:objec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any changes in the charge radii of partons and electrons are due to changes in the strength of the ZPE, then as the ZPE increases, so, too, do their charge radii.  This is because the ZPE produces an inward pressure while an outward pressure is exerted by the presence of the charge itself.  As the ZPE increases, so does the electronic charge</w:t>
      </w:r>
      <w:r w:rsidRPr="00F87319">
        <w:rPr>
          <w:position w:val="-6"/>
          <w:sz w:val="20"/>
        </w:rPr>
        <w:object w:dxaOrig="160" w:dyaOrig="200">
          <v:shape id="_x0000_i1126" type="#_x0000_t75" style="width:8.45pt;height:9.7pt" o:ole="">
            <v:imagedata r:id="rId554" o:title=""/>
          </v:shape>
          <o:OLEObject Type="Embed" ProgID="Equation.DSMT4" ShapeID="_x0000_i1126" DrawAspect="Content" ObjectID="_1433920278" r:id="rId555"/>
        </w:object>
      </w:r>
      <w:r w:rsidRPr="00F87319">
        <w:rPr>
          <w:i/>
          <w:sz w:val="20"/>
        </w:rPr>
        <w:t>,</w:t>
      </w:r>
      <w:r w:rsidRPr="00F87319">
        <w:rPr>
          <w:sz w:val="20"/>
        </w:rPr>
        <w:t xml:space="preserve"> because </w:t>
      </w:r>
      <w:r w:rsidRPr="00F87319">
        <w:rPr>
          <w:position w:val="-10"/>
          <w:sz w:val="20"/>
        </w:rPr>
        <w:object w:dxaOrig="420" w:dyaOrig="340">
          <v:shape id="_x0000_i1127" type="#_x0000_t75" style="width:21.2pt;height:17.55pt" o:ole="">
            <v:imagedata r:id="rId546" o:title=""/>
          </v:shape>
          <o:OLEObject Type="Embed" ProgID="Equation.DSMT4" ShapeID="_x0000_i1127" DrawAspect="Content" ObjectID="_1433920279" r:id="rId556"/>
        </w:object>
      </w:r>
      <w:r w:rsidRPr="00F87319">
        <w:rPr>
          <w:sz w:val="20"/>
        </w:rPr>
        <w:t xml:space="preserve"> is a constant and </w:t>
      </w:r>
      <w:r w:rsidRPr="00F87319">
        <w:rPr>
          <w:position w:val="-6"/>
          <w:sz w:val="20"/>
        </w:rPr>
        <w:object w:dxaOrig="180" w:dyaOrig="200">
          <v:shape id="_x0000_i1128" type="#_x0000_t75" style="width:9.1pt;height:9.7pt" o:ole="">
            <v:imagedata r:id="rId557" o:title=""/>
          </v:shape>
          <o:OLEObject Type="Embed" ProgID="Equation.DSMT4" ShapeID="_x0000_i1128" DrawAspect="Content" ObjectID="_1433920280" r:id="rId558"/>
        </w:object>
      </w:r>
      <w:r w:rsidRPr="00F87319">
        <w:rPr>
          <w:sz w:val="20"/>
        </w:rPr>
        <w:t xml:space="preserve"> </w:t>
      </w:r>
      <w:r w:rsidRPr="00F87319">
        <w:rPr>
          <w:rStyle w:val="Emphasis"/>
          <w:i w:val="0"/>
          <w:sz w:val="20"/>
        </w:rPr>
        <w:t xml:space="preserve">is proportional to ZPE strength </w:t>
      </w:r>
      <w:r w:rsidRPr="00F87319">
        <w:rPr>
          <w:rStyle w:val="Emphasis"/>
          <w:sz w:val="20"/>
        </w:rPr>
        <w:t>U.</w:t>
      </w:r>
      <w:r w:rsidRPr="00F87319">
        <w:rPr>
          <w:sz w:val="20"/>
        </w:rPr>
        <w:t xml:space="preserve">  These opposing pressures result in the parton’s or electron’s sphere expanding until a balance is achieved and a stable radius for the sphere results.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An investigation of this effect was undertaken by Timothy Boyer in 1968 and Hal Puthoff in May of 2007.  Puthoff discussed several possible explanatory models [39].  The one which yielded results in accord with data was described in these terms.  </w:t>
      </w:r>
      <w:r w:rsidRPr="00F87319">
        <w:rPr>
          <w:i/>
          <w:sz w:val="20"/>
        </w:rPr>
        <w:t xml:space="preserve">“[T]he charge density is taken to be sufficiently dense in a vanishing-radius shell so as to result in the total absence of interior vacuum fluctuation fields as a singularity is approached.“ </w:t>
      </w:r>
      <w:r w:rsidRPr="00F87319">
        <w:rPr>
          <w:sz w:val="20"/>
        </w:rPr>
        <w:t xml:space="preserve"> Puthoff also found that </w:t>
      </w:r>
      <w:r w:rsidRPr="00F87319">
        <w:rPr>
          <w:i/>
          <w:sz w:val="20"/>
        </w:rPr>
        <w:t>“the outwardly-directed coulomb pressure [was] balanced by the inwardly-directed vacuum radiation pressure.”</w:t>
      </w:r>
      <w:r w:rsidRPr="00F87319">
        <w:rPr>
          <w:sz w:val="20"/>
        </w:rPr>
        <w:t xml:space="preserve">[39] </w:t>
      </w:r>
      <w:r w:rsidRPr="00F87319">
        <w:rPr>
          <w:i/>
          <w:sz w:val="20"/>
        </w:rPr>
        <w:t xml:space="preserve"> </w:t>
      </w:r>
      <w:r w:rsidRPr="00F87319">
        <w:rPr>
          <w:sz w:val="20"/>
        </w:rPr>
        <w:t xml:space="preserve">His equations show that the Coulomb energy component </w:t>
      </w:r>
      <w:r w:rsidRPr="00F87319">
        <w:rPr>
          <w:i/>
          <w:sz w:val="20"/>
        </w:rPr>
        <w:t>W</w:t>
      </w:r>
      <w:r w:rsidRPr="00F87319">
        <w:rPr>
          <w:sz w:val="20"/>
        </w:rPr>
        <w:t xml:space="preserv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280" w:dyaOrig="600">
          <v:shape id="_x0000_i1129" type="#_x0000_t75" style="width:63.55pt;height:30.25pt" o:ole="">
            <v:imagedata r:id="rId559" o:title=""/>
          </v:shape>
          <o:OLEObject Type="Embed" ProgID="Equation.DSMT4" ShapeID="_x0000_i1129" DrawAspect="Content" ObjectID="_1433920281" r:id="rId56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(21)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In a changing ZPE model, the quantity </w:t>
      </w:r>
      <w:r w:rsidRPr="00F87319">
        <w:rPr>
          <w:position w:val="-10"/>
          <w:sz w:val="20"/>
        </w:rPr>
        <w:object w:dxaOrig="420" w:dyaOrig="340">
          <v:shape id="_x0000_i1130" type="#_x0000_t75" style="width:21.2pt;height:17.55pt" o:ole="">
            <v:imagedata r:id="rId561" o:title=""/>
          </v:shape>
          <o:OLEObject Type="Embed" ProgID="Equation.DSMT4" ShapeID="_x0000_i1130" DrawAspect="Content" ObjectID="_1433920282" r:id="rId562"/>
        </w:object>
      </w:r>
      <w:r w:rsidRPr="00F87319">
        <w:rPr>
          <w:sz w:val="20"/>
        </w:rPr>
        <w:t xml:space="preserve"> is constant.  This means that the outwardly directed Coulomb energy is inversely proportional to the radius of the charged sphere or, in the case of partons and electrons, the charge radius.  Therefore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940" w:dyaOrig="540">
          <v:shape id="_x0000_i1131" type="#_x0000_t75" style="width:47.2pt;height:27.25pt" o:ole="">
            <v:imagedata r:id="rId563" o:title=""/>
          </v:shape>
          <o:OLEObject Type="Embed" ProgID="Equation.DSMT4" ShapeID="_x0000_i1131" DrawAspect="Content" ObjectID="_1433920283" r:id="rId56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(22)</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contrast, the inwardly directed energy of the vacuum is given by Puthoff’s equation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20" w:dyaOrig="580">
          <v:shape id="_x0000_i1132" type="#_x0000_t75" style="width:81.1pt;height:29.05pt" o:ole="">
            <v:imagedata r:id="rId565" o:title=""/>
          </v:shape>
          <o:OLEObject Type="Embed" ProgID="Equation.DSMT4" ShapeID="_x0000_i1132" DrawAspect="Content" ObjectID="_1433920284" r:id="rId56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r>
      <w:r w:rsidRPr="00F87319">
        <w:rPr>
          <w:sz w:val="20"/>
        </w:rPr>
        <w:t xml:space="preserve"> </w:t>
      </w:r>
      <w:r w:rsidRPr="00F87319">
        <w:rPr>
          <w:i/>
          <w:sz w:val="20"/>
        </w:rPr>
        <w:t>(23)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In Eq. (23), </w:t>
      </w:r>
      <w:r w:rsidRPr="00F87319">
        <w:rPr>
          <w:position w:val="-6"/>
          <w:sz w:val="20"/>
        </w:rPr>
        <w:object w:dxaOrig="200" w:dyaOrig="200">
          <v:shape id="_x0000_i1133" type="#_x0000_t75" style="width:9.7pt;height:9.7pt" o:ole="">
            <v:imagedata r:id="rId567" o:title=""/>
          </v:shape>
          <o:OLEObject Type="Embed" ProgID="Equation.DSMT4" ShapeID="_x0000_i1133" DrawAspect="Content" ObjectID="_1433920285" r:id="rId568"/>
        </w:object>
      </w:r>
      <w:r w:rsidRPr="00F87319">
        <w:rPr>
          <w:sz w:val="20"/>
        </w:rPr>
        <w:t xml:space="preserve"> is the oscillation frequency of the parton or electron.  Puthoff then goes on to calculate the result and shows that the outwardly directed Coulomb energy is balanced by the inwardly directed vacuum energy.  This leads to a stable </w:t>
      </w:r>
      <w:r w:rsidRPr="00F87319">
        <w:rPr>
          <w:sz w:val="20"/>
        </w:rPr>
        <w:lastRenderedPageBreak/>
        <w:t>radius for the electron of</w:t>
      </w:r>
      <w:r w:rsidRPr="00F87319">
        <w:rPr>
          <w:position w:val="-10"/>
          <w:sz w:val="20"/>
        </w:rPr>
        <w:object w:dxaOrig="200" w:dyaOrig="279">
          <v:shape id="_x0000_i1134" type="#_x0000_t75" style="width:9.7pt;height:14.5pt" o:ole="">
            <v:imagedata r:id="rId569" o:title=""/>
          </v:shape>
          <o:OLEObject Type="Embed" ProgID="Equation.DSMT4" ShapeID="_x0000_i1134" DrawAspect="Content" ObjectID="_1433920286" r:id="rId570"/>
        </w:object>
      </w:r>
      <w:r w:rsidRPr="00F87319">
        <w:rPr>
          <w:sz w:val="20"/>
        </w:rPr>
        <w:t>.  However, in our case, we have a changing ZPE strength to consider.  So (23) needs further investigation, as there are a number of terms dependent on the strength of the Zero Point Energy.  We note that, in (23)</w:t>
      </w: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980" w:dyaOrig="520">
          <v:shape id="_x0000_i1135" type="#_x0000_t75" style="width:99.25pt;height:26pt" o:ole="">
            <v:imagedata r:id="rId571" o:title=""/>
          </v:shape>
          <o:OLEObject Type="Embed" ProgID="Equation.DSMT4" ShapeID="_x0000_i1135" DrawAspect="Content" ObjectID="_1433920287" r:id="rId57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(24)</w:t>
      </w:r>
    </w:p>
    <w:p w:rsidR="006D41BD" w:rsidRPr="00F87319" w:rsidRDefault="006D41BD" w:rsidP="006D41BD">
      <w:pPr>
        <w:pStyle w:val="equation"/>
        <w:spacing w:before="80" w:after="80"/>
        <w:jc w:val="right"/>
        <w:rPr>
          <w:sz w:val="20"/>
        </w:rPr>
      </w:pPr>
    </w:p>
    <w:p w:rsidR="006D41BD" w:rsidRPr="00F87319" w:rsidRDefault="006D41BD" w:rsidP="006D41BD">
      <w:pPr>
        <w:pStyle w:val="NormPara"/>
        <w:ind w:firstLine="720"/>
        <w:rPr>
          <w:sz w:val="20"/>
        </w:rPr>
      </w:pPr>
      <w:r w:rsidRPr="00F87319">
        <w:rPr>
          <w:sz w:val="20"/>
        </w:rPr>
        <w:t>The last proportionality above follows from the fact that there is a frequency-cubed relationship between the strength of the ZPE and the oscillation frequency of the parton.  When these U-dependent proportionalities are substituted into (23), the following situation emerges: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3180" w:dyaOrig="560">
          <v:shape id="_x0000_i1136" type="#_x0000_t75" style="width:159.15pt;height:27.85pt" o:ole="">
            <v:imagedata r:id="rId573" o:title=""/>
          </v:shape>
          <o:OLEObject Type="Embed" ProgID="Equation.DSMT4" ShapeID="_x0000_i1136" DrawAspect="Content" ObjectID="_1433920288" r:id="rId57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(25) is integrated, we get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420" w:dyaOrig="520">
          <v:shape id="_x0000_i1137" type="#_x0000_t75" style="width:71.4pt;height:26pt" o:ole="">
            <v:imagedata r:id="rId575" o:title=""/>
          </v:shape>
          <o:OLEObject Type="Embed" ProgID="Equation.DSMT4" ShapeID="_x0000_i1137" DrawAspect="Content" ObjectID="_1433920289" r:id="rId576"/>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Because, as stated, the energies are balanced,</w:t>
      </w:r>
      <w:r w:rsidRPr="00F87319">
        <w:rPr>
          <w:position w:val="-10"/>
          <w:sz w:val="20"/>
        </w:rPr>
        <w:object w:dxaOrig="1100" w:dyaOrig="279">
          <v:shape id="_x0000_i1138" type="#_x0000_t75" style="width:54.45pt;height:14.5pt" o:ole="">
            <v:imagedata r:id="rId577" o:title=""/>
          </v:shape>
          <o:OLEObject Type="Embed" ProgID="Equation.DSMT4" ShapeID="_x0000_i1138" DrawAspect="Content" ObjectID="_1433920290" r:id="rId578"/>
        </w:object>
      </w:r>
      <w:proofErr w:type="gramStart"/>
      <w:r w:rsidRPr="00F87319">
        <w:rPr>
          <w:sz w:val="20"/>
        </w:rPr>
        <w:t>,</w:t>
      </w:r>
      <w:proofErr w:type="gramEnd"/>
      <w:r w:rsidRPr="00F87319">
        <w:rPr>
          <w:sz w:val="20"/>
        </w:rPr>
        <w:t xml:space="preserve"> therefore equating (26) and (22)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720" w:dyaOrig="540">
          <v:shape id="_x0000_i1139" type="#_x0000_t75" style="width:36.3pt;height:27.25pt" o:ole="">
            <v:imagedata r:id="rId579" o:title=""/>
          </v:shape>
          <o:OLEObject Type="Embed" ProgID="Equation.DSMT4" ShapeID="_x0000_i1139" DrawAspect="Content" ObjectID="_1433920291" r:id="rId58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vertAlign w:val="superscript"/>
        </w:rPr>
        <w:tab/>
      </w:r>
      <w:r w:rsidRPr="00F87319">
        <w:rPr>
          <w:i/>
          <w:sz w:val="20"/>
        </w:rPr>
        <w:t>(27)</w:t>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rPr>
          <w:sz w:val="20"/>
        </w:rPr>
      </w:pPr>
      <w:r w:rsidRPr="00F87319">
        <w:rPr>
          <w:sz w:val="20"/>
        </w:rPr>
        <w:t>and therefore</w:t>
      </w:r>
      <w:r w:rsidRPr="00F87319">
        <w:rPr>
          <w:sz w:val="20"/>
        </w:rPr>
        <w:tab/>
      </w:r>
    </w:p>
    <w:p w:rsidR="006D41BD" w:rsidRPr="00F87319" w:rsidRDefault="006D41BD" w:rsidP="006D41BD">
      <w:pPr>
        <w:pStyle w:val="equation"/>
        <w:spacing w:before="80" w:after="80"/>
        <w:rPr>
          <w:sz w:val="20"/>
        </w:rPr>
      </w:pPr>
    </w:p>
    <w:p w:rsidR="006D41BD" w:rsidRPr="00F87319" w:rsidRDefault="006D41BD" w:rsidP="006D41BD">
      <w:pPr>
        <w:pStyle w:val="equation"/>
        <w:spacing w:before="80" w:after="80"/>
        <w:jc w:val="right"/>
        <w:rPr>
          <w:sz w:val="20"/>
        </w:rPr>
      </w:pPr>
      <w:r w:rsidRPr="00F87319">
        <w:rPr>
          <w:position w:val="-22"/>
          <w:sz w:val="20"/>
        </w:rPr>
        <w:object w:dxaOrig="1060" w:dyaOrig="520">
          <v:shape id="_x0000_i1140" type="#_x0000_t75" style="width:53.25pt;height:26pt" o:ole="">
            <v:imagedata r:id="rId581" o:title=""/>
          </v:shape>
          <o:OLEObject Type="Embed" ProgID="Equation.DSMT4" ShapeID="_x0000_i1140" DrawAspect="Content" ObjectID="_1433920292" r:id="rId582"/>
        </w:object>
      </w:r>
      <w:r w:rsidRPr="00F87319">
        <w:rPr>
          <w:sz w:val="20"/>
        </w:rPr>
        <w:t xml:space="preserve"> .</w:t>
      </w:r>
      <w:r w:rsidRPr="00F87319">
        <w:rPr>
          <w:sz w:val="20"/>
        </w:rPr>
        <w:tab/>
      </w:r>
      <w:r w:rsidRPr="00F87319">
        <w:rPr>
          <w:sz w:val="20"/>
        </w:rPr>
        <w:tab/>
      </w:r>
      <w:r w:rsidRPr="00F87319">
        <w:rPr>
          <w:sz w:val="20"/>
        </w:rPr>
        <w:tab/>
      </w:r>
      <w:r w:rsidRPr="00F87319">
        <w:rPr>
          <w:i/>
          <w:sz w:val="20"/>
        </w:rPr>
        <w:tab/>
        <w:t>(28)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So, from (20) we find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639" w:dyaOrig="300">
          <v:shape id="_x0000_i1141" type="#_x0000_t75" style="width:31.45pt;height:15.15pt" o:ole="">
            <v:imagedata r:id="rId583" o:title=""/>
          </v:shape>
          <o:OLEObject Type="Embed" ProgID="Equation.DSMT4" ShapeID="_x0000_i1141" DrawAspect="Content" ObjectID="_1433920293" r:id="rId58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(29)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Consequently, comparison with (14) reveals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460" w:dyaOrig="520">
          <v:shape id="_x0000_i1142" type="#_x0000_t75" style="width:72.6pt;height:26pt" o:ole="">
            <v:imagedata r:id="rId585" o:title=""/>
          </v:shape>
          <o:OLEObject Type="Embed" ProgID="Equation.DSMT4" ShapeID="_x0000_i1142" DrawAspect="Content" ObjectID="_1433920294" r:id="rId5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(30)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It follows, then, that for a situation with varying ZPE,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1480" w:dyaOrig="300">
          <v:shape id="_x0000_i1143" type="#_x0000_t75" style="width:74.4pt;height:15.15pt" o:ole="">
            <v:imagedata r:id="rId587" o:title=""/>
          </v:shape>
          <o:OLEObject Type="Embed" ProgID="Equation.DSMT4" ShapeID="_x0000_i1143" DrawAspect="Content" ObjectID="_1433920295" r:id="rId588"/>
        </w:object>
      </w:r>
      <w:r w:rsidRPr="00F87319">
        <w:rPr>
          <w:sz w:val="20"/>
        </w:rPr>
        <w:t>,</w:t>
      </w:r>
      <w:r w:rsidRPr="00F87319">
        <w:rPr>
          <w:sz w:val="20"/>
        </w:rPr>
        <w:tab/>
      </w:r>
      <w:r w:rsidRPr="00F87319">
        <w:rPr>
          <w:sz w:val="20"/>
        </w:rPr>
        <w:tab/>
      </w:r>
      <w:r w:rsidRPr="00F87319">
        <w:rPr>
          <w:i/>
          <w:sz w:val="20"/>
        </w:rPr>
        <w:tab/>
      </w:r>
      <w:r w:rsidRPr="00F87319">
        <w:rPr>
          <w:i/>
          <w:sz w:val="20"/>
        </w:rPr>
        <w:tab/>
      </w:r>
      <w:r w:rsidRPr="00F87319">
        <w:rPr>
          <w:i/>
          <w:sz w:val="20"/>
        </w:rPr>
        <w:tab/>
        <w:t>(31)</w:t>
      </w: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6"/>
          <w:sz w:val="20"/>
        </w:rPr>
        <w:object w:dxaOrig="260" w:dyaOrig="240">
          <v:shape id="_x0000_i1144" type="#_x0000_t75" style="width:12.7pt;height:12.1pt" o:ole="">
            <v:imagedata r:id="rId589" o:title=""/>
          </v:shape>
          <o:OLEObject Type="Embed" ProgID="Equation.DSMT4" ShapeID="_x0000_i1144" DrawAspect="Content" ObjectID="_1433920296" r:id="rId590"/>
        </w:object>
      </w:r>
      <w:r w:rsidRPr="00F87319">
        <w:rPr>
          <w:sz w:val="20"/>
        </w:rPr>
        <w:t xml:space="preserve">is a constant bearing the dimensions of mass. Therefore, as previously stated, we have an intrinsic mass </w:t>
      </w:r>
      <w:r w:rsidRPr="00F87319">
        <w:rPr>
          <w:position w:val="-6"/>
          <w:sz w:val="20"/>
        </w:rPr>
        <w:object w:dxaOrig="279" w:dyaOrig="300">
          <v:shape id="_x0000_i1145" type="#_x0000_t75" style="width:14.5pt;height:15.15pt" o:ole="">
            <v:imagedata r:id="rId591" o:title=""/>
          </v:shape>
          <o:OLEObject Type="Embed" ProgID="Equation.DSMT4" ShapeID="_x0000_i1145" DrawAspect="Content" ObjectID="_1433920297" r:id="rId592"/>
        </w:object>
      </w:r>
      <w:r w:rsidRPr="00F87319">
        <w:rPr>
          <w:sz w:val="20"/>
        </w:rPr>
        <w:t>for an electron or parton which comes entirely from the presence of the charge.  In addition, there is the atomic mass</w:t>
      </w:r>
      <w:r w:rsidRPr="00F87319">
        <w:rPr>
          <w:position w:val="-6"/>
          <w:sz w:val="20"/>
        </w:rPr>
        <w:object w:dxaOrig="220" w:dyaOrig="200">
          <v:shape id="_x0000_i1146" type="#_x0000_t75" style="width:10.3pt;height:9.7pt" o:ole="">
            <v:imagedata r:id="rId593" o:title=""/>
          </v:shape>
          <o:OLEObject Type="Embed" ProgID="Equation.DSMT4" ShapeID="_x0000_i1146" DrawAspect="Content" ObjectID="_1433920298" r:id="rId594"/>
        </w:object>
      </w:r>
      <w:r w:rsidRPr="00F87319">
        <w:rPr>
          <w:sz w:val="20"/>
        </w:rPr>
        <w:t>which comes from the jiggling of this charged particle by the ZPE.</w:t>
      </w:r>
    </w:p>
    <w:p w:rsidR="006D41BD" w:rsidRDefault="006D41BD" w:rsidP="006D41BD">
      <w:pPr>
        <w:pStyle w:val="NormPara"/>
        <w:ind w:firstLine="0"/>
        <w:rPr>
          <w:sz w:val="20"/>
        </w:rPr>
      </w:pPr>
    </w:p>
    <w:p w:rsidR="00CF2274" w:rsidRDefault="00CF2274" w:rsidP="006D41BD">
      <w:pPr>
        <w:pStyle w:val="NormPara"/>
        <w:ind w:firstLine="0"/>
        <w:rPr>
          <w:sz w:val="20"/>
        </w:rPr>
      </w:pPr>
    </w:p>
    <w:p w:rsidR="00CF2274" w:rsidRPr="00F87319" w:rsidRDefault="00CF2274" w:rsidP="006D41BD">
      <w:pPr>
        <w:pStyle w:val="NormPara"/>
        <w:ind w:firstLine="0"/>
        <w:rPr>
          <w:sz w:val="20"/>
        </w:rPr>
      </w:pPr>
    </w:p>
    <w:p w:rsidR="006D41BD" w:rsidRPr="00F87319" w:rsidRDefault="006D41BD" w:rsidP="006D41BD">
      <w:pPr>
        <w:pStyle w:val="Heading2"/>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2.4 Introducing the Gravitational Constant, G</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Although data show that </w:t>
      </w:r>
      <w:r w:rsidRPr="00F87319">
        <w:rPr>
          <w:position w:val="-6"/>
          <w:sz w:val="20"/>
        </w:rPr>
        <w:object w:dxaOrig="220" w:dyaOrig="200">
          <v:shape id="_x0000_i1147" type="#_x0000_t75" style="width:10.3pt;height:9.7pt" o:ole="">
            <v:imagedata r:id="rId595" o:title=""/>
          </v:shape>
          <o:OLEObject Type="Embed" ProgID="Equation.DSMT4" ShapeID="_x0000_i1147" DrawAspect="Content" ObjectID="_1433920299" r:id="rId596"/>
        </w:object>
      </w:r>
      <w:r w:rsidRPr="00F87319">
        <w:rPr>
          <w:sz w:val="20"/>
        </w:rPr>
        <w:t xml:space="preserve"> and </w:t>
      </w:r>
      <w:r w:rsidRPr="00F87319">
        <w:rPr>
          <w:position w:val="-6"/>
          <w:sz w:val="20"/>
        </w:rPr>
        <w:object w:dxaOrig="279" w:dyaOrig="300">
          <v:shape id="_x0000_i1148" type="#_x0000_t75" style="width:14.5pt;height:15.15pt" o:ole="">
            <v:imagedata r:id="rId597" o:title=""/>
          </v:shape>
          <o:OLEObject Type="Embed" ProgID="Equation.DSMT4" ShapeID="_x0000_i1148" DrawAspect="Content" ObjectID="_1433920300" r:id="rId598"/>
        </w:object>
      </w:r>
      <w:r w:rsidRPr="00F87319">
        <w:rPr>
          <w:sz w:val="20"/>
        </w:rPr>
        <w:t xml:space="preserve"> have both varied through time, since they have varied inversely to each other, as shown above, their product remains a constant.  This has been so throughout the entire time that ZPE related quantities have been measured as varying.  Thus, the platinum-iridium standard kilogram bars, kept by the various Bureau of Standards, have not changed mass.  This is partly because atomic (and subatomic) masses are measured differently than larger masses.  In Eq. (31), the term </w:t>
      </w:r>
      <w:r w:rsidRPr="00F87319">
        <w:rPr>
          <w:position w:val="-6"/>
          <w:sz w:val="20"/>
        </w:rPr>
        <w:object w:dxaOrig="260" w:dyaOrig="240">
          <v:shape id="_x0000_i1149" type="#_x0000_t75" style="width:12.7pt;height:12.1pt" o:ole="">
            <v:imagedata r:id="rId599" o:title=""/>
          </v:shape>
          <o:OLEObject Type="Embed" ProgID="Equation.DSMT4" ShapeID="_x0000_i1149" DrawAspect="Content" ObjectID="_1433920301" r:id="rId600"/>
        </w:object>
      </w:r>
      <w:r w:rsidRPr="00F87319">
        <w:rPr>
          <w:sz w:val="20"/>
        </w:rPr>
        <w:t xml:space="preserve"> was defined as “a constant bearing the dimensions of mass.”  This constant is gravitational mass.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February 1994, Haisch, Rueda, and Puthoff stated that an atomic particle’s inertial mass </w:t>
      </w:r>
      <w:r w:rsidRPr="00F87319">
        <w:rPr>
          <w:position w:val="-10"/>
          <w:sz w:val="20"/>
        </w:rPr>
        <w:object w:dxaOrig="260" w:dyaOrig="279">
          <v:shape id="_x0000_i1150" type="#_x0000_t75" style="width:12.7pt;height:14.5pt" o:ole="">
            <v:imagedata r:id="rId601" o:title=""/>
          </v:shape>
          <o:OLEObject Type="Embed" ProgID="Equation.DSMT4" ShapeID="_x0000_i1150" DrawAspect="Content" ObjectID="_1433920302" r:id="rId602"/>
        </w:object>
      </w:r>
      <w:r w:rsidRPr="00F87319">
        <w:rPr>
          <w:sz w:val="20"/>
        </w:rPr>
        <w:t xml:space="preserve"> (which is essentially the same as our atomic </w:t>
      </w:r>
      <w:proofErr w:type="gramStart"/>
      <w:r w:rsidRPr="00F87319">
        <w:rPr>
          <w:sz w:val="20"/>
        </w:rPr>
        <w:t xml:space="preserve">mass </w:t>
      </w:r>
      <w:proofErr w:type="gramEnd"/>
      <w:r w:rsidRPr="00F87319">
        <w:rPr>
          <w:position w:val="-6"/>
          <w:sz w:val="20"/>
        </w:rPr>
        <w:object w:dxaOrig="220" w:dyaOrig="200">
          <v:shape id="_x0000_i1151" type="#_x0000_t75" style="width:10.3pt;height:9.7pt" o:ole="">
            <v:imagedata r:id="rId603" o:title=""/>
          </v:shape>
          <o:OLEObject Type="Embed" ProgID="Equation.DSMT4" ShapeID="_x0000_i1151" DrawAspect="Content" ObjectID="_1433920303" r:id="rId604"/>
        </w:object>
      </w:r>
      <w:r w:rsidRPr="00F87319">
        <w:rPr>
          <w:sz w:val="20"/>
        </w:rPr>
        <w:t xml:space="preserve">) is related to the bare mass </w:t>
      </w:r>
      <w:r w:rsidRPr="00F87319">
        <w:rPr>
          <w:position w:val="-10"/>
          <w:sz w:val="20"/>
        </w:rPr>
        <w:object w:dxaOrig="279" w:dyaOrig="279">
          <v:shape id="_x0000_i1152" type="#_x0000_t75" style="width:14.5pt;height:14.5pt" o:ole="">
            <v:imagedata r:id="rId605" o:title=""/>
          </v:shape>
          <o:OLEObject Type="Embed" ProgID="Equation.DSMT4" ShapeID="_x0000_i1152" DrawAspect="Content" ObjectID="_1433920304" r:id="rId606"/>
        </w:object>
      </w:r>
      <w:r w:rsidRPr="00F87319">
        <w:rPr>
          <w:sz w:val="20"/>
        </w:rPr>
        <w:t xml:space="preserve"> (which is the same as our intrinsic mass</w:t>
      </w:r>
      <w:r w:rsidRPr="00F87319">
        <w:rPr>
          <w:position w:val="-6"/>
          <w:sz w:val="20"/>
        </w:rPr>
        <w:object w:dxaOrig="279" w:dyaOrig="300">
          <v:shape id="_x0000_i1153" type="#_x0000_t75" style="width:14.5pt;height:15.15pt" o:ole="">
            <v:imagedata r:id="rId607" o:title=""/>
          </v:shape>
          <o:OLEObject Type="Embed" ProgID="Equation.DSMT4" ShapeID="_x0000_i1153" DrawAspect="Content" ObjectID="_1433920305" r:id="rId608"/>
        </w:object>
      </w:r>
      <w:r w:rsidRPr="00F87319">
        <w:rPr>
          <w:sz w:val="20"/>
        </w:rPr>
        <w:t>) [40].  Their Eq. (111) is found on page 690 of their paper and is our Eq. (32) below:</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020" w:dyaOrig="620">
          <v:shape id="_x0000_i1154" type="#_x0000_t75" style="width:50.8pt;height:30.85pt" o:ole="">
            <v:imagedata r:id="rId609" o:title=""/>
          </v:shape>
          <o:OLEObject Type="Embed" ProgID="Equation.DSMT4" ShapeID="_x0000_i1154" DrawAspect="Content" ObjectID="_1433920306" r:id="rId61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(32)</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their Appendix A, they note the discrepancy of a factor of 2 between gravitational and inertial mass in the above equation.  To overcome the discrepancy in (32), the right hand side of the equation must be multiplied by 2, which results 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620">
          <v:shape id="_x0000_i1155" type="#_x0000_t75" style="width:50.8pt;height:30.85pt" o:ole="">
            <v:imagedata r:id="rId611" o:title=""/>
          </v:shape>
          <o:OLEObject Type="Embed" ProgID="Equation.DSMT4" ShapeID="_x0000_i1155" DrawAspect="Content" ObjectID="_1433920307" r:id="rId61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where </w:t>
      </w:r>
      <w:r w:rsidRPr="00F87319">
        <w:rPr>
          <w:i/>
          <w:sz w:val="20"/>
        </w:rPr>
        <w:t>α</w:t>
      </w:r>
      <w:r w:rsidRPr="00F87319">
        <w:rPr>
          <w:sz w:val="20"/>
        </w:rPr>
        <w:t xml:space="preserve"> is the fine structure constant given by</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920" w:dyaOrig="560">
          <v:shape id="_x0000_i1156" type="#_x0000_t75" style="width:46pt;height:27.85pt" o:ole="">
            <v:imagedata r:id="rId613" o:title=""/>
          </v:shape>
          <o:OLEObject Type="Embed" ProgID="Equation.DSMT4" ShapeID="_x0000_i1156" DrawAspect="Content" ObjectID="_1433920308" r:id="rId61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300" w:dyaOrig="320">
          <v:shape id="_x0000_i1157" type="#_x0000_t75" style="width:15.15pt;height:15.75pt" o:ole="">
            <v:imagedata r:id="rId615" o:title=""/>
          </v:shape>
          <o:OLEObject Type="Embed" ProgID="Equation.DSMT4" ShapeID="_x0000_i1157" DrawAspect="Content" ObjectID="_1433920309" r:id="rId616"/>
        </w:object>
      </w:r>
      <w:r w:rsidRPr="00F87319">
        <w:rPr>
          <w:sz w:val="20"/>
        </w:rPr>
        <w:t xml:space="preserve"> in (33)</w:t>
      </w:r>
      <w:r w:rsidRPr="00F87319">
        <w:rPr>
          <w:i/>
          <w:sz w:val="20"/>
          <w:vertAlign w:val="subscript"/>
        </w:rPr>
        <w:t xml:space="preserve"> </w:t>
      </w:r>
      <w:r w:rsidRPr="00F87319">
        <w:rPr>
          <w:sz w:val="20"/>
        </w:rPr>
        <w:t xml:space="preserve"> is the Planck mass given by</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20" w:dyaOrig="560">
          <v:shape id="_x0000_i1158" type="#_x0000_t75" style="width:46pt;height:27.85pt" o:ole="">
            <v:imagedata r:id="rId617" o:title=""/>
          </v:shape>
          <o:OLEObject Type="Embed" ProgID="Equation.DSMT4" ShapeID="_x0000_i1158" DrawAspect="Content" ObjectID="_1433920310" r:id="rId61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(35)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and</w:t>
      </w:r>
      <w:proofErr w:type="gramEnd"/>
      <w:r w:rsidRPr="00F87319">
        <w:rPr>
          <w:sz w:val="20"/>
        </w:rPr>
        <w:t xml:space="preserve"> </w:t>
      </w:r>
      <w:r w:rsidRPr="00F87319">
        <w:rPr>
          <w:position w:val="-14"/>
          <w:sz w:val="20"/>
        </w:rPr>
        <w:object w:dxaOrig="279" w:dyaOrig="320">
          <v:shape id="_x0000_i1159" type="#_x0000_t75" style="width:14.5pt;height:15.75pt" o:ole="">
            <v:imagedata r:id="rId619" o:title=""/>
          </v:shape>
          <o:OLEObject Type="Embed" ProgID="Equation.DSMT4" ShapeID="_x0000_i1159" DrawAspect="Content" ObjectID="_1433920311" r:id="rId620"/>
        </w:object>
      </w:r>
      <w:r w:rsidRPr="00F87319">
        <w:rPr>
          <w:sz w:val="20"/>
        </w:rPr>
        <w:t>is the Planck frequency.</w:t>
      </w:r>
    </w:p>
    <w:p w:rsidR="006D41BD" w:rsidRPr="00F87319" w:rsidRDefault="006D41BD" w:rsidP="006D41BD">
      <w:pPr>
        <w:pStyle w:val="NormPara"/>
        <w:ind w:firstLine="720"/>
        <w:rPr>
          <w:sz w:val="20"/>
        </w:rPr>
      </w:pPr>
      <w:r w:rsidRPr="00F87319">
        <w:rPr>
          <w:sz w:val="20"/>
        </w:rPr>
        <w:t xml:space="preserve">It can be shown that for our purposes here, we require the Compton </w:t>
      </w:r>
      <w:proofErr w:type="gramStart"/>
      <w:r w:rsidRPr="00F87319">
        <w:rPr>
          <w:sz w:val="20"/>
        </w:rPr>
        <w:t xml:space="preserve">frequency </w:t>
      </w:r>
      <w:proofErr w:type="gramEnd"/>
      <w:r w:rsidRPr="00F87319">
        <w:rPr>
          <w:position w:val="-10"/>
          <w:sz w:val="20"/>
        </w:rPr>
        <w:object w:dxaOrig="260" w:dyaOrig="279">
          <v:shape id="_x0000_i1160" type="#_x0000_t75" style="width:12.7pt;height:14.5pt" o:ole="">
            <v:imagedata r:id="rId621" o:title=""/>
          </v:shape>
          <o:OLEObject Type="Embed" ProgID="Equation.DSMT4" ShapeID="_x0000_i1160" DrawAspect="Content" ObjectID="_1433920312" r:id="rId622"/>
        </w:object>
      </w:r>
      <w:r w:rsidRPr="00F87319">
        <w:rPr>
          <w:sz w:val="20"/>
        </w:rPr>
        <w:t xml:space="preserve">, rather than the Planck frequency </w:t>
      </w:r>
      <w:r w:rsidRPr="00F87319">
        <w:rPr>
          <w:position w:val="-14"/>
          <w:sz w:val="20"/>
        </w:rPr>
        <w:object w:dxaOrig="279" w:dyaOrig="320">
          <v:shape id="_x0000_i1161" type="#_x0000_t75" style="width:14.5pt;height:15.75pt" o:ole="">
            <v:imagedata r:id="rId623" o:title=""/>
          </v:shape>
          <o:OLEObject Type="Embed" ProgID="Equation.DSMT4" ShapeID="_x0000_i1161" DrawAspect="Content" ObjectID="_1433920313" r:id="rId624"/>
        </w:object>
      </w:r>
      <w:r w:rsidRPr="00F87319">
        <w:rPr>
          <w:sz w:val="20"/>
        </w:rPr>
        <w:t>.  However, using the Planck frequency here has its advantages as it produces some mutually cancelling terms.  Therefore we note that</w:t>
      </w:r>
      <w:r w:rsidRPr="00F87319">
        <w:rPr>
          <w:position w:val="-14"/>
          <w:sz w:val="20"/>
        </w:rPr>
        <w:object w:dxaOrig="920" w:dyaOrig="320">
          <v:shape id="_x0000_i1162" type="#_x0000_t75" style="width:46pt;height:15.75pt" o:ole="">
            <v:imagedata r:id="rId625" o:title=""/>
          </v:shape>
          <o:OLEObject Type="Embed" ProgID="Equation.DSMT4" ShapeID="_x0000_i1162" DrawAspect="Content" ObjectID="_1433920314" r:id="rId626"/>
        </w:object>
      </w:r>
      <w:r w:rsidRPr="00F87319">
        <w:rPr>
          <w:sz w:val="20"/>
        </w:rPr>
        <w:t>.  Substitution of (34) and (35) in (33) then gives:</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160" w:dyaOrig="700">
          <v:shape id="_x0000_i1163" type="#_x0000_t75" style="width:108.3pt;height:35.1pt" o:ole="">
            <v:imagedata r:id="rId627" o:title=""/>
          </v:shape>
          <o:OLEObject Type="Embed" ProgID="Equation.DSMT4" ShapeID="_x0000_i1163" DrawAspect="Content" ObjectID="_1433920315" r:id="rId62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(36)</w:t>
      </w: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22"/>
          <w:sz w:val="20"/>
        </w:rPr>
        <w:object w:dxaOrig="1960" w:dyaOrig="620">
          <v:shape id="_x0000_i1164" type="#_x0000_t75" style="width:98pt;height:30.85pt" o:ole="">
            <v:imagedata r:id="rId629" o:title=""/>
          </v:shape>
          <o:OLEObject Type="Embed" ProgID="Equation.DSMT4" ShapeID="_x0000_i1164" DrawAspect="Content" ObjectID="_1433920316" r:id="rId63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We now substitute for the Planck </w:t>
      </w:r>
      <w:proofErr w:type="gramStart"/>
      <w:r w:rsidRPr="00F87319">
        <w:rPr>
          <w:sz w:val="20"/>
        </w:rPr>
        <w:t xml:space="preserve">frequency </w:t>
      </w:r>
      <w:proofErr w:type="gramEnd"/>
      <w:r w:rsidRPr="00F87319">
        <w:rPr>
          <w:position w:val="-14"/>
          <w:sz w:val="20"/>
        </w:rPr>
        <w:object w:dxaOrig="279" w:dyaOrig="320">
          <v:shape id="_x0000_i1165" type="#_x0000_t75" style="width:14.5pt;height:15.75pt" o:ole="">
            <v:imagedata r:id="rId631" o:title=""/>
          </v:shape>
          <o:OLEObject Type="Embed" ProgID="Equation.DSMT4" ShapeID="_x0000_i1165" DrawAspect="Content" ObjectID="_1433920317" r:id="rId632"/>
        </w:object>
      </w:r>
      <w:r w:rsidRPr="00F87319">
        <w:rPr>
          <w:sz w:val="20"/>
          <w:vertAlign w:val="subscript"/>
        </w:rPr>
        <w:t>,</w:t>
      </w:r>
      <w:r w:rsidRPr="00F87319">
        <w:rPr>
          <w:sz w:val="20"/>
        </w:rPr>
        <w:t xml:space="preserve"> as noted by Haisch, Rueda, and Puthoff as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1180" w:dyaOrig="700">
          <v:shape id="_x0000_i1166" type="#_x0000_t75" style="width:59.3pt;height:35.1pt" o:ole="">
            <v:imagedata r:id="rId633" o:title=""/>
          </v:shape>
          <o:OLEObject Type="Embed" ProgID="Equation.DSMT4" ShapeID="_x0000_i1166" DrawAspect="Content" ObjectID="_1433920318" r:id="rId634"/>
        </w:object>
      </w:r>
      <w:r w:rsidRPr="00F87319">
        <w:rPr>
          <w:sz w:val="20"/>
        </w:rPr>
        <w:t>,</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which means we can write that</w:t>
      </w:r>
      <w:r w:rsidRPr="00F87319">
        <w:rPr>
          <w:sz w:val="20"/>
        </w:rPr>
        <w:tab/>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3100" w:dyaOrig="600">
          <v:shape id="_x0000_i1167" type="#_x0000_t75" style="width:154.3pt;height:30.25pt" o:ole="">
            <v:imagedata r:id="rId635" o:title=""/>
          </v:shape>
          <o:OLEObject Type="Embed" ProgID="Equation.DSMT4" ShapeID="_x0000_i1167" DrawAspect="Content" ObjectID="_1433920319" r:id="rId63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(39)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When terms are cancelled, the result is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640" w:dyaOrig="580">
          <v:shape id="_x0000_i1168" type="#_x0000_t75" style="width:81.7pt;height:29.05pt" o:ole="">
            <v:imagedata r:id="rId637" o:title=""/>
          </v:shape>
          <o:OLEObject Type="Embed" ProgID="Equation.DSMT4" ShapeID="_x0000_i1168" DrawAspect="Content" ObjectID="_1433920320" r:id="rId63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Alternatively, if we re-arrange the equation, we obtain the result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2140" w:dyaOrig="580">
          <v:shape id="_x0000_i1169" type="#_x0000_t75" style="width:107.1pt;height:29.05pt" o:ole="">
            <v:imagedata r:id="rId639" o:title=""/>
          </v:shape>
          <o:OLEObject Type="Embed" ProgID="Equation.DSMT4" ShapeID="_x0000_i1169" DrawAspect="Content" ObjectID="_1433920321" r:id="rId64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(41)</w:t>
      </w:r>
    </w:p>
    <w:p w:rsidR="006D41BD" w:rsidRPr="00F87319" w:rsidRDefault="006D41BD" w:rsidP="006D41BD">
      <w:pPr>
        <w:pStyle w:val="equation"/>
        <w:spacing w:before="80" w:after="80"/>
        <w:rPr>
          <w:sz w:val="20"/>
        </w:rPr>
      </w:pPr>
    </w:p>
    <w:p w:rsidR="006D41BD" w:rsidRPr="00F87319" w:rsidRDefault="006D41BD" w:rsidP="006D41BD">
      <w:pPr>
        <w:pStyle w:val="NormPara"/>
        <w:ind w:firstLine="720"/>
        <w:rPr>
          <w:sz w:val="20"/>
        </w:rPr>
      </w:pPr>
      <w:proofErr w:type="gramStart"/>
      <w:r w:rsidRPr="00F87319">
        <w:rPr>
          <w:sz w:val="20"/>
        </w:rPr>
        <w:t xml:space="preserve">Since </w:t>
      </w:r>
      <w:r w:rsidRPr="00F87319">
        <w:rPr>
          <w:position w:val="-10"/>
          <w:sz w:val="20"/>
        </w:rPr>
        <w:object w:dxaOrig="420" w:dyaOrig="340">
          <v:shape id="_x0000_i1170" type="#_x0000_t75" style="width:21.2pt;height:17.55pt" o:ole="">
            <v:imagedata r:id="rId546" o:title=""/>
          </v:shape>
          <o:OLEObject Type="Embed" ProgID="Equation.DSMT4" ShapeID="_x0000_i1170" DrawAspect="Content" ObjectID="_1433920322" r:id="rId641"/>
        </w:object>
      </w:r>
      <w:r w:rsidRPr="00F87319">
        <w:rPr>
          <w:sz w:val="20"/>
        </w:rPr>
        <w:t xml:space="preserve"> , </w:t>
      </w:r>
      <w:r w:rsidRPr="00F87319">
        <w:rPr>
          <w:i/>
          <w:sz w:val="20"/>
        </w:rPr>
        <w:t>k</w:t>
      </w:r>
      <w:r w:rsidRPr="00F87319">
        <w:rPr>
          <w:i/>
          <w:sz w:val="20"/>
          <w:vertAlign w:val="superscript"/>
        </w:rPr>
        <w:t>2</w:t>
      </w:r>
      <w:r w:rsidRPr="00F87319">
        <w:rPr>
          <w:sz w:val="20"/>
        </w:rPr>
        <w:t xml:space="preserve"> and </w:t>
      </w:r>
      <w:r w:rsidRPr="00F87319">
        <w:rPr>
          <w:i/>
          <w:sz w:val="20"/>
        </w:rPr>
        <w:t>mm*</w:t>
      </w:r>
      <w:r w:rsidRPr="00F87319">
        <w:rPr>
          <w:sz w:val="20"/>
        </w:rPr>
        <w:t xml:space="preserve"> are all constants,  </w:t>
      </w:r>
      <w:r w:rsidRPr="00F87319">
        <w:rPr>
          <w:i/>
          <w:sz w:val="20"/>
        </w:rPr>
        <w:t>G</w:t>
      </w:r>
      <w:r w:rsidRPr="00F87319">
        <w:rPr>
          <w:sz w:val="20"/>
        </w:rPr>
        <w:t xml:space="preserve"> is necessarily also a constant.  Since </w:t>
      </w:r>
      <w:r w:rsidRPr="00F87319">
        <w:rPr>
          <w:position w:val="-6"/>
          <w:sz w:val="20"/>
        </w:rPr>
        <w:object w:dxaOrig="420" w:dyaOrig="300">
          <v:shape id="_x0000_i1171" type="#_x0000_t75" style="width:21.2pt;height:15.15pt" o:ole="">
            <v:imagedata r:id="rId642" o:title=""/>
          </v:shape>
          <o:OLEObject Type="Embed" ProgID="Equation.DSMT4" ShapeID="_x0000_i1171" DrawAspect="Content" ObjectID="_1433920323" r:id="rId643"/>
        </w:object>
      </w:r>
      <w:r w:rsidRPr="00F87319">
        <w:rPr>
          <w:sz w:val="20"/>
        </w:rPr>
        <w:t xml:space="preserve">is a constant and, by definition, is the same </w:t>
      </w:r>
      <w:proofErr w:type="gramStart"/>
      <w:r w:rsidRPr="00F87319">
        <w:rPr>
          <w:sz w:val="20"/>
        </w:rPr>
        <w:t xml:space="preserve">as </w:t>
      </w:r>
      <w:proofErr w:type="gramEnd"/>
      <w:r w:rsidRPr="00F87319">
        <w:rPr>
          <w:position w:val="-6"/>
          <w:sz w:val="20"/>
        </w:rPr>
        <w:object w:dxaOrig="340" w:dyaOrig="300">
          <v:shape id="_x0000_i1172" type="#_x0000_t75" style="width:17.55pt;height:15.15pt" o:ole="">
            <v:imagedata r:id="rId644" o:title=""/>
          </v:shape>
          <o:OLEObject Type="Embed" ProgID="Equation.DSMT4" ShapeID="_x0000_i1172" DrawAspect="Content" ObjectID="_1433920324" r:id="rId645"/>
        </w:object>
      </w:r>
      <w:r w:rsidRPr="00F87319">
        <w:rPr>
          <w:sz w:val="20"/>
        </w:rPr>
        <w:t xml:space="preserve">, then </w:t>
      </w:r>
      <w:r w:rsidRPr="00F87319">
        <w:rPr>
          <w:i/>
          <w:sz w:val="20"/>
        </w:rPr>
        <w:t>M</w:t>
      </w:r>
      <w:r w:rsidRPr="00F87319">
        <w:rPr>
          <w:sz w:val="20"/>
        </w:rPr>
        <w:t xml:space="preserve"> also is constant so that we have</w:t>
      </w:r>
    </w:p>
    <w:p w:rsidR="006D41BD" w:rsidRPr="00F87319" w:rsidRDefault="006D41BD" w:rsidP="006D41BD">
      <w:pPr>
        <w:pStyle w:val="NormPara"/>
        <w:ind w:firstLine="27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6"/>
          <w:sz w:val="20"/>
        </w:rPr>
        <w:object w:dxaOrig="980" w:dyaOrig="240">
          <v:shape id="_x0000_i1173" type="#_x0000_t75" style="width:49pt;height:12.1pt" o:ole="">
            <v:imagedata r:id="rId646" o:title=""/>
          </v:shape>
          <o:OLEObject Type="Embed" ProgID="Equation.DSMT4" ShapeID="_x0000_i1173" DrawAspect="Content" ObjectID="_1433920325" r:id="rId647"/>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(42)</w:t>
      </w:r>
    </w:p>
    <w:p w:rsidR="006D41BD" w:rsidRPr="00F87319" w:rsidRDefault="006D41BD" w:rsidP="006D41BD">
      <w:pPr>
        <w:pStyle w:val="NormPara"/>
        <w:ind w:firstLine="0"/>
        <w:rPr>
          <w:sz w:val="20"/>
        </w:rPr>
      </w:pPr>
      <w:r w:rsidRPr="00F87319">
        <w:rPr>
          <w:sz w:val="20"/>
        </w:rPr>
        <w:t>Therefore, orbit times of planets and other similar gravitational interactions will remain unchanged by changes in the ZPE.</w:t>
      </w:r>
    </w:p>
    <w:p w:rsidR="006D41BD" w:rsidRPr="00F87319" w:rsidRDefault="006D41BD" w:rsidP="006D41BD">
      <w:pPr>
        <w:pStyle w:val="NormPara"/>
        <w:ind w:firstLine="0"/>
        <w:rPr>
          <w:sz w:val="20"/>
        </w:rPr>
      </w:pPr>
    </w:p>
    <w:p w:rsidR="006D41BD" w:rsidRDefault="006D41BD" w:rsidP="00252491">
      <w:pPr>
        <w:pStyle w:val="Heading2"/>
        <w:widowControl/>
        <w:numPr>
          <w:ilvl w:val="0"/>
          <w:numId w:val="40"/>
        </w:numPr>
        <w:spacing w:before="80" w:after="80" w:line="240" w:lineRule="atLeast"/>
        <w:rPr>
          <w:rFonts w:ascii="Book Antiqua" w:hAnsi="Book Antiqua" w:cs="Times New Roman"/>
          <w:i w:val="0"/>
          <w:sz w:val="20"/>
          <w:szCs w:val="20"/>
        </w:rPr>
      </w:pPr>
      <w:r w:rsidRPr="00D818DD">
        <w:rPr>
          <w:rFonts w:ascii="Book Antiqua" w:hAnsi="Book Antiqua" w:cs="Times New Roman"/>
          <w:i w:val="0"/>
          <w:sz w:val="20"/>
          <w:szCs w:val="20"/>
        </w:rPr>
        <w:t>General Relativity, Gravity, and the ZPE</w:t>
      </w:r>
    </w:p>
    <w:p w:rsidR="00D818DD" w:rsidRPr="00D818DD" w:rsidRDefault="00D818DD" w:rsidP="00D818DD">
      <w:pPr>
        <w:pStyle w:val="ListParagraph"/>
        <w:numPr>
          <w:ilvl w:val="1"/>
          <w:numId w:val="14"/>
        </w:numPr>
        <w:rPr>
          <w:rFonts w:ascii="Book Antiqua" w:hAnsi="Book Antiqua"/>
          <w:i/>
          <w:sz w:val="20"/>
        </w:rPr>
      </w:pPr>
      <w:r w:rsidRPr="00D818DD">
        <w:rPr>
          <w:rFonts w:ascii="Book Antiqua" w:hAnsi="Book Antiqua"/>
          <w:i/>
          <w:sz w:val="20"/>
        </w:rPr>
        <w:t>Introduction</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It may be pointed out that the later General Theory of Relativity (GR) was based on Special Relativity (SR) and has many successes to its credit.  Because of this, it has been implied that Special Relativity has been validated by these developments.  But two points need be noted.  First, GR was built on SR by using only one-way mathematical transformations (not both ways as SR requires), and those transformations were relative to the local gravitational field.  Essentially, the local gravitational field had become a preferred reference frame, namely the centre-of-mass </w:t>
      </w:r>
      <w:hyperlink r:id="rId648" w:anchor="7a202" w:history="1">
        <w:r w:rsidRPr="00F87319">
          <w:rPr>
            <w:sz w:val="20"/>
          </w:rPr>
          <w:t>[41]</w:t>
        </w:r>
      </w:hyperlink>
      <w:r w:rsidRPr="00F87319">
        <w:rPr>
          <w:sz w:val="20"/>
        </w:rPr>
        <w:t>.  This means that GR is more in line with Lorentzian Relativity but is not really consistent with SR [41].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The second point that needs noting is that Einstein’s Theory of General Relativity (GR) concerns the effects of gravity on objects and light.  Einstein considered gravity to be a bending of space-time, and this is still the standard theory today.  His theory is used to explain how the Global Positioning System clocks work in the gravitational field of </w:t>
      </w:r>
      <w:r w:rsidRPr="00F87319">
        <w:rPr>
          <w:sz w:val="20"/>
        </w:rPr>
        <w:lastRenderedPageBreak/>
        <w:t>the Earth.  However, GR requires complex mathematics and equations using 4-dimensional geometry to describe how a clock will slow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Furthermore, while it may be claimed that GR is a good mathematical model, this is not the same as explaining how gravitational forces originate.  The GR model is often presented using the “rubber sheet” analogy (Fig. 4).  In this analogy, the picture is often given of a heavy ball-bearing, that represents a massive body like the Earth or Sun, which deforms the surface of a rubber sheet (space-time) and causes it to curve.</w:t>
      </w:r>
    </w:p>
    <w:p w:rsidR="006D41BD" w:rsidRPr="00F87319" w:rsidRDefault="006D41BD" w:rsidP="006D41BD">
      <w:pPr>
        <w:pStyle w:val="NormPara"/>
        <w:ind w:firstLine="72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3759576" cy="2609850"/>
            <wp:effectExtent l="19050" t="0" r="0" b="0"/>
            <wp:docPr id="319" name="il_fi" descr="http://www.nature.com/nature/journal/v445/n7127/images/445468b-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ture.com/nature/journal/v445/n7127/images/445468b-i1.0.jpg"/>
                    <pic:cNvPicPr>
                      <a:picLocks noChangeAspect="1" noChangeArrowheads="1"/>
                    </pic:cNvPicPr>
                  </pic:nvPicPr>
                  <pic:blipFill>
                    <a:blip r:embed="rId649" cstate="print"/>
                    <a:srcRect r="-198" b="10959"/>
                    <a:stretch>
                      <a:fillRect/>
                    </a:stretch>
                  </pic:blipFill>
                  <pic:spPr bwMode="auto">
                    <a:xfrm>
                      <a:off x="0" y="0"/>
                      <a:ext cx="3762708" cy="2612024"/>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120"/>
        <w:ind w:firstLine="0"/>
        <w:jc w:val="left"/>
        <w:rPr>
          <w:szCs w:val="18"/>
        </w:rPr>
      </w:pPr>
    </w:p>
    <w:p w:rsidR="006D41BD" w:rsidRPr="00386DBA" w:rsidRDefault="006D41BD" w:rsidP="006D41BD">
      <w:pPr>
        <w:pStyle w:val="NormPara"/>
        <w:spacing w:before="80" w:after="80"/>
        <w:ind w:left="274" w:right="274" w:firstLine="0"/>
        <w:jc w:val="left"/>
        <w:rPr>
          <w:i/>
          <w:szCs w:val="18"/>
        </w:rPr>
      </w:pPr>
      <w:r w:rsidRPr="00386DBA">
        <w:rPr>
          <w:b/>
          <w:i/>
          <w:szCs w:val="18"/>
        </w:rPr>
        <w:t>Fig</w:t>
      </w:r>
      <w:r w:rsidR="00386DBA" w:rsidRPr="00386DBA">
        <w:rPr>
          <w:b/>
          <w:i/>
          <w:szCs w:val="18"/>
        </w:rPr>
        <w:t>ure</w:t>
      </w:r>
      <w:r w:rsidRPr="00386DBA">
        <w:rPr>
          <w:b/>
          <w:i/>
          <w:szCs w:val="18"/>
        </w:rPr>
        <w:t xml:space="preserve"> 4</w:t>
      </w:r>
      <w:r w:rsidR="00386DBA" w:rsidRPr="00386DBA">
        <w:rPr>
          <w:b/>
          <w:i/>
          <w:szCs w:val="18"/>
        </w:rPr>
        <w:t>:</w:t>
      </w:r>
      <w:r w:rsidRPr="00386DBA">
        <w:rPr>
          <w:i/>
          <w:szCs w:val="18"/>
        </w:rPr>
        <w:t xml:space="preserve">  The rubber sheet analogy of gravity; a massive body curves the fabric of space-time like a heavy metal ball on a rubber sheet.  General Relativity states that an approaching object or a photon of light is supposed to follow the curve of the sheet rather than travel in a straight line.</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 xml:space="preserve">The problems with both the mathematics and the physics of the analogy were mentioned in a conference in 2002 entitled </w:t>
      </w:r>
      <w:r w:rsidRPr="00E25399">
        <w:rPr>
          <w:rStyle w:val="Emphasis"/>
          <w:sz w:val="20"/>
        </w:rPr>
        <w:t>Pushing Gravity</w:t>
      </w:r>
      <w:r w:rsidRPr="00F87319">
        <w:rPr>
          <w:rStyle w:val="Emphasis"/>
          <w:sz w:val="20"/>
        </w:rPr>
        <w:t xml:space="preserve">, </w:t>
      </w:r>
      <w:r w:rsidRPr="00F87319">
        <w:rPr>
          <w:sz w:val="20"/>
        </w:rPr>
        <w:t>edited by Matthew R. Edwards,  and described as follows [41]:</w:t>
      </w:r>
    </w:p>
    <w:p w:rsidR="006D41BD" w:rsidRPr="00F87319" w:rsidRDefault="006D41BD" w:rsidP="006D41BD">
      <w:pPr>
        <w:pStyle w:val="NormPara"/>
        <w:ind w:firstLine="548"/>
        <w:rPr>
          <w:sz w:val="20"/>
        </w:rPr>
      </w:pPr>
    </w:p>
    <w:p w:rsidR="006D41BD" w:rsidRPr="00F87319" w:rsidRDefault="006D41BD" w:rsidP="006D41BD">
      <w:pPr>
        <w:pStyle w:val="NormPara"/>
        <w:spacing w:before="80" w:after="80"/>
        <w:ind w:firstLine="548"/>
        <w:rPr>
          <w:sz w:val="20"/>
        </w:rPr>
      </w:pPr>
      <w:r w:rsidRPr="00F87319">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manifold would have no reason to end its rest unless a force acted on it.  </w:t>
      </w:r>
      <w:r w:rsidRPr="00F87319">
        <w:rPr>
          <w:rStyle w:val="Strong"/>
          <w:rFonts w:eastAsia="Lucida Sans Unicode"/>
          <w:b w:val="0"/>
          <w:i/>
          <w:iCs/>
          <w:sz w:val="20"/>
        </w:rPr>
        <w:t>However successful this geometric interpretation may be as a mathematical model, it lacks physics and a causal mechanism.</w:t>
      </w:r>
      <w:r w:rsidRPr="00F87319">
        <w:rPr>
          <w:rStyle w:val="Emphasis"/>
          <w:sz w:val="20"/>
        </w:rPr>
        <w:t xml:space="preserve"> </w:t>
      </w:r>
      <w:r w:rsidRPr="00F87319">
        <w:rPr>
          <w:sz w:val="20"/>
        </w:rPr>
        <w:t>[p. 94]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360"/>
        <w:rPr>
          <w:color w:val="FF0000"/>
          <w:sz w:val="20"/>
        </w:rPr>
      </w:pPr>
      <w:r w:rsidRPr="00F87319">
        <w:rPr>
          <w:sz w:val="20"/>
        </w:rPr>
        <w:t xml:space="preserve">Others have also noticed this problem. For example, Haisch and his colleagues at the California Institute for Physics and Astrophysics (CIPA) present the situation like this:  </w:t>
      </w:r>
      <w:r w:rsidRPr="00F87319">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t>
      </w:r>
      <w:r w:rsidRPr="00F87319">
        <w:rPr>
          <w:i/>
          <w:sz w:val="20"/>
        </w:rPr>
        <w:lastRenderedPageBreak/>
        <w:t>when you deviate from a geodesic you are accelerating, but that is exactly what you are trying to explain in the first place:  Why does a force arise when you accelerate?  …  [T]his merely takes us in a logical  full circle.”</w:t>
      </w:r>
      <w:r w:rsidRPr="00F87319">
        <w:rPr>
          <w:sz w:val="20"/>
        </w:rPr>
        <w:t>[42]</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Polarizable Vacuum and Gravity</w:t>
      </w:r>
    </w:p>
    <w:p w:rsidR="006D41BD" w:rsidRPr="00F87319" w:rsidRDefault="006D41BD" w:rsidP="006D41BD">
      <w:pPr>
        <w:pStyle w:val="NormPara"/>
        <w:ind w:firstLine="270"/>
        <w:rPr>
          <w:sz w:val="20"/>
        </w:rPr>
      </w:pPr>
    </w:p>
    <w:p w:rsidR="006D41BD" w:rsidRPr="00F87319" w:rsidRDefault="006D41BD" w:rsidP="006D41BD">
      <w:pPr>
        <w:pStyle w:val="NormPara"/>
        <w:ind w:firstLine="720"/>
        <w:rPr>
          <w:i/>
          <w:sz w:val="20"/>
        </w:rPr>
      </w:pPr>
      <w:r w:rsidRPr="00F87319">
        <w:rPr>
          <w:sz w:val="20"/>
        </w:rPr>
        <w:t xml:space="preserve">Puthoff, Haisch, and Rueda in an article entitled “Mass Medium” [43] help explain the SED approach to gravity in this context. </w:t>
      </w:r>
      <w:r w:rsidRPr="00F87319">
        <w:rPr>
          <w:i/>
          <w:sz w:val="20"/>
        </w:rPr>
        <w:t>“[We] can explain away gravity as an effect of electromagnetic forces.  Oscillating charges in a chunk of matter affect the charged virtual particles in the vacuum.”</w:t>
      </w:r>
      <w:r w:rsidRPr="00F87319">
        <w:rPr>
          <w:sz w:val="20"/>
        </w:rPr>
        <w:t xml:space="preserve">  This effectively causes the virtual particles in the vacuum to become polarized with a layer of positive charges attracting a layer of negative charges which then attracts a layer of positive charges, etc.  They go on: </w:t>
      </w:r>
      <w:r w:rsidRPr="00F87319">
        <w:rPr>
          <w:i/>
          <w:sz w:val="20"/>
        </w:rPr>
        <w:t xml:space="preserve"> “This polarized vacuum then exerts a force on the charges in another chunk of matter.  In this rather tortuous manner the two chunks of matter attract each other.  ‘This might explain why gravity is so weak,’ says Haisch.  ‘One mass does not pull directly on another mass but only through the intermediary of the vacuum.’”</w:t>
      </w:r>
    </w:p>
    <w:p w:rsidR="006D41BD" w:rsidRPr="00F87319" w:rsidRDefault="006D41BD" w:rsidP="006D41BD">
      <w:pPr>
        <w:pStyle w:val="NormPara"/>
        <w:ind w:firstLine="720"/>
        <w:rPr>
          <w:i/>
          <w:sz w:val="20"/>
        </w:rPr>
      </w:pPr>
    </w:p>
    <w:p w:rsidR="006D41BD" w:rsidRPr="00F87319" w:rsidRDefault="006D41BD" w:rsidP="006D41BD">
      <w:pPr>
        <w:pStyle w:val="NormPara"/>
        <w:ind w:firstLine="720"/>
        <w:rPr>
          <w:sz w:val="20"/>
        </w:rPr>
      </w:pPr>
      <w:r w:rsidRPr="00F87319">
        <w:rPr>
          <w:sz w:val="20"/>
        </w:rPr>
        <w:t>In these circumstances the sign of the charge does not matter.  The sign of the charge only affects the phase of the interaction.  If the initiating charge is positive, the first layer of the polarization will be negative.  If the initiating charge is negative, the first layer of the polarization will be positive.  In this way the vacuum polarization results in an attraction.  The calculations of Haisch and his colleagues show that this attraction has exactly the same characteristics as gravity.  Therefore, they conclude, gravity is due to the attraction exerted by the polarization of the virtual particles in the vacuum.</w:t>
      </w:r>
    </w:p>
    <w:p w:rsidR="00A64EAA" w:rsidRDefault="00A64EAA" w:rsidP="006D41BD">
      <w:pPr>
        <w:pStyle w:val="NormPara"/>
        <w:ind w:firstLine="720"/>
        <w:rPr>
          <w:sz w:val="20"/>
        </w:rPr>
      </w:pPr>
    </w:p>
    <w:p w:rsidR="006D41BD" w:rsidRPr="00F87319" w:rsidRDefault="006D41BD" w:rsidP="006D41BD">
      <w:pPr>
        <w:pStyle w:val="NormPara"/>
        <w:ind w:firstLine="720"/>
        <w:rPr>
          <w:sz w:val="20"/>
        </w:rPr>
      </w:pPr>
      <w:r w:rsidRPr="00F87319">
        <w:rPr>
          <w:sz w:val="20"/>
        </w:rPr>
        <w:t>Does this mean that a changing ZPE results in a change in gravity?  No, and there is a reason for this.  In a context where the ZPE is increasing with time, this picture of gravity as the result of vacuum polarization can be looked at in the following way.  There are two agents governing the polarization of the vacuum and its resulting attraction.  In the first case, there is the polarization of virtual particles by the mere presence of the charge on the parton or electron.  Since we have shown that the quantity</w:t>
      </w:r>
      <w:r w:rsidRPr="00F87319">
        <w:rPr>
          <w:position w:val="-10"/>
          <w:sz w:val="20"/>
        </w:rPr>
        <w:object w:dxaOrig="420" w:dyaOrig="340">
          <v:shape id="_x0000_i1174" type="#_x0000_t75" style="width:21.2pt;height:17.55pt" o:ole="">
            <v:imagedata r:id="rId164" o:title=""/>
          </v:shape>
          <o:OLEObject Type="Embed" ProgID="Equation.DSMT4" ShapeID="_x0000_i1174" DrawAspect="Content" ObjectID="_1433920326" r:id="rId650"/>
        </w:object>
      </w:r>
      <w:r w:rsidRPr="00F87319">
        <w:rPr>
          <w:sz w:val="20"/>
        </w:rPr>
        <w:t>is constant, then it follows that the polarization of the vacuum due to the charge on the parton (or electron) alone will be constant.  This means that the gravitational attraction from this source of polarization will be unchanged.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There is also an additional polarization from the “jitter” itself.  This arises because the random acceleration, imparted by the impacting ZPE waves to the jittering partons or electrons, causes them to emit a secondary radiation.  This secondary radiation boosts the strength of the ZPE locally, which in turn causes more virtual particle pairs to come into existence per unit volume.  The result is a stronger polarization than would occur if the parton or electron was at rest with no jiggling from the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This sounds like gravity must be increased locally.  However, the increased polarization is offset by the fact that any increase in the ZPE strength, no matter how it is caused, will result in a slower speed of light in inverse proportion.  Since the ZPE waves are electromagnetic radiation, as is light, ZPE travels at the speed of light. This means that as the ZPE increased, the number of virtual particles in any given volume also increased, and these particles slowed the ZPE in the same way they slowed light.  So the ZPE waves would be traveling more slowly and so could not accelerate the partons or electrons as rapidly when the waves hit.  The result is that the polarization from the acceleration will actually be less, proportional to </w:t>
      </w:r>
      <w:r w:rsidRPr="00F87319">
        <w:rPr>
          <w:i/>
          <w:sz w:val="20"/>
        </w:rPr>
        <w:t>c</w:t>
      </w:r>
      <w:r w:rsidRPr="00F87319">
        <w:rPr>
          <w:sz w:val="20"/>
        </w:rPr>
        <w:t>.  This proportionality therefore cancels out the increase in polarization that is due to an increasing ZPE strength.  The outcome is that this source of polarization remains constant and therefore gravity itself remains constant.</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Therefore, on both counts, it can be seen that the polarization remains unchanged, so the attraction, the pull of gravity, remains unchanged.  The force of gravity comes from two different polarization forces acting together:  the polarization resulting from the charge in the parton (or electron) itself, and the polarization due to the jitter imparted to the charged particle by the ZPE.  In this way, the whole SED approach to gravity is shown to be valid when the polarizable vacuum explanation is employed.  Under these circumstances, gravity becomes totally integrated into the SED picture and the four forces of physics are unified.  The SED approach which gives the link between quantum phenomena and gravity is something that physicists have been striving to achieve for many years.</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Slowing of Light in Gravitational Fields</w:t>
      </w:r>
    </w:p>
    <w:p w:rsidR="006D41BD" w:rsidRPr="00F87319" w:rsidRDefault="006D41BD" w:rsidP="006D41BD">
      <w:pPr>
        <w:pStyle w:val="NormPara"/>
        <w:ind w:firstLine="270"/>
        <w:rPr>
          <w:sz w:val="20"/>
        </w:rPr>
      </w:pPr>
    </w:p>
    <w:p w:rsidR="006D41BD" w:rsidRPr="00F87319" w:rsidRDefault="006D41BD" w:rsidP="006D41BD">
      <w:pPr>
        <w:pStyle w:val="NormPara"/>
        <w:ind w:firstLine="548"/>
        <w:rPr>
          <w:sz w:val="20"/>
        </w:rPr>
      </w:pPr>
      <w:r w:rsidRPr="00F87319">
        <w:rPr>
          <w:sz w:val="20"/>
        </w:rPr>
        <w:t>Relativity demands that light slows down in a gravitational field.  The same effect occurs on the ZPE model because of the local increase in ZPE strength around a large collection of particles.  In this context a comment about General Relativity (GR) by Sir Arthur Eddington in 1920 is of interest.</w:t>
      </w:r>
    </w:p>
    <w:p w:rsidR="006D41BD" w:rsidRPr="00F87319" w:rsidRDefault="006D41BD" w:rsidP="006D41BD">
      <w:pPr>
        <w:pStyle w:val="NormPara"/>
        <w:ind w:firstLine="548"/>
        <w:rPr>
          <w:rStyle w:val="Emphasis"/>
          <w:sz w:val="20"/>
        </w:rPr>
      </w:pPr>
    </w:p>
    <w:p w:rsidR="006D41BD" w:rsidRPr="00F87319" w:rsidRDefault="006D41BD" w:rsidP="006D41BD">
      <w:pPr>
        <w:pStyle w:val="NormPara"/>
        <w:spacing w:before="80" w:after="80"/>
        <w:ind w:firstLine="274"/>
        <w:rPr>
          <w:rStyle w:val="Emphasis"/>
          <w:sz w:val="20"/>
        </w:rPr>
      </w:pPr>
      <w:r w:rsidRPr="00F87319">
        <w:rPr>
          <w:rStyle w:val="Emphasis"/>
          <w:sz w:val="20"/>
        </w:rPr>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velocity </w:t>
      </w:r>
      <m:oMath>
        <m:r>
          <w:rPr>
            <w:rStyle w:val="Emphasis"/>
            <w:rFonts w:ascii="Cambria Math" w:hAnsi="Cambria Math"/>
            <w:sz w:val="20"/>
          </w:rPr>
          <m:t>c</m:t>
        </m:r>
        <m:r>
          <w:rPr>
            <w:rStyle w:val="Emphasis"/>
            <w:rFonts w:ascii="Cambria Math"/>
            <w:sz w:val="20"/>
          </w:rPr>
          <m:t xml:space="preserve">(1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the refractive index must be</w:t>
      </w:r>
    </w:p>
    <w:p w:rsidR="006D41BD" w:rsidRPr="00F87319" w:rsidRDefault="006D41BD" w:rsidP="006D41BD">
      <w:pPr>
        <w:pStyle w:val="NormPara"/>
        <w:spacing w:before="80" w:after="80"/>
        <w:ind w:firstLine="0"/>
        <w:rPr>
          <w:rStyle w:val="Emphasis"/>
          <w:i w:val="0"/>
          <w:sz w:val="20"/>
        </w:rPr>
      </w:pPr>
      <w:r w:rsidRPr="00F87319">
        <w:rPr>
          <w:rStyle w:val="Emphasis"/>
          <w:sz w:val="20"/>
        </w:rPr>
        <w:t xml:space="preserve"> </w:t>
      </w:r>
      <m:oMath>
        <m:r>
          <w:rPr>
            <w:rStyle w:val="Emphasis"/>
            <w:rFonts w:ascii="Cambria Math"/>
            <w:sz w:val="20"/>
          </w:rPr>
          <m:t xml:space="preserve">1/(1 </m:t>
        </m:r>
        <m:r>
          <w:rPr>
            <w:rStyle w:val="Emphasis"/>
            <w:rFonts w:ascii="Cambria Math"/>
            <w:sz w:val="20"/>
          </w:rPr>
          <m:t>-</m:t>
        </m:r>
        <m:r>
          <w:rPr>
            <w:rStyle w:val="Emphasis"/>
            <w:rFonts w:ascii="Cambria Math"/>
            <w:sz w:val="20"/>
          </w:rPr>
          <m:t xml:space="preserve"> 2</m:t>
        </m:r>
        <m:r>
          <w:rPr>
            <w:rStyle w:val="Emphasis"/>
            <w:rFonts w:ascii="Cambria Math"/>
            <w:sz w:val="20"/>
          </w:rPr>
          <m:t>µ</m:t>
        </m:r>
        <m:r>
          <w:rPr>
            <w:rStyle w:val="Emphasis"/>
            <w:rFonts w:ascii="Cambria Math"/>
            <w:sz w:val="20"/>
          </w:rPr>
          <m:t>/</m:t>
        </m:r>
        <m:r>
          <w:rPr>
            <w:rStyle w:val="Emphasis"/>
            <w:rFonts w:ascii="Cambria Math" w:hAnsi="Cambria Math"/>
            <w:sz w:val="20"/>
          </w:rPr>
          <m:t>r</m:t>
        </m:r>
        <m:r>
          <w:rPr>
            <w:rStyle w:val="Emphasis"/>
            <w:rFonts w:ascii="Cambria Math"/>
            <w:sz w:val="20"/>
          </w:rPr>
          <m:t>).</m:t>
        </m:r>
      </m:oMath>
      <w:r w:rsidRPr="00F87319">
        <w:rPr>
          <w:rStyle w:val="Emphasis"/>
          <w:sz w:val="20"/>
        </w:rPr>
        <w:t xml:space="preserve"> …  Any problem on the paths of rays near the Sun can now be solved by the methods of geometrical optics applied to the equivalent refracting medium. </w:t>
      </w:r>
      <w:r w:rsidRPr="00F87319">
        <w:rPr>
          <w:rStyle w:val="Emphasis"/>
          <w:i w:val="0"/>
          <w:sz w:val="20"/>
        </w:rPr>
        <w:t>[44]</w:t>
      </w:r>
    </w:p>
    <w:p w:rsidR="006D41BD" w:rsidRPr="00F87319" w:rsidRDefault="006D41BD" w:rsidP="006D41BD">
      <w:pPr>
        <w:pStyle w:val="NormPara"/>
        <w:spacing w:before="80" w:after="80"/>
        <w:ind w:left="274" w:firstLine="274"/>
        <w:rPr>
          <w:sz w:val="20"/>
        </w:rPr>
      </w:pPr>
    </w:p>
    <w:p w:rsidR="006D41BD" w:rsidRPr="00F87319" w:rsidRDefault="006D41BD" w:rsidP="006D41BD">
      <w:pPr>
        <w:pStyle w:val="NormPara"/>
        <w:ind w:firstLine="548"/>
        <w:rPr>
          <w:sz w:val="20"/>
        </w:rPr>
      </w:pPr>
      <w:r w:rsidRPr="00F87319">
        <w:rPr>
          <w:sz w:val="20"/>
        </w:rPr>
        <w:t xml:space="preserve">Since then, others have discussed this proposal.  De Felice mentioned nine authors who have looked at this similarity between gravitation and an optical medium [45]. In fact, Hayden of the University of Connecticut (Physics) pointed out that the bending of starlight in the gravitational field of the Sun can be derived, and derived exactly, by this optical medium method </w:t>
      </w:r>
      <w:r w:rsidRPr="00F87319">
        <w:rPr>
          <w:rStyle w:val="Emphasis"/>
          <w:sz w:val="20"/>
        </w:rPr>
        <w:t xml:space="preserve">“with a few lines of high school algebra” </w:t>
      </w:r>
      <w:r w:rsidRPr="00F87319">
        <w:rPr>
          <w:rStyle w:val="Emphasis"/>
          <w:i w:val="0"/>
          <w:sz w:val="20"/>
        </w:rPr>
        <w:t>[46]</w:t>
      </w:r>
      <w:r w:rsidRPr="00F87319">
        <w:rPr>
          <w:sz w:val="20"/>
        </w:rPr>
        <w:t>.  Both ZPE and the secondary fields near massive bodies induced by atomic particle “jiggling” have been shown to be the precise optical medium required, and the purely mathematical modeling of relativity is not required.</w:t>
      </w:r>
    </w:p>
    <w:p w:rsidR="006D41BD" w:rsidRPr="00F87319" w:rsidRDefault="006D41BD" w:rsidP="006D41BD">
      <w:pPr>
        <w:pStyle w:val="NormPara"/>
        <w:ind w:firstLine="36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Relativity and Varying Constants</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Equations used in relativity are consistent internally.  That is not the issue here.  There are also predictions which have come from these equations which are correct.  That being said, two things must also be mentioned.  First, SED physics combined with the real Zero Point Energy accounts for all these phenomena more intuitively and with more simple mathematics.  Second, in relativistic physics and the equations based on them, the speed of light is made equal to Planck’s constant and the Newtonian gravitational constant.  So it is often stated at the beginning of their papers that all are made equal to 1, so that</w:t>
      </w:r>
      <w:r w:rsidRPr="00F87319">
        <w:rPr>
          <w:position w:val="-6"/>
          <w:sz w:val="20"/>
        </w:rPr>
        <w:object w:dxaOrig="1020" w:dyaOrig="240">
          <v:shape id="_x0000_i1175" type="#_x0000_t75" style="width:50.8pt;height:12.1pt" o:ole="">
            <v:imagedata r:id="rId651" o:title=""/>
          </v:shape>
          <o:OLEObject Type="Embed" ProgID="Equation.DSMT4" ShapeID="_x0000_i1175" DrawAspect="Content" ObjectID="_1433920327" r:id="rId652"/>
        </w:object>
      </w:r>
      <w:r w:rsidRPr="00F87319">
        <w:rPr>
          <w:sz w:val="20"/>
        </w:rPr>
        <w:t>.  This may be convenient, but it does not mesh with the reality of the fact that both Planck’s constant and the speed of light have been measured as changing.</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However, if these “constants”</w:t>
      </w:r>
      <w:r w:rsidRPr="00F87319">
        <w:rPr>
          <w:i/>
          <w:sz w:val="20"/>
        </w:rPr>
        <w:t xml:space="preserve"> </w:t>
      </w:r>
      <w:r w:rsidRPr="00F87319">
        <w:rPr>
          <w:sz w:val="20"/>
        </w:rPr>
        <w:t xml:space="preserve">changed proportionally, the equations would still work.  In fact, </w:t>
      </w:r>
      <w:r w:rsidRPr="00F87319">
        <w:rPr>
          <w:i/>
          <w:sz w:val="20"/>
        </w:rPr>
        <w:t>c</w:t>
      </w:r>
      <w:r w:rsidRPr="00F87319">
        <w:rPr>
          <w:sz w:val="20"/>
        </w:rPr>
        <w:t xml:space="preserve"> and </w:t>
      </w:r>
      <w:r w:rsidRPr="00F87319">
        <w:rPr>
          <w:i/>
          <w:sz w:val="20"/>
        </w:rPr>
        <w:t>h</w:t>
      </w:r>
      <w:r w:rsidRPr="00F87319">
        <w:rPr>
          <w:sz w:val="20"/>
        </w:rPr>
        <w:t xml:space="preserve"> have been measured experimentally as changing inversely, so that the product </w:t>
      </w:r>
      <w:r w:rsidRPr="00F87319">
        <w:rPr>
          <w:position w:val="-6"/>
          <w:sz w:val="20"/>
        </w:rPr>
        <w:object w:dxaOrig="260" w:dyaOrig="240">
          <v:shape id="_x0000_i1176" type="#_x0000_t75" style="width:12.7pt;height:12.1pt" o:ole="">
            <v:imagedata r:id="rId653" o:title=""/>
          </v:shape>
          <o:OLEObject Type="Embed" ProgID="Equation.DSMT4" ShapeID="_x0000_i1176" DrawAspect="Content" ObjectID="_1433920328" r:id="rId654"/>
        </w:object>
      </w:r>
      <w:r w:rsidRPr="00F87319">
        <w:rPr>
          <w:sz w:val="20"/>
        </w:rPr>
        <w:t xml:space="preserve">is invariant.  The equations of relativity are not designed to cope with this.  There is also the problem that </w:t>
      </w:r>
      <w:r w:rsidRPr="00F87319">
        <w:rPr>
          <w:position w:val="-6"/>
          <w:sz w:val="20"/>
        </w:rPr>
        <w:object w:dxaOrig="1020" w:dyaOrig="240">
          <v:shape id="_x0000_i1177" type="#_x0000_t75" style="width:50.8pt;height:12.1pt" o:ole="">
            <v:imagedata r:id="rId655" o:title=""/>
          </v:shape>
          <o:OLEObject Type="Embed" ProgID="Equation.DSMT4" ShapeID="_x0000_i1177" DrawAspect="Content" ObjectID="_1433920329" r:id="rId656"/>
        </w:object>
      </w:r>
      <w:r w:rsidRPr="00F87319">
        <w:rPr>
          <w:sz w:val="20"/>
        </w:rPr>
        <w:t xml:space="preserve"> obscures the colossal mismatch in the magnitudes of these quantities as well as making it impossible to track any changes they might undergo in reality.</w:t>
      </w:r>
    </w:p>
    <w:p w:rsidR="006D41BD" w:rsidRPr="00F87319" w:rsidRDefault="006D41BD" w:rsidP="006D41BD">
      <w:pPr>
        <w:pStyle w:val="NormPara"/>
        <w:ind w:firstLine="720"/>
        <w:rPr>
          <w:sz w:val="20"/>
        </w:rPr>
      </w:pPr>
    </w:p>
    <w:p w:rsidR="006D41BD" w:rsidRDefault="006D41BD" w:rsidP="006D41BD">
      <w:pPr>
        <w:pStyle w:val="NormPara"/>
        <w:ind w:firstLine="720"/>
        <w:rPr>
          <w:sz w:val="20"/>
        </w:rPr>
      </w:pPr>
      <w:r w:rsidRPr="00F87319">
        <w:rPr>
          <w:sz w:val="20"/>
        </w:rPr>
        <w:t xml:space="preserve">At this point there is a choice:  go with the data or go with the theory.  It does no good scientifically to say that these changes in </w:t>
      </w:r>
      <m:oMath>
        <m:r>
          <w:rPr>
            <w:rFonts w:ascii="Cambria Math" w:hAnsi="Cambria Math"/>
            <w:sz w:val="20"/>
          </w:rPr>
          <m:t>c</m:t>
        </m:r>
      </m:oMath>
      <w:r w:rsidRPr="00F87319">
        <w:rPr>
          <w:sz w:val="20"/>
        </w:rPr>
        <w:t xml:space="preserve">, </w:t>
      </w:r>
      <m:oMath>
        <m:r>
          <w:rPr>
            <w:rFonts w:ascii="Cambria Math" w:hAnsi="Cambria Math"/>
            <w:sz w:val="20"/>
          </w:rPr>
          <m:t>h</m:t>
        </m:r>
      </m:oMath>
      <w:r w:rsidRPr="00F87319">
        <w:rPr>
          <w:sz w:val="20"/>
        </w:rPr>
        <w:t>, etc., which have been experimentally verified, do not agree with relativity, and so must be spurious.  The issue must be faced that these data in fact show that it is the theory of relativity that must be questioned.  In contrast, SED physics with the real ZPE produces results that accord with physical reality, while at the same time producing the major predictions of relativity.</w:t>
      </w:r>
    </w:p>
    <w:p w:rsidR="00685A78" w:rsidRPr="00F87319" w:rsidRDefault="00685A78" w:rsidP="006D41BD">
      <w:pPr>
        <w:pStyle w:val="NormPara"/>
        <w:ind w:firstLine="720"/>
        <w:rPr>
          <w:sz w:val="20"/>
        </w:rPr>
      </w:pPr>
    </w:p>
    <w:p w:rsidR="006D41BD" w:rsidRPr="00F87319" w:rsidRDefault="006D41BD" w:rsidP="00D818DD">
      <w:pPr>
        <w:pStyle w:val="Heading2"/>
        <w:widowControl/>
        <w:numPr>
          <w:ilvl w:val="1"/>
          <w:numId w:val="14"/>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An Interim Suggestion</w:t>
      </w:r>
    </w:p>
    <w:p w:rsidR="006D41BD" w:rsidRPr="00F87319" w:rsidRDefault="006D41BD" w:rsidP="006D41BD">
      <w:pPr>
        <w:pStyle w:val="NormPara"/>
        <w:ind w:firstLine="270"/>
        <w:rPr>
          <w:sz w:val="20"/>
        </w:rPr>
      </w:pPr>
    </w:p>
    <w:p w:rsidR="006D41BD" w:rsidRPr="00F87319" w:rsidRDefault="006D41BD" w:rsidP="006D41BD">
      <w:pPr>
        <w:pStyle w:val="NormPara"/>
        <w:ind w:firstLine="270"/>
        <w:rPr>
          <w:color w:val="FF0000"/>
          <w:sz w:val="20"/>
        </w:rPr>
      </w:pPr>
      <w:r w:rsidRPr="00F87319">
        <w:rPr>
          <w:sz w:val="20"/>
        </w:rPr>
        <w:t xml:space="preserve">The conclusion is that the restrictions which Einstein's relativity places on our thinking should be relaxed and a new look taken at the ZPE alternative.  Louis de Broglie put the issue at stake somewhat more forcefully in 1962 in his book </w:t>
      </w:r>
      <w:r w:rsidRPr="00F87319">
        <w:rPr>
          <w:sz w:val="20"/>
        </w:rPr>
        <w:lastRenderedPageBreak/>
        <w:t xml:space="preserve">“New Perspectives in Physics”, which started the SED branch of physics.  He said: </w:t>
      </w:r>
      <w:r w:rsidRPr="00F87319">
        <w:rPr>
          <w:rStyle w:val="Emphasis"/>
          <w:sz w:val="20"/>
        </w:rPr>
        <w:t xml:space="preserve">Thus with every advance in our scientific knowledge new elements come up, often forcing us to recast our entire picture of physical reality.  No doubt, theorists would much prefer to perfect and amend their theories rather than be obliged to scrap them continually.  But this obligation is the condition and price of all scientific progress.” </w:t>
      </w:r>
      <w:r w:rsidRPr="00F87319">
        <w:rPr>
          <w:sz w:val="20"/>
        </w:rPr>
        <w:t>[9]</w:t>
      </w:r>
    </w:p>
    <w:p w:rsidR="006D41BD" w:rsidRPr="00F87319" w:rsidRDefault="006D41BD" w:rsidP="00D818DD">
      <w:pPr>
        <w:pStyle w:val="ListParagraph"/>
        <w:numPr>
          <w:ilvl w:val="0"/>
          <w:numId w:val="14"/>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Light in Gravitational Fields</w:t>
      </w:r>
    </w:p>
    <w:p w:rsidR="006D41BD" w:rsidRPr="00F87319" w:rsidRDefault="006D41BD" w:rsidP="006D41BD">
      <w:pPr>
        <w:pStyle w:val="ListParagraph"/>
        <w:spacing w:before="120" w:after="120" w:line="240" w:lineRule="atLeast"/>
        <w:ind w:left="274"/>
        <w:jc w:val="both"/>
        <w:outlineLvl w:val="0"/>
        <w:rPr>
          <w:rFonts w:ascii="Book Antiqua" w:hAnsi="Book Antiqua"/>
          <w:i/>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 xml:space="preserve">.1. Introduction </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General Relativity first predicted the bending of light in large gravitational fields and then sought to explain it using the rubber sheet analogy as shown above.  If the alternative approach, outlined by Eddington, Einstein, and others is followed, the physical vacuum is considered to be an optical medium whose density increases near any massive object, providing a refraction.  The Zero Point Energy does supply the refractive medium that is needed.  This model also gives the same mathematical results obtained by General Relativity.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As the ZPE jiggles the electrons and partons making up matter, these jiggled charged particles emit a secondary radiation which boosts the strength of the ZPE locally near massive objects.  As light waves enter this locally denser medium, they slow down.  However, those waves coming from behind are still traveling at the higher speed.  As a result of this higher speed, the wave-fronts “bunch up” as they encounter the interface between the less dense and the denser medium, and refraction occurs.  It is in this gravitational case that the locally denser ZPE slows the speed of light waves and simultaneously causes refraction or bending of the light path.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This is in contrast to the change in ZPE strength on a cosmos-wide scale where the slowing of light waves occurs simultaneously along the whole train of waves, which may stretch across the whole universe.  In this cosmological case, there is no refraction since there is no bunching up of the wave fronts.  But in the gravitational case, the bunching up occurs because of the local variation in ZPE strength.  Perhaps an analogy might be useful.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Imagine a large coiled spring on a moving belt.  Regardless of the speed of the belt, the distance between the coils remains the same—they are moving uniformly.  However, if some force at the front slowed the movement of our spring from the front, but the moving belt was still maintaining its original speed, the coils would start to bunch up near the front.  This is what is happening to the light waves near a massive object where the ZPE has increased locally.  It is this which produces the bending of light which we see near these objects.</w:t>
      </w:r>
    </w:p>
    <w:p w:rsidR="006D41BD" w:rsidRPr="00F87319" w:rsidRDefault="006D41BD" w:rsidP="006D41BD">
      <w:pPr>
        <w:pStyle w:val="NormPara"/>
        <w:ind w:firstLine="720"/>
        <w:rPr>
          <w:sz w:val="20"/>
        </w:rPr>
      </w:pPr>
    </w:p>
    <w:p w:rsidR="006D41BD" w:rsidRPr="00F87319" w:rsidRDefault="00D818DD" w:rsidP="006D41BD">
      <w:pPr>
        <w:pStyle w:val="Heading2"/>
        <w:widowControl/>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4</w:t>
      </w:r>
      <w:r w:rsidR="006D41BD" w:rsidRPr="00F87319">
        <w:rPr>
          <w:rFonts w:ascii="Book Antiqua" w:hAnsi="Book Antiqua" w:cs="Times New Roman"/>
          <w:b w:val="0"/>
          <w:sz w:val="20"/>
          <w:szCs w:val="20"/>
        </w:rPr>
        <w:t>.2. Bending of Light in Gravitational Fields</w:t>
      </w:r>
      <w:r w:rsidR="006D41BD" w:rsidRPr="00F87319">
        <w:rPr>
          <w:rFonts w:ascii="Book Antiqua" w:hAnsi="Book Antiqua" w:cs="Times New Roman"/>
          <w:b w:val="0"/>
          <w:sz w:val="20"/>
          <w:szCs w:val="20"/>
        </w:rPr>
        <w:tab/>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As noted above, Eddington stated that </w:t>
      </w:r>
      <w:r w:rsidRPr="00F87319">
        <w:rPr>
          <w:rStyle w:val="Emphasis"/>
          <w:sz w:val="20"/>
        </w:rPr>
        <w:t xml:space="preserve">We can thus imitate the [GR] gravitational effect on light precisely, if we imagine the space round the Sun filled with a refracting medium which gives the appropriate velocity of light.  To give the velocity c(1 - 2µ/r), the refractive index must be 1/(1 - 2µ/r) </w:t>
      </w:r>
      <w:r w:rsidRPr="00F87319">
        <w:rPr>
          <w:rStyle w:val="Emphasis"/>
          <w:i w:val="0"/>
          <w:color w:val="FF0000"/>
          <w:sz w:val="20"/>
        </w:rPr>
        <w:t>[</w:t>
      </w:r>
      <w:r w:rsidRPr="00F87319">
        <w:rPr>
          <w:rStyle w:val="Emphasis"/>
          <w:i w:val="0"/>
          <w:sz w:val="20"/>
        </w:rPr>
        <w:t xml:space="preserve">44]  </w:t>
      </w:r>
      <w:r w:rsidRPr="00F87319">
        <w:rPr>
          <w:sz w:val="20"/>
        </w:rPr>
        <w:t>The effect of the locally increased strength of the ZPE  as an “</w:t>
      </w:r>
      <w:r w:rsidRPr="00F87319">
        <w:rPr>
          <w:i/>
          <w:sz w:val="20"/>
        </w:rPr>
        <w:t>equivalent refractive medium”</w:t>
      </w:r>
      <w:r w:rsidRPr="00F87319">
        <w:rPr>
          <w:sz w:val="20"/>
        </w:rPr>
        <w:t xml:space="preserve"> can be justified as follows.  The refractive index of a medium</w:t>
      </w:r>
      <w:r w:rsidRPr="00F87319">
        <w:rPr>
          <w:position w:val="-6"/>
          <w:sz w:val="20"/>
        </w:rPr>
        <w:object w:dxaOrig="180" w:dyaOrig="200">
          <v:shape id="_x0000_i1178" type="#_x0000_t75" style="width:9.1pt;height:9.7pt" o:ole="">
            <v:imagedata r:id="rId657" o:title=""/>
          </v:shape>
          <o:OLEObject Type="Embed" ProgID="Equation.DSMT4" ShapeID="_x0000_i1178" DrawAspect="Content" ObjectID="_1433920330" r:id="rId658"/>
        </w:object>
      </w:r>
      <w:r w:rsidRPr="00F87319">
        <w:rPr>
          <w:sz w:val="20"/>
        </w:rPr>
        <w:t>is given by the standard equation:</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1020" w:dyaOrig="520">
          <v:shape id="_x0000_i1179" type="#_x0000_t75" style="width:50.8pt;height:26pt" o:ole="">
            <v:imagedata r:id="rId659" o:title=""/>
          </v:shape>
          <o:OLEObject Type="Embed" ProgID="Equation.DSMT4" ShapeID="_x0000_i1179" DrawAspect="Content" ObjectID="_1433920331" r:id="rId660"/>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(43)</w:t>
      </w:r>
    </w:p>
    <w:p w:rsidR="006D41BD" w:rsidRPr="00F87319" w:rsidRDefault="006D41BD" w:rsidP="006D41BD">
      <w:pPr>
        <w:pStyle w:val="NormPara"/>
        <w:ind w:firstLine="720"/>
        <w:rPr>
          <w:sz w:val="20"/>
        </w:rPr>
      </w:pPr>
      <w:r w:rsidRPr="00F87319">
        <w:rPr>
          <w:sz w:val="20"/>
        </w:rPr>
        <w:t>Here</w:t>
      </w:r>
      <w:r w:rsidRPr="00F87319">
        <w:rPr>
          <w:position w:val="-6"/>
          <w:sz w:val="20"/>
        </w:rPr>
        <w:object w:dxaOrig="180" w:dyaOrig="200">
          <v:shape id="_x0000_i1180" type="#_x0000_t75" style="width:9.1pt;height:9.7pt" o:ole="">
            <v:imagedata r:id="rId661" o:title=""/>
          </v:shape>
          <o:OLEObject Type="Embed" ProgID="Equation.DSMT4" ShapeID="_x0000_i1180" DrawAspect="Content" ObjectID="_1433920332" r:id="rId662"/>
        </w:object>
      </w:r>
      <w:r w:rsidRPr="00F87319">
        <w:rPr>
          <w:sz w:val="20"/>
        </w:rPr>
        <w:t xml:space="preserve">is the refractive index of the denser medium the light has entered, </w:t>
      </w:r>
      <w:r w:rsidRPr="00F87319">
        <w:rPr>
          <w:position w:val="-10"/>
          <w:sz w:val="20"/>
        </w:rPr>
        <w:object w:dxaOrig="220" w:dyaOrig="279">
          <v:shape id="_x0000_i1181" type="#_x0000_t75" style="width:10.3pt;height:14.5pt" o:ole="">
            <v:imagedata r:id="rId663" o:title=""/>
          </v:shape>
          <o:OLEObject Type="Embed" ProgID="Equation.DSMT4" ShapeID="_x0000_i1181" DrawAspect="Content" ObjectID="_1433920333" r:id="rId664"/>
        </w:object>
      </w:r>
      <w:r w:rsidRPr="00F87319">
        <w:rPr>
          <w:sz w:val="20"/>
        </w:rPr>
        <w:t xml:space="preserve"> is the speed of light in a vacuum, and </w:t>
      </w:r>
      <w:r w:rsidRPr="00F87319">
        <w:rPr>
          <w:position w:val="-6"/>
          <w:sz w:val="20"/>
        </w:rPr>
        <w:object w:dxaOrig="160" w:dyaOrig="200">
          <v:shape id="_x0000_i1182" type="#_x0000_t75" style="width:8.45pt;height:9.7pt" o:ole="">
            <v:imagedata r:id="rId665" o:title=""/>
          </v:shape>
          <o:OLEObject Type="Embed" ProgID="Equation.DSMT4" ShapeID="_x0000_i1182" DrawAspect="Content" ObjectID="_1433920334" r:id="rId666"/>
        </w:object>
      </w:r>
      <w:r w:rsidRPr="00F87319">
        <w:rPr>
          <w:sz w:val="20"/>
        </w:rPr>
        <w:t xml:space="preserve"> is the speed of light in the denser medium.  “</w:t>
      </w:r>
      <w:r w:rsidRPr="00F87319">
        <w:rPr>
          <w:i/>
          <w:sz w:val="20"/>
        </w:rPr>
        <w:t>A</w:t>
      </w:r>
      <w:r w:rsidRPr="00F87319">
        <w:rPr>
          <w:sz w:val="20"/>
        </w:rPr>
        <w:t>” here simply represents the ratio of the velocities.  In this segment of the article, we are considering situations where</w:t>
      </w:r>
      <w:r w:rsidRPr="00F87319">
        <w:rPr>
          <w:position w:val="-6"/>
          <w:sz w:val="20"/>
        </w:rPr>
        <w:object w:dxaOrig="760" w:dyaOrig="240">
          <v:shape id="_x0000_i1183" type="#_x0000_t75" style="width:38.1pt;height:12.1pt" o:ole="">
            <v:imagedata r:id="rId667" o:title=""/>
          </v:shape>
          <o:OLEObject Type="Embed" ProgID="Equation.DSMT4" ShapeID="_x0000_i1183" DrawAspect="Content" ObjectID="_1433920335" r:id="rId668"/>
        </w:object>
      </w:r>
      <w:r w:rsidRPr="00F87319">
        <w:rPr>
          <w:sz w:val="20"/>
        </w:rPr>
        <w:t>.  1 has to be the upper limit since that is where the two speeds of light being measured are equal.  An alternative expression for (43) is to say that the speed of light in the medium is given by the speed of light in the vacuum divided by the refractive index, so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0"/>
          <w:sz w:val="20"/>
        </w:rPr>
        <w:object w:dxaOrig="1100" w:dyaOrig="499">
          <v:shape id="_x0000_i1184" type="#_x0000_t75" style="width:54.45pt;height:24.8pt" o:ole="">
            <v:imagedata r:id="rId669" o:title=""/>
          </v:shape>
          <o:OLEObject Type="Embed" ProgID="Equation.DSMT4" ShapeID="_x0000_i1184" DrawAspect="Content" ObjectID="_1433920336" r:id="rId670"/>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(44)</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From Chapters 2 and 3 of this monograph, we have shown that light speed must vary in inverse proportion to both the permittivity and permeability of free space so that we can write as in Eq. (6) above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iCs/>
          <w:sz w:val="20"/>
        </w:rPr>
        <w:tab/>
      </w:r>
      <w:r w:rsidRPr="00F87319">
        <w:rPr>
          <w:iCs/>
          <w:position w:val="-20"/>
          <w:sz w:val="20"/>
        </w:rPr>
        <w:object w:dxaOrig="1120" w:dyaOrig="499">
          <v:shape id="_x0000_i1185" type="#_x0000_t75" style="width:56.25pt;height:24.8pt" o:ole="">
            <v:imagedata r:id="rId671" o:title=""/>
          </v:shape>
          <o:OLEObject Type="Embed" ProgID="Equation.DSMT4" ShapeID="_x0000_i1185" DrawAspect="Content" ObjectID="_1433920337" r:id="rId672"/>
        </w:object>
      </w:r>
      <w:r w:rsidRPr="00F87319">
        <w:rPr>
          <w:iCs/>
          <w:sz w:val="20"/>
        </w:rPr>
        <w:t xml:space="preserve"> .</w:t>
      </w:r>
      <w:r w:rsidRPr="00F87319">
        <w:rPr>
          <w:iCs/>
          <w:sz w:val="20"/>
        </w:rPr>
        <w:tab/>
      </w:r>
      <w:r w:rsidRPr="00F87319">
        <w:rPr>
          <w:iCs/>
          <w:sz w:val="20"/>
        </w:rPr>
        <w:tab/>
      </w:r>
      <w:r w:rsidRPr="00F87319">
        <w:rPr>
          <w:iCs/>
          <w:sz w:val="20"/>
        </w:rPr>
        <w:tab/>
      </w:r>
      <w:r w:rsidRPr="00F87319">
        <w:rPr>
          <w:iCs/>
          <w:sz w:val="20"/>
        </w:rPr>
        <w:tab/>
      </w:r>
      <w:r w:rsidRPr="00F87319">
        <w:rPr>
          <w:iCs/>
          <w:sz w:val="20"/>
        </w:rPr>
        <w:tab/>
      </w:r>
      <w:r w:rsidRPr="00F87319">
        <w:rPr>
          <w:i/>
          <w:sz w:val="20"/>
        </w:rPr>
        <w:t>(45)</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since we have shown that the speed of light is inversely related to the strength of the ZPE, then we can write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40">
          <v:shape id="_x0000_i1186" type="#_x0000_t75" style="width:59.3pt;height:27.25pt" o:ole="">
            <v:imagedata r:id="rId673" o:title=""/>
          </v:shape>
          <o:OLEObject Type="Embed" ProgID="Equation.DSMT4" ShapeID="_x0000_i1186" DrawAspect="Content" ObjectID="_1433920338" r:id="rId67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(46)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 xml:space="preserve">Here we take </w:t>
      </w:r>
      <w:r w:rsidRPr="00F87319">
        <w:rPr>
          <w:position w:val="-10"/>
          <w:sz w:val="20"/>
        </w:rPr>
        <w:object w:dxaOrig="279" w:dyaOrig="279">
          <v:shape id="_x0000_i1187" type="#_x0000_t75" style="width:14.5pt;height:14.5pt" o:ole="">
            <v:imagedata r:id="rId675" o:title=""/>
          </v:shape>
          <o:OLEObject Type="Embed" ProgID="Equation.DSMT4" ShapeID="_x0000_i1187" DrawAspect="Content" ObjectID="_1433920339" r:id="rId676"/>
        </w:object>
      </w:r>
      <w:r w:rsidRPr="00F87319">
        <w:rPr>
          <w:sz w:val="20"/>
        </w:rPr>
        <w:t xml:space="preserve"> as the present energy density of the vacuum ZPE away from massive objects and </w:t>
      </w:r>
      <w:r w:rsidRPr="00F87319">
        <w:rPr>
          <w:i/>
          <w:sz w:val="20"/>
        </w:rPr>
        <w:t>U</w:t>
      </w:r>
      <w:r w:rsidRPr="00F87319">
        <w:rPr>
          <w:sz w:val="20"/>
        </w:rPr>
        <w:t xml:space="preserve"> as the (greater) energy density of the ZPE in the vicinity of such objects.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If we now look at Eddington's statement regarding refractive mediums [44], it requires the refractive index to be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rStyle w:val="Emphasis"/>
          <w:i w:val="0"/>
          <w:sz w:val="20"/>
        </w:rPr>
      </w:pPr>
      <w:r w:rsidRPr="00F87319">
        <w:rPr>
          <w:sz w:val="20"/>
        </w:rPr>
        <w:tab/>
      </w:r>
      <w:r w:rsidRPr="00F87319">
        <w:rPr>
          <w:position w:val="-24"/>
          <w:sz w:val="20"/>
        </w:rPr>
        <w:object w:dxaOrig="1420" w:dyaOrig="540">
          <v:shape id="_x0000_i1188" type="#_x0000_t75" style="width:71.4pt;height:27.25pt" o:ole="">
            <v:imagedata r:id="rId677" o:title=""/>
          </v:shape>
          <o:OLEObject Type="Embed" ProgID="Equation.DSMT4" ShapeID="_x0000_i1188" DrawAspect="Content" ObjectID="_1433920340" r:id="rId67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i w:val="0"/>
          <w:sz w:val="20"/>
        </w:rPr>
        <w:tab/>
      </w:r>
      <w:r w:rsidRPr="00F87319">
        <w:rPr>
          <w:rStyle w:val="Emphasis"/>
          <w:sz w:val="20"/>
        </w:rPr>
        <w:t>(47)</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rStyle w:val="Emphasis"/>
          <w:i w:val="0"/>
          <w:sz w:val="20"/>
        </w:rPr>
      </w:pPr>
      <w:r w:rsidRPr="00F87319">
        <w:rPr>
          <w:sz w:val="20"/>
        </w:rPr>
        <w:t xml:space="preserve">with the right-hand side following from the standard definition of refractive index as in Eq. (43).  Eddington's treatment actually indicates that quantity </w:t>
      </w:r>
      <w:r w:rsidRPr="00F87319">
        <w:rPr>
          <w:position w:val="-10"/>
          <w:sz w:val="20"/>
        </w:rPr>
        <w:object w:dxaOrig="360" w:dyaOrig="279">
          <v:shape id="_x0000_i1189" type="#_x0000_t75" style="width:18.75pt;height:14.5pt" o:ole="">
            <v:imagedata r:id="rId679" o:title=""/>
          </v:shape>
          <o:OLEObject Type="Embed" ProgID="Equation.DSMT4" ShapeID="_x0000_i1189" DrawAspect="Content" ObjectID="_1433920341" r:id="rId680"/>
        </w:object>
      </w:r>
      <w:r w:rsidRPr="00F87319">
        <w:rPr>
          <w:sz w:val="20"/>
        </w:rPr>
        <w:t xml:space="preserve"> </w:t>
      </w:r>
      <w:r w:rsidRPr="00F87319">
        <w:rPr>
          <w:rStyle w:val="Emphasis"/>
          <w:i w:val="0"/>
          <w:sz w:val="20"/>
        </w:rPr>
        <w:t xml:space="preserve">is the same </w:t>
      </w:r>
      <w:proofErr w:type="gramStart"/>
      <w:r w:rsidRPr="00F87319">
        <w:rPr>
          <w:rStyle w:val="Emphasis"/>
          <w:i w:val="0"/>
          <w:sz w:val="20"/>
        </w:rPr>
        <w:t xml:space="preserve">as </w:t>
      </w:r>
      <m:oMath>
        <w:proofErr w:type="gramEnd"/>
        <m:r>
          <w:rPr>
            <w:rStyle w:val="Emphasis"/>
            <w:rFonts w:ascii="Cambria Math" w:hAnsi="Cambria Math"/>
            <w:sz w:val="20"/>
          </w:rPr>
          <m:t>GM</m:t>
        </m:r>
        <m:r>
          <w:rPr>
            <w:rStyle w:val="Emphasis"/>
            <w:rFonts w:ascii="Cambria Math"/>
            <w:sz w:val="20"/>
          </w:rPr>
          <m:t>/</m:t>
        </m:r>
        <m:r>
          <w:rPr>
            <w:rStyle w:val="Emphasis"/>
            <w:rFonts w:ascii="Cambria Math" w:hAnsi="Cambria Math"/>
            <w:sz w:val="20"/>
          </w:rPr>
          <m:t>r</m:t>
        </m:r>
      </m:oMath>
      <w:r w:rsidRPr="00F87319">
        <w:rPr>
          <w:rStyle w:val="Emphasis"/>
          <w:i w:val="0"/>
          <w:sz w:val="20"/>
        </w:rPr>
        <w:t>.</w:t>
      </w:r>
    </w:p>
    <w:p w:rsidR="006D41BD" w:rsidRPr="00F87319" w:rsidRDefault="006D41BD" w:rsidP="006D41BD">
      <w:pPr>
        <w:pStyle w:val="NormPara"/>
        <w:ind w:firstLine="0"/>
        <w:rPr>
          <w:rStyle w:val="Emphasis"/>
          <w:i w:val="0"/>
          <w:sz w:val="20"/>
        </w:rPr>
      </w:pPr>
    </w:p>
    <w:p w:rsidR="006D41BD" w:rsidRPr="00F87319" w:rsidRDefault="006D41BD" w:rsidP="00252491">
      <w:pPr>
        <w:pStyle w:val="Heading2"/>
        <w:widowControl/>
        <w:numPr>
          <w:ilvl w:val="1"/>
          <w:numId w:val="33"/>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Three Requirements to be Fulfilled</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rStyle w:val="Emphasis"/>
          <w:i w:val="0"/>
          <w:sz w:val="20"/>
        </w:rPr>
        <w:t xml:space="preserve">For this condition in (47) to be satisfied, Eddington’s approach requires three things. </w:t>
      </w:r>
      <w:r w:rsidRPr="00F87319">
        <w:rPr>
          <w:rStyle w:val="Emphasis"/>
          <w:sz w:val="20"/>
        </w:rPr>
        <w:t xml:space="preserve"> </w:t>
      </w:r>
      <w:r w:rsidRPr="00F87319">
        <w:rPr>
          <w:sz w:val="20"/>
        </w:rPr>
        <w:t xml:space="preserve">First, there must be a key property of the physical vacuum that increases in density in the vicinity of massive objects.  Second, this vacuum property must mimic the behavior of the gravitational field strength, which is proportional to the inverse square of the distance from any massive object.  (That also implies this property must mimic the behavior of the gravitational potential </w:t>
      </w:r>
      <w:r w:rsidRPr="00F87319">
        <w:rPr>
          <w:position w:val="-10"/>
          <w:sz w:val="20"/>
        </w:rPr>
        <w:object w:dxaOrig="360" w:dyaOrig="279">
          <v:shape id="_x0000_i1190" type="#_x0000_t75" style="width:18.75pt;height:14.5pt" o:ole="">
            <v:imagedata r:id="rId681" o:title=""/>
          </v:shape>
          <o:OLEObject Type="Embed" ProgID="Equation.DSMT4" ShapeID="_x0000_i1190" DrawAspect="Content" ObjectID="_1433920342" r:id="rId682"/>
        </w:object>
      </w:r>
      <w:r w:rsidRPr="00F87319">
        <w:rPr>
          <w:sz w:val="20"/>
        </w:rPr>
        <w:t xml:space="preserve"> in Eddington’s approach above and so be proportional </w:t>
      </w:r>
      <w:proofErr w:type="gramStart"/>
      <w:r w:rsidRPr="00F87319">
        <w:rPr>
          <w:sz w:val="20"/>
        </w:rPr>
        <w:t xml:space="preserve">to </w:t>
      </w:r>
      <w:proofErr w:type="gramEnd"/>
      <w:r w:rsidRPr="00F87319">
        <w:rPr>
          <w:position w:val="-10"/>
          <w:sz w:val="20"/>
        </w:rPr>
        <w:object w:dxaOrig="320" w:dyaOrig="279">
          <v:shape id="_x0000_i1191" type="#_x0000_t75" style="width:15.75pt;height:14.5pt" o:ole="">
            <v:imagedata r:id="rId683" o:title=""/>
          </v:shape>
          <o:OLEObject Type="Embed" ProgID="Equation.DSMT4" ShapeID="_x0000_i1191" DrawAspect="Content" ObjectID="_1433920343" r:id="rId684"/>
        </w:object>
      </w:r>
      <w:r w:rsidRPr="00F87319">
        <w:rPr>
          <w:sz w:val="20"/>
        </w:rPr>
        <w:t xml:space="preserve">, where </w:t>
      </w:r>
      <w:r w:rsidRPr="00F87319">
        <w:rPr>
          <w:i/>
          <w:sz w:val="20"/>
        </w:rPr>
        <w:t>r</w:t>
      </w:r>
      <w:r w:rsidRPr="00F87319">
        <w:rPr>
          <w:sz w:val="20"/>
        </w:rPr>
        <w:t xml:space="preserve"> is the distance from the massive body.)  Third, this property of the vacuum must affect the speed of light in an inverse fashion in a way similar to a refractive medium.  Let us examine these points.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First, the behavior of the vacuum in the vicinity of massive bodies is in accord with the picture of the vacuum that Haisch, Puthoff, and their colleagues present [47-50].  As noted above, the all-pervasive ZPE has its density increased towards massive bodies due to the secondary fields emitted by the oscillating point-like charges that comprise all matter.  The more oscillating charges there are, the more secondary fields there are and hence the greater the total energy density of the ZPE in the vicinity of those charges.  This increase in the total energy density of the ZPE towards any massive object can thereby be shown to meet the first requirement for Eddington’s alternative model.</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lastRenderedPageBreak/>
        <w:t>Second, the strength of these electromagnetic fields is proportional to the inverse square of the distance from their origin.  Furthermore, their potential falls off inversely as the distance from the massive body, so changes in the density of the ZPE medium mimics a gravitational potential.  Therefore the second set of requirements is also fulfilled.</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final condition requires the speed of light to slow down as the strength of the ZPE increases.  This has been shown above as well as in other articles [12, 37, 38, 51, 52], which also demonstrate an inverse relationship between the energy density of the ZPE and the speed of light.  Eddington noted that </w:t>
      </w:r>
      <w:r w:rsidRPr="00F87319">
        <w:rPr>
          <w:i/>
          <w:sz w:val="20"/>
        </w:rPr>
        <w:t xml:space="preserve">“the velocity [of light is] inversely proportional to the refractive index of the medium.” </w:t>
      </w:r>
      <w:r w:rsidRPr="00F87319">
        <w:rPr>
          <w:sz w:val="20"/>
        </w:rPr>
        <w:t>[44]</w:t>
      </w:r>
      <w:r w:rsidRPr="00F87319">
        <w:rPr>
          <w:i/>
          <w:sz w:val="20"/>
        </w:rPr>
        <w:t xml:space="preserve">  </w:t>
      </w:r>
      <w:r w:rsidRPr="00F87319">
        <w:rPr>
          <w:sz w:val="20"/>
        </w:rPr>
        <w:t xml:space="preserve">This result means that the increased strength of the ZPE due to the secondary fields of oscillating charges is behaving in the same way as his </w:t>
      </w:r>
      <w:r w:rsidRPr="00F87319">
        <w:rPr>
          <w:i/>
          <w:sz w:val="20"/>
        </w:rPr>
        <w:t>“equivalent refractive medium</w:t>
      </w:r>
      <w:r w:rsidRPr="00F87319">
        <w:rPr>
          <w:sz w:val="20"/>
        </w:rPr>
        <w:t>” requires.</w:t>
      </w:r>
    </w:p>
    <w:p w:rsidR="00A64EAA" w:rsidRDefault="00A64EAA" w:rsidP="006D41BD">
      <w:pPr>
        <w:pStyle w:val="NormPara"/>
        <w:ind w:firstLine="270"/>
        <w:rPr>
          <w:sz w:val="20"/>
        </w:rPr>
      </w:pPr>
    </w:p>
    <w:p w:rsidR="006D41BD" w:rsidRPr="00F87319" w:rsidRDefault="006D41BD" w:rsidP="006D41BD">
      <w:pPr>
        <w:pStyle w:val="NormPara"/>
        <w:ind w:firstLine="270"/>
        <w:rPr>
          <w:sz w:val="20"/>
        </w:rPr>
      </w:pPr>
      <w:r w:rsidRPr="00F87319">
        <w:rPr>
          <w:sz w:val="20"/>
        </w:rPr>
        <w:t>Therefore, Eddington's results can be obtained precisely since we now have</w:t>
      </w:r>
    </w:p>
    <w:p w:rsidR="006D41BD" w:rsidRPr="00F87319" w:rsidRDefault="006D41BD" w:rsidP="006D41BD">
      <w:pPr>
        <w:pStyle w:val="equation"/>
        <w:spacing w:before="80" w:after="80"/>
        <w:rPr>
          <w:i/>
          <w:sz w:val="20"/>
        </w:rPr>
      </w:pPr>
      <w:r w:rsidRPr="00F87319">
        <w:rPr>
          <w:sz w:val="20"/>
        </w:rPr>
        <w:tab/>
      </w:r>
      <w:r w:rsidRPr="00F87319">
        <w:rPr>
          <w:position w:val="-24"/>
          <w:sz w:val="20"/>
        </w:rPr>
        <w:object w:dxaOrig="1860" w:dyaOrig="540">
          <v:shape id="_x0000_i1192" type="#_x0000_t75" style="width:93.2pt;height:27.25pt" o:ole="">
            <v:imagedata r:id="rId685" o:title=""/>
          </v:shape>
          <o:OLEObject Type="Embed" ProgID="Equation.DSMT4" ShapeID="_x0000_i1192" DrawAspect="Content" ObjectID="_1433920344" r:id="rId6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rStyle w:val="Emphasis"/>
          <w:sz w:val="20"/>
          <w:vertAlign w:val="subscript"/>
        </w:rPr>
        <w:tab/>
      </w:r>
      <w:r w:rsidRPr="00F87319">
        <w:rPr>
          <w:i/>
          <w:sz w:val="20"/>
        </w:rPr>
        <w:t>(48)</w:t>
      </w:r>
    </w:p>
    <w:p w:rsidR="006D41BD" w:rsidRPr="00F87319" w:rsidRDefault="006D41BD" w:rsidP="006D41BD">
      <w:pPr>
        <w:pStyle w:val="NormPara"/>
        <w:ind w:firstLine="270"/>
        <w:rPr>
          <w:sz w:val="20"/>
        </w:rPr>
      </w:pPr>
      <w:r w:rsidRPr="00F87319">
        <w:rPr>
          <w:sz w:val="20"/>
        </w:rPr>
        <w:t>Thus the effects of the increased ZPE strength, due to the secondary radiation emitted by oscillating particles, is the same as an equivalent refractive medium.  Because of this, the SED approach using the ZPE explains the same bending of light in a gravitational field as General Relativity.  However, unlike GR, it gives the mechanism whereby the bending of light occurs.  This approach also has the added advantage that it only needs simple mathematics.</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GR had predicted the bending of light around massive astronomical objects and later realized this also involved the slowing of light there.  In addition, it also predicted the slowing of radar signals in these same fields.  This was verified in the 1960’s.  Irwin Shapiro confirmed this by analyzing radar signal returns from both Venus and Mercury [53].  However, just as the locally increased Zero Point Energy affects the light waves, it also affects radar signals.  It is the flip side of the effects of a refractive medium.  Both light and radar waves are forms of electromagnetic radiation.  Therefore, if light speed slows in these gravitational fields, radar signals will behave the same way.  This simultaneous slowing and bending of radar signals and light in the vicinity of massive objects are therefore twin results from an increased density of the ZPE.</w:t>
      </w:r>
    </w:p>
    <w:p w:rsidR="006D41BD" w:rsidRPr="00F87319" w:rsidRDefault="006D41BD" w:rsidP="006D41BD">
      <w:pPr>
        <w:pStyle w:val="NormPara"/>
        <w:ind w:firstLine="270"/>
        <w:rPr>
          <w:sz w:val="20"/>
        </w:rPr>
      </w:pPr>
    </w:p>
    <w:p w:rsidR="006D41BD" w:rsidRPr="00D818DD" w:rsidRDefault="006D41BD" w:rsidP="00252491">
      <w:pPr>
        <w:pStyle w:val="ListParagraph"/>
        <w:numPr>
          <w:ilvl w:val="0"/>
          <w:numId w:val="33"/>
        </w:numPr>
        <w:spacing w:before="120" w:after="120" w:line="240" w:lineRule="atLeast"/>
        <w:jc w:val="both"/>
        <w:outlineLvl w:val="0"/>
        <w:rPr>
          <w:rFonts w:ascii="Book Antiqua" w:hAnsi="Book Antiqua"/>
          <w:b/>
          <w:sz w:val="20"/>
        </w:rPr>
      </w:pPr>
      <w:r w:rsidRPr="00D818DD">
        <w:rPr>
          <w:rFonts w:ascii="Book Antiqua" w:hAnsi="Book Antiqua"/>
          <w:b/>
          <w:sz w:val="20"/>
        </w:rPr>
        <w:t>Atomic Clocks Slow in Gravitational Fields</w:t>
      </w:r>
    </w:p>
    <w:p w:rsidR="006D41BD" w:rsidRPr="00D818DD" w:rsidRDefault="006D41BD" w:rsidP="006D41BD">
      <w:pPr>
        <w:pStyle w:val="ListParagraph"/>
        <w:spacing w:before="120" w:after="120" w:line="240" w:lineRule="atLeast"/>
        <w:ind w:left="360"/>
        <w:jc w:val="both"/>
        <w:outlineLvl w:val="0"/>
        <w:rPr>
          <w:rFonts w:ascii="Book Antiqua" w:hAnsi="Book Antiqua"/>
          <w:b/>
          <w:sz w:val="20"/>
        </w:rPr>
      </w:pPr>
    </w:p>
    <w:p w:rsidR="006D41BD" w:rsidRPr="00F87319" w:rsidRDefault="006D41BD" w:rsidP="006D41BD">
      <w:pPr>
        <w:pStyle w:val="NormPara"/>
        <w:ind w:firstLine="720"/>
        <w:rPr>
          <w:sz w:val="20"/>
        </w:rPr>
      </w:pPr>
      <w:r w:rsidRPr="00F87319">
        <w:rPr>
          <w:sz w:val="20"/>
        </w:rPr>
        <w:t>The bending and slowing of light in a gravitational field were only two of the basic observational proofs of GR.  Einstein also proposed that the rate of ticking of atomic clocks would be slowed in gravitational fields.  This is inevitable with the SED approach using the ZPE as the mechanism.  This is because the “gravitational field” in which these atomic clocks are immersed comes from the secondary electromagnetic radiation emitted by oscillating charges that make up all matter.  The more charges there are to oscillate, the more secondary radiation will be emitted, and hence the greater the energy density of the ZPE in that vicinity.  This local increase in the energy density of the ZPE will cause a drop in the orbital frequency of subatomic particles as outlined in the discussion around Eq. (17A).  Thus the slowing of atomic clocks is not an unexpected result but a natural consequence of the SED approach.</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atomic clocks associated with the Global Positioning System reveal that atomic clock frequencies do lessen somewhat in the Earth’s gravitational field. The exact equation has the form:</w:t>
      </w:r>
    </w:p>
    <w:p w:rsidR="006D41BD" w:rsidRPr="00F87319" w:rsidRDefault="006D41BD" w:rsidP="006D41BD">
      <w:pPr>
        <w:pStyle w:val="NormPara"/>
        <w:ind w:firstLine="720"/>
        <w:rPr>
          <w:sz w:val="20"/>
        </w:rPr>
      </w:pPr>
    </w:p>
    <w:p w:rsidR="006D41BD" w:rsidRPr="00F87319" w:rsidRDefault="006D41BD" w:rsidP="006D41BD">
      <w:pPr>
        <w:pStyle w:val="equation"/>
        <w:spacing w:before="40" w:after="80"/>
        <w:jc w:val="right"/>
        <w:rPr>
          <w:i/>
          <w:sz w:val="20"/>
        </w:rPr>
      </w:pPr>
      <w:r w:rsidRPr="00F87319">
        <w:rPr>
          <w:sz w:val="20"/>
        </w:rPr>
        <w:tab/>
      </w:r>
      <w:r w:rsidRPr="00F87319">
        <w:rPr>
          <w:position w:val="-10"/>
          <w:sz w:val="20"/>
        </w:rPr>
        <w:object w:dxaOrig="680" w:dyaOrig="279">
          <v:shape id="_x0000_i1193" type="#_x0000_t75" style="width:33.9pt;height:14.5pt" o:ole="">
            <v:imagedata r:id="rId687" o:title=""/>
          </v:shape>
          <o:OLEObject Type="Embed" ProgID="Equation.DSMT4" ShapeID="_x0000_i1193" DrawAspect="Content" ObjectID="_1433920345" r:id="rId6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(49)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10"/>
          <w:sz w:val="20"/>
        </w:rPr>
        <w:object w:dxaOrig="240" w:dyaOrig="279">
          <v:shape id="_x0000_i1194" type="#_x0000_t75" style="width:12.1pt;height:14.5pt" o:ole="">
            <v:imagedata r:id="rId689" o:title=""/>
          </v:shape>
          <o:OLEObject Type="Embed" ProgID="Equation.DSMT4" ShapeID="_x0000_i1194" DrawAspect="Content" ObjectID="_1433920346" r:id="rId690"/>
        </w:object>
      </w:r>
      <w:r w:rsidRPr="00F87319">
        <w:rPr>
          <w:sz w:val="20"/>
        </w:rPr>
        <w:t>is the original frequency and</w:t>
      </w:r>
      <w:r w:rsidRPr="00F87319">
        <w:rPr>
          <w:position w:val="-6"/>
          <w:sz w:val="20"/>
        </w:rPr>
        <w:object w:dxaOrig="760" w:dyaOrig="240">
          <v:shape id="_x0000_i1195" type="#_x0000_t75" style="width:38.1pt;height:12.1pt" o:ole="">
            <v:imagedata r:id="rId691" o:title=""/>
          </v:shape>
          <o:OLEObject Type="Embed" ProgID="Equation.DSMT4" ShapeID="_x0000_i1195" DrawAspect="Content" ObjectID="_1433920347" r:id="rId692"/>
        </w:object>
      </w:r>
      <w:r w:rsidRPr="00F87319">
        <w:rPr>
          <w:sz w:val="20"/>
        </w:rPr>
        <w:t xml:space="preserve">as defined above.  By way of explanation, we start with the intrinsic mass of the parton or electron </w:t>
      </w:r>
      <w:r w:rsidRPr="00F87319">
        <w:rPr>
          <w:position w:val="-6"/>
          <w:sz w:val="20"/>
        </w:rPr>
        <w:object w:dxaOrig="279" w:dyaOrig="300">
          <v:shape id="_x0000_i1196" type="#_x0000_t75" style="width:14.5pt;height:15.15pt" o:ole="">
            <v:imagedata r:id="rId693" o:title=""/>
          </v:shape>
          <o:OLEObject Type="Embed" ProgID="Equation.DSMT4" ShapeID="_x0000_i1196" DrawAspect="Content" ObjectID="_1433920348" r:id="rId694"/>
        </w:object>
      </w:r>
      <w:r w:rsidRPr="00F87319">
        <w:rPr>
          <w:sz w:val="20"/>
        </w:rPr>
        <w:t xml:space="preserve"> as discussed around Eq. (30).  There it is shown that the intrinsic mass of the parton decreases when the ZPE is stronger.  Using (29) and (44), the relationship may be expressed in terms of the quantity </w:t>
      </w:r>
      <w:r w:rsidRPr="00F87319">
        <w:rPr>
          <w:i/>
          <w:sz w:val="20"/>
        </w:rPr>
        <w:t>A</w:t>
      </w:r>
      <w:r w:rsidRPr="00F87319">
        <w:rPr>
          <w:sz w:val="20"/>
        </w:rPr>
        <w:t xml:space="preserve"> thus: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10"/>
          <w:sz w:val="20"/>
        </w:rPr>
        <w:object w:dxaOrig="960" w:dyaOrig="340">
          <v:shape id="_x0000_i1197" type="#_x0000_t75" style="width:47.8pt;height:17.55pt" o:ole="">
            <v:imagedata r:id="rId695" o:title=""/>
          </v:shape>
          <o:OLEObject Type="Embed" ProgID="Equation.DSMT4" ShapeID="_x0000_i1197" DrawAspect="Content" ObjectID="_1433920349" r:id="rId69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vertAlign w:val="superscript"/>
        </w:rPr>
        <w:tab/>
      </w:r>
      <w:r w:rsidRPr="00F87319">
        <w:rPr>
          <w:i/>
          <w:sz w:val="20"/>
        </w:rPr>
        <w:t xml:space="preserve"> (50)</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NoSpacing"/>
        <w:spacing w:line="240" w:lineRule="atLeast"/>
        <w:ind w:firstLine="720"/>
        <w:jc w:val="both"/>
        <w:rPr>
          <w:rFonts w:ascii="Book Antiqua" w:hAnsi="Book Antiqua"/>
          <w:sz w:val="20"/>
        </w:rPr>
      </w:pPr>
      <w:r w:rsidRPr="00F87319">
        <w:rPr>
          <w:rFonts w:ascii="Book Antiqua" w:hAnsi="Book Antiqua"/>
          <w:sz w:val="20"/>
        </w:rPr>
        <w:t>The equations relating to the behavior of atomic masses</w:t>
      </w:r>
      <w:r w:rsidRPr="00F87319">
        <w:rPr>
          <w:rFonts w:ascii="Book Antiqua" w:hAnsi="Book Antiqua"/>
          <w:position w:val="-6"/>
          <w:sz w:val="20"/>
        </w:rPr>
        <w:object w:dxaOrig="220" w:dyaOrig="200">
          <v:shape id="_x0000_i1198" type="#_x0000_t75" style="width:10.3pt;height:9.7pt" o:ole="">
            <v:imagedata r:id="rId697" o:title=""/>
          </v:shape>
          <o:OLEObject Type="Embed" ProgID="Equation.DSMT4" ShapeID="_x0000_i1198" DrawAspect="Content" ObjectID="_1433920350" r:id="rId698"/>
        </w:object>
      </w:r>
      <w:r w:rsidRPr="00F87319">
        <w:rPr>
          <w:rFonts w:ascii="Book Antiqua" w:hAnsi="Book Antiqua"/>
          <w:sz w:val="20"/>
        </w:rPr>
        <w:t>are given in Eqs. (14) and (18).  If (18) is substituted in (14) above, it can be manipulated to show that:</w:t>
      </w:r>
    </w:p>
    <w:p w:rsidR="006D41BD" w:rsidRPr="00F87319" w:rsidRDefault="006D41BD" w:rsidP="006D41BD">
      <w:pPr>
        <w:pStyle w:val="NoSpacing"/>
        <w:spacing w:line="240" w:lineRule="atLeast"/>
        <w:ind w:firstLine="720"/>
        <w:jc w:val="both"/>
        <w:rPr>
          <w:rFonts w:ascii="Book Antiqua" w:hAnsi="Book Antiqua"/>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2000" w:dyaOrig="580">
          <v:shape id="_x0000_i1199" type="#_x0000_t75" style="width:99.85pt;height:29.05pt" o:ole="">
            <v:imagedata r:id="rId699" o:title=""/>
          </v:shape>
          <o:OLEObject Type="Embed" ProgID="Equation.DSMT4" ShapeID="_x0000_i1199" DrawAspect="Content" ObjectID="_1433920351" r:id="rId70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 xml:space="preserve"> (51)</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Applying (24), (46), and (50) to (51), the outcome is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900" w:dyaOrig="580">
          <v:shape id="_x0000_i1200" type="#_x0000_t75" style="width:44.75pt;height:29.05pt" o:ole="">
            <v:imagedata r:id="rId701" o:title=""/>
          </v:shape>
          <o:OLEObject Type="Embed" ProgID="Equation.DSMT4" ShapeID="_x0000_i1200" DrawAspect="Content" ObjectID="_1433920352" r:id="rId70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i/>
          <w:sz w:val="20"/>
        </w:rPr>
        <w:tab/>
        <w:t>(52)</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proofErr w:type="gramStart"/>
      <w:r w:rsidRPr="00F87319">
        <w:rPr>
          <w:sz w:val="20"/>
        </w:rPr>
        <w:t xml:space="preserve">However, the behavior of </w:t>
      </w:r>
      <w:r w:rsidRPr="00F87319">
        <w:rPr>
          <w:position w:val="-10"/>
          <w:sz w:val="20"/>
        </w:rPr>
        <w:object w:dxaOrig="420" w:dyaOrig="340">
          <v:shape id="_x0000_i1201" type="#_x0000_t75" style="width:21.2pt;height:17.55pt" o:ole="">
            <v:imagedata r:id="rId703" o:title=""/>
          </v:shape>
          <o:OLEObject Type="Embed" ProgID="Equation.DSMT4" ShapeID="_x0000_i1201" DrawAspect="Content" ObjectID="_1433920353" r:id="rId704"/>
        </w:object>
      </w:r>
      <w:r w:rsidRPr="00F87319">
        <w:rPr>
          <w:sz w:val="20"/>
        </w:rPr>
        <w:t xml:space="preserve"> needs scrutiny at this point.</w:t>
      </w:r>
      <w:proofErr w:type="gramEnd"/>
      <w:r w:rsidRPr="00F87319">
        <w:rPr>
          <w:sz w:val="20"/>
        </w:rPr>
        <w:t xml:space="preserve">  </w:t>
      </w:r>
      <w:r w:rsidRPr="00F87319">
        <w:rPr>
          <w:position w:val="-10"/>
          <w:sz w:val="20"/>
        </w:rPr>
        <w:object w:dxaOrig="420" w:dyaOrig="340">
          <v:shape id="_x0000_i1202" type="#_x0000_t75" style="width:21.2pt;height:17.55pt" o:ole="">
            <v:imagedata r:id="rId705" o:title=""/>
          </v:shape>
          <o:OLEObject Type="Embed" ProgID="Equation.DSMT4" ShapeID="_x0000_i1202" DrawAspect="Content" ObjectID="_1433920354" r:id="rId706"/>
        </w:object>
      </w:r>
      <w:r w:rsidRPr="00F87319">
        <w:rPr>
          <w:sz w:val="20"/>
        </w:rPr>
        <w:t xml:space="preserve"> </w:t>
      </w:r>
      <w:proofErr w:type="gramStart"/>
      <w:r w:rsidRPr="00F87319">
        <w:rPr>
          <w:sz w:val="20"/>
        </w:rPr>
        <w:t>is  a</w:t>
      </w:r>
      <w:proofErr w:type="gramEnd"/>
      <w:r w:rsidRPr="00F87319">
        <w:rPr>
          <w:sz w:val="20"/>
        </w:rPr>
        <w:t xml:space="preserve"> constant with one exception. The electronic charge</w:t>
      </w:r>
      <w:r w:rsidRPr="00F87319">
        <w:rPr>
          <w:position w:val="-6"/>
          <w:sz w:val="20"/>
        </w:rPr>
        <w:object w:dxaOrig="160" w:dyaOrig="200">
          <v:shape id="_x0000_i1203" type="#_x0000_t75" style="width:8.45pt;height:9.7pt" o:ole="">
            <v:imagedata r:id="rId707" o:title=""/>
          </v:shape>
          <o:OLEObject Type="Embed" ProgID="Equation.DSMT4" ShapeID="_x0000_i1203" DrawAspect="Content" ObjectID="_1433920355" r:id="rId708"/>
        </w:object>
      </w:r>
      <w:r w:rsidRPr="00F87319">
        <w:rPr>
          <w:sz w:val="20"/>
        </w:rPr>
        <w:t>is not implicated in any changes due to secondary fields.  However, the increase in ZPE strength due to the secondary fields will inevitably increase the value of</w:t>
      </w:r>
      <w:r w:rsidRPr="00F87319">
        <w:rPr>
          <w:position w:val="-6"/>
          <w:sz w:val="20"/>
        </w:rPr>
        <w:object w:dxaOrig="180" w:dyaOrig="200">
          <v:shape id="_x0000_i1204" type="#_x0000_t75" style="width:9.1pt;height:9.7pt" o:ole="">
            <v:imagedata r:id="rId709" o:title=""/>
          </v:shape>
          <o:OLEObject Type="Embed" ProgID="Equation.DSMT4" ShapeID="_x0000_i1204" DrawAspect="Content" ObjectID="_1433920356" r:id="rId710"/>
        </w:object>
      </w:r>
      <w:r w:rsidRPr="00F87319">
        <w:rPr>
          <w:sz w:val="20"/>
        </w:rPr>
        <w:t xml:space="preserve">which decreases the magnitude of the </w:t>
      </w:r>
      <w:proofErr w:type="gramStart"/>
      <w:r w:rsidRPr="00F87319">
        <w:rPr>
          <w:sz w:val="20"/>
        </w:rPr>
        <w:t xml:space="preserve">ratio </w:t>
      </w:r>
      <w:proofErr w:type="gramEnd"/>
      <w:r w:rsidRPr="00F87319">
        <w:rPr>
          <w:position w:val="-10"/>
          <w:sz w:val="20"/>
        </w:rPr>
        <w:object w:dxaOrig="420" w:dyaOrig="340">
          <v:shape id="_x0000_i1205" type="#_x0000_t75" style="width:21.2pt;height:17.55pt" o:ole="">
            <v:imagedata r:id="rId711" o:title=""/>
          </v:shape>
          <o:OLEObject Type="Embed" ProgID="Equation.DSMT4" ShapeID="_x0000_i1205" DrawAspect="Content" ObjectID="_1433920357" r:id="rId712"/>
        </w:object>
      </w:r>
      <w:r w:rsidRPr="00F87319">
        <w:rPr>
          <w:sz w:val="20"/>
        </w:rPr>
        <w:t xml:space="preserve">.  Since </w:t>
      </w:r>
      <w:r w:rsidRPr="00F87319">
        <w:rPr>
          <w:position w:val="-6"/>
          <w:sz w:val="20"/>
        </w:rPr>
        <w:object w:dxaOrig="180" w:dyaOrig="200">
          <v:shape id="_x0000_i1206" type="#_x0000_t75" style="width:9.1pt;height:9.7pt" o:ole="">
            <v:imagedata r:id="rId713" o:title=""/>
          </v:shape>
          <o:OLEObject Type="Embed" ProgID="Equation.DSMT4" ShapeID="_x0000_i1206" DrawAspect="Content" ObjectID="_1433920358" r:id="rId714"/>
        </w:object>
      </w:r>
      <w:r w:rsidRPr="00F87319">
        <w:rPr>
          <w:sz w:val="20"/>
        </w:rPr>
        <w:t xml:space="preserve"> is proportional to</w:t>
      </w:r>
      <w:r w:rsidRPr="00F87319">
        <w:rPr>
          <w:position w:val="-6"/>
          <w:sz w:val="20"/>
        </w:rPr>
        <w:object w:dxaOrig="220" w:dyaOrig="240">
          <v:shape id="_x0000_i1207" type="#_x0000_t75" style="width:10.3pt;height:12.1pt" o:ole="">
            <v:imagedata r:id="rId715" o:title=""/>
          </v:shape>
          <o:OLEObject Type="Embed" ProgID="Equation.DSMT4" ShapeID="_x0000_i1207" DrawAspect="Content" ObjectID="_1433920359" r:id="rId716"/>
        </w:object>
      </w:r>
      <w:r w:rsidRPr="00F87319">
        <w:rPr>
          <w:sz w:val="20"/>
        </w:rPr>
        <w:t>, then from the definition given in (46) we have</w:t>
      </w:r>
    </w:p>
    <w:p w:rsidR="006D41BD" w:rsidRPr="00F87319" w:rsidRDefault="006D41BD" w:rsidP="006D41BD">
      <w:pPr>
        <w:pStyle w:val="equation"/>
        <w:spacing w:before="80" w:after="80"/>
        <w:jc w:val="right"/>
        <w:rPr>
          <w:sz w:val="20"/>
        </w:rPr>
      </w:pPr>
      <w:r w:rsidRPr="00F87319">
        <w:rPr>
          <w:sz w:val="20"/>
        </w:rPr>
        <w:tab/>
      </w:r>
      <w:r w:rsidRPr="00F87319">
        <w:rPr>
          <w:position w:val="-20"/>
          <w:sz w:val="20"/>
        </w:rPr>
        <w:object w:dxaOrig="1200" w:dyaOrig="560">
          <v:shape id="_x0000_i1208" type="#_x0000_t75" style="width:59.9pt;height:27.85pt" o:ole="">
            <v:imagedata r:id="rId717" o:title=""/>
          </v:shape>
          <o:OLEObject Type="Embed" ProgID="Equation.DSMT4" ShapeID="_x0000_i1208" DrawAspect="Content" ObjectID="_1433920360" r:id="rId718"/>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39" w:dyaOrig="520">
          <v:shape id="_x0000_i1209" type="#_x0000_t75" style="width:31.45pt;height:26pt" o:ole="">
            <v:imagedata r:id="rId719" o:title=""/>
          </v:shape>
          <o:OLEObject Type="Embed" ProgID="Equation.DSMT4" ShapeID="_x0000_i1209" DrawAspect="Content" ObjectID="_1433920361" r:id="rId720"/>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(54)</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As a consequence, when (54) is substituted in (52) it emerges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2"/>
          <w:sz w:val="20"/>
        </w:rPr>
        <w:object w:dxaOrig="680" w:dyaOrig="520">
          <v:shape id="_x0000_i1210" type="#_x0000_t75" style="width:33.9pt;height:26pt" o:ole="">
            <v:imagedata r:id="rId721" o:title=""/>
          </v:shape>
          <o:OLEObject Type="Embed" ProgID="Equation.DSMT4" ShapeID="_x0000_i1210" DrawAspect="Content" ObjectID="_1433920362" r:id="rId72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(55)</w:t>
      </w:r>
      <w:r w:rsidRPr="00F87319">
        <w:rPr>
          <w:sz w:val="20"/>
        </w:rPr>
        <w:t xml:space="preserve"> </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It has been shown above that kinetic energy is conserved in atomic orbits in the interval between redshift quantum changes.  This means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6"/>
          <w:sz w:val="20"/>
        </w:rPr>
        <w:object w:dxaOrig="999" w:dyaOrig="300">
          <v:shape id="_x0000_i1211" type="#_x0000_t75" style="width:50.2pt;height:15.15pt" o:ole="">
            <v:imagedata r:id="rId723" o:title=""/>
          </v:shape>
          <o:OLEObject Type="Embed" ProgID="Equation.DSMT4" ShapeID="_x0000_i1211" DrawAspect="Content" ObjectID="_1433920363" r:id="rId72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(56)</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Therefore, putting the results of (55) in (56), we get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60" w:dyaOrig="520">
          <v:shape id="_x0000_i1212" type="#_x0000_t75" style="width:57.5pt;height:26pt" o:ole="">
            <v:imagedata r:id="rId725" o:title=""/>
          </v:shape>
          <o:OLEObject Type="Embed" ProgID="Equation.DSMT4" ShapeID="_x0000_i1212" DrawAspect="Content" ObjectID="_1433920364" r:id="rId72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(57)</w:t>
      </w:r>
    </w:p>
    <w:p w:rsidR="006D41BD" w:rsidRPr="00F87319" w:rsidRDefault="006D41BD" w:rsidP="006D41BD">
      <w:pPr>
        <w:pStyle w:val="equation"/>
        <w:spacing w:before="80" w:after="80"/>
        <w:rPr>
          <w:sz w:val="20"/>
        </w:rPr>
      </w:pPr>
    </w:p>
    <w:p w:rsidR="006D41BD" w:rsidRPr="00F87319" w:rsidRDefault="006D41BD" w:rsidP="006D41BD">
      <w:pPr>
        <w:pStyle w:val="NoSpacing"/>
        <w:spacing w:line="240" w:lineRule="atLeast"/>
        <w:jc w:val="both"/>
        <w:rPr>
          <w:rFonts w:ascii="Book Antiqua" w:hAnsi="Book Antiqua"/>
          <w:sz w:val="20"/>
        </w:rPr>
      </w:pPr>
      <w:r w:rsidRPr="00F87319">
        <w:rPr>
          <w:rFonts w:ascii="Book Antiqua" w:hAnsi="Book Antiqua"/>
          <w:sz w:val="20"/>
        </w:rPr>
        <w:t>This means that</w:t>
      </w:r>
    </w:p>
    <w:p w:rsidR="006D41BD" w:rsidRPr="00F87319" w:rsidRDefault="006D41BD" w:rsidP="006D41BD">
      <w:pPr>
        <w:pStyle w:val="NoSpacing"/>
        <w:spacing w:line="240" w:lineRule="atLeast"/>
        <w:jc w:val="both"/>
        <w:rPr>
          <w:rFonts w:ascii="Book Antiqua" w:hAnsi="Book Antiqua"/>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2"/>
          <w:sz w:val="20"/>
        </w:rPr>
        <w:object w:dxaOrig="980" w:dyaOrig="380">
          <v:shape id="_x0000_i1213" type="#_x0000_t75" style="width:49pt;height:18.75pt" o:ole="">
            <v:imagedata r:id="rId727" o:title=""/>
          </v:shape>
          <o:OLEObject Type="Embed" ProgID="Equation.DSMT4" ShapeID="_x0000_i1213" DrawAspect="Content" ObjectID="_1433920365" r:id="rId72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frequency of revolution of electrons in atomic orbits is directly determined by the orbit velocity</w:t>
      </w:r>
      <w:r w:rsidRPr="00F87319">
        <w:rPr>
          <w:position w:val="-6"/>
          <w:sz w:val="20"/>
        </w:rPr>
        <w:object w:dxaOrig="180" w:dyaOrig="200">
          <v:shape id="_x0000_i1214" type="#_x0000_t75" style="width:9.1pt;height:9.7pt" o:ole="">
            <v:imagedata r:id="rId729" o:title=""/>
          </v:shape>
          <o:OLEObject Type="Embed" ProgID="Equation.DSMT4" ShapeID="_x0000_i1214" DrawAspect="Content" ObjectID="_1433920366" r:id="rId730"/>
        </w:object>
      </w:r>
      <w:r w:rsidRPr="00F87319">
        <w:rPr>
          <w:sz w:val="20"/>
        </w:rPr>
        <w:t>.  Since this is directly related to the frequency of atomic clocks, then from (58) we have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0"/>
          <w:sz w:val="20"/>
        </w:rPr>
        <w:object w:dxaOrig="680" w:dyaOrig="279">
          <v:shape id="_x0000_i1215" type="#_x0000_t75" style="width:33.9pt;height:14.5pt" o:ole="">
            <v:imagedata r:id="rId731" o:title=""/>
          </v:shape>
          <o:OLEObject Type="Embed" ProgID="Equation.DSMT4" ShapeID="_x0000_i1215" DrawAspect="Content" ObjectID="_1433920367" r:id="rId73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(59)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which was the required relationship in (49) above.  This indicates that atomic processes slow by a factor of </w:t>
      </w:r>
      <w:r w:rsidRPr="00F87319">
        <w:rPr>
          <w:i/>
          <w:sz w:val="20"/>
        </w:rPr>
        <w:t>A</w:t>
      </w:r>
      <w:r w:rsidRPr="00F87319">
        <w:rPr>
          <w:sz w:val="20"/>
        </w:rPr>
        <w:t xml:space="preserve"> in a gravitational field.  As a result, it can be demonstrated that all atomic frequencies, and therefore atomic clocks, will slow in accord with (59) and (49).  Alternatively, it can be stated with equal correctness that the time period</w:t>
      </w:r>
      <w:r w:rsidRPr="00F87319">
        <w:rPr>
          <w:position w:val="-6"/>
          <w:sz w:val="20"/>
        </w:rPr>
        <w:object w:dxaOrig="139" w:dyaOrig="220">
          <v:shape id="_x0000_i1216" type="#_x0000_t75" style="width:6.65pt;height:10.3pt" o:ole="">
            <v:imagedata r:id="rId733" o:title=""/>
          </v:shape>
          <o:OLEObject Type="Embed" ProgID="Equation.DSMT4" ShapeID="_x0000_i1216" DrawAspect="Content" ObjectID="_1433920368" r:id="rId734"/>
        </w:object>
      </w:r>
      <w:r w:rsidRPr="00F87319">
        <w:rPr>
          <w:sz w:val="20"/>
        </w:rPr>
        <w:t>between ticks on atomic clocks in these circumstances is lengthened in that gravitational field so that</w:t>
      </w: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499" w:dyaOrig="499">
          <v:shape id="_x0000_i1217" type="#_x0000_t75" style="width:24.8pt;height:24.8pt" o:ole="">
            <v:imagedata r:id="rId735" o:title=""/>
          </v:shape>
          <o:OLEObject Type="Embed" ProgID="Equation.DSMT4" ShapeID="_x0000_i1217" DrawAspect="Content" ObjectID="_1433920369" r:id="rId736"/>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(60)</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prediction of GR can thereby be accounted for on using SED physics and the action of the ZPE in a relatively simple manner.  This occurs because the permittivity of the vacuum increases in gravitational fields due to the emission of secondary radiation by oscillating partons.  The key point, however, is that this is done without any increase in the strength of the electronic charge.  We can thus write that, in strong gravitational fields,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060" w:dyaOrig="600">
          <v:shape id="_x0000_i1218" type="#_x0000_t75" style="width:53.25pt;height:30.25pt" o:ole="">
            <v:imagedata r:id="rId737" o:title=""/>
          </v:shape>
          <o:OLEObject Type="Embed" ProgID="Equation.DSMT4" ShapeID="_x0000_i1218" DrawAspect="Content" ObjectID="_1433920370" r:id="rId73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(61)</w:t>
      </w:r>
    </w:p>
    <w:p w:rsidR="006D41BD" w:rsidRPr="00F87319" w:rsidRDefault="006D41BD" w:rsidP="006D41BD">
      <w:pPr>
        <w:pStyle w:val="equation"/>
        <w:spacing w:before="80" w:after="80"/>
        <w:rPr>
          <w:sz w:val="20"/>
        </w:rPr>
      </w:pPr>
    </w:p>
    <w:p w:rsidR="006D41BD" w:rsidRPr="00F87319" w:rsidRDefault="006D41BD" w:rsidP="006D41BD">
      <w:pPr>
        <w:pStyle w:val="NormPara"/>
        <w:ind w:firstLine="0"/>
        <w:rPr>
          <w:sz w:val="20"/>
        </w:rPr>
      </w:pPr>
      <w:r w:rsidRPr="00F87319">
        <w:rPr>
          <w:sz w:val="20"/>
        </w:rPr>
        <w:t>In other words, since</w:t>
      </w:r>
      <w:r w:rsidRPr="00F87319">
        <w:rPr>
          <w:position w:val="-6"/>
          <w:sz w:val="20"/>
        </w:rPr>
        <w:object w:dxaOrig="760" w:dyaOrig="240">
          <v:shape id="_x0000_i1219" type="#_x0000_t75" style="width:38.1pt;height:12.1pt" o:ole="">
            <v:imagedata r:id="rId739" o:title=""/>
          </v:shape>
          <o:OLEObject Type="Embed" ProgID="Equation.DSMT4" ShapeID="_x0000_i1219" DrawAspect="Content" ObjectID="_1433920371" r:id="rId740"/>
        </w:object>
      </w:r>
      <w:r w:rsidRPr="00F87319">
        <w:rPr>
          <w:sz w:val="20"/>
        </w:rPr>
        <w:t xml:space="preserve">, then the ratio </w:t>
      </w:r>
      <w:r w:rsidRPr="00F87319">
        <w:rPr>
          <w:position w:val="-10"/>
          <w:sz w:val="20"/>
        </w:rPr>
        <w:object w:dxaOrig="420" w:dyaOrig="340">
          <v:shape id="_x0000_i1220" type="#_x0000_t75" style="width:21.2pt;height:17.55pt" o:ole="">
            <v:imagedata r:id="rId741" o:title=""/>
          </v:shape>
          <o:OLEObject Type="Embed" ProgID="Equation.DSMT4" ShapeID="_x0000_i1220" DrawAspect="Content" ObjectID="_1433920372" r:id="rId742"/>
        </w:object>
      </w:r>
      <w:r w:rsidRPr="00F87319">
        <w:rPr>
          <w:sz w:val="20"/>
        </w:rPr>
        <w:t xml:space="preserve"> becomes slightly less in a strong gravitational field because</w:t>
      </w:r>
      <w:r w:rsidRPr="00F87319">
        <w:rPr>
          <w:position w:val="-6"/>
          <w:sz w:val="20"/>
        </w:rPr>
        <w:object w:dxaOrig="180" w:dyaOrig="200">
          <v:shape id="_x0000_i1221" type="#_x0000_t75" style="width:9.1pt;height:9.7pt" o:ole="">
            <v:imagedata r:id="rId743" o:title=""/>
          </v:shape>
          <o:OLEObject Type="Embed" ProgID="Equation.DSMT4" ShapeID="_x0000_i1221" DrawAspect="Content" ObjectID="_1433920373" r:id="rId744"/>
        </w:object>
      </w:r>
      <w:r w:rsidRPr="00F87319">
        <w:rPr>
          <w:sz w:val="20"/>
        </w:rPr>
        <w:t xml:space="preserve">increases.  Apart from this exception, however, </w:t>
      </w:r>
      <w:r w:rsidRPr="00F87319">
        <w:rPr>
          <w:position w:val="-10"/>
          <w:sz w:val="20"/>
        </w:rPr>
        <w:object w:dxaOrig="420" w:dyaOrig="340">
          <v:shape id="_x0000_i1222" type="#_x0000_t75" style="width:21.2pt;height:17.55pt" o:ole="">
            <v:imagedata r:id="rId705" o:title=""/>
          </v:shape>
          <o:OLEObject Type="Embed" ProgID="Equation.DSMT4" ShapeID="_x0000_i1222" DrawAspect="Content" ObjectID="_1433920374" r:id="rId745"/>
        </w:object>
      </w:r>
      <w:r w:rsidRPr="00F87319">
        <w:rPr>
          <w:sz w:val="20"/>
        </w:rPr>
        <w:t xml:space="preserve"> has shown itself to be a constant.</w:t>
      </w:r>
    </w:p>
    <w:p w:rsidR="006D41BD" w:rsidRPr="00F87319" w:rsidRDefault="006D41BD" w:rsidP="006D41BD">
      <w:pPr>
        <w:pStyle w:val="NormPara"/>
        <w:ind w:firstLine="0"/>
        <w:rPr>
          <w:sz w:val="20"/>
        </w:rPr>
      </w:pPr>
    </w:p>
    <w:p w:rsidR="006D41BD" w:rsidRPr="00F87319" w:rsidRDefault="006D41BD" w:rsidP="00252491">
      <w:pPr>
        <w:pStyle w:val="ListParagraph"/>
        <w:numPr>
          <w:ilvl w:val="0"/>
          <w:numId w:val="33"/>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Fine Structure Constant</w:t>
      </w:r>
    </w:p>
    <w:p w:rsidR="006D41BD" w:rsidRPr="00F87319" w:rsidRDefault="006D41BD" w:rsidP="006D41BD">
      <w:pPr>
        <w:pStyle w:val="NormPara"/>
        <w:ind w:firstLine="270"/>
        <w:rPr>
          <w:sz w:val="20"/>
        </w:rPr>
      </w:pPr>
    </w:p>
    <w:p w:rsidR="006D41BD" w:rsidRPr="00F87319" w:rsidRDefault="006D41BD" w:rsidP="00BD495E">
      <w:pPr>
        <w:pStyle w:val="NormPara"/>
        <w:ind w:firstLine="720"/>
        <w:rPr>
          <w:sz w:val="20"/>
        </w:rPr>
      </w:pPr>
      <w:r w:rsidRPr="00F87319">
        <w:rPr>
          <w:sz w:val="20"/>
        </w:rPr>
        <w:t xml:space="preserve">In 1916, A. Sommerfeld introduced something we now call the fine structure constant </w:t>
      </w:r>
      <w:r w:rsidRPr="00F87319">
        <w:rPr>
          <w:position w:val="-6"/>
          <w:sz w:val="20"/>
        </w:rPr>
        <w:object w:dxaOrig="200" w:dyaOrig="200">
          <v:shape id="_x0000_i1223" type="#_x0000_t75" style="width:9.7pt;height:9.7pt" o:ole="">
            <v:imagedata r:id="rId746" o:title=""/>
          </v:shape>
          <o:OLEObject Type="Embed" ProgID="Equation.DSMT4" ShapeID="_x0000_i1223" DrawAspect="Content" ObjectID="_1433920375" r:id="rId747"/>
        </w:object>
      </w:r>
      <w:r w:rsidRPr="00F87319">
        <w:rPr>
          <w:sz w:val="20"/>
        </w:rPr>
        <w:t xml:space="preserve"> in order to explain why the energy levels of the hydrogen atom appear to be split.  These energy levels are indicated by the dark lines in the color spectrum.  It would be expected that an energy level from a given orbit would be represented by one dark line.  But this is not what Sommerfeld found.  The dark line was split into several different lines.  This was referred to as the fine structure of the spectral lines.  In all of his equations, while working with this, Sommerfeld found he had to deal with the speed of the electron in its orbit </w:t>
      </w:r>
      <w:r w:rsidRPr="00F87319">
        <w:rPr>
          <w:position w:val="-6"/>
          <w:sz w:val="20"/>
        </w:rPr>
        <w:object w:dxaOrig="180" w:dyaOrig="200">
          <v:shape id="_x0000_i1224" type="#_x0000_t75" style="width:9.1pt;height:9.7pt" o:ole="">
            <v:imagedata r:id="rId748" o:title=""/>
          </v:shape>
          <o:OLEObject Type="Embed" ProgID="Equation.DSMT4" ShapeID="_x0000_i1224" DrawAspect="Content" ObjectID="_1433920376" r:id="rId749"/>
        </w:object>
      </w:r>
      <w:r w:rsidRPr="00F87319">
        <w:rPr>
          <w:sz w:val="20"/>
        </w:rPr>
        <w:t>in the first Bohr orbit, divided by the speed of light</w:t>
      </w:r>
      <w:r w:rsidRPr="00F87319">
        <w:rPr>
          <w:position w:val="-6"/>
          <w:sz w:val="20"/>
        </w:rPr>
        <w:object w:dxaOrig="160" w:dyaOrig="200">
          <v:shape id="_x0000_i1225" type="#_x0000_t75" style="width:8.45pt;height:9.7pt" o:ole="">
            <v:imagedata r:id="rId750" o:title=""/>
          </v:shape>
          <o:OLEObject Type="Embed" ProgID="Equation.DSMT4" ShapeID="_x0000_i1225" DrawAspect="Content" ObjectID="_1433920377" r:id="rId751"/>
        </w:object>
      </w:r>
      <w:r w:rsidRPr="00F87319">
        <w:rPr>
          <w:sz w:val="20"/>
        </w:rPr>
        <w:t xml:space="preserve">.  So the fine structure constant </w:t>
      </w:r>
      <w:r w:rsidRPr="00F87319">
        <w:rPr>
          <w:position w:val="-6"/>
          <w:sz w:val="20"/>
        </w:rPr>
        <w:object w:dxaOrig="200" w:dyaOrig="200">
          <v:shape id="_x0000_i1226" type="#_x0000_t75" style="width:9.7pt;height:9.7pt" o:ole="">
            <v:imagedata r:id="rId752" o:title=""/>
          </v:shape>
          <o:OLEObject Type="Embed" ProgID="Equation.DSMT4" ShapeID="_x0000_i1226" DrawAspect="Content" ObjectID="_1433920378" r:id="rId753"/>
        </w:object>
      </w:r>
      <w:r w:rsidRPr="00F87319">
        <w:rPr>
          <w:sz w:val="20"/>
        </w:rPr>
        <w:t xml:space="preserve"> </w:t>
      </w:r>
      <w:proofErr w:type="gramStart"/>
      <w:r w:rsidRPr="00F87319">
        <w:rPr>
          <w:sz w:val="20"/>
        </w:rPr>
        <w:t xml:space="preserve">equals </w:t>
      </w:r>
      <w:proofErr w:type="gramEnd"/>
      <w:r w:rsidRPr="00F87319">
        <w:rPr>
          <w:position w:val="-10"/>
          <w:sz w:val="20"/>
        </w:rPr>
        <w:object w:dxaOrig="320" w:dyaOrig="279">
          <v:shape id="_x0000_i1227" type="#_x0000_t75" style="width:15.75pt;height:14.5pt" o:ole="">
            <v:imagedata r:id="rId754" o:title=""/>
          </v:shape>
          <o:OLEObject Type="Embed" ProgID="Equation.DSMT4" ShapeID="_x0000_i1227" DrawAspect="Content" ObjectID="_1433920379" r:id="rId755"/>
        </w:object>
      </w:r>
      <w:r w:rsidRPr="00F87319">
        <w:rPr>
          <w:sz w:val="20"/>
        </w:rPr>
        <w:t>.  Since it has been shown that orbit velocities are proportional to the speed of light, this means that the fine structure constant is a true constant.</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Today the fine structure constant is defined as being a “coupling constant”, which measures the strength of the electromagnetic force that governs how electrically charged particles interact.  Its mathematical definition, however, remains unchanged. When today’s astronomers look at the spectral lines in distant galaxies, they are able to see the fine structure and, as a consequence, measure its value.  In this more complicated way, the fine structure constant</w:t>
      </w:r>
      <w:r w:rsidRPr="00F87319">
        <w:rPr>
          <w:position w:val="-6"/>
          <w:sz w:val="20"/>
        </w:rPr>
        <w:object w:dxaOrig="200" w:dyaOrig="200">
          <v:shape id="_x0000_i1228" type="#_x0000_t75" style="width:9.7pt;height:9.7pt" o:ole="">
            <v:imagedata r:id="rId756" o:title=""/>
          </v:shape>
          <o:OLEObject Type="Embed" ProgID="Equation.DSMT4" ShapeID="_x0000_i1228" DrawAspect="Content" ObjectID="_1433920380" r:id="rId757"/>
        </w:object>
      </w:r>
      <w:r w:rsidRPr="00F87319">
        <w:rPr>
          <w:sz w:val="20"/>
        </w:rPr>
        <w:t>is defined as [54]</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lastRenderedPageBreak/>
        <w:tab/>
      </w:r>
      <w:r w:rsidRPr="00F87319">
        <w:rPr>
          <w:position w:val="-24"/>
          <w:sz w:val="20"/>
        </w:rPr>
        <w:object w:dxaOrig="1520" w:dyaOrig="600">
          <v:shape id="_x0000_i1229" type="#_x0000_t75" style="width:75.65pt;height:30.25pt" o:ole="">
            <v:imagedata r:id="rId758" o:title=""/>
          </v:shape>
          <o:OLEObject Type="Embed" ProgID="Equation.DSMT4" ShapeID="_x0000_i1229" DrawAspect="Content" ObjectID="_1433920381" r:id="rId75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Since both the product </w:t>
      </w:r>
      <w:r w:rsidRPr="00F87319">
        <w:rPr>
          <w:position w:val="-6"/>
          <w:sz w:val="20"/>
        </w:rPr>
        <w:object w:dxaOrig="260" w:dyaOrig="240">
          <v:shape id="_x0000_i1230" type="#_x0000_t75" style="width:12.7pt;height:12.1pt" o:ole="">
            <v:imagedata r:id="rId760" o:title=""/>
          </v:shape>
          <o:OLEObject Type="Embed" ProgID="Equation.DSMT4" ShapeID="_x0000_i1230" DrawAspect="Content" ObjectID="_1433920382" r:id="rId761"/>
        </w:object>
      </w:r>
      <w:r w:rsidRPr="00F87319">
        <w:rPr>
          <w:sz w:val="20"/>
        </w:rPr>
        <w:t>and the ratio</w:t>
      </w:r>
      <w:r w:rsidRPr="00F87319">
        <w:rPr>
          <w:position w:val="-8"/>
          <w:sz w:val="20"/>
        </w:rPr>
        <w:object w:dxaOrig="520" w:dyaOrig="320">
          <v:shape id="_x0000_i1231" type="#_x0000_t75" style="width:26pt;height:15.75pt" o:ole="">
            <v:imagedata r:id="rId762" o:title=""/>
          </v:shape>
          <o:OLEObject Type="Embed" ProgID="Equation.DSMT4" ShapeID="_x0000_i1231" DrawAspect="Content" ObjectID="_1433920383" r:id="rId763"/>
        </w:object>
      </w:r>
      <w:r w:rsidRPr="00F87319">
        <w:rPr>
          <w:sz w:val="20"/>
        </w:rPr>
        <w:t>are cosmologically constant, it might be assumed that the fine structure constant</w:t>
      </w:r>
      <w:r w:rsidRPr="00F87319">
        <w:rPr>
          <w:position w:val="-6"/>
          <w:sz w:val="20"/>
        </w:rPr>
        <w:object w:dxaOrig="200" w:dyaOrig="200">
          <v:shape id="_x0000_i1232" type="#_x0000_t75" style="width:9.7pt;height:9.7pt" o:ole="">
            <v:imagedata r:id="rId764" o:title=""/>
          </v:shape>
          <o:OLEObject Type="Embed" ProgID="Equation.DSMT4" ShapeID="_x0000_i1232" DrawAspect="Content" ObjectID="_1433920384" r:id="rId765"/>
        </w:object>
      </w:r>
      <w:r w:rsidRPr="00F87319">
        <w:rPr>
          <w:sz w:val="20"/>
        </w:rPr>
        <w:t>might also be invariant under all conditions as well. However, this has recently been called into question by observations at the frontiers of the cosmos.  In 2001, this quantity was suspected of being smaller in the early universe as a result of measurements made by John Webb and his associates [55].  Attention was also drawn to this issue in 2002 by Davies and his colleagues [56].  Davies has suggested that varying light speed may the culprit.  However, on the basis of the constancy of the product</w:t>
      </w:r>
      <w:r w:rsidRPr="00F87319">
        <w:rPr>
          <w:position w:val="-6"/>
          <w:sz w:val="20"/>
        </w:rPr>
        <w:object w:dxaOrig="260" w:dyaOrig="240">
          <v:shape id="_x0000_i1233" type="#_x0000_t75" style="width:12.7pt;height:12.1pt" o:ole="">
            <v:imagedata r:id="rId766" o:title=""/>
          </v:shape>
          <o:OLEObject Type="Embed" ProgID="Equation.DSMT4" ShapeID="_x0000_i1233" DrawAspect="Content" ObjectID="_1433920385" r:id="rId767"/>
        </w:object>
      </w:r>
      <w:r w:rsidRPr="00F87319">
        <w:rPr>
          <w:sz w:val="20"/>
        </w:rPr>
        <w:t>, this may be considered doubtful. In fact, in 2003, Carlip and Vaidya also disputed that interpretation, but on different grounds.  They went on to suggest that a change in the electronic charge</w:t>
      </w:r>
      <w:r w:rsidRPr="00F87319">
        <w:rPr>
          <w:position w:val="-6"/>
          <w:sz w:val="20"/>
        </w:rPr>
        <w:object w:dxaOrig="160" w:dyaOrig="200">
          <v:shape id="_x0000_i1234" type="#_x0000_t75" style="width:8.45pt;height:9.7pt" o:ole="">
            <v:imagedata r:id="rId768" o:title=""/>
          </v:shape>
          <o:OLEObject Type="Embed" ProgID="Equation.DSMT4" ShapeID="_x0000_i1234" DrawAspect="Content" ObjectID="_1433920386" r:id="rId769"/>
        </w:object>
      </w:r>
      <w:r w:rsidRPr="00F87319">
        <w:rPr>
          <w:sz w:val="20"/>
        </w:rPr>
        <w:t xml:space="preserve">would bring about the observed variation in the measured value of </w:t>
      </w:r>
      <w:r w:rsidRPr="00F87319">
        <w:rPr>
          <w:position w:val="-6"/>
          <w:sz w:val="20"/>
        </w:rPr>
        <w:object w:dxaOrig="200" w:dyaOrig="200">
          <v:shape id="_x0000_i1235" type="#_x0000_t75" style="width:9.7pt;height:9.7pt" o:ole="">
            <v:imagedata r:id="rId770" o:title=""/>
          </v:shape>
          <o:OLEObject Type="Embed" ProgID="Equation.DSMT4" ShapeID="_x0000_i1235" DrawAspect="Content" ObjectID="_1433920387" r:id="rId771"/>
        </w:object>
      </w:r>
      <w:r w:rsidRPr="00F87319">
        <w:rPr>
          <w:sz w:val="20"/>
        </w:rPr>
        <w:t xml:space="preserve"> [57]. The SED approach adopted here tends to discount that option also.  Nevertheless, in order to see the full range of options available on this matter, we need to examine again the behavior of the Zero Point Energy in a gravitational field.</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change in the ZPE strength is due to secondary radiation emitted by charged particles which are being jiggled.  Therefore, the primary equation is (46) which we might re-write as</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0"/>
          <w:sz w:val="20"/>
        </w:rPr>
        <w:object w:dxaOrig="740" w:dyaOrig="499">
          <v:shape id="_x0000_i1236" type="#_x0000_t75" style="width:36.9pt;height:24.8pt" o:ole="">
            <v:imagedata r:id="rId772" o:title=""/>
          </v:shape>
          <o:OLEObject Type="Embed" ProgID="Equation.DSMT4" ShapeID="_x0000_i1236" DrawAspect="Content" ObjectID="_1433920388" r:id="rId773"/>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 value of</w:t>
      </w:r>
      <w:r w:rsidRPr="00F87319">
        <w:rPr>
          <w:position w:val="-10"/>
          <w:sz w:val="20"/>
        </w:rPr>
        <w:object w:dxaOrig="279" w:dyaOrig="279">
          <v:shape id="_x0000_i1237" type="#_x0000_t75" style="width:14.5pt;height:14.5pt" o:ole="">
            <v:imagedata r:id="rId774" o:title=""/>
          </v:shape>
          <o:OLEObject Type="Embed" ProgID="Equation.DSMT4" ShapeID="_x0000_i1237" DrawAspect="Content" ObjectID="_1433920389" r:id="rId775"/>
        </w:object>
      </w:r>
      <w:r w:rsidRPr="00F87319">
        <w:rPr>
          <w:sz w:val="20"/>
        </w:rPr>
        <w:t xml:space="preserve">in this equation represents the strength of the ZPE in the cosmos, un-boosted by secondary radiation.  </w:t>
      </w:r>
      <w:r w:rsidRPr="00F87319">
        <w:rPr>
          <w:position w:val="-6"/>
          <w:sz w:val="20"/>
        </w:rPr>
        <w:object w:dxaOrig="220" w:dyaOrig="240">
          <v:shape id="_x0000_i1238" type="#_x0000_t75" style="width:10.3pt;height:12.1pt" o:ole="">
            <v:imagedata r:id="rId776" o:title=""/>
          </v:shape>
          <o:OLEObject Type="Embed" ProgID="Equation.DSMT4" ShapeID="_x0000_i1238" DrawAspect="Content" ObjectID="_1433920390" r:id="rId777"/>
        </w:object>
      </w:r>
      <w:r w:rsidRPr="00F87319">
        <w:rPr>
          <w:sz w:val="20"/>
        </w:rPr>
        <w:t xml:space="preserve"> </w:t>
      </w:r>
      <w:proofErr w:type="gramStart"/>
      <w:r w:rsidRPr="00F87319">
        <w:rPr>
          <w:sz w:val="20"/>
        </w:rPr>
        <w:t>is</w:t>
      </w:r>
      <w:proofErr w:type="gramEnd"/>
      <w:r w:rsidRPr="00F87319">
        <w:rPr>
          <w:sz w:val="20"/>
        </w:rPr>
        <w:t xml:space="preserve"> the strength of the ZPE in a gravitational field.  Over time, the value of</w:t>
      </w:r>
      <w:r w:rsidRPr="00F87319">
        <w:rPr>
          <w:position w:val="-10"/>
          <w:sz w:val="20"/>
        </w:rPr>
        <w:object w:dxaOrig="279" w:dyaOrig="279">
          <v:shape id="_x0000_i1239" type="#_x0000_t75" style="width:14.5pt;height:14.5pt" o:ole="">
            <v:imagedata r:id="rId778" o:title=""/>
          </v:shape>
          <o:OLEObject Type="Embed" ProgID="Equation.DSMT4" ShapeID="_x0000_i1239" DrawAspect="Content" ObjectID="_1433920391" r:id="rId779"/>
        </w:object>
      </w:r>
      <w:r w:rsidRPr="00F87319">
        <w:rPr>
          <w:sz w:val="20"/>
        </w:rPr>
        <w:t>increased as the (un-boosted) strength of the ZPE increased.  Therefore, in the early days of the cosmos, any given quantity of secondary radiation that controlled the value of</w:t>
      </w:r>
      <w:r w:rsidRPr="00F87319">
        <w:rPr>
          <w:position w:val="-6"/>
          <w:sz w:val="20"/>
        </w:rPr>
        <w:object w:dxaOrig="220" w:dyaOrig="240">
          <v:shape id="_x0000_i1240" type="#_x0000_t75" style="width:10.3pt;height:12.1pt" o:ole="">
            <v:imagedata r:id="rId780" o:title=""/>
          </v:shape>
          <o:OLEObject Type="Embed" ProgID="Equation.DSMT4" ShapeID="_x0000_i1240" DrawAspect="Content" ObjectID="_1433920392" r:id="rId781"/>
        </w:object>
      </w:r>
      <w:r w:rsidRPr="00F87319">
        <w:rPr>
          <w:sz w:val="20"/>
        </w:rPr>
        <w:t xml:space="preserve"> would have had a relatively greater effect on the value of </w:t>
      </w:r>
      <w:r w:rsidRPr="00F87319">
        <w:rPr>
          <w:position w:val="-4"/>
          <w:sz w:val="20"/>
        </w:rPr>
        <w:object w:dxaOrig="220" w:dyaOrig="220">
          <v:shape id="_x0000_i1241" type="#_x0000_t75" style="width:10.3pt;height:10.3pt" o:ole="">
            <v:imagedata r:id="rId782" o:title=""/>
          </v:shape>
          <o:OLEObject Type="Embed" ProgID="Equation.DSMT4" ShapeID="_x0000_i1241" DrawAspect="Content" ObjectID="_1433920393" r:id="rId783"/>
        </w:object>
      </w:r>
      <w:r w:rsidRPr="00F87319">
        <w:rPr>
          <w:sz w:val="20"/>
        </w:rPr>
        <w:t xml:space="preserve"> in Eqs. (46) and (63) than now.  At this present time, the value of</w:t>
      </w:r>
      <w:r w:rsidRPr="00F87319">
        <w:rPr>
          <w:position w:val="-4"/>
          <w:sz w:val="20"/>
        </w:rPr>
        <w:object w:dxaOrig="220" w:dyaOrig="220">
          <v:shape id="_x0000_i1242" type="#_x0000_t75" style="width:10.3pt;height:10.3pt" o:ole="">
            <v:imagedata r:id="rId784" o:title=""/>
          </v:shape>
          <o:OLEObject Type="Embed" ProgID="Equation.DSMT4" ShapeID="_x0000_i1242" DrawAspect="Content" ObjectID="_1433920394" r:id="rId785"/>
        </w:object>
      </w:r>
      <w:r w:rsidRPr="00F87319">
        <w:rPr>
          <w:sz w:val="20"/>
        </w:rPr>
        <w:t xml:space="preserve">is close to one.  However, in the early days of the cosmos, in a gravitational field approximately the same as one now, </w:t>
      </w:r>
      <w:r w:rsidRPr="00F87319">
        <w:rPr>
          <w:position w:val="-4"/>
          <w:sz w:val="20"/>
        </w:rPr>
        <w:object w:dxaOrig="220" w:dyaOrig="220">
          <v:shape id="_x0000_i1243" type="#_x0000_t75" style="width:10.3pt;height:10.3pt" o:ole="">
            <v:imagedata r:id="rId786" o:title=""/>
          </v:shape>
          <o:OLEObject Type="Embed" ProgID="Equation.DSMT4" ShapeID="_x0000_i1243" DrawAspect="Content" ObjectID="_1433920395" r:id="rId787"/>
        </w:object>
      </w:r>
      <w:r w:rsidRPr="00F87319">
        <w:rPr>
          <w:sz w:val="20"/>
        </w:rPr>
        <w:t xml:space="preserve"> could have been significantly less.  So it is to the early cosmos that we must look to find the evidence any change in the fine structure constant.  In particular, the presence of the</w:t>
      </w:r>
      <w:r w:rsidRPr="00F87319">
        <w:rPr>
          <w:position w:val="-4"/>
          <w:sz w:val="20"/>
        </w:rPr>
        <w:object w:dxaOrig="300" w:dyaOrig="279">
          <v:shape id="_x0000_i1244" type="#_x0000_t75" style="width:15.15pt;height:14.5pt" o:ole="">
            <v:imagedata r:id="rId788" o:title=""/>
          </v:shape>
          <o:OLEObject Type="Embed" ProgID="Equation.DSMT4" ShapeID="_x0000_i1244" DrawAspect="Content" ObjectID="_1433920396" r:id="rId789"/>
        </w:object>
      </w:r>
      <w:r w:rsidRPr="00F87319">
        <w:rPr>
          <w:sz w:val="20"/>
        </w:rPr>
        <w:t>term in gravitational fields would cause a decrease in the value of the fine structure constant at large cosmic distances.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Since both</w:t>
      </w:r>
      <w:r w:rsidRPr="00F87319">
        <w:rPr>
          <w:position w:val="-6"/>
          <w:sz w:val="20"/>
        </w:rPr>
        <w:object w:dxaOrig="260" w:dyaOrig="240">
          <v:shape id="_x0000_i1245" type="#_x0000_t75" style="width:12.7pt;height:12.1pt" o:ole="">
            <v:imagedata r:id="rId790" o:title=""/>
          </v:shape>
          <o:OLEObject Type="Embed" ProgID="Equation.DSMT4" ShapeID="_x0000_i1245" DrawAspect="Content" ObjectID="_1433920397" r:id="rId791"/>
        </w:object>
      </w:r>
      <w:r w:rsidRPr="00F87319">
        <w:rPr>
          <w:sz w:val="20"/>
        </w:rPr>
        <w:t>and</w:t>
      </w:r>
      <w:r w:rsidRPr="00F87319">
        <w:rPr>
          <w:position w:val="-10"/>
          <w:sz w:val="20"/>
        </w:rPr>
        <w:object w:dxaOrig="380" w:dyaOrig="279">
          <v:shape id="_x0000_i1246" type="#_x0000_t75" style="width:18.75pt;height:14.5pt" o:ole="">
            <v:imagedata r:id="rId792" o:title=""/>
          </v:shape>
          <o:OLEObject Type="Embed" ProgID="Equation.DSMT4" ShapeID="_x0000_i1246" DrawAspect="Content" ObjectID="_1433920398" r:id="rId793"/>
        </w:object>
      </w:r>
      <w:r w:rsidRPr="00F87319">
        <w:rPr>
          <w:sz w:val="20"/>
        </w:rPr>
        <w:t>are invariant in (62), the only possibility for variation in</w:t>
      </w:r>
      <w:r w:rsidRPr="00F87319">
        <w:rPr>
          <w:position w:val="-6"/>
          <w:sz w:val="20"/>
        </w:rPr>
        <w:object w:dxaOrig="200" w:dyaOrig="200">
          <v:shape id="_x0000_i1247" type="#_x0000_t75" style="width:9.7pt;height:9.7pt" o:ole="">
            <v:imagedata r:id="rId794" o:title=""/>
          </v:shape>
          <o:OLEObject Type="Embed" ProgID="Equation.DSMT4" ShapeID="_x0000_i1247" DrawAspect="Content" ObjectID="_1433920399" r:id="rId795"/>
        </w:object>
      </w:r>
      <w:r w:rsidRPr="00F87319">
        <w:rPr>
          <w:sz w:val="20"/>
        </w:rPr>
        <w:t>comes from the behavior of the ratio</w:t>
      </w:r>
      <w:r w:rsidRPr="00F87319">
        <w:rPr>
          <w:position w:val="-10"/>
          <w:sz w:val="20"/>
        </w:rPr>
        <w:object w:dxaOrig="420" w:dyaOrig="340">
          <v:shape id="_x0000_i1248" type="#_x0000_t75" style="width:21.2pt;height:17.55pt" o:ole="">
            <v:imagedata r:id="rId796" o:title=""/>
          </v:shape>
          <o:OLEObject Type="Embed" ProgID="Equation.DSMT4" ShapeID="_x0000_i1248" DrawAspect="Content" ObjectID="_1433920400" r:id="rId797"/>
        </w:object>
      </w:r>
      <w:r w:rsidRPr="00F87319">
        <w:rPr>
          <w:sz w:val="20"/>
        </w:rPr>
        <w:t>. As noted above, this ratio seems to be constant cosmologically, but the prediction here is that it should vary in strong gravitational fields, so that from (61) we can write</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26"/>
          <w:sz w:val="20"/>
        </w:rPr>
        <w:object w:dxaOrig="2380" w:dyaOrig="620">
          <v:shape id="_x0000_i1249" type="#_x0000_t75" style="width:119.2pt;height:30.85pt" o:ole="">
            <v:imagedata r:id="rId798" o:title=""/>
          </v:shape>
          <o:OLEObject Type="Embed" ProgID="Equation.DSMT4" ShapeID="_x0000_i1249" DrawAspect="Content" ObjectID="_1433920401" r:id="rId799"/>
        </w:object>
      </w:r>
      <w:r w:rsidRPr="00F87319">
        <w:rPr>
          <w:i/>
          <w:sz w:val="20"/>
        </w:rPr>
        <w:t>.</w:t>
      </w:r>
      <w:r w:rsidRPr="00F87319">
        <w:rPr>
          <w:i/>
          <w:sz w:val="20"/>
        </w:rPr>
        <w:tab/>
      </w:r>
      <w:r w:rsidRPr="00F87319">
        <w:rPr>
          <w:i/>
          <w:sz w:val="20"/>
        </w:rPr>
        <w:tab/>
      </w:r>
      <w:r w:rsidRPr="00F87319">
        <w:rPr>
          <w:i/>
          <w:sz w:val="20"/>
        </w:rPr>
        <w:tab/>
      </w:r>
      <w:r w:rsidRPr="00F87319">
        <w:rPr>
          <w:i/>
          <w:sz w:val="20"/>
        </w:rPr>
        <w:tab/>
      </w:r>
      <w:r w:rsidRPr="00F87319">
        <w:rPr>
          <w:sz w:val="20"/>
        </w:rPr>
        <w:tab/>
      </w:r>
      <w:r w:rsidRPr="00F87319">
        <w:rPr>
          <w:sz w:val="20"/>
          <w:u w:val="single"/>
        </w:rPr>
        <w:t>(64)</w:t>
      </w:r>
    </w:p>
    <w:p w:rsidR="006D41BD" w:rsidRPr="00F87319" w:rsidRDefault="006D41BD" w:rsidP="006D41BD">
      <w:pPr>
        <w:pStyle w:val="NormPara"/>
        <w:ind w:firstLine="0"/>
        <w:rPr>
          <w:sz w:val="20"/>
        </w:rPr>
      </w:pPr>
    </w:p>
    <w:p w:rsidR="00744408" w:rsidRDefault="006D41BD" w:rsidP="006D41BD">
      <w:pPr>
        <w:pStyle w:val="NormPara"/>
        <w:ind w:firstLine="0"/>
        <w:rPr>
          <w:sz w:val="20"/>
        </w:rPr>
      </w:pPr>
      <w:r w:rsidRPr="00F87319">
        <w:rPr>
          <w:sz w:val="20"/>
        </w:rPr>
        <w:t xml:space="preserve">Therefore, at great cosmic distances, where the ambient ZPE is lower, the value of the fine structure constant is expected to be marginally less than today.  This is in agreement with all the early work that Webb et al. did with the Keck telescope in Hawaii.  It might therefore be concluded that the observational evidence supports the SED approach. </w:t>
      </w:r>
    </w:p>
    <w:p w:rsidR="00744408" w:rsidRDefault="00744408" w:rsidP="006D41BD">
      <w:pPr>
        <w:pStyle w:val="NormPara"/>
        <w:ind w:firstLine="0"/>
        <w:rPr>
          <w:sz w:val="20"/>
        </w:rPr>
      </w:pPr>
    </w:p>
    <w:p w:rsidR="006D41BD" w:rsidRPr="00F87319" w:rsidRDefault="006D41BD" w:rsidP="00744408">
      <w:pPr>
        <w:pStyle w:val="NormPara"/>
        <w:ind w:firstLine="720"/>
        <w:rPr>
          <w:sz w:val="20"/>
        </w:rPr>
      </w:pPr>
      <w:r w:rsidRPr="00F87319">
        <w:rPr>
          <w:sz w:val="20"/>
        </w:rPr>
        <w:t xml:space="preserve"> However, </w:t>
      </w:r>
      <w:r w:rsidR="00744408">
        <w:rPr>
          <w:sz w:val="20"/>
        </w:rPr>
        <w:t>their early work</w:t>
      </w:r>
      <w:r w:rsidRPr="00F87319">
        <w:rPr>
          <w:sz w:val="20"/>
        </w:rPr>
        <w:t xml:space="preserve"> disagrees with their latest results from the Very Large Telescope in Chile [58].  As a result, questions have been raised about possible flaws in either the VLT or the Keck [58].  The alternative suggestion was that the fine structure constant varies in a north-south manner in space, but not in time.  Obviously, further work is needed.  Nevertheless, if later observations converge to agree with (64), this would favor a ZPE model over General Relativity.</w:t>
      </w:r>
    </w:p>
    <w:p w:rsidR="006D41BD" w:rsidRPr="00F87319" w:rsidRDefault="006D41BD" w:rsidP="006D41BD">
      <w:pPr>
        <w:pStyle w:val="NormPara"/>
        <w:ind w:firstLine="0"/>
        <w:rPr>
          <w:sz w:val="20"/>
        </w:rPr>
      </w:pPr>
    </w:p>
    <w:p w:rsidR="00A64EAA" w:rsidRDefault="006D41BD" w:rsidP="006D41BD">
      <w:pPr>
        <w:pStyle w:val="NormPara"/>
        <w:ind w:firstLine="720"/>
        <w:rPr>
          <w:sz w:val="20"/>
        </w:rPr>
      </w:pPr>
      <w:r w:rsidRPr="00F87319">
        <w:rPr>
          <w:sz w:val="20"/>
        </w:rPr>
        <w:t xml:space="preserve">We have therefore shown that three of the main predictions of Relativity are easily reproduced by the SED approach using simple mathematics and intuitive concepts.  The fourth prediction of Relativity concerns the advance of the perihelion </w:t>
      </w:r>
      <w:r w:rsidR="00BD495E" w:rsidRPr="00F87319">
        <w:rPr>
          <w:sz w:val="20"/>
        </w:rPr>
        <w:t>of</w:t>
      </w:r>
      <w:r w:rsidR="00744408">
        <w:rPr>
          <w:sz w:val="20"/>
        </w:rPr>
        <w:t xml:space="preserve"> the orbit of </w:t>
      </w:r>
      <w:r w:rsidRPr="00F87319">
        <w:rPr>
          <w:sz w:val="20"/>
        </w:rPr>
        <w:t>Mercury.</w:t>
      </w:r>
    </w:p>
    <w:p w:rsidR="00744408" w:rsidRDefault="00744408" w:rsidP="006D41BD">
      <w:pPr>
        <w:pStyle w:val="NormPara"/>
        <w:ind w:firstLine="720"/>
        <w:rPr>
          <w:sz w:val="20"/>
        </w:rPr>
      </w:pPr>
    </w:p>
    <w:p w:rsidR="00744408" w:rsidRPr="00F87319" w:rsidRDefault="00744408" w:rsidP="006D41BD">
      <w:pPr>
        <w:pStyle w:val="NormPara"/>
        <w:ind w:firstLine="720"/>
        <w:rPr>
          <w:sz w:val="20"/>
        </w:rPr>
      </w:pPr>
    </w:p>
    <w:p w:rsidR="006D41BD" w:rsidRPr="00F87319" w:rsidRDefault="00D818DD" w:rsidP="006D41BD">
      <w:pPr>
        <w:spacing w:before="120" w:after="120" w:line="240" w:lineRule="atLeast"/>
        <w:jc w:val="both"/>
        <w:outlineLvl w:val="0"/>
        <w:rPr>
          <w:rFonts w:ascii="Book Antiqua" w:hAnsi="Book Antiqua"/>
          <w:b/>
        </w:rPr>
      </w:pPr>
      <w:r>
        <w:rPr>
          <w:rFonts w:ascii="Book Antiqua" w:hAnsi="Book Antiqua"/>
          <w:b/>
        </w:rPr>
        <w:t>7</w:t>
      </w:r>
      <w:r w:rsidR="006D41BD" w:rsidRPr="00F87319">
        <w:rPr>
          <w:rFonts w:ascii="Book Antiqua" w:hAnsi="Book Antiqua"/>
          <w:b/>
        </w:rPr>
        <w:t>. The Perihelion Advance of Mercury</w:t>
      </w:r>
    </w:p>
    <w:p w:rsidR="006D41BD" w:rsidRPr="00F87319" w:rsidRDefault="007535B6" w:rsidP="006D41BD">
      <w:pPr>
        <w:pStyle w:val="Heading2"/>
        <w:spacing w:before="80" w:after="80" w:line="240" w:lineRule="atLeast"/>
        <w:rPr>
          <w:rFonts w:ascii="Book Antiqua" w:hAnsi="Book Antiqua" w:cs="Times New Roman"/>
          <w:b w:val="0"/>
          <w:sz w:val="20"/>
          <w:szCs w:val="20"/>
        </w:rPr>
      </w:pPr>
      <w:r>
        <w:rPr>
          <w:rFonts w:ascii="Book Antiqua" w:hAnsi="Book Antiqua" w:cs="Times New Roman"/>
          <w:b w:val="0"/>
          <w:sz w:val="20"/>
          <w:szCs w:val="20"/>
        </w:rPr>
        <w:t>7</w:t>
      </w:r>
      <w:r w:rsidR="006D41BD" w:rsidRPr="00F87319">
        <w:rPr>
          <w:rFonts w:ascii="Book Antiqua" w:hAnsi="Book Antiqua" w:cs="Times New Roman"/>
          <w:b w:val="0"/>
          <w:sz w:val="20"/>
          <w:szCs w:val="20"/>
        </w:rPr>
        <w:t>.1</w:t>
      </w:r>
      <w:r>
        <w:rPr>
          <w:rFonts w:ascii="Book Antiqua" w:hAnsi="Book Antiqua" w:cs="Times New Roman"/>
          <w:b w:val="0"/>
          <w:sz w:val="20"/>
          <w:szCs w:val="20"/>
        </w:rPr>
        <w:t xml:space="preserve"> </w:t>
      </w:r>
      <w:r w:rsidR="006D41BD" w:rsidRPr="00F87319">
        <w:rPr>
          <w:rFonts w:ascii="Book Antiqua" w:hAnsi="Book Antiqua" w:cs="Times New Roman"/>
          <w:b w:val="0"/>
          <w:sz w:val="20"/>
          <w:szCs w:val="20"/>
        </w:rPr>
        <w:t xml:space="preserve"> The Basic Formula for Perihelion Motion</w:t>
      </w:r>
    </w:p>
    <w:p w:rsidR="006D41BD" w:rsidRPr="00F87319" w:rsidRDefault="006D41BD" w:rsidP="006D41BD">
      <w:pPr>
        <w:rPr>
          <w:rFonts w:ascii="Book Antiqua" w:hAnsi="Book Antiqua"/>
        </w:rPr>
      </w:pPr>
    </w:p>
    <w:p w:rsidR="006D41BD" w:rsidRPr="00F87319" w:rsidRDefault="006D41BD" w:rsidP="006D41BD">
      <w:pPr>
        <w:pStyle w:val="NormPara"/>
        <w:ind w:firstLine="720"/>
        <w:rPr>
          <w:sz w:val="20"/>
        </w:rPr>
      </w:pPr>
      <w:r w:rsidRPr="00F87319">
        <w:rPr>
          <w:sz w:val="20"/>
        </w:rPr>
        <w:t xml:space="preserve">The planet Mercury traces an elliptical path around the Sun.  The closest point of that ellipse to the Sun is called the perihelion.  However, Mercury does not trace exactly the same path each time.  Rather, the path swings around over time.  When the path is plotted out, it can be seen that the perihelion position rotates around the Sun, so Mercury’s orbit looks somewhat like Figure 5. </w:t>
      </w: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2333625" cy="2010387"/>
            <wp:effectExtent l="19050" t="0" r="9525" b="0"/>
            <wp:docPr id="1760" name="il_fi" descr="220px-Perihelion_pre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20px-Perihelion_precession"/>
                    <pic:cNvPicPr>
                      <a:picLocks noChangeAspect="1" noChangeArrowheads="1"/>
                    </pic:cNvPicPr>
                  </pic:nvPicPr>
                  <pic:blipFill>
                    <a:blip r:embed="rId800" cstate="print"/>
                    <a:srcRect l="6053" t="3812" r="5569" b="4399"/>
                    <a:stretch>
                      <a:fillRect/>
                    </a:stretch>
                  </pic:blipFill>
                  <pic:spPr bwMode="auto">
                    <a:xfrm>
                      <a:off x="0" y="0"/>
                      <a:ext cx="2337811" cy="201399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jc w:val="center"/>
        <w:rPr>
          <w:b/>
          <w:sz w:val="20"/>
        </w:rPr>
      </w:pPr>
    </w:p>
    <w:p w:rsidR="006D41BD" w:rsidRPr="00CF2274" w:rsidRDefault="006D41BD" w:rsidP="00E25399">
      <w:pPr>
        <w:pStyle w:val="NormPara"/>
        <w:spacing w:before="80" w:after="80"/>
        <w:ind w:left="274" w:right="274" w:firstLine="0"/>
        <w:jc w:val="center"/>
        <w:rPr>
          <w:i/>
          <w:szCs w:val="18"/>
        </w:rPr>
      </w:pPr>
      <w:r w:rsidRPr="00E25399">
        <w:rPr>
          <w:b/>
          <w:i/>
          <w:szCs w:val="18"/>
        </w:rPr>
        <w:t>Fig</w:t>
      </w:r>
      <w:r w:rsidR="00CF2274" w:rsidRPr="00E25399">
        <w:rPr>
          <w:b/>
          <w:i/>
          <w:szCs w:val="18"/>
        </w:rPr>
        <w:t>ure</w:t>
      </w:r>
      <w:r w:rsidRPr="00E25399">
        <w:rPr>
          <w:b/>
          <w:i/>
          <w:szCs w:val="18"/>
        </w:rPr>
        <w:t xml:space="preserve"> 5</w:t>
      </w:r>
      <w:r w:rsidR="00CF2274" w:rsidRPr="00E25399">
        <w:rPr>
          <w:b/>
          <w:i/>
          <w:szCs w:val="18"/>
        </w:rPr>
        <w:t>:</w:t>
      </w:r>
      <w:r w:rsidRPr="00CF2274">
        <w:rPr>
          <w:i/>
          <w:szCs w:val="18"/>
        </w:rPr>
        <w:t xml:space="preserve">  The perihelion advance of the planet Mercury.</w:t>
      </w:r>
    </w:p>
    <w:p w:rsidR="0095438F" w:rsidRPr="00F87319" w:rsidRDefault="0095438F" w:rsidP="006D41BD">
      <w:pPr>
        <w:pStyle w:val="NormPara"/>
        <w:ind w:firstLine="548"/>
        <w:rPr>
          <w:sz w:val="20"/>
        </w:rPr>
      </w:pPr>
    </w:p>
    <w:p w:rsidR="006D41BD" w:rsidRPr="00F87319" w:rsidRDefault="006D41BD" w:rsidP="006D41BD">
      <w:pPr>
        <w:pStyle w:val="NormPara"/>
        <w:ind w:firstLine="548"/>
        <w:rPr>
          <w:sz w:val="20"/>
        </w:rPr>
      </w:pPr>
      <w:r w:rsidRPr="00F87319">
        <w:rPr>
          <w:sz w:val="20"/>
        </w:rPr>
        <w:t>For all orbits that are essentially elliptical, the basic formula for the motion of the orbit perihelion is always the same since it is governed by the properties of motion of an astronomical body in an ellipse.  In 1999, the late Tom Van Flandern, an astronomer with the US Naval Observatory in Washington, noted that</w:t>
      </w:r>
    </w:p>
    <w:p w:rsidR="006D41BD" w:rsidRPr="00F87319" w:rsidRDefault="006D41BD" w:rsidP="006D41BD">
      <w:pPr>
        <w:pStyle w:val="NormPara"/>
        <w:spacing w:before="80" w:after="80"/>
        <w:ind w:firstLine="274"/>
        <w:rPr>
          <w:i/>
          <w:sz w:val="20"/>
        </w:rPr>
      </w:pPr>
      <w:r w:rsidRPr="00F87319">
        <w:rPr>
          <w:i/>
          <w:sz w:val="20"/>
        </w:rPr>
        <w:t>Perturbations that are themselves modulated by the size and shape of the elliptical orbit and by the speed of a body travelling along that ellipse generally change the perihelion motion by simple integer multiples of the basic form….  The nature of this basic form is such that parameter-free perturbations are mostly constrained to produce perihelion motions that are integer (or at worst, half-integer) multiples of it….  This basic form is:</w:t>
      </w:r>
    </w:p>
    <w:p w:rsidR="006D41BD" w:rsidRPr="00F87319" w:rsidRDefault="006D41BD" w:rsidP="006D41BD">
      <w:pPr>
        <w:pStyle w:val="equation"/>
        <w:spacing w:before="80" w:after="80"/>
        <w:jc w:val="right"/>
        <w:rPr>
          <w:i/>
          <w:sz w:val="20"/>
        </w:rPr>
      </w:pPr>
      <w:r w:rsidRPr="00F87319">
        <w:rPr>
          <w:sz w:val="20"/>
        </w:rPr>
        <w:tab/>
      </w:r>
      <w:r w:rsidRPr="00F87319">
        <w:rPr>
          <w:position w:val="-36"/>
          <w:sz w:val="20"/>
        </w:rPr>
        <w:object w:dxaOrig="1280" w:dyaOrig="660">
          <v:shape id="_x0000_i1250" type="#_x0000_t75" style="width:63.55pt;height:33.3pt" o:ole="">
            <v:imagedata r:id="rId801" o:title=""/>
          </v:shape>
          <o:OLEObject Type="Embed" ProgID="Equation.DSMT4" ShapeID="_x0000_i1250" DrawAspect="Content" ObjectID="_1433920402" r:id="rId80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(65)</w:t>
      </w:r>
    </w:p>
    <w:p w:rsidR="006D41BD" w:rsidRPr="00F87319" w:rsidRDefault="006D41BD" w:rsidP="006D41BD">
      <w:pPr>
        <w:pStyle w:val="NormPara"/>
        <w:spacing w:before="80"/>
        <w:ind w:firstLine="0"/>
        <w:rPr>
          <w:i/>
          <w:sz w:val="20"/>
        </w:rPr>
      </w:pPr>
      <w:r w:rsidRPr="00F87319">
        <w:rPr>
          <w:i/>
          <w:sz w:val="20"/>
        </w:rPr>
        <w:t xml:space="preserve">where </w:t>
      </w:r>
      <w:r w:rsidRPr="00F87319">
        <w:rPr>
          <w:i/>
          <w:position w:val="-10"/>
          <w:sz w:val="20"/>
        </w:rPr>
        <w:object w:dxaOrig="760" w:dyaOrig="279">
          <v:shape id="_x0000_i1251" type="#_x0000_t75" style="width:38.1pt;height:14.5pt" o:ole="">
            <v:imagedata r:id="rId803" o:title=""/>
          </v:shape>
          <o:OLEObject Type="Embed" ProgID="Equation.DSMT4" ShapeID="_x0000_i1251" DrawAspect="Content" ObjectID="_1433920403" r:id="rId804"/>
        </w:object>
      </w:r>
      <w:r w:rsidRPr="00F87319">
        <w:rPr>
          <w:i/>
          <w:sz w:val="20"/>
        </w:rPr>
        <w:t xml:space="preserve"> is the orbital mean motion of the planet, P is its orbital period,</w:t>
      </w:r>
      <w:r w:rsidRPr="00F87319">
        <w:rPr>
          <w:i/>
          <w:position w:val="-8"/>
          <w:sz w:val="20"/>
        </w:rPr>
        <w:object w:dxaOrig="200" w:dyaOrig="220">
          <v:shape id="_x0000_i1252" type="#_x0000_t75" style="width:9.7pt;height:10.3pt" o:ole="">
            <v:imagedata r:id="rId805" o:title=""/>
          </v:shape>
          <o:OLEObject Type="Embed" ProgID="Equation.DSMT4" ShapeID="_x0000_i1252" DrawAspect="Content" ObjectID="_1433920404" r:id="rId806"/>
        </w:object>
      </w:r>
      <w:r w:rsidRPr="00F87319">
        <w:rPr>
          <w:i/>
          <w:sz w:val="20"/>
        </w:rPr>
        <w:t>is the product of the gravitational constant and the mass of the Sun [GM], a is the semi-major axis (mean distance) of the orbit, e is orbital eccentricity, and c is the speed of light.  The observed perihelion advance for Mercury is three multiples of the basic form, 3N, to within the error of observations.</w:t>
      </w:r>
    </w:p>
    <w:p w:rsidR="006D41BD" w:rsidRPr="00F87319" w:rsidRDefault="006D41BD" w:rsidP="006D41BD">
      <w:pPr>
        <w:pStyle w:val="NormPara"/>
        <w:spacing w:before="80"/>
        <w:ind w:firstLine="0"/>
        <w:rPr>
          <w:i/>
          <w:sz w:val="20"/>
        </w:rPr>
      </w:pPr>
    </w:p>
    <w:p w:rsidR="006D41BD" w:rsidRPr="00F87319" w:rsidRDefault="006D41BD" w:rsidP="006D41BD">
      <w:pPr>
        <w:pStyle w:val="NormPara"/>
        <w:spacing w:after="80"/>
        <w:ind w:firstLine="360"/>
        <w:rPr>
          <w:color w:val="FF0000"/>
          <w:sz w:val="20"/>
        </w:rPr>
      </w:pPr>
      <w:r w:rsidRPr="00F87319">
        <w:rPr>
          <w:i/>
          <w:sz w:val="20"/>
        </w:rPr>
        <w:t>In GR, the correct multiplier of N is arrived at by combining three contributions.  The first is the effect of “time dilation”, which contributes</w:t>
      </w:r>
      <w:r w:rsidRPr="00F87319">
        <w:rPr>
          <w:i/>
          <w:position w:val="-6"/>
          <w:sz w:val="20"/>
        </w:rPr>
        <w:object w:dxaOrig="420" w:dyaOrig="240">
          <v:shape id="_x0000_i1253" type="#_x0000_t75" style="width:21.2pt;height:12.1pt" o:ole="">
            <v:imagedata r:id="rId807" o:title=""/>
          </v:shape>
          <o:OLEObject Type="Embed" ProgID="Equation.DSMT4" ShapeID="_x0000_i1253" DrawAspect="Content" ObjectID="_1433920405" r:id="rId808"/>
        </w:object>
      </w:r>
      <w:r w:rsidRPr="00F87319">
        <w:rPr>
          <w:i/>
          <w:sz w:val="20"/>
        </w:rPr>
        <w:t>.  The second is the effect of “space contraction”, which contributes</w:t>
      </w:r>
      <w:r w:rsidRPr="00F87319">
        <w:rPr>
          <w:i/>
          <w:position w:val="-6"/>
          <w:sz w:val="20"/>
        </w:rPr>
        <w:object w:dxaOrig="420" w:dyaOrig="240">
          <v:shape id="_x0000_i1254" type="#_x0000_t75" style="width:21.2pt;height:12.1pt" o:ole="">
            <v:imagedata r:id="rId809" o:title=""/>
          </v:shape>
          <o:OLEObject Type="Embed" ProgID="Equation.DSMT4" ShapeID="_x0000_i1254" DrawAspect="Content" ObjectID="_1433920406" r:id="rId810"/>
        </w:object>
      </w:r>
      <w:r w:rsidRPr="00F87319">
        <w:rPr>
          <w:i/>
          <w:sz w:val="20"/>
        </w:rPr>
        <w:t>.  The third is the effect of mass or momentum increase with speed, which contributes</w:t>
      </w:r>
      <w:r w:rsidRPr="00F87319">
        <w:rPr>
          <w:i/>
          <w:position w:val="-6"/>
          <w:sz w:val="20"/>
        </w:rPr>
        <w:object w:dxaOrig="460" w:dyaOrig="240">
          <v:shape id="_x0000_i1255" type="#_x0000_t75" style="width:23pt;height:12.1pt" o:ole="">
            <v:imagedata r:id="rId811" o:title=""/>
          </v:shape>
          <o:OLEObject Type="Embed" ProgID="Equation.DSMT4" ShapeID="_x0000_i1255" DrawAspect="Content" ObjectID="_1433920407" r:id="rId812"/>
        </w:object>
      </w:r>
      <w:r w:rsidRPr="00F87319">
        <w:rPr>
          <w:i/>
          <w:sz w:val="20"/>
        </w:rPr>
        <w:t>.  The sum of these three contributions gives the observed amount</w:t>
      </w:r>
      <w:r w:rsidRPr="00F87319">
        <w:rPr>
          <w:i/>
          <w:position w:val="-6"/>
          <w:sz w:val="20"/>
        </w:rPr>
        <w:object w:dxaOrig="420" w:dyaOrig="240">
          <v:shape id="_x0000_i1256" type="#_x0000_t75" style="width:21.2pt;height:12.1pt" o:ole="">
            <v:imagedata r:id="rId813" o:title=""/>
          </v:shape>
          <o:OLEObject Type="Embed" ProgID="Equation.DSMT4" ShapeID="_x0000_i1256" DrawAspect="Content" ObjectID="_1433920408" r:id="rId814"/>
        </w:object>
      </w:r>
      <w:r w:rsidRPr="00F87319">
        <w:rPr>
          <w:i/>
          <w:sz w:val="20"/>
        </w:rPr>
        <w:t>….  It is curious that Einstein required a combination of three effects, with one of them cancelling 40% of the contribution of the other two.</w:t>
      </w:r>
      <w:r w:rsidRPr="00F87319">
        <w:rPr>
          <w:sz w:val="20"/>
        </w:rPr>
        <w:t>[59]</w:t>
      </w:r>
    </w:p>
    <w:p w:rsidR="006D41BD" w:rsidRPr="00F87319" w:rsidRDefault="006D41BD" w:rsidP="006D41BD">
      <w:pPr>
        <w:pStyle w:val="NormPara"/>
        <w:spacing w:after="80"/>
        <w:ind w:firstLine="274"/>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Discerning an Alternative Approach</w:t>
      </w:r>
    </w:p>
    <w:p w:rsidR="006D41BD" w:rsidRPr="00F87319" w:rsidRDefault="006D41BD" w:rsidP="006D41BD">
      <w:pPr>
        <w:rPr>
          <w:rFonts w:ascii="Book Antiqua" w:hAnsi="Book Antiqua"/>
        </w:rPr>
      </w:pPr>
    </w:p>
    <w:p w:rsidR="006D41BD" w:rsidRPr="00F87319" w:rsidRDefault="006D41BD" w:rsidP="006D41BD">
      <w:pPr>
        <w:pStyle w:val="NormPara"/>
        <w:ind w:firstLine="548"/>
        <w:rPr>
          <w:sz w:val="20"/>
        </w:rPr>
      </w:pPr>
      <w:r w:rsidRPr="00F87319">
        <w:rPr>
          <w:sz w:val="20"/>
        </w:rPr>
        <w:t xml:space="preserve">By comparison with Einstein’s formulation, any approach using the ZPE has less room for maneuver.  There is no “time dilation” or “space contraction” which would affect perihelion motion.  Furthermore, Eq. (65) reveals that there can be no contribution to </w:t>
      </w:r>
      <w:r w:rsidRPr="00F87319">
        <w:rPr>
          <w:i/>
          <w:sz w:val="20"/>
        </w:rPr>
        <w:t>N</w:t>
      </w:r>
      <w:r w:rsidRPr="00F87319">
        <w:rPr>
          <w:sz w:val="20"/>
        </w:rPr>
        <w:t xml:space="preserve"> that results from any change in mass or change in momentum of the orbiting body, since that quantity does not enter the equation.  Also as noted above, </w:t>
      </w:r>
      <w:r w:rsidRPr="00F87319">
        <w:rPr>
          <w:i/>
          <w:sz w:val="20"/>
        </w:rPr>
        <w:t>GM</w:t>
      </w:r>
      <w:r w:rsidRPr="00F87319">
        <w:rPr>
          <w:sz w:val="20"/>
        </w:rPr>
        <w:t xml:space="preserve"> is a constant, so the term designated as </w:t>
      </w:r>
      <w:r w:rsidRPr="00F87319">
        <w:rPr>
          <w:position w:val="-8"/>
          <w:sz w:val="20"/>
        </w:rPr>
        <w:object w:dxaOrig="200" w:dyaOrig="220">
          <v:shape id="_x0000_i1257" type="#_x0000_t75" style="width:9.7pt;height:10.3pt" o:ole="">
            <v:imagedata r:id="rId815" o:title=""/>
          </v:shape>
          <o:OLEObject Type="Embed" ProgID="Equation.DSMT4" ShapeID="_x0000_i1257" DrawAspect="Content" ObjectID="_1433920409" r:id="rId816"/>
        </w:object>
      </w:r>
      <w:r w:rsidRPr="00F87319">
        <w:rPr>
          <w:sz w:val="20"/>
        </w:rPr>
        <w:t>in (65) is also constant.  This situation is in stark contrast to Einstein’s less constrained approach.  Nevertheless, on a qualitative basis it is possible to discern the outline of an answer from a suggestion first made in 1999 that appeared in the collection of the “Pushing Gravity” symposium papers of 2002. [60]  The symposium noted that if perchance the planets were immersed in a medium that increased in density towards the Sun, then</w:t>
      </w:r>
    </w:p>
    <w:p w:rsidR="006D41BD" w:rsidRPr="00F87319" w:rsidRDefault="006D41BD" w:rsidP="006D41BD">
      <w:pPr>
        <w:pStyle w:val="NormPara"/>
        <w:ind w:firstLine="548"/>
        <w:rPr>
          <w:sz w:val="20"/>
        </w:rPr>
      </w:pPr>
    </w:p>
    <w:p w:rsidR="006D41BD" w:rsidRPr="00F87319" w:rsidRDefault="006D41BD" w:rsidP="006D41BD">
      <w:pPr>
        <w:pStyle w:val="NormPara"/>
        <w:ind w:firstLine="548"/>
        <w:rPr>
          <w:i/>
          <w:sz w:val="20"/>
        </w:rPr>
      </w:pPr>
      <w:r w:rsidRPr="00F87319">
        <w:rPr>
          <w:i/>
          <w:sz w:val="20"/>
        </w:rPr>
        <w:t>[T]he elliptical motion of orbiting bodies is slowed most by [the medium] at perihelion, where that medium is densest, and slowed least at aphelion, where [the medium] is sparsest.  This velocity imbalance (relatively slower at perihelion, relatively faster at aphelion) rotates the ellipse forward, which is what an advance of perihelion means.</w:t>
      </w:r>
    </w:p>
    <w:p w:rsidR="006D41BD" w:rsidRPr="00F87319" w:rsidRDefault="006D41BD" w:rsidP="006D41BD">
      <w:pPr>
        <w:pStyle w:val="NormPara"/>
        <w:ind w:firstLine="548"/>
        <w:rPr>
          <w:i/>
          <w:sz w:val="20"/>
        </w:rPr>
      </w:pPr>
    </w:p>
    <w:p w:rsidR="006D41BD" w:rsidRPr="00F87319" w:rsidRDefault="006D41BD" w:rsidP="006D41BD">
      <w:pPr>
        <w:pStyle w:val="NormPara"/>
        <w:ind w:firstLine="548"/>
        <w:rPr>
          <w:sz w:val="20"/>
        </w:rPr>
      </w:pPr>
      <w:r w:rsidRPr="00F87319">
        <w:rPr>
          <w:sz w:val="20"/>
        </w:rPr>
        <w:t xml:space="preserve">This article indicated that if there was a Newtonian velocity slowing factor </w:t>
      </w:r>
      <w:r w:rsidRPr="00F87319">
        <w:rPr>
          <w:position w:val="-10"/>
          <w:sz w:val="20"/>
        </w:rPr>
        <w:object w:dxaOrig="440" w:dyaOrig="340">
          <v:shape id="_x0000_i1258" type="#_x0000_t75" style="width:21.8pt;height:17.55pt" o:ole="">
            <v:imagedata r:id="rId817" o:title=""/>
          </v:shape>
          <o:OLEObject Type="Embed" ProgID="Equation.DSMT4" ShapeID="_x0000_i1258" DrawAspect="Content" ObjectID="_1433920410" r:id="rId818"/>
        </w:object>
      </w:r>
      <w:r w:rsidRPr="00F87319">
        <w:rPr>
          <w:sz w:val="20"/>
        </w:rPr>
        <w:t xml:space="preserve"> for a body with actual orbital velocity</w:t>
      </w:r>
      <w:r w:rsidRPr="00F87319">
        <w:rPr>
          <w:position w:val="-6"/>
          <w:sz w:val="20"/>
        </w:rPr>
        <w:object w:dxaOrig="180" w:dyaOrig="200">
          <v:shape id="_x0000_i1259" type="#_x0000_t75" style="width:9.1pt;height:9.7pt" o:ole="">
            <v:imagedata r:id="rId819" o:title=""/>
          </v:shape>
          <o:OLEObject Type="Embed" ProgID="Equation.DSMT4" ShapeID="_x0000_i1259" DrawAspect="Content" ObjectID="_1433920411" r:id="rId820"/>
        </w:object>
      </w:r>
      <w:r w:rsidRPr="00F87319">
        <w:rPr>
          <w:sz w:val="20"/>
        </w:rPr>
        <w:t xml:space="preserve">, when </w:t>
      </w:r>
      <w:r w:rsidRPr="00F87319">
        <w:rPr>
          <w:position w:val="-10"/>
          <w:sz w:val="20"/>
        </w:rPr>
        <w:object w:dxaOrig="260" w:dyaOrig="279">
          <v:shape id="_x0000_i1260" type="#_x0000_t75" style="width:12.7pt;height:14.5pt" o:ole="">
            <v:imagedata r:id="rId821" o:title=""/>
          </v:shape>
          <o:OLEObject Type="Embed" ProgID="Equation.DSMT4" ShapeID="_x0000_i1260" DrawAspect="Content" ObjectID="_1433920412" r:id="rId822"/>
        </w:object>
      </w:r>
      <w:r w:rsidRPr="00F87319">
        <w:rPr>
          <w:sz w:val="20"/>
        </w:rPr>
        <w:t>is the equivalent velocity under Newtonian style forces, then the velocity of the orbiting body can be shown as</w:t>
      </w:r>
    </w:p>
    <w:p w:rsidR="006D41BD" w:rsidRPr="00F87319" w:rsidRDefault="006D41BD" w:rsidP="006D41BD">
      <w:pPr>
        <w:pStyle w:val="NormPara"/>
        <w:ind w:firstLine="548"/>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600" w:dyaOrig="560">
          <v:shape id="_x0000_i1261" type="#_x0000_t75" style="width:30.25pt;height:27.85pt" o:ole="">
            <v:imagedata r:id="rId823" o:title=""/>
          </v:shape>
          <o:OLEObject Type="Embed" ProgID="Equation.DSMT4" ShapeID="_x0000_i1261" DrawAspect="Content" ObjectID="_1433920413" r:id="rId82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proofErr w:type="gramStart"/>
      <w:r w:rsidRPr="00F87319">
        <w:rPr>
          <w:sz w:val="20"/>
        </w:rPr>
        <w:t>where</w:t>
      </w:r>
      <w:proofErr w:type="gramEnd"/>
      <w:r w:rsidRPr="00F87319">
        <w:rPr>
          <w:position w:val="-8"/>
          <w:sz w:val="20"/>
        </w:rPr>
        <w:object w:dxaOrig="440" w:dyaOrig="260">
          <v:shape id="_x0000_i1262" type="#_x0000_t75" style="width:21.8pt;height:12.7pt" o:ole="">
            <v:imagedata r:id="rId825" o:title=""/>
          </v:shape>
          <o:OLEObject Type="Embed" ProgID="Equation.DSMT4" ShapeID="_x0000_i1262" DrawAspect="Content" ObjectID="_1433920414" r:id="rId826"/>
        </w:object>
      </w:r>
      <w:r w:rsidRPr="00F87319">
        <w:rPr>
          <w:sz w:val="20"/>
        </w:rPr>
        <w:t xml:space="preserve">.  It was shown in the above symposium paper that this situation produced the required perihelion advance with the </w:t>
      </w:r>
      <w:r w:rsidRPr="00F87319">
        <w:rPr>
          <w:position w:val="-10"/>
          <w:sz w:val="20"/>
        </w:rPr>
        <w:object w:dxaOrig="440" w:dyaOrig="340">
          <v:shape id="_x0000_i1263" type="#_x0000_t75" style="width:21.8pt;height:17.55pt" o:ole="">
            <v:imagedata r:id="rId817" o:title=""/>
          </v:shape>
          <o:OLEObject Type="Embed" ProgID="Equation.DSMT4" ShapeID="_x0000_i1263" DrawAspect="Content" ObjectID="_1433920415" r:id="rId827"/>
        </w:object>
      </w:r>
      <w:r w:rsidRPr="00F87319">
        <w:rPr>
          <w:sz w:val="20"/>
        </w:rPr>
        <w:t xml:space="preserve"> slowing factor due to the velocity imbalance caused by the varying density of the medium.  This approach, using a single factor, reproduces exactly the observed perihelion advance, as shown below, without the messy juggling of the three factors that GR requires.</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is definitely in line with SED physics and the increased energy density of the ZPE near the Sun, or any massive body.  Nevertheless, the question remains regarding how a planet in orbit could experience an imbalance of the Newtonian velocity as a result of changes in the density of the ZPE.  Because there are two ways of visualizing ZPE strength, there are also two ways of dealing with this question.  The first way is to consider the effects of virtual particles, whose numbers in the vacuum are dependent on the ZPE strength.  The second is related to the ZPE waves themselves.  Their numbers increase when the ZPE strength increases, and this has an effect on the de Broglie waves which are associated with all moving sub-atomic particles.</w:t>
      </w:r>
    </w:p>
    <w:p w:rsidR="006D41BD" w:rsidRPr="00F87319" w:rsidRDefault="006D41BD" w:rsidP="006D41BD">
      <w:pPr>
        <w:pStyle w:val="NormPara"/>
        <w:ind w:firstLine="72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Effects of a Locally Stronger ZPE</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In the first case, an increase in ZPE strength also means an increase in the numbers of virtual particles in the vacuum at any given instant.  In other words, regardless of the reason for a ZPE increase in strength, the vacuum becomes “thicker” with virtual particle pairs.</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 xml:space="preserve">In the case under consideration here, the closer we get to the Sun, the greater the number of virtual particles in the vacuum at any given instant.  Mercury in its elliptical orbit moves very fast when close to the Sun, then significantly slower further away.  At the same time that it is going at its maximum speed, it is also entering and traveling through the area of greatest ZPE strength.  This means that it will encounter a much thicker cloud of virtual particles as it moves at </w:t>
      </w:r>
      <w:r w:rsidRPr="00F87319">
        <w:rPr>
          <w:sz w:val="20"/>
        </w:rPr>
        <w:lastRenderedPageBreak/>
        <w:t>high speed near the Sun, and then significantly fewer when further away.  As Mercury moves ballistically through a thick cloud of virtual particles when closest to the Sun, this generates a resistance.  This occurs because virtual particles are of equivalent size to the subatomic particles which make up all matter and produce a retarding effect on the planet's motion at the atomic level.  This is one way of looking at the imbalance induced in the Newtonian velocity.</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second way of viewing the retardation of Mercury in its orbit is to consider the interaction that comes from the de Broglie waves associated with all moving sub-atomic particles.  As these matter waves associated with the orbiting planet propagate through the ZPE, the increase in energy density of the ZPE in the vicinity of the Sun will have its effects.  It is analogous to the way in which light waves are slowed by the greater number of ZPE waves when the ZPE strength is greater.  Therefore, as the de Broglie waves move through a denser (or sparser) ZPE, this slows down (or speeds up) the motion of the entire collection of waves that make up the orbiting planet.</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If a particle moves through the ZPE with a velocity</w:t>
      </w:r>
      <w:r w:rsidRPr="00F87319">
        <w:rPr>
          <w:position w:val="-6"/>
          <w:sz w:val="20"/>
        </w:rPr>
        <w:object w:dxaOrig="180" w:dyaOrig="200">
          <v:shape id="_x0000_i1264" type="#_x0000_t75" style="width:9.1pt;height:9.7pt" o:ole="">
            <v:imagedata r:id="rId828" o:title=""/>
          </v:shape>
          <o:OLEObject Type="Embed" ProgID="Equation.DSMT4" ShapeID="_x0000_i1264" DrawAspect="Content" ObjectID="_1433920416" r:id="rId829"/>
        </w:object>
      </w:r>
      <w:r w:rsidRPr="00F87319">
        <w:rPr>
          <w:sz w:val="20"/>
        </w:rPr>
        <w:t>, it can be shown that</w:t>
      </w:r>
      <w:r w:rsidRPr="00F87319">
        <w:rPr>
          <w:position w:val="-6"/>
          <w:sz w:val="20"/>
        </w:rPr>
        <w:object w:dxaOrig="180" w:dyaOrig="200">
          <v:shape id="_x0000_i1265" type="#_x0000_t75" style="width:9.1pt;height:9.7pt" o:ole="">
            <v:imagedata r:id="rId830" o:title=""/>
          </v:shape>
          <o:OLEObject Type="Embed" ProgID="Equation.DSMT4" ShapeID="_x0000_i1265" DrawAspect="Content" ObjectID="_1433920417" r:id="rId831"/>
        </w:object>
      </w:r>
      <w:r w:rsidRPr="00F87319">
        <w:rPr>
          <w:sz w:val="20"/>
        </w:rPr>
        <w:t>is also the group velocity of the matter wave [61].  Therefore, a collection of particles, such as a planet made up of their wave equivalents, would also propagate through the ZPE with a velocity</w:t>
      </w:r>
      <w:r w:rsidRPr="00F87319">
        <w:rPr>
          <w:position w:val="-6"/>
          <w:sz w:val="20"/>
        </w:rPr>
        <w:object w:dxaOrig="180" w:dyaOrig="200">
          <v:shape id="_x0000_i1266" type="#_x0000_t75" style="width:9.1pt;height:9.7pt" o:ole="">
            <v:imagedata r:id="rId832" o:title=""/>
          </v:shape>
          <o:OLEObject Type="Embed" ProgID="Equation.DSMT4" ShapeID="_x0000_i1266" DrawAspect="Content" ObjectID="_1433920418" r:id="rId833"/>
        </w:object>
      </w:r>
      <w:r w:rsidRPr="00F87319">
        <w:rPr>
          <w:sz w:val="20"/>
        </w:rPr>
        <w:t>under ordinary circumstances.  However, the increase in the energy density of the ZPE slows the propagation speed of the matter waves in a manner inversely proportional to the energy density.  As a result, the velocity of the particles making up those waves must also slow since the group velocity of the waves and the particle velocity must remain synchronized [61].</w:t>
      </w:r>
    </w:p>
    <w:p w:rsidR="006D41BD" w:rsidRPr="00F87319" w:rsidRDefault="006D41BD" w:rsidP="006D41BD">
      <w:pPr>
        <w:pStyle w:val="NormPara"/>
        <w:ind w:firstLine="720"/>
        <w:rPr>
          <w:sz w:val="20"/>
        </w:rPr>
      </w:pPr>
    </w:p>
    <w:p w:rsidR="006D41BD" w:rsidRPr="00F87319" w:rsidRDefault="006D41BD" w:rsidP="006D41BD">
      <w:pPr>
        <w:pStyle w:val="NormPara"/>
        <w:ind w:firstLine="720"/>
        <w:rPr>
          <w:sz w:val="20"/>
        </w:rPr>
      </w:pPr>
      <w:r w:rsidRPr="00F87319">
        <w:rPr>
          <w:sz w:val="20"/>
        </w:rPr>
        <w:t>The outcome of this impedance to the motion of the planet, whether considered by either the particle or wave approach, is the same.  If the expected velocity is a Newtonian velocity</w:t>
      </w:r>
      <w:r w:rsidRPr="00F87319">
        <w:rPr>
          <w:position w:val="-10"/>
          <w:sz w:val="20"/>
        </w:rPr>
        <w:object w:dxaOrig="260" w:dyaOrig="279">
          <v:shape id="_x0000_i1267" type="#_x0000_t75" style="width:12.7pt;height:14.5pt" o:ole="">
            <v:imagedata r:id="rId834" o:title=""/>
          </v:shape>
          <o:OLEObject Type="Embed" ProgID="Equation.DSMT4" ShapeID="_x0000_i1267" DrawAspect="Content" ObjectID="_1433920419" r:id="rId835"/>
        </w:object>
      </w:r>
      <w:r w:rsidRPr="00F87319">
        <w:rPr>
          <w:sz w:val="20"/>
        </w:rPr>
        <w:t xml:space="preserve">, and the actual velocity </w:t>
      </w:r>
      <w:proofErr w:type="gramStart"/>
      <w:r w:rsidRPr="00F87319">
        <w:rPr>
          <w:sz w:val="20"/>
        </w:rPr>
        <w:t xml:space="preserve">is </w:t>
      </w:r>
      <w:proofErr w:type="gramEnd"/>
      <w:r w:rsidRPr="00F87319">
        <w:rPr>
          <w:position w:val="-6"/>
          <w:sz w:val="20"/>
        </w:rPr>
        <w:object w:dxaOrig="180" w:dyaOrig="200">
          <v:shape id="_x0000_i1268" type="#_x0000_t75" style="width:9.1pt;height:9.7pt" o:ole="">
            <v:imagedata r:id="rId836" o:title=""/>
          </v:shape>
          <o:OLEObject Type="Embed" ProgID="Equation.DSMT4" ShapeID="_x0000_i1268" DrawAspect="Content" ObjectID="_1433920420" r:id="rId837"/>
        </w:object>
      </w:r>
      <w:r w:rsidRPr="00F87319">
        <w:rPr>
          <w:sz w:val="20"/>
        </w:rPr>
        <w:t xml:space="preserve">, then the slowing factor is given by the ratio </w:t>
      </w:r>
      <w:r w:rsidRPr="00F87319">
        <w:rPr>
          <w:position w:val="-10"/>
          <w:sz w:val="20"/>
        </w:rPr>
        <w:object w:dxaOrig="440" w:dyaOrig="279">
          <v:shape id="_x0000_i1269" type="#_x0000_t75" style="width:21.8pt;height:14.5pt" o:ole="">
            <v:imagedata r:id="rId838" o:title=""/>
          </v:shape>
          <o:OLEObject Type="Embed" ProgID="Equation.DSMT4" ShapeID="_x0000_i1269" DrawAspect="Content" ObjectID="_1433920421" r:id="rId839"/>
        </w:object>
      </w:r>
      <w:r w:rsidRPr="00F87319">
        <w:rPr>
          <w:sz w:val="20"/>
        </w:rPr>
        <w:t xml:space="preserve">, which must then be proportional to the ratio of the ZPE energy density </w:t>
      </w:r>
      <w:r w:rsidRPr="00F87319">
        <w:rPr>
          <w:position w:val="-10"/>
          <w:sz w:val="20"/>
        </w:rPr>
        <w:object w:dxaOrig="499" w:dyaOrig="279">
          <v:shape id="_x0000_i1270" type="#_x0000_t75" style="width:24.8pt;height:14.5pt" o:ole="">
            <v:imagedata r:id="rId840" o:title=""/>
          </v:shape>
          <o:OLEObject Type="Embed" ProgID="Equation.DSMT4" ShapeID="_x0000_i1270" DrawAspect="Content" ObjectID="_1433920422" r:id="rId841"/>
        </w:object>
      </w:r>
      <w:r w:rsidRPr="00F87319">
        <w:rPr>
          <w:sz w:val="20"/>
        </w:rPr>
        <w:t>.  This can be written as</w:t>
      </w:r>
    </w:p>
    <w:p w:rsidR="006D41BD" w:rsidRPr="00F87319" w:rsidRDefault="006D41BD" w:rsidP="006D41BD">
      <w:pPr>
        <w:pStyle w:val="equation"/>
        <w:spacing w:before="80" w:after="80"/>
        <w:jc w:val="right"/>
        <w:rPr>
          <w:sz w:val="20"/>
        </w:rPr>
      </w:pPr>
      <w:r w:rsidRPr="00F87319">
        <w:rPr>
          <w:sz w:val="20"/>
        </w:rPr>
        <w:tab/>
      </w:r>
      <w:r w:rsidRPr="00F87319">
        <w:rPr>
          <w:position w:val="-24"/>
          <w:sz w:val="20"/>
        </w:rPr>
        <w:object w:dxaOrig="1140" w:dyaOrig="540">
          <v:shape id="_x0000_i1271" type="#_x0000_t75" style="width:56.85pt;height:27.25pt" o:ole="">
            <v:imagedata r:id="rId842" o:title=""/>
          </v:shape>
          <o:OLEObject Type="Embed" ProgID="Equation.DSMT4" ShapeID="_x0000_i1271" DrawAspect="Content" ObjectID="_1433920423" r:id="rId843"/>
        </w:object>
      </w:r>
      <w:proofErr w:type="gramStart"/>
      <w:r w:rsidRPr="00F87319">
        <w:rPr>
          <w:sz w:val="20"/>
        </w:rPr>
        <w:t>,  therefore</w:t>
      </w:r>
      <w:proofErr w:type="gramEnd"/>
      <w:r w:rsidRPr="00F87319">
        <w:rPr>
          <w:sz w:val="20"/>
        </w:rPr>
        <w:t xml:space="preserve">  </w:t>
      </w:r>
      <w:r w:rsidRPr="00F87319">
        <w:rPr>
          <w:position w:val="-10"/>
          <w:sz w:val="20"/>
        </w:rPr>
        <w:object w:dxaOrig="760" w:dyaOrig="340">
          <v:shape id="_x0000_i1272" type="#_x0000_t75" style="width:38.1pt;height:17.55pt" o:ole="">
            <v:imagedata r:id="rId844" o:title=""/>
          </v:shape>
          <o:OLEObject Type="Embed" ProgID="Equation.DSMT4" ShapeID="_x0000_i1272" DrawAspect="Content" ObjectID="_1433920424" r:id="rId845"/>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But (67) has the same form as (66), which gave the necessary solution to the problem provided we make the identification that the slowing factor</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6"/>
          <w:sz w:val="20"/>
        </w:rPr>
        <w:object w:dxaOrig="720" w:dyaOrig="560">
          <v:shape id="_x0000_i1273" type="#_x0000_t75" style="width:36.3pt;height:27.85pt" o:ole="">
            <v:imagedata r:id="rId846" o:title=""/>
          </v:shape>
          <o:OLEObject Type="Embed" ProgID="Equation.DSMT4" ShapeID="_x0000_i1273" DrawAspect="Content" ObjectID="_1433920425" r:id="rId847"/>
        </w:objec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(68)</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This then leads to the required solution in a way outlined by Van Flandern and which is reproduced here with the pertinent amendments and additions [62].</w:t>
      </w:r>
    </w:p>
    <w:p w:rsidR="006D41BD" w:rsidRPr="00F87319" w:rsidRDefault="006D41BD" w:rsidP="006D41BD">
      <w:pPr>
        <w:pStyle w:val="NormPara"/>
        <w:ind w:firstLine="0"/>
        <w:rPr>
          <w:sz w:val="20"/>
        </w:rPr>
      </w:pPr>
    </w:p>
    <w:p w:rsidR="006D41BD" w:rsidRPr="00F87319" w:rsidRDefault="006D41BD" w:rsidP="00252491">
      <w:pPr>
        <w:pStyle w:val="Heading2"/>
        <w:widowControl/>
        <w:numPr>
          <w:ilvl w:val="1"/>
          <w:numId w:val="46"/>
        </w:numPr>
        <w:spacing w:before="80" w:after="80" w:line="240" w:lineRule="atLeast"/>
        <w:rPr>
          <w:rFonts w:ascii="Book Antiqua" w:hAnsi="Book Antiqua" w:cs="Times New Roman"/>
          <w:b w:val="0"/>
          <w:sz w:val="20"/>
          <w:szCs w:val="20"/>
        </w:rPr>
      </w:pPr>
      <w:r w:rsidRPr="00F87319">
        <w:rPr>
          <w:rFonts w:ascii="Book Antiqua" w:hAnsi="Book Antiqua" w:cs="Times New Roman"/>
          <w:b w:val="0"/>
          <w:sz w:val="20"/>
          <w:szCs w:val="20"/>
        </w:rPr>
        <w:t>The Perihelion Advance Formula</w:t>
      </w:r>
    </w:p>
    <w:p w:rsidR="006D41BD" w:rsidRPr="00F87319" w:rsidRDefault="006D41BD" w:rsidP="006D41BD">
      <w:pPr>
        <w:pStyle w:val="NormPara"/>
        <w:ind w:firstLine="270"/>
        <w:rPr>
          <w:sz w:val="20"/>
        </w:rPr>
      </w:pPr>
    </w:p>
    <w:p w:rsidR="006D41BD" w:rsidRPr="00F87319" w:rsidRDefault="006D41BD" w:rsidP="006D41BD">
      <w:pPr>
        <w:pStyle w:val="NormPara"/>
        <w:ind w:firstLine="360"/>
        <w:rPr>
          <w:sz w:val="20"/>
        </w:rPr>
      </w:pPr>
      <w:r w:rsidRPr="00F87319">
        <w:rPr>
          <w:sz w:val="20"/>
        </w:rPr>
        <w:t xml:space="preserve">The change in speed of an orbiting body due to the variation in the factor </w:t>
      </w:r>
      <w:r w:rsidRPr="00F87319">
        <w:rPr>
          <w:i/>
          <w:sz w:val="20"/>
        </w:rPr>
        <w:t>A</w:t>
      </w:r>
      <w:r w:rsidRPr="00F87319">
        <w:rPr>
          <w:sz w:val="20"/>
        </w:rPr>
        <w:t xml:space="preserve"> stimulates an extra force acting on the body along the velocity vector.  The formula for the change in Newtonian velocity is</w:t>
      </w:r>
    </w:p>
    <w:p w:rsidR="006D41BD" w:rsidRPr="00F87319" w:rsidRDefault="006D41BD" w:rsidP="006D41BD">
      <w:pPr>
        <w:pStyle w:val="NormPara"/>
        <w:ind w:firstLine="36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16"/>
          <w:sz w:val="20"/>
        </w:rPr>
        <w:object w:dxaOrig="1900" w:dyaOrig="420">
          <v:shape id="_x0000_i1274" type="#_x0000_t75" style="width:95pt;height:21.2pt" o:ole="">
            <v:imagedata r:id="rId848" o:title=""/>
          </v:shape>
          <o:OLEObject Type="Embed" ProgID="Equation.DSMT4" ShapeID="_x0000_i1274" DrawAspect="Content" ObjectID="_1433920426" r:id="rId849"/>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(69)</w:t>
      </w:r>
    </w:p>
    <w:p w:rsidR="006D41BD" w:rsidRPr="00F87319" w:rsidRDefault="006D41BD" w:rsidP="006D41BD">
      <w:pPr>
        <w:pStyle w:val="NormPara"/>
        <w:ind w:firstLine="0"/>
        <w:rPr>
          <w:sz w:val="20"/>
        </w:rPr>
      </w:pPr>
      <w:r w:rsidRPr="00F87319">
        <w:rPr>
          <w:sz w:val="20"/>
        </w:rPr>
        <w:t>which follows from (67).  However, in the formula given in (65), the term</w:t>
      </w:r>
      <w:r w:rsidRPr="00F87319">
        <w:rPr>
          <w:position w:val="-10"/>
          <w:sz w:val="20"/>
        </w:rPr>
        <w:object w:dxaOrig="360" w:dyaOrig="279">
          <v:shape id="_x0000_i1275" type="#_x0000_t75" style="width:18.75pt;height:14.5pt" o:ole="">
            <v:imagedata r:id="rId850" o:title=""/>
          </v:shape>
          <o:OLEObject Type="Embed" ProgID="Equation.DSMT4" ShapeID="_x0000_i1275" DrawAspect="Content" ObjectID="_1433920427" r:id="rId851"/>
        </w:object>
      </w:r>
      <w:r w:rsidRPr="00F87319">
        <w:rPr>
          <w:sz w:val="20"/>
        </w:rPr>
        <w:t xml:space="preserve">is Eddington’s gravitational potential.  This involves the product </w:t>
      </w:r>
      <w:r w:rsidRPr="00F87319">
        <w:rPr>
          <w:i/>
          <w:sz w:val="20"/>
        </w:rPr>
        <w:t>GM</w:t>
      </w:r>
      <w:r w:rsidRPr="00F87319">
        <w:rPr>
          <w:sz w:val="20"/>
        </w:rPr>
        <w:t xml:space="preserve">, which, as discussed earlier, is invariant.  For an orbiting planet the quantity </w:t>
      </w:r>
      <w:r w:rsidRPr="00F87319">
        <w:rPr>
          <w:position w:val="-10"/>
          <w:sz w:val="20"/>
        </w:rPr>
        <w:object w:dxaOrig="600" w:dyaOrig="340">
          <v:shape id="_x0000_i1276" type="#_x0000_t75" style="width:30.25pt;height:17.55pt" o:ole="">
            <v:imagedata r:id="rId852" o:title=""/>
          </v:shape>
          <o:OLEObject Type="Embed" ProgID="Equation.DSMT4" ShapeID="_x0000_i1276" DrawAspect="Content" ObjectID="_1433920428" r:id="rId853"/>
        </w:object>
      </w:r>
      <w:r w:rsidRPr="00F87319">
        <w:rPr>
          <w:sz w:val="20"/>
        </w:rPr>
        <w:t xml:space="preserve"> equals </w:t>
      </w:r>
      <w:r w:rsidRPr="00F87319">
        <w:rPr>
          <w:position w:val="-10"/>
          <w:sz w:val="20"/>
        </w:rPr>
        <w:object w:dxaOrig="420" w:dyaOrig="340">
          <v:shape id="_x0000_i1277" type="#_x0000_t75" style="width:21.2pt;height:17.55pt" o:ole="">
            <v:imagedata r:id="rId854" o:title=""/>
          </v:shape>
          <o:OLEObject Type="Embed" ProgID="Equation.DSMT4" ShapeID="_x0000_i1277" DrawAspect="Content" ObjectID="_1433920429" r:id="rId855"/>
        </w:object>
      </w:r>
      <w:r w:rsidRPr="00F87319">
        <w:rPr>
          <w:sz w:val="20"/>
        </w:rPr>
        <w:t xml:space="preserve"> [63].  Therefore, </w:t>
      </w:r>
      <w:r w:rsidRPr="00F87319">
        <w:rPr>
          <w:position w:val="-10"/>
          <w:sz w:val="20"/>
        </w:rPr>
        <w:object w:dxaOrig="499" w:dyaOrig="279">
          <v:shape id="_x0000_i1278" type="#_x0000_t75" style="width:24.8pt;height:14.5pt" o:ole="">
            <v:imagedata r:id="rId856" o:title=""/>
          </v:shape>
          <o:OLEObject Type="Embed" ProgID="Equation.DSMT4" ShapeID="_x0000_i1278" DrawAspect="Content" ObjectID="_1433920430" r:id="rId857"/>
        </w:object>
      </w:r>
      <w:r w:rsidRPr="00F87319">
        <w:rPr>
          <w:sz w:val="20"/>
        </w:rPr>
        <w:t xml:space="preserve"> is proportional </w:t>
      </w:r>
      <w:proofErr w:type="gramStart"/>
      <w:r w:rsidRPr="00F87319">
        <w:rPr>
          <w:sz w:val="20"/>
        </w:rPr>
        <w:t xml:space="preserve">to </w:t>
      </w:r>
      <w:proofErr w:type="gramEnd"/>
      <w:r w:rsidRPr="00F87319">
        <w:rPr>
          <w:position w:val="-6"/>
          <w:sz w:val="20"/>
        </w:rPr>
        <w:object w:dxaOrig="260" w:dyaOrig="300">
          <v:shape id="_x0000_i1279" type="#_x0000_t75" style="width:12.7pt;height:15.15pt" o:ole="">
            <v:imagedata r:id="rId858" o:title=""/>
          </v:shape>
          <o:OLEObject Type="Embed" ProgID="Equation.DSMT4" ShapeID="_x0000_i1279" DrawAspect="Content" ObjectID="_1433920431" r:id="rId859"/>
        </w:object>
      </w:r>
      <w:r w:rsidRPr="00F87319">
        <w:rPr>
          <w:sz w:val="20"/>
        </w:rPr>
        <w:t xml:space="preserve">.  We can therefore substitute </w:t>
      </w:r>
      <w:r w:rsidRPr="00F87319">
        <w:rPr>
          <w:position w:val="-6"/>
          <w:sz w:val="20"/>
        </w:rPr>
        <w:object w:dxaOrig="260" w:dyaOrig="300">
          <v:shape id="_x0000_i1280" type="#_x0000_t75" style="width:12.7pt;height:15.15pt" o:ole="">
            <v:imagedata r:id="rId860" o:title=""/>
          </v:shape>
          <o:OLEObject Type="Embed" ProgID="Equation.DSMT4" ShapeID="_x0000_i1280" DrawAspect="Content" ObjectID="_1433920432" r:id="rId861"/>
        </w:object>
      </w:r>
      <w:r w:rsidRPr="00F87319">
        <w:rPr>
          <w:sz w:val="20"/>
        </w:rPr>
        <w:t xml:space="preserve"> for </w:t>
      </w:r>
      <w:r w:rsidRPr="00F87319">
        <w:rPr>
          <w:position w:val="-10"/>
          <w:sz w:val="20"/>
        </w:rPr>
        <w:object w:dxaOrig="499" w:dyaOrig="279">
          <v:shape id="_x0000_i1281" type="#_x0000_t75" style="width:24.8pt;height:14.5pt" o:ole="">
            <v:imagedata r:id="rId856" o:title=""/>
          </v:shape>
          <o:OLEObject Type="Embed" ProgID="Equation.DSMT4" ShapeID="_x0000_i1281" DrawAspect="Content" ObjectID="_1433920433" r:id="rId862"/>
        </w:object>
      </w:r>
      <w:r w:rsidRPr="00F87319">
        <w:rPr>
          <w:sz w:val="20"/>
        </w:rPr>
        <w:t xml:space="preserve"> in the expression for </w:t>
      </w:r>
      <w:r w:rsidRPr="00F87319">
        <w:rPr>
          <w:position w:val="-4"/>
          <w:sz w:val="20"/>
        </w:rPr>
        <w:object w:dxaOrig="300" w:dyaOrig="279">
          <v:shape id="_x0000_i1282" type="#_x0000_t75" style="width:15.15pt;height:14.5pt" o:ole="">
            <v:imagedata r:id="rId863" o:title=""/>
          </v:shape>
          <o:OLEObject Type="Embed" ProgID="Equation.DSMT4" ShapeID="_x0000_i1282" DrawAspect="Content" ObjectID="_1433920434" r:id="rId864"/>
        </w:object>
      </w:r>
      <w:r w:rsidRPr="00F87319">
        <w:rPr>
          <w:sz w:val="20"/>
        </w:rPr>
        <w:t xml:space="preserve"> and obtain the information that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lastRenderedPageBreak/>
        <w:tab/>
      </w:r>
      <w:r w:rsidRPr="00F87319">
        <w:rPr>
          <w:position w:val="-22"/>
          <w:sz w:val="20"/>
        </w:rPr>
        <w:object w:dxaOrig="2540" w:dyaOrig="580">
          <v:shape id="_x0000_i1283" type="#_x0000_t75" style="width:125.25pt;height:29.05pt" o:ole="">
            <v:imagedata r:id="rId865" o:title=""/>
          </v:shape>
          <o:OLEObject Type="Embed" ProgID="Equation.DSMT4" ShapeID="_x0000_i1283" DrawAspect="Content" ObjectID="_1433920435" r:id="rId86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(70)</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Therefore, if the results from (70) are substituted in the expression in (69) we obtain</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3480" w:dyaOrig="660">
          <v:shape id="_x0000_i1284" type="#_x0000_t75" style="width:174.25pt;height:33.3pt" o:ole="">
            <v:imagedata r:id="rId867" o:title=""/>
          </v:shape>
          <o:OLEObject Type="Embed" ProgID="Equation.DSMT4" ShapeID="_x0000_i1284" DrawAspect="Content" ObjectID="_1433920436" r:id="rId86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(71)</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If we now take the time derivative </w:t>
      </w:r>
      <w:proofErr w:type="gramStart"/>
      <w:r w:rsidRPr="00F87319">
        <w:rPr>
          <w:sz w:val="20"/>
        </w:rPr>
        <w:t xml:space="preserve">of </w:t>
      </w:r>
      <w:proofErr w:type="gramEnd"/>
      <w:r w:rsidRPr="00F87319">
        <w:rPr>
          <w:position w:val="-10"/>
          <w:sz w:val="20"/>
        </w:rPr>
        <w:object w:dxaOrig="279" w:dyaOrig="279">
          <v:shape id="_x0000_i1285" type="#_x0000_t75" style="width:14.5pt;height:14.5pt" o:ole="">
            <v:imagedata r:id="rId869" o:title=""/>
          </v:shape>
          <o:OLEObject Type="Embed" ProgID="Equation.DSMT4" ShapeID="_x0000_i1285" DrawAspect="Content" ObjectID="_1433920437" r:id="rId870"/>
        </w:object>
      </w:r>
      <w:r w:rsidRPr="00F87319">
        <w:rPr>
          <w:sz w:val="20"/>
        </w:rPr>
        <w:t xml:space="preserve">, it will give us the extra acceleration needed to produce the required velocity changes.  Let us denote this tangential acceleration of the orbiting body by the quantity </w:t>
      </w:r>
      <w:r w:rsidRPr="00F87319">
        <w:rPr>
          <w:i/>
          <w:sz w:val="20"/>
        </w:rPr>
        <w:t>T</w:t>
      </w:r>
      <w:r w:rsidRPr="00F87319">
        <w:rPr>
          <w:sz w:val="20"/>
        </w:rPr>
        <w:t xml:space="preserve">.  This will allow us to compute the perturbing quantity </w:t>
      </w:r>
      <w:r w:rsidRPr="00F87319">
        <w:rPr>
          <w:i/>
          <w:sz w:val="20"/>
        </w:rPr>
        <w:t>T</w:t>
      </w:r>
      <w:r w:rsidRPr="00F87319">
        <w:rPr>
          <w:sz w:val="20"/>
        </w:rPr>
        <w:t>, which can then be introduced into the relevant celestial mechanics formulas to discover what effect it has on the motion of a body in an elliptical orbit. So if we differentiate</w:t>
      </w:r>
      <w:r w:rsidRPr="00F87319">
        <w:rPr>
          <w:position w:val="-6"/>
          <w:sz w:val="20"/>
        </w:rPr>
        <w:object w:dxaOrig="279" w:dyaOrig="240">
          <v:shape id="_x0000_i1286" type="#_x0000_t75" style="width:14.5pt;height:12.1pt" o:ole="">
            <v:imagedata r:id="rId871" o:title=""/>
          </v:shape>
          <o:OLEObject Type="Embed" ProgID="Equation.DSMT4" ShapeID="_x0000_i1286" DrawAspect="Content" ObjectID="_1433920438" r:id="rId872"/>
        </w:object>
      </w:r>
      <w:r w:rsidRPr="00F87319">
        <w:rPr>
          <w:sz w:val="20"/>
        </w:rPr>
        <w:t xml:space="preserve">with respect to time, we get an expres-sion for </w:t>
      </w:r>
      <w:r w:rsidRPr="00F87319">
        <w:rPr>
          <w:i/>
          <w:sz w:val="20"/>
        </w:rPr>
        <w:t>T</w:t>
      </w:r>
      <w:r w:rsidRPr="00F87319">
        <w:rPr>
          <w:sz w:val="20"/>
        </w:rPr>
        <w:t>.  If we further make</w:t>
      </w:r>
      <w:r w:rsidRPr="00F87319">
        <w:rPr>
          <w:position w:val="-6"/>
          <w:sz w:val="20"/>
        </w:rPr>
        <w:object w:dxaOrig="260" w:dyaOrig="300">
          <v:shape id="_x0000_i1287" type="#_x0000_t75" style="width:12.7pt;height:15.15pt" o:ole="">
            <v:imagedata r:id="rId873" o:title=""/>
          </v:shape>
          <o:OLEObject Type="Embed" ProgID="Equation.DSMT4" ShapeID="_x0000_i1287" DrawAspect="Content" ObjectID="_1433920439" r:id="rId874"/>
        </w:object>
      </w:r>
      <w:r w:rsidRPr="00F87319">
        <w:rPr>
          <w:sz w:val="20"/>
        </w:rPr>
        <w:t>the chief variable rather than</w:t>
      </w:r>
      <w:r w:rsidRPr="00F87319">
        <w:rPr>
          <w:position w:val="-6"/>
          <w:sz w:val="20"/>
        </w:rPr>
        <w:object w:dxaOrig="180" w:dyaOrig="200">
          <v:shape id="_x0000_i1288" type="#_x0000_t75" style="width:9.1pt;height:9.7pt" o:ole="">
            <v:imagedata r:id="rId875" o:title=""/>
          </v:shape>
          <o:OLEObject Type="Embed" ProgID="Equation.DSMT4" ShapeID="_x0000_i1288" DrawAspect="Content" ObjectID="_1433920440" r:id="rId876"/>
        </w:objec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28"/>
          <w:sz w:val="20"/>
        </w:rPr>
        <w:object w:dxaOrig="2020" w:dyaOrig="660">
          <v:shape id="_x0000_i1289" type="#_x0000_t75" style="width:101.05pt;height:33.3pt" o:ole="">
            <v:imagedata r:id="rId877" o:title=""/>
          </v:shape>
          <o:OLEObject Type="Embed" ProgID="Equation.DSMT4" ShapeID="_x0000_i1289" DrawAspect="Content" ObjectID="_1433920441" r:id="rId87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(72)</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Since we are interested in the primary results from (72), it is not necessary to make a distinction between</w:t>
      </w:r>
      <w:r w:rsidRPr="00F87319">
        <w:rPr>
          <w:position w:val="-6"/>
          <w:sz w:val="20"/>
        </w:rPr>
        <w:object w:dxaOrig="180" w:dyaOrig="200">
          <v:shape id="_x0000_i1290" type="#_x0000_t75" style="width:9.1pt;height:9.7pt" o:ole="">
            <v:imagedata r:id="rId879" o:title=""/>
          </v:shape>
          <o:OLEObject Type="Embed" ProgID="Equation.DSMT4" ShapeID="_x0000_i1290" DrawAspect="Content" ObjectID="_1433920442" r:id="rId880"/>
        </w:object>
      </w:r>
      <w:r w:rsidRPr="00F87319">
        <w:rPr>
          <w:sz w:val="20"/>
        </w:rPr>
        <w:t>and</w:t>
      </w:r>
      <w:r w:rsidRPr="00F87319">
        <w:rPr>
          <w:position w:val="-10"/>
          <w:sz w:val="20"/>
        </w:rPr>
        <w:object w:dxaOrig="260" w:dyaOrig="279">
          <v:shape id="_x0000_i1291" type="#_x0000_t75" style="width:12.7pt;height:14.5pt" o:ole="">
            <v:imagedata r:id="rId881" o:title=""/>
          </v:shape>
          <o:OLEObject Type="Embed" ProgID="Equation.DSMT4" ShapeID="_x0000_i1291" DrawAspect="Content" ObjectID="_1433920443" r:id="rId882"/>
        </w:object>
      </w:r>
      <w:r w:rsidRPr="00F87319">
        <w:rPr>
          <w:sz w:val="20"/>
        </w:rPr>
        <w:t>since that would only lead to higher order terms with diminishing effects.  Performing the necessary operations then leads to the result that</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40" w:dyaOrig="580">
          <v:shape id="_x0000_i1292" type="#_x0000_t75" style="width:56.85pt;height:29.05pt" o:ole="">
            <v:imagedata r:id="rId883" o:title=""/>
          </v:shape>
          <o:OLEObject Type="Embed" ProgID="Equation.DSMT4" ShapeID="_x0000_i1292" DrawAspect="Content" ObjectID="_1433920444" r:id="rId88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(73)</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In order to make it easier to deal with this derivative, we can substitute from the energy equation for elliptical orbits that gives</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4"/>
          <w:sz w:val="20"/>
        </w:rPr>
        <w:object w:dxaOrig="1180" w:dyaOrig="560">
          <v:shape id="_x0000_i1293" type="#_x0000_t75" style="width:59.3pt;height:27.85pt" o:ole="">
            <v:imagedata r:id="rId885" o:title=""/>
          </v:shape>
          <o:OLEObject Type="Embed" ProgID="Equation.DSMT4" ShapeID="_x0000_i1293" DrawAspect="Content" ObjectID="_1433920445" r:id="rId886"/>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(74)</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With this information in (74), the derivative can be seen to be</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22"/>
          <w:sz w:val="20"/>
        </w:rPr>
        <w:object w:dxaOrig="1180" w:dyaOrig="580">
          <v:shape id="_x0000_i1294" type="#_x0000_t75" style="width:59.3pt;height:29.05pt" o:ole="">
            <v:imagedata r:id="rId887" o:title=""/>
          </v:shape>
          <o:OLEObject Type="Embed" ProgID="Equation.DSMT4" ShapeID="_x0000_i1294" DrawAspect="Content" ObjectID="_1433920446" r:id="rId88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(75)</w:t>
      </w:r>
    </w:p>
    <w:p w:rsidR="006D41BD" w:rsidRPr="00F87319" w:rsidRDefault="006D41BD" w:rsidP="006D41BD">
      <w:pPr>
        <w:pStyle w:val="NormPara"/>
        <w:ind w:firstLine="270"/>
        <w:rPr>
          <w:sz w:val="20"/>
        </w:rPr>
      </w:pPr>
    </w:p>
    <w:p w:rsidR="006D41BD" w:rsidRPr="00F87319" w:rsidRDefault="006D41BD" w:rsidP="006D41BD">
      <w:pPr>
        <w:pStyle w:val="NormPara"/>
        <w:rPr>
          <w:sz w:val="20"/>
        </w:rPr>
      </w:pPr>
      <w:r w:rsidRPr="00F87319">
        <w:rPr>
          <w:sz w:val="20"/>
        </w:rPr>
        <w:t>We now need to determine the new derivative for</w:t>
      </w:r>
      <w:r w:rsidRPr="00F87319">
        <w:rPr>
          <w:position w:val="-6"/>
          <w:sz w:val="20"/>
        </w:rPr>
        <w:object w:dxaOrig="160" w:dyaOrig="200">
          <v:shape id="_x0000_i1295" type="#_x0000_t75" style="width:8.45pt;height:9.7pt" o:ole="">
            <v:imagedata r:id="rId889" o:title=""/>
          </v:shape>
          <o:OLEObject Type="Embed" ProgID="Equation.DSMT4" ShapeID="_x0000_i1295" DrawAspect="Content" ObjectID="_1433920447" r:id="rId890"/>
        </w:object>
      </w:r>
      <w:r w:rsidRPr="00F87319">
        <w:rPr>
          <w:sz w:val="20"/>
        </w:rPr>
        <w:t xml:space="preserve">.  This can be found in Danby’s </w:t>
      </w:r>
      <w:r w:rsidRPr="00F87319">
        <w:rPr>
          <w:b/>
          <w:sz w:val="20"/>
        </w:rPr>
        <w:t>Fundamentals of Celestial Mechanics</w:t>
      </w:r>
      <w:r w:rsidRPr="00F87319">
        <w:rPr>
          <w:i/>
          <w:sz w:val="20"/>
        </w:rPr>
        <w:t xml:space="preserve"> </w:t>
      </w:r>
      <w:r w:rsidRPr="00F87319">
        <w:rPr>
          <w:sz w:val="20"/>
        </w:rPr>
        <w:t>[64].  The first equation, (6.2.10), gives a necessary definition.  The equation that is relevant to our purpose here is his Eq. (6.3.21) which states that</w:t>
      </w:r>
    </w:p>
    <w:p w:rsidR="006D41BD" w:rsidRPr="00F87319" w:rsidRDefault="006D41BD" w:rsidP="006D41BD">
      <w:pPr>
        <w:pStyle w:val="NormPara"/>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38"/>
          <w:sz w:val="20"/>
        </w:rPr>
        <w:object w:dxaOrig="1860" w:dyaOrig="720">
          <v:shape id="_x0000_i1296" type="#_x0000_t75" style="width:93.2pt;height:36.3pt" o:ole="">
            <v:imagedata r:id="rId891" o:title=""/>
          </v:shape>
          <o:OLEObject Type="Embed" ProgID="Equation.DSMT4" ShapeID="_x0000_i1296" DrawAspect="Content" ObjectID="_1433920448" r:id="rId892"/>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(76)</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lastRenderedPageBreak/>
        <w:t xml:space="preserve">where </w:t>
      </w:r>
      <w:r w:rsidRPr="00F87319">
        <w:rPr>
          <w:i/>
          <w:sz w:val="20"/>
        </w:rPr>
        <w:t>f</w:t>
      </w:r>
      <w:r w:rsidRPr="00F87319">
        <w:rPr>
          <w:sz w:val="20"/>
        </w:rPr>
        <w:t xml:space="preserve">  is the orbital true anomaly (the angle at the Sun between the perihelion and the orbiting body).  Making all these substitutions, we obtain the final expression for</w:t>
      </w:r>
      <w:r w:rsidRPr="00F87319">
        <w:rPr>
          <w:i/>
          <w:sz w:val="20"/>
        </w:rPr>
        <w:t xml:space="preserve"> T</w:t>
      </w:r>
      <w:r w:rsidRPr="00F87319">
        <w:rPr>
          <w:sz w:val="20"/>
        </w:rPr>
        <w:t>:</w:t>
      </w:r>
    </w:p>
    <w:p w:rsidR="006D41BD" w:rsidRPr="00F87319" w:rsidRDefault="006D41BD" w:rsidP="006D41BD">
      <w:pPr>
        <w:pStyle w:val="NormPara"/>
        <w:ind w:firstLine="0"/>
        <w:rPr>
          <w:sz w:val="20"/>
        </w:rPr>
      </w:pP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1980" w:dyaOrig="760">
          <v:shape id="_x0000_i1297" type="#_x0000_t75" style="width:99.25pt;height:38.1pt" o:ole="">
            <v:imagedata r:id="rId893" o:title=""/>
          </v:shape>
          <o:OLEObject Type="Embed" ProgID="Equation.DSMT4" ShapeID="_x0000_i1297" DrawAspect="Content" ObjectID="_1433920449" r:id="rId89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(77)</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Danby’s Eqs. (11.7.2) and (11.7.4) show that perturbations of the semi-major axis </w:t>
      </w:r>
      <w:r w:rsidRPr="00F87319">
        <w:rPr>
          <w:i/>
          <w:sz w:val="20"/>
        </w:rPr>
        <w:t>a</w:t>
      </w:r>
      <w:r w:rsidRPr="00F87319">
        <w:rPr>
          <w:sz w:val="20"/>
        </w:rPr>
        <w:t xml:space="preserve"> and eccentricity </w:t>
      </w:r>
      <w:r w:rsidRPr="00F87319">
        <w:rPr>
          <w:i/>
          <w:sz w:val="20"/>
        </w:rPr>
        <w:t>e</w:t>
      </w:r>
      <w:r w:rsidRPr="00F87319">
        <w:rPr>
          <w:sz w:val="20"/>
        </w:rPr>
        <w:t xml:space="preserve"> are purely periodic and therefore always remain of small amplitude.  But Danby’s equation (11.7.3) also shows that the perihelion motion contains both small periodic and ever-increasing secular contributions.  Applying that equation, where his </w:t>
      </w:r>
      <w:r w:rsidRPr="00F87319">
        <w:rPr>
          <w:position w:val="-6"/>
          <w:sz w:val="20"/>
        </w:rPr>
        <w:object w:dxaOrig="200" w:dyaOrig="200">
          <v:shape id="_x0000_i1298" type="#_x0000_t75" style="width:9.7pt;height:9.7pt" o:ole="">
            <v:imagedata r:id="rId895" o:title=""/>
          </v:shape>
          <o:OLEObject Type="Embed" ProgID="Equation.DSMT4" ShapeID="_x0000_i1298" DrawAspect="Content" ObjectID="_1433920450" r:id="rId896"/>
        </w:object>
      </w:r>
      <w:r w:rsidRPr="00F87319">
        <w:rPr>
          <w:sz w:val="20"/>
        </w:rPr>
        <w:t xml:space="preserve"> is the longitude of the perihelion, and substituting for </w:t>
      </w:r>
      <w:r w:rsidRPr="00F87319">
        <w:rPr>
          <w:i/>
          <w:sz w:val="20"/>
        </w:rPr>
        <w:t>T</w:t>
      </w:r>
      <w:r w:rsidRPr="00F87319">
        <w:rPr>
          <w:sz w:val="20"/>
        </w:rPr>
        <w:t>, we obtain</w:t>
      </w:r>
    </w:p>
    <w:p w:rsidR="006D41BD" w:rsidRPr="00F87319" w:rsidRDefault="006D41BD" w:rsidP="006D41BD">
      <w:pPr>
        <w:pStyle w:val="equation"/>
        <w:spacing w:before="80" w:after="80"/>
        <w:jc w:val="right"/>
        <w:rPr>
          <w:i/>
          <w:sz w:val="20"/>
        </w:rPr>
      </w:pPr>
      <w:r w:rsidRPr="00F87319">
        <w:rPr>
          <w:sz w:val="20"/>
        </w:rPr>
        <w:tab/>
      </w:r>
      <w:r w:rsidRPr="00F87319">
        <w:rPr>
          <w:position w:val="-40"/>
          <w:sz w:val="20"/>
        </w:rPr>
        <w:object w:dxaOrig="3060" w:dyaOrig="760">
          <v:shape id="_x0000_i1299" type="#_x0000_t75" style="width:153.1pt;height:38.1pt" o:ole="">
            <v:imagedata r:id="rId897" o:title=""/>
          </v:shape>
          <o:OLEObject Type="Embed" ProgID="Equation.DSMT4" ShapeID="_x0000_i1299" DrawAspect="Content" ObjectID="_1433920451" r:id="rId898"/>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(78)</w:t>
      </w:r>
    </w:p>
    <w:p w:rsidR="006D41BD" w:rsidRPr="00F87319"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 xml:space="preserve">The periodic part gives rise to only small periodic variations that can be neglected here.  What is of interest here is the secular variation, which builds progressively with time.  It comes from the time average value </w:t>
      </w:r>
      <w:proofErr w:type="gramStart"/>
      <w:r w:rsidRPr="00F87319">
        <w:rPr>
          <w:sz w:val="20"/>
        </w:rPr>
        <w:t xml:space="preserve">of </w:t>
      </w:r>
      <w:proofErr w:type="gramEnd"/>
      <w:r w:rsidRPr="00F87319">
        <w:rPr>
          <w:position w:val="-10"/>
          <w:sz w:val="20"/>
        </w:rPr>
        <w:object w:dxaOrig="820" w:dyaOrig="340">
          <v:shape id="_x0000_i1300" type="#_x0000_t75" style="width:41.15pt;height:17.55pt" o:ole="">
            <v:imagedata r:id="rId899" o:title=""/>
          </v:shape>
          <o:OLEObject Type="Embed" ProgID="Equation.DSMT4" ShapeID="_x0000_i1300" DrawAspect="Content" ObjectID="_1433920452" r:id="rId900"/>
        </w:object>
      </w:r>
      <w:r w:rsidRPr="00F87319">
        <w:rPr>
          <w:sz w:val="20"/>
        </w:rPr>
        <w:t xml:space="preserve">.  Time averages over elliptical motion can be found by integrating over one revolution.  Using </w:t>
      </w:r>
      <w:r w:rsidRPr="00F87319">
        <w:rPr>
          <w:position w:val="-10"/>
          <w:sz w:val="20"/>
        </w:rPr>
        <w:object w:dxaOrig="480" w:dyaOrig="279">
          <v:shape id="_x0000_i1301" type="#_x0000_t75" style="width:24.2pt;height:14.5pt" o:ole="">
            <v:imagedata r:id="rId901" o:title=""/>
          </v:shape>
          <o:OLEObject Type="Embed" ProgID="Equation.DSMT4" ShapeID="_x0000_i1301" DrawAspect="Content" ObjectID="_1433920453" r:id="rId902"/>
        </w:object>
      </w:r>
      <w:r w:rsidRPr="00F87319">
        <w:rPr>
          <w:sz w:val="20"/>
        </w:rPr>
        <w:t xml:space="preserve"> from (76) coupled with </w:t>
      </w:r>
      <w:r w:rsidRPr="00F87319">
        <w:rPr>
          <w:position w:val="-10"/>
          <w:sz w:val="20"/>
        </w:rPr>
        <w:object w:dxaOrig="499" w:dyaOrig="279">
          <v:shape id="_x0000_i1302" type="#_x0000_t75" style="width:24.8pt;height:14.5pt" o:ole="">
            <v:imagedata r:id="rId903" o:title=""/>
          </v:shape>
          <o:OLEObject Type="Embed" ProgID="Equation.DSMT4" ShapeID="_x0000_i1302" DrawAspect="Content" ObjectID="_1433920454" r:id="rId904"/>
        </w:object>
      </w:r>
      <w:r w:rsidRPr="00F87319">
        <w:rPr>
          <w:sz w:val="20"/>
        </w:rPr>
        <w:t xml:space="preserve"> from Danby’s Eq. (6.3.3)</w:t>
      </w:r>
      <w:proofErr w:type="gramStart"/>
      <w:r w:rsidRPr="00F87319">
        <w:rPr>
          <w:sz w:val="20"/>
        </w:rPr>
        <w:t>,</w:t>
      </w:r>
      <w:proofErr w:type="gramEnd"/>
      <w:r w:rsidRPr="00F87319">
        <w:rPr>
          <w:sz w:val="20"/>
        </w:rPr>
        <w:t xml:space="preserve"> we discover that the required time average is given by the expression</w:t>
      </w:r>
      <w:r w:rsidRPr="00F87319">
        <w:rPr>
          <w:position w:val="-20"/>
          <w:sz w:val="20"/>
        </w:rPr>
        <w:object w:dxaOrig="1280" w:dyaOrig="499">
          <v:shape id="_x0000_i1303" type="#_x0000_t75" style="width:63.55pt;height:24.8pt" o:ole="">
            <v:imagedata r:id="rId905" o:title=""/>
          </v:shape>
          <o:OLEObject Type="Embed" ProgID="Equation.DSMT4" ShapeID="_x0000_i1303" DrawAspect="Content" ObjectID="_1433920455" r:id="rId906"/>
        </w:object>
      </w:r>
      <w:r w:rsidRPr="00F87319">
        <w:rPr>
          <w:i/>
          <w:sz w:val="20"/>
        </w:rPr>
        <w:t>.</w:t>
      </w:r>
      <w:r w:rsidRPr="00F87319">
        <w:rPr>
          <w:sz w:val="20"/>
        </w:rPr>
        <w:t xml:space="preserve">  If the orbit was circular, the average </w:t>
      </w:r>
      <w:proofErr w:type="gramStart"/>
      <w:r w:rsidRPr="00F87319">
        <w:rPr>
          <w:sz w:val="20"/>
        </w:rPr>
        <w:t xml:space="preserve">of </w:t>
      </w:r>
      <w:proofErr w:type="gramEnd"/>
      <w:r w:rsidRPr="00F87319">
        <w:rPr>
          <w:position w:val="-10"/>
          <w:sz w:val="20"/>
        </w:rPr>
        <w:object w:dxaOrig="880" w:dyaOrig="340">
          <v:shape id="_x0000_i1304" type="#_x0000_t75" style="width:44.15pt;height:17.55pt" o:ole="">
            <v:imagedata r:id="rId907" o:title=""/>
          </v:shape>
          <o:OLEObject Type="Embed" ProgID="Equation.DSMT4" ShapeID="_x0000_i1304" DrawAspect="Content" ObjectID="_1433920456" r:id="rId908"/>
        </w:object>
      </w:r>
      <w:r w:rsidRPr="00F87319">
        <w:rPr>
          <w:sz w:val="20"/>
        </w:rPr>
        <w:t xml:space="preserve">, while the average of </w:t>
      </w:r>
      <w:r w:rsidRPr="00F87319">
        <w:rPr>
          <w:position w:val="-10"/>
          <w:sz w:val="20"/>
        </w:rPr>
        <w:object w:dxaOrig="960" w:dyaOrig="340">
          <v:shape id="_x0000_i1305" type="#_x0000_t75" style="width:47.8pt;height:17.55pt" o:ole="">
            <v:imagedata r:id="rId909" o:title=""/>
          </v:shape>
          <o:OLEObject Type="Embed" ProgID="Equation.DSMT4" ShapeID="_x0000_i1305" DrawAspect="Content" ObjectID="_1433920457" r:id="rId910"/>
        </w:object>
      </w:r>
      <w:r w:rsidRPr="00F87319">
        <w:rPr>
          <w:sz w:val="20"/>
        </w:rPr>
        <w:t>.  If we deal with elliptical orbits, the additional dependence on eccentricity becomes relevant.  If we now substitute these results back into (78) and simplify by using Kepler’s law for elliptical motion that states that</w:t>
      </w:r>
      <w:r w:rsidRPr="00F87319">
        <w:rPr>
          <w:position w:val="-8"/>
          <w:sz w:val="20"/>
        </w:rPr>
        <w:object w:dxaOrig="720" w:dyaOrig="320">
          <v:shape id="_x0000_i1306" type="#_x0000_t75" style="width:36.3pt;height:15.75pt" o:ole="">
            <v:imagedata r:id="rId911" o:title=""/>
          </v:shape>
          <o:OLEObject Type="Embed" ProgID="Equation.DSMT4" ShapeID="_x0000_i1306" DrawAspect="Content" ObjectID="_1433920458" r:id="rId912"/>
        </w:object>
      </w:r>
      <w:r w:rsidRPr="00F87319">
        <w:rPr>
          <w:sz w:val="20"/>
        </w:rPr>
        <w:t>, we arrive at the final formula for perihelion motion, namely that the secular change in perihelion longitude is given by</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sz w:val="20"/>
        </w:rPr>
      </w:pPr>
      <w:r w:rsidRPr="00F87319">
        <w:rPr>
          <w:sz w:val="20"/>
        </w:rPr>
        <w:tab/>
      </w:r>
      <w:r w:rsidRPr="00F87319">
        <w:rPr>
          <w:position w:val="-36"/>
          <w:sz w:val="20"/>
        </w:rPr>
        <w:object w:dxaOrig="1860" w:dyaOrig="660">
          <v:shape id="_x0000_i1307" type="#_x0000_t75" style="width:93.2pt;height:33.3pt" o:ole="">
            <v:imagedata r:id="rId913" o:title=""/>
          </v:shape>
          <o:OLEObject Type="Embed" ProgID="Equation.DSMT4" ShapeID="_x0000_i1307" DrawAspect="Content" ObjectID="_1433920459" r:id="rId914"/>
        </w:object>
      </w:r>
      <w:r w:rsidRPr="00F87319">
        <w:rPr>
          <w:sz w:val="20"/>
        </w:rPr>
        <w:t xml:space="preserve"> .</w:t>
      </w:r>
      <w:r w:rsidRPr="00F87319">
        <w:rPr>
          <w:sz w:val="20"/>
        </w:rPr>
        <w:tab/>
      </w:r>
      <w:r w:rsidRPr="00F87319">
        <w:rPr>
          <w:sz w:val="20"/>
        </w:rPr>
        <w:tab/>
      </w:r>
      <w:r w:rsidRPr="00F87319">
        <w:rPr>
          <w:sz w:val="20"/>
        </w:rPr>
        <w:tab/>
      </w:r>
      <w:r w:rsidRPr="00F87319">
        <w:rPr>
          <w:sz w:val="20"/>
        </w:rPr>
        <w:tab/>
      </w:r>
      <w:r w:rsidRPr="00F87319">
        <w:rPr>
          <w:sz w:val="20"/>
        </w:rPr>
        <w:tab/>
      </w:r>
      <w:r w:rsidRPr="00F87319">
        <w:rPr>
          <w:i/>
          <w:sz w:val="20"/>
        </w:rPr>
        <w:t>(79)</w:t>
      </w:r>
    </w:p>
    <w:p w:rsidR="006D41BD" w:rsidRPr="00F87319" w:rsidRDefault="006D41BD" w:rsidP="006D41BD">
      <w:pPr>
        <w:pStyle w:val="NormPara"/>
        <w:ind w:firstLine="0"/>
        <w:rPr>
          <w:sz w:val="20"/>
        </w:rPr>
      </w:pPr>
    </w:p>
    <w:p w:rsidR="006D41BD" w:rsidRPr="00F87319" w:rsidRDefault="006D41BD" w:rsidP="006D41BD">
      <w:pPr>
        <w:pStyle w:val="NormPara"/>
        <w:ind w:firstLine="0"/>
        <w:rPr>
          <w:sz w:val="20"/>
        </w:rPr>
      </w:pPr>
      <w:r w:rsidRPr="00F87319">
        <w:rPr>
          <w:sz w:val="20"/>
        </w:rPr>
        <w:t xml:space="preserve">The final equality of </w:t>
      </w:r>
      <w:r w:rsidRPr="00F87319">
        <w:rPr>
          <w:i/>
          <w:sz w:val="20"/>
        </w:rPr>
        <w:t>3N</w:t>
      </w:r>
      <w:r w:rsidRPr="00F87319">
        <w:rPr>
          <w:sz w:val="20"/>
        </w:rPr>
        <w:t xml:space="preserve"> comes from (65), which is equivalent to Danby’s Eq. (4.5.7).  When the numerical values of the various parameters are inserted in (79), the quantity </w:t>
      </w:r>
      <w:r w:rsidRPr="00F87319">
        <w:rPr>
          <w:i/>
          <w:sz w:val="20"/>
        </w:rPr>
        <w:t>3N</w:t>
      </w:r>
      <w:r w:rsidRPr="00F87319">
        <w:rPr>
          <w:sz w:val="20"/>
        </w:rPr>
        <w:t xml:space="preserve"> equals 42.98” per century, well within the 1% measurement error mentioned by Van Flandern [59].</w:t>
      </w:r>
    </w:p>
    <w:p w:rsidR="006D41BD" w:rsidRPr="00F87319" w:rsidRDefault="006D41BD" w:rsidP="006D41BD">
      <w:pPr>
        <w:pStyle w:val="NormPara"/>
        <w:ind w:firstLine="0"/>
        <w:rPr>
          <w:sz w:val="20"/>
        </w:rPr>
      </w:pPr>
    </w:p>
    <w:p w:rsidR="006D41BD" w:rsidRPr="00F87319" w:rsidRDefault="006D41BD" w:rsidP="006D41BD">
      <w:pPr>
        <w:pStyle w:val="NormPara"/>
        <w:ind w:firstLine="720"/>
        <w:rPr>
          <w:sz w:val="20"/>
        </w:rPr>
      </w:pPr>
      <w:r w:rsidRPr="00F87319">
        <w:rPr>
          <w:sz w:val="20"/>
        </w:rPr>
        <w:t>This present result comes solely from the slowing factor presented here and can be derived exactly.  By contrast, the GR result comes from juggling three different components using Riemannian geometry and elaborate tensor calculus.  Under these circumstances, it appears that the predictions of GR can be reproduced more cleanly by considering a scenario based on the action of the ZPE.  This is the fourth major prediction of Relativity that the SED approach has reproduced simply using the presence of a real ZPE.</w:t>
      </w:r>
    </w:p>
    <w:p w:rsidR="006D41BD" w:rsidRPr="00F87319" w:rsidRDefault="006D41BD" w:rsidP="006D41BD">
      <w:pPr>
        <w:pStyle w:val="NormPara"/>
        <w:ind w:firstLine="274"/>
        <w:rPr>
          <w:sz w:val="20"/>
        </w:rPr>
      </w:pPr>
      <w:r w:rsidRPr="00F87319">
        <w:rPr>
          <w:sz w:val="20"/>
        </w:rPr>
        <w:t xml:space="preserve">  </w:t>
      </w: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“Frame Dragging”</w:t>
      </w:r>
    </w:p>
    <w:p w:rsidR="006D41BD" w:rsidRPr="00F87319" w:rsidRDefault="006D41BD" w:rsidP="006D41BD">
      <w:pPr>
        <w:pStyle w:val="ListParagraph"/>
        <w:spacing w:before="120" w:after="120" w:line="240" w:lineRule="atLeast"/>
        <w:ind w:left="274"/>
        <w:jc w:val="both"/>
        <w:outlineLvl w:val="0"/>
        <w:rPr>
          <w:rFonts w:ascii="Book Antiqua" w:hAnsi="Book Antiqua"/>
          <w:b/>
          <w:sz w:val="20"/>
        </w:rPr>
      </w:pPr>
    </w:p>
    <w:p w:rsidR="00992BB4" w:rsidRDefault="006D41BD" w:rsidP="00992BB4">
      <w:pPr>
        <w:pStyle w:val="NormPara"/>
        <w:ind w:firstLine="720"/>
        <w:rPr>
          <w:bCs/>
          <w:iCs/>
          <w:color w:val="000000"/>
          <w:sz w:val="20"/>
        </w:rPr>
      </w:pPr>
      <w:r w:rsidRPr="00F87319">
        <w:rPr>
          <w:bCs/>
          <w:iCs/>
          <w:color w:val="000000"/>
          <w:sz w:val="20"/>
        </w:rPr>
        <w:t xml:space="preserve">General Relativity predicts a number of other more minor effects.  One which has recently been verified as actually occurring is called </w:t>
      </w:r>
      <w:r w:rsidR="00992BB4">
        <w:rPr>
          <w:bCs/>
          <w:iCs/>
          <w:color w:val="000000"/>
          <w:sz w:val="20"/>
        </w:rPr>
        <w:t>“</w:t>
      </w:r>
      <w:r w:rsidRPr="00F87319">
        <w:rPr>
          <w:bCs/>
          <w:iCs/>
          <w:color w:val="000000"/>
          <w:sz w:val="20"/>
        </w:rPr>
        <w:t>frame dragging.</w:t>
      </w:r>
      <w:r w:rsidR="00992BB4">
        <w:rPr>
          <w:bCs/>
          <w:iCs/>
          <w:color w:val="000000"/>
          <w:sz w:val="20"/>
        </w:rPr>
        <w:t>” It may be explained this way. When you see a spinning top, the spin axis – the</w:t>
      </w:r>
      <w:r w:rsidR="00327C28">
        <w:rPr>
          <w:bCs/>
          <w:iCs/>
          <w:color w:val="000000"/>
          <w:sz w:val="20"/>
        </w:rPr>
        <w:t xml:space="preserve"> center of the uppermost part of the top </w:t>
      </w:r>
      <w:r w:rsidR="00992BB4">
        <w:rPr>
          <w:bCs/>
          <w:iCs/>
          <w:color w:val="000000"/>
          <w:sz w:val="20"/>
        </w:rPr>
        <w:t xml:space="preserve">– traces a circle if the spinning top is given a slight push.  It does not stay strictly vertical.  This motion of the spin axis is called precession.  In a strong gravitational field, we see the same thing happening to smaller spinning objects in space.  </w:t>
      </w:r>
      <w:r w:rsidR="00992BB4" w:rsidRPr="00F87319">
        <w:rPr>
          <w:bCs/>
          <w:iCs/>
          <w:color w:val="000000"/>
          <w:sz w:val="20"/>
        </w:rPr>
        <w:t xml:space="preserve">In other words, when a small, spinning object is in orbit about another </w:t>
      </w:r>
      <w:r w:rsidR="00992BB4" w:rsidRPr="00F87319">
        <w:rPr>
          <w:bCs/>
          <w:iCs/>
          <w:color w:val="000000"/>
          <w:sz w:val="20"/>
        </w:rPr>
        <w:lastRenderedPageBreak/>
        <w:t xml:space="preserve">massive object, a small torque is generated which causes the spin axis of the rotating body to precess. </w:t>
      </w:r>
      <w:r w:rsidR="00992BB4">
        <w:rPr>
          <w:bCs/>
          <w:iCs/>
          <w:color w:val="000000"/>
          <w:sz w:val="20"/>
        </w:rPr>
        <w:t xml:space="preserve">This is referred to as “frame dragging.”  </w:t>
      </w:r>
    </w:p>
    <w:p w:rsidR="00992BB4" w:rsidRDefault="00992BB4" w:rsidP="00992BB4">
      <w:pPr>
        <w:pStyle w:val="NormPara"/>
        <w:ind w:firstLine="720"/>
        <w:rPr>
          <w:bCs/>
          <w:iCs/>
          <w:color w:val="000000"/>
          <w:sz w:val="20"/>
        </w:rPr>
      </w:pPr>
    </w:p>
    <w:p w:rsidR="00992BB4" w:rsidRDefault="00992BB4" w:rsidP="00992BB4">
      <w:pPr>
        <w:pStyle w:val="NormPara"/>
        <w:ind w:firstLine="720"/>
        <w:rPr>
          <w:bCs/>
          <w:iCs/>
          <w:color w:val="000000"/>
          <w:sz w:val="20"/>
        </w:rPr>
      </w:pPr>
      <w:r>
        <w:rPr>
          <w:bCs/>
          <w:iCs/>
          <w:color w:val="000000"/>
          <w:sz w:val="20"/>
        </w:rPr>
        <w:t>This motion is predicted by General Relativity. It</w:t>
      </w:r>
      <w:r w:rsidRPr="00F87319">
        <w:rPr>
          <w:bCs/>
          <w:iCs/>
          <w:color w:val="000000"/>
          <w:sz w:val="20"/>
        </w:rPr>
        <w:t xml:space="preserve"> is also called the Lense-Thirring effect after the two physicists who noticed this outcome of Einstein’s equations</w:t>
      </w:r>
      <w:r>
        <w:rPr>
          <w:bCs/>
          <w:iCs/>
          <w:color w:val="000000"/>
          <w:sz w:val="20"/>
        </w:rPr>
        <w:t xml:space="preserve"> in 1918</w:t>
      </w:r>
      <w:r w:rsidRPr="00F87319">
        <w:rPr>
          <w:bCs/>
          <w:iCs/>
          <w:color w:val="000000"/>
          <w:sz w:val="20"/>
        </w:rPr>
        <w:t>.</w:t>
      </w:r>
      <w:r>
        <w:rPr>
          <w:bCs/>
          <w:iCs/>
          <w:color w:val="000000"/>
          <w:sz w:val="20"/>
        </w:rPr>
        <w:t xml:space="preserve"> In 1960, Schiff proposed testing for the effect using orbiting gyroscopes. </w:t>
      </w:r>
      <w:r w:rsidRPr="00F87319">
        <w:rPr>
          <w:bCs/>
          <w:iCs/>
          <w:color w:val="000000"/>
          <w:sz w:val="20"/>
        </w:rPr>
        <w:t xml:space="preserve">The technical GR definition </w:t>
      </w:r>
      <w:r>
        <w:rPr>
          <w:bCs/>
          <w:iCs/>
          <w:color w:val="000000"/>
          <w:sz w:val="20"/>
        </w:rPr>
        <w:t>states</w:t>
      </w:r>
      <w:r w:rsidRPr="00F87319">
        <w:rPr>
          <w:bCs/>
          <w:iCs/>
          <w:color w:val="000000"/>
          <w:sz w:val="20"/>
        </w:rPr>
        <w:t xml:space="preserve"> </w:t>
      </w:r>
      <w:r>
        <w:rPr>
          <w:bCs/>
          <w:iCs/>
          <w:color w:val="000000"/>
          <w:sz w:val="20"/>
        </w:rPr>
        <w:t xml:space="preserve">that </w:t>
      </w:r>
      <w:r w:rsidRPr="00F87319">
        <w:rPr>
          <w:bCs/>
          <w:iCs/>
          <w:color w:val="000000"/>
          <w:sz w:val="20"/>
        </w:rPr>
        <w:t xml:space="preserve">this effect </w:t>
      </w:r>
      <w:r>
        <w:rPr>
          <w:bCs/>
          <w:iCs/>
          <w:color w:val="000000"/>
          <w:sz w:val="20"/>
        </w:rPr>
        <w:t xml:space="preserve">occurs </w:t>
      </w:r>
      <w:r w:rsidRPr="00F87319">
        <w:rPr>
          <w:bCs/>
          <w:iCs/>
          <w:color w:val="000000"/>
          <w:sz w:val="20"/>
        </w:rPr>
        <w:t xml:space="preserve">when the </w:t>
      </w:r>
      <w:r w:rsidRPr="00A671E2">
        <w:rPr>
          <w:bCs/>
          <w:i/>
          <w:iCs/>
          <w:color w:val="000000"/>
          <w:sz w:val="20"/>
        </w:rPr>
        <w:t>“inertial frame for the axis of a rotating body is dragged by the curvature of space-time.”</w:t>
      </w:r>
      <w:r w:rsidRPr="00F87319">
        <w:rPr>
          <w:bCs/>
          <w:iCs/>
          <w:color w:val="000000"/>
          <w:sz w:val="20"/>
        </w:rPr>
        <w:t xml:space="preserve"> In GR, the curvature of space-time</w:t>
      </w:r>
      <w:r w:rsidR="00327C28">
        <w:rPr>
          <w:bCs/>
          <w:iCs/>
          <w:color w:val="000000"/>
          <w:sz w:val="20"/>
        </w:rPr>
        <w:t xml:space="preserve"> is caused by the presence of a mass; the </w:t>
      </w:r>
      <w:r w:rsidR="00DF24DE">
        <w:rPr>
          <w:bCs/>
          <w:iCs/>
          <w:color w:val="000000"/>
          <w:sz w:val="20"/>
        </w:rPr>
        <w:t>greater the mass is, t</w:t>
      </w:r>
      <w:r w:rsidR="00327C28">
        <w:rPr>
          <w:bCs/>
          <w:iCs/>
          <w:color w:val="000000"/>
          <w:sz w:val="20"/>
        </w:rPr>
        <w:t xml:space="preserve">he greater the curvature of space-time. </w:t>
      </w:r>
      <w:r w:rsidR="00DF24DE">
        <w:rPr>
          <w:bCs/>
          <w:iCs/>
          <w:color w:val="000000"/>
          <w:sz w:val="20"/>
        </w:rPr>
        <w:t xml:space="preserve">But space-time might </w:t>
      </w:r>
      <w:r w:rsidR="007E6DA9">
        <w:rPr>
          <w:bCs/>
          <w:iCs/>
          <w:color w:val="000000"/>
          <w:sz w:val="20"/>
        </w:rPr>
        <w:t xml:space="preserve">also </w:t>
      </w:r>
      <w:r w:rsidR="00DF24DE">
        <w:rPr>
          <w:bCs/>
          <w:iCs/>
          <w:color w:val="000000"/>
          <w:sz w:val="20"/>
        </w:rPr>
        <w:t>be considered to be “rubbery,”and so offer a resistance</w:t>
      </w:r>
      <w:r w:rsidR="007E6DA9">
        <w:rPr>
          <w:bCs/>
          <w:iCs/>
          <w:color w:val="000000"/>
          <w:sz w:val="20"/>
        </w:rPr>
        <w:t>,</w:t>
      </w:r>
      <w:r w:rsidR="00DF24DE">
        <w:rPr>
          <w:bCs/>
          <w:iCs/>
          <w:color w:val="000000"/>
          <w:sz w:val="20"/>
        </w:rPr>
        <w:t xml:space="preserve"> or ‘drag</w:t>
      </w:r>
      <w:r w:rsidR="007E6DA9">
        <w:rPr>
          <w:bCs/>
          <w:iCs/>
          <w:color w:val="000000"/>
          <w:sz w:val="20"/>
        </w:rPr>
        <w:t>,</w:t>
      </w:r>
      <w:r w:rsidR="00DF24DE">
        <w:rPr>
          <w:bCs/>
          <w:iCs/>
          <w:color w:val="000000"/>
          <w:sz w:val="20"/>
        </w:rPr>
        <w:t xml:space="preserve">’ or torque to the object spinning in its gravitational field. This causes the axis of this object to precess. The larger the massive object, the </w:t>
      </w:r>
      <w:r w:rsidRPr="00F87319">
        <w:rPr>
          <w:bCs/>
          <w:iCs/>
          <w:color w:val="000000"/>
          <w:sz w:val="20"/>
        </w:rPr>
        <w:t>greater the frame dragging (</w:t>
      </w:r>
      <w:r w:rsidR="00DF24DE">
        <w:rPr>
          <w:bCs/>
          <w:iCs/>
          <w:color w:val="000000"/>
          <w:sz w:val="20"/>
        </w:rPr>
        <w:t xml:space="preserve">and hence </w:t>
      </w:r>
      <w:r w:rsidRPr="00F87319">
        <w:rPr>
          <w:sz w:val="20"/>
        </w:rPr>
        <w:t>precession</w:t>
      </w:r>
      <w:r w:rsidRPr="00F87319">
        <w:rPr>
          <w:bCs/>
          <w:iCs/>
          <w:color w:val="000000"/>
          <w:sz w:val="20"/>
        </w:rPr>
        <w:t>) effect</w:t>
      </w:r>
    </w:p>
    <w:p w:rsidR="007E6DA9" w:rsidRDefault="007E6DA9"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However, </w:t>
      </w:r>
      <w:r w:rsidRPr="00F87319">
        <w:rPr>
          <w:sz w:val="20"/>
        </w:rPr>
        <w:t>exactly</w:t>
      </w:r>
      <w:r w:rsidRPr="00F87319">
        <w:rPr>
          <w:bCs/>
          <w:iCs/>
          <w:color w:val="000000"/>
          <w:sz w:val="20"/>
        </w:rPr>
        <w:t xml:space="preserve"> the same effect occurs with the ZPE.  Instead of the words </w:t>
      </w:r>
      <w:r w:rsidRPr="00A671E2">
        <w:rPr>
          <w:bCs/>
          <w:i/>
          <w:iCs/>
          <w:color w:val="000000"/>
          <w:sz w:val="20"/>
        </w:rPr>
        <w:t>“curvature of space-time”</w:t>
      </w:r>
      <w:r w:rsidRPr="00A671E2">
        <w:rPr>
          <w:bCs/>
          <w:iCs/>
          <w:color w:val="000000"/>
          <w:sz w:val="20"/>
        </w:rPr>
        <w:t>,</w:t>
      </w:r>
      <w:r w:rsidRPr="00F87319">
        <w:rPr>
          <w:bCs/>
          <w:iCs/>
          <w:color w:val="000000"/>
          <w:sz w:val="20"/>
        </w:rPr>
        <w:t xml:space="preserve"> we can substitute the words </w:t>
      </w:r>
      <w:r w:rsidRPr="00A671E2">
        <w:rPr>
          <w:bCs/>
          <w:i/>
          <w:iCs/>
          <w:color w:val="000000"/>
          <w:sz w:val="20"/>
        </w:rPr>
        <w:t>“ZPE strength</w:t>
      </w:r>
      <w:r w:rsidR="007E6DA9">
        <w:rPr>
          <w:bCs/>
          <w:i/>
          <w:iCs/>
          <w:color w:val="000000"/>
          <w:sz w:val="20"/>
        </w:rPr>
        <w:t>.</w:t>
      </w:r>
      <w:r w:rsidRPr="00A671E2">
        <w:rPr>
          <w:bCs/>
          <w:i/>
          <w:iCs/>
          <w:color w:val="000000"/>
          <w:sz w:val="20"/>
        </w:rPr>
        <w:t>”</w:t>
      </w:r>
      <w:r w:rsidRPr="00F87319">
        <w:rPr>
          <w:bCs/>
          <w:iCs/>
          <w:color w:val="000000"/>
          <w:sz w:val="20"/>
        </w:rPr>
        <w:t xml:space="preserve"> The more massive the body, the stronger the ZPE </w:t>
      </w:r>
      <w:r w:rsidR="007E6DA9">
        <w:rPr>
          <w:bCs/>
          <w:iCs/>
          <w:color w:val="000000"/>
          <w:sz w:val="20"/>
        </w:rPr>
        <w:t xml:space="preserve">will be locally </w:t>
      </w:r>
      <w:r w:rsidRPr="00F87319">
        <w:rPr>
          <w:bCs/>
          <w:iCs/>
          <w:color w:val="000000"/>
          <w:sz w:val="20"/>
        </w:rPr>
        <w:t>due to secondary radiation emitted by the</w:t>
      </w:r>
      <w:r>
        <w:rPr>
          <w:bCs/>
          <w:iCs/>
          <w:color w:val="000000"/>
          <w:sz w:val="20"/>
        </w:rPr>
        <w:t>se</w:t>
      </w:r>
      <w:r w:rsidRPr="00F87319">
        <w:rPr>
          <w:bCs/>
          <w:iCs/>
          <w:color w:val="000000"/>
          <w:sz w:val="20"/>
        </w:rPr>
        <w:t xml:space="preserve"> oscillating charges.  The small spinning body is </w:t>
      </w:r>
      <w:r>
        <w:rPr>
          <w:bCs/>
          <w:iCs/>
          <w:color w:val="000000"/>
          <w:sz w:val="20"/>
        </w:rPr>
        <w:t xml:space="preserve">then </w:t>
      </w:r>
      <w:r w:rsidRPr="00F87319">
        <w:rPr>
          <w:bCs/>
          <w:iCs/>
          <w:color w:val="000000"/>
          <w:sz w:val="20"/>
        </w:rPr>
        <w:t>moving through the medium of the ZPE as it orbits the massive object</w:t>
      </w:r>
      <w:r>
        <w:rPr>
          <w:bCs/>
          <w:iCs/>
          <w:color w:val="000000"/>
          <w:sz w:val="20"/>
        </w:rPr>
        <w:t>.</w:t>
      </w:r>
      <w:r w:rsidRPr="00F87319">
        <w:rPr>
          <w:bCs/>
          <w:iCs/>
          <w:color w:val="000000"/>
          <w:sz w:val="20"/>
        </w:rPr>
        <w:t xml:space="preserve"> </w:t>
      </w:r>
      <w:r>
        <w:rPr>
          <w:bCs/>
          <w:iCs/>
          <w:color w:val="000000"/>
          <w:sz w:val="20"/>
        </w:rPr>
        <w:t xml:space="preserve">The </w:t>
      </w:r>
      <w:r w:rsidR="00075F78">
        <w:rPr>
          <w:bCs/>
          <w:iCs/>
          <w:color w:val="000000"/>
          <w:sz w:val="20"/>
        </w:rPr>
        <w:t xml:space="preserve">large amount of </w:t>
      </w:r>
      <w:r>
        <w:rPr>
          <w:bCs/>
          <w:iCs/>
          <w:color w:val="000000"/>
          <w:sz w:val="20"/>
        </w:rPr>
        <w:t>secondary radiation</w:t>
      </w:r>
      <w:r w:rsidRPr="00F87319">
        <w:rPr>
          <w:bCs/>
          <w:iCs/>
          <w:color w:val="000000"/>
          <w:sz w:val="20"/>
        </w:rPr>
        <w:t xml:space="preserve"> means that the number of virtual particles in a given volume is correspondingly larger</w:t>
      </w:r>
      <w:r w:rsidR="007E6DA9">
        <w:rPr>
          <w:bCs/>
          <w:iCs/>
          <w:color w:val="000000"/>
          <w:sz w:val="20"/>
        </w:rPr>
        <w:t xml:space="preserve">. </w:t>
      </w:r>
      <w:r w:rsidRPr="00F87319">
        <w:rPr>
          <w:bCs/>
          <w:iCs/>
          <w:color w:val="000000"/>
          <w:sz w:val="20"/>
        </w:rPr>
        <w:t xml:space="preserve">As a result, the small spinning body in its orbit is moving ballistically through this thick cloud of virtual particles.  </w:t>
      </w:r>
      <w:r>
        <w:rPr>
          <w:bCs/>
          <w:iCs/>
          <w:color w:val="000000"/>
          <w:sz w:val="20"/>
        </w:rPr>
        <w:t>They</w:t>
      </w:r>
      <w:r w:rsidRPr="00F87319">
        <w:rPr>
          <w:bCs/>
          <w:iCs/>
          <w:color w:val="000000"/>
          <w:sz w:val="20"/>
        </w:rPr>
        <w:t xml:space="preserve"> generate a resistance which is equivalent to a small torque.  The effect of this torque is to cause a precession of the spin axis of the smaller object, in the same way that a small torque applied to a spinning top will cause it to precess.</w:t>
      </w:r>
    </w:p>
    <w:p w:rsidR="00992BB4" w:rsidRPr="00F87319" w:rsidRDefault="00992BB4" w:rsidP="00992BB4">
      <w:pPr>
        <w:pStyle w:val="NormPara"/>
        <w:ind w:firstLine="72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An experiment was done with the </w:t>
      </w:r>
      <w:r w:rsidRPr="00F87319">
        <w:rPr>
          <w:sz w:val="20"/>
        </w:rPr>
        <w:t>Gravity</w:t>
      </w:r>
      <w:r w:rsidRPr="00F87319">
        <w:rPr>
          <w:bCs/>
          <w:iCs/>
          <w:color w:val="000000"/>
          <w:sz w:val="20"/>
        </w:rPr>
        <w:t xml:space="preserve"> Probe B in polar orbit.  </w:t>
      </w:r>
      <w:r>
        <w:rPr>
          <w:bCs/>
          <w:iCs/>
          <w:color w:val="000000"/>
          <w:sz w:val="20"/>
        </w:rPr>
        <w:t>T</w:t>
      </w:r>
      <w:r w:rsidRPr="00F87319">
        <w:rPr>
          <w:bCs/>
          <w:iCs/>
          <w:color w:val="000000"/>
          <w:sz w:val="20"/>
        </w:rPr>
        <w:t xml:space="preserve">he space craft’s gyroscopes </w:t>
      </w:r>
      <w:r>
        <w:rPr>
          <w:bCs/>
          <w:iCs/>
          <w:color w:val="000000"/>
          <w:sz w:val="20"/>
        </w:rPr>
        <w:t xml:space="preserve">were </w:t>
      </w:r>
      <w:r w:rsidRPr="00F87319">
        <w:rPr>
          <w:bCs/>
          <w:iCs/>
          <w:color w:val="000000"/>
          <w:sz w:val="20"/>
        </w:rPr>
        <w:t xml:space="preserve">aligned to point precisely at the star IM Pegasi (HR 8703).  The deviations of the </w:t>
      </w:r>
      <w:r w:rsidRPr="00F87319">
        <w:rPr>
          <w:bCs/>
          <w:iCs/>
          <w:sz w:val="20"/>
        </w:rPr>
        <w:t>gyroscopes, due to precession, were noted.  The results were announced in June 2011 by C. W. F. Everitt et al [65].  The results agreed with GR theory to within 10%.  The LARES satellite, launched 13 February 2012, is</w:t>
      </w:r>
      <w:r w:rsidRPr="00F87319">
        <w:rPr>
          <w:bCs/>
          <w:iCs/>
          <w:color w:val="000000"/>
          <w:sz w:val="20"/>
        </w:rPr>
        <w:t xml:space="preserve"> hoped to give results to within 1%, though this accuracy may not be attained.</w:t>
      </w:r>
    </w:p>
    <w:p w:rsidR="00992BB4" w:rsidRPr="00F87319" w:rsidRDefault="00992BB4" w:rsidP="00992BB4">
      <w:pPr>
        <w:pStyle w:val="NormPara"/>
        <w:ind w:firstLine="270"/>
        <w:rPr>
          <w:bCs/>
          <w:iCs/>
          <w:color w:val="000000"/>
          <w:sz w:val="20"/>
        </w:rPr>
      </w:pPr>
    </w:p>
    <w:p w:rsidR="00992BB4" w:rsidRPr="00F87319" w:rsidRDefault="00992BB4" w:rsidP="00992BB4">
      <w:pPr>
        <w:pStyle w:val="NormPara"/>
        <w:ind w:firstLine="720"/>
        <w:rPr>
          <w:bCs/>
          <w:iCs/>
          <w:color w:val="000000"/>
          <w:sz w:val="20"/>
        </w:rPr>
      </w:pPr>
      <w:r w:rsidRPr="00F87319">
        <w:rPr>
          <w:bCs/>
          <w:iCs/>
          <w:color w:val="000000"/>
          <w:sz w:val="20"/>
        </w:rPr>
        <w:t xml:space="preserve">These experimental results certainly confirm GR theory. However, </w:t>
      </w:r>
      <w:r w:rsidR="00075F78">
        <w:rPr>
          <w:bCs/>
          <w:iCs/>
          <w:color w:val="000000"/>
          <w:sz w:val="20"/>
        </w:rPr>
        <w:t xml:space="preserve">it also confirms </w:t>
      </w:r>
      <w:r w:rsidRPr="00F87319">
        <w:rPr>
          <w:bCs/>
          <w:iCs/>
          <w:color w:val="000000"/>
          <w:sz w:val="20"/>
        </w:rPr>
        <w:t>SED theory, usi</w:t>
      </w:r>
      <w:r w:rsidR="007E6DA9">
        <w:rPr>
          <w:bCs/>
          <w:iCs/>
          <w:color w:val="000000"/>
          <w:sz w:val="20"/>
        </w:rPr>
        <w:t>ng a real Zero Point Energy</w:t>
      </w:r>
      <w:r w:rsidR="00075F78">
        <w:rPr>
          <w:bCs/>
          <w:iCs/>
          <w:color w:val="000000"/>
          <w:sz w:val="20"/>
        </w:rPr>
        <w:t xml:space="preserve">. Furthermore it does so intuitively, </w:t>
      </w:r>
      <w:r w:rsidR="007E6DA9">
        <w:rPr>
          <w:bCs/>
          <w:iCs/>
          <w:color w:val="000000"/>
          <w:sz w:val="20"/>
        </w:rPr>
        <w:t>while</w:t>
      </w:r>
      <w:r w:rsidRPr="00F87319">
        <w:rPr>
          <w:bCs/>
          <w:iCs/>
          <w:color w:val="000000"/>
          <w:sz w:val="20"/>
        </w:rPr>
        <w:t xml:space="preserve"> avoid</w:t>
      </w:r>
      <w:r w:rsidR="007E6DA9">
        <w:rPr>
          <w:bCs/>
          <w:iCs/>
          <w:color w:val="000000"/>
          <w:sz w:val="20"/>
        </w:rPr>
        <w:t>ing</w:t>
      </w:r>
      <w:r w:rsidRPr="00F87319">
        <w:rPr>
          <w:bCs/>
          <w:iCs/>
          <w:color w:val="000000"/>
          <w:sz w:val="20"/>
        </w:rPr>
        <w:t xml:space="preserve"> the complicated dragging of </w:t>
      </w:r>
      <w:r>
        <w:rPr>
          <w:bCs/>
          <w:iCs/>
          <w:color w:val="000000"/>
          <w:sz w:val="20"/>
        </w:rPr>
        <w:t xml:space="preserve">a </w:t>
      </w:r>
      <w:r w:rsidRPr="00F87319">
        <w:rPr>
          <w:bCs/>
          <w:iCs/>
          <w:color w:val="000000"/>
          <w:sz w:val="20"/>
        </w:rPr>
        <w:t>rubbery space-time</w:t>
      </w:r>
      <w:r w:rsidR="00075F78">
        <w:rPr>
          <w:bCs/>
          <w:iCs/>
          <w:color w:val="000000"/>
          <w:sz w:val="20"/>
        </w:rPr>
        <w:t xml:space="preserve">. </w:t>
      </w:r>
      <w:r w:rsidRPr="00F87319">
        <w:rPr>
          <w:bCs/>
          <w:iCs/>
          <w:color w:val="000000"/>
          <w:sz w:val="20"/>
        </w:rPr>
        <w:t>This is a distinct advantage.</w:t>
      </w:r>
    </w:p>
    <w:p w:rsidR="006D41BD" w:rsidRPr="00F87319" w:rsidRDefault="006D41BD" w:rsidP="00992BB4">
      <w:pPr>
        <w:pStyle w:val="NormPara"/>
        <w:ind w:firstLine="720"/>
        <w:rPr>
          <w:bCs/>
          <w:iCs/>
          <w:color w:val="000000"/>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Gravitational Waves</w:t>
      </w:r>
    </w:p>
    <w:p w:rsidR="006D41BD" w:rsidRPr="00F87319" w:rsidRDefault="006D41BD" w:rsidP="006D41BD">
      <w:pPr>
        <w:pStyle w:val="NormPara"/>
        <w:ind w:firstLine="270"/>
        <w:rPr>
          <w:sz w:val="20"/>
        </w:rPr>
      </w:pPr>
    </w:p>
    <w:p w:rsidR="00833243" w:rsidRPr="00F87319" w:rsidRDefault="00833243" w:rsidP="00833243">
      <w:pPr>
        <w:pStyle w:val="NormPara"/>
        <w:ind w:firstLine="720"/>
        <w:rPr>
          <w:sz w:val="20"/>
        </w:rPr>
      </w:pPr>
      <w:r w:rsidRPr="00F87319">
        <w:rPr>
          <w:sz w:val="20"/>
        </w:rPr>
        <w:t xml:space="preserve">Our solar system is moving through space at about 12 miles per second (or 45,000 miles per hour) in the direction of Lamda Herculis.  This movement is rather like a boat on water.  In the same way that a boat has a bow shock-wave in front of it, so, too, </w:t>
      </w:r>
      <w:r>
        <w:rPr>
          <w:sz w:val="20"/>
        </w:rPr>
        <w:t>do the planets and sun in our solar system produce shock waves in their movements</w:t>
      </w:r>
      <w:r w:rsidRPr="00F87319">
        <w:rPr>
          <w:sz w:val="20"/>
        </w:rPr>
        <w:t xml:space="preserve">.  </w:t>
      </w:r>
      <w:r>
        <w:rPr>
          <w:sz w:val="20"/>
        </w:rPr>
        <w:t xml:space="preserve">As the Sun moves ‘forward,’ it </w:t>
      </w:r>
      <w:r w:rsidRPr="00F87319">
        <w:rPr>
          <w:sz w:val="20"/>
        </w:rPr>
        <w:t xml:space="preserve">effectively encounters more Zero Point Energy (ZPE) waves and the associated charged virtual particle pairs from this direction than if it had been at rest since it is “running into” them.  Thus the ZPE appears stronger in that direction than in the opposite direction.  Second, there will be a bow shock-wave from the additional ions and plasma particles that the </w:t>
      </w:r>
      <w:r>
        <w:rPr>
          <w:sz w:val="20"/>
        </w:rPr>
        <w:t xml:space="preserve">entire </w:t>
      </w:r>
      <w:r w:rsidRPr="00F87319">
        <w:rPr>
          <w:sz w:val="20"/>
        </w:rPr>
        <w:t>solar system encounters from that direction.  These ions and electrons will augment the charged virtual particle pairs that normally comprise the vacuum, and they, too, will make for a more “viscous” or “thicker” vacuum.</w:t>
      </w:r>
    </w:p>
    <w:p w:rsidR="00833243" w:rsidRPr="00F87319" w:rsidRDefault="00833243" w:rsidP="00833243">
      <w:pPr>
        <w:pStyle w:val="NormPara"/>
        <w:ind w:firstLine="720"/>
        <w:rPr>
          <w:sz w:val="20"/>
        </w:rPr>
      </w:pPr>
    </w:p>
    <w:p w:rsidR="00833243" w:rsidRPr="00F87319" w:rsidRDefault="00833243" w:rsidP="00833243">
      <w:pPr>
        <w:pStyle w:val="NormPara"/>
        <w:ind w:firstLine="720"/>
        <w:rPr>
          <w:sz w:val="20"/>
        </w:rPr>
      </w:pPr>
      <w:r w:rsidRPr="00F87319">
        <w:rPr>
          <w:sz w:val="20"/>
        </w:rPr>
        <w:t>The “bow waves” generated by the solar system motion through the virtual particle pairs inhabiting the vacuum will have their smaller counterparts with any orbiting body.  Since the waves are occurring in charged particles which are set in motion, these waves are effectively electromagnetic waves, but they will be of long wavelength.  Since this type of wave is generated by all orbiting bodies, it is the ZPE counterpart to the gravitational waves which relativity considers to be “disturbances of space-time”.  In the ZPE model, the disturbance of space-time is simply a disturbance of virtual particle pairs and/or the waves of the ZPE.</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Cyclic Variations in Atomic Clocks</w:t>
      </w:r>
    </w:p>
    <w:p w:rsidR="006D41BD" w:rsidRPr="00F87319" w:rsidRDefault="006D41BD" w:rsidP="006D41BD">
      <w:pPr>
        <w:jc w:val="both"/>
        <w:rPr>
          <w:rFonts w:ascii="Book Antiqua" w:hAnsi="Book Antiqua"/>
          <w:color w:val="7030A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 xml:space="preserve">Pulsars are stars that send out electromagnetic pulses at very regular but extremely short intervals.  </w:t>
      </w:r>
      <w:r w:rsidRPr="004116F4">
        <w:rPr>
          <w:rFonts w:ascii="Book Antiqua" w:hAnsi="Book Antiqua"/>
          <w:sz w:val="20"/>
        </w:rPr>
        <w:t>In a paper published in 1995, Charles M Hill noted in his abstract that “</w:t>
      </w:r>
      <w:r w:rsidRPr="004116F4">
        <w:rPr>
          <w:rFonts w:ascii="Book Antiqua" w:hAnsi="Book Antiqua"/>
          <w:i/>
          <w:sz w:val="20"/>
        </w:rPr>
        <w:t>The pulse rates of some millisecond pulsars have long term stabilities that rival our best atomic clocks. Furthermore, the pulsars are not affected by the dynamics of our solar system, which produce cyclic variations in earth based atomic time standards</w:t>
      </w:r>
      <w:r w:rsidRPr="004116F4">
        <w:rPr>
          <w:rFonts w:ascii="Book Antiqua" w:hAnsi="Book Antiqua"/>
          <w:sz w:val="20"/>
        </w:rPr>
        <w:t xml:space="preserve">.” </w:t>
      </w:r>
      <w:r>
        <w:rPr>
          <w:rFonts w:ascii="Book Antiqua" w:hAnsi="Book Antiqua"/>
          <w:sz w:val="20"/>
        </w:rPr>
        <w:t>(</w:t>
      </w:r>
      <w:r w:rsidRPr="004116F4">
        <w:rPr>
          <w:rFonts w:ascii="Book Antiqua" w:hAnsi="Book Antiqua"/>
          <w:sz w:val="20"/>
        </w:rPr>
        <w:t>Problems posed by pulsars are discussed in Appendix D.</w:t>
      </w:r>
      <w:r>
        <w:rPr>
          <w:rFonts w:ascii="Book Antiqua" w:hAnsi="Book Antiqua"/>
          <w:sz w:val="20"/>
        </w:rPr>
        <w:t>)</w:t>
      </w:r>
      <w:r w:rsidRPr="004116F4">
        <w:rPr>
          <w:rFonts w:ascii="Book Antiqua" w:hAnsi="Book Antiqua"/>
          <w:sz w:val="20"/>
        </w:rPr>
        <w:t xml:space="preserve"> Hill goes on in his article to point out that the comparison between pulsars and atomic clocks shows </w:t>
      </w:r>
      <w:r w:rsidRPr="004116F4">
        <w:rPr>
          <w:rFonts w:ascii="Book Antiqua" w:hAnsi="Book Antiqua"/>
          <w:i/>
          <w:sz w:val="20"/>
        </w:rPr>
        <w:t>“... there is a diurnal variation about the average value … The cumulative effect produces an atomic clock reading that is “slow” by about 2.1 µs at 6 a.m. and “fast” by the same amount at 6 p.m. local time, and the effect can be significantly larger for atomic clocks aboard satellites. ... [the atomic] clock’s variable speed ... cycles daily with a small seasonal modulation</w:t>
      </w:r>
      <w:r w:rsidRPr="004116F4">
        <w:rPr>
          <w:rFonts w:ascii="Book Antiqua" w:hAnsi="Book Antiqua"/>
          <w:sz w:val="20"/>
        </w:rPr>
        <w:t>.” [66]</w:t>
      </w:r>
    </w:p>
    <w:p w:rsidR="00835830" w:rsidRPr="00F87319" w:rsidRDefault="00835830" w:rsidP="00835830">
      <w:pPr>
        <w:pStyle w:val="NoSpacing"/>
        <w:jc w:val="both"/>
        <w:rPr>
          <w:color w:val="7030A0"/>
        </w:rPr>
      </w:pPr>
    </w:p>
    <w:p w:rsidR="00835830" w:rsidRPr="005324A0" w:rsidRDefault="00835830" w:rsidP="00835830">
      <w:pPr>
        <w:pStyle w:val="NoSpacing"/>
        <w:ind w:firstLine="720"/>
        <w:jc w:val="both"/>
        <w:rPr>
          <w:rFonts w:ascii="Book Antiqua" w:hAnsi="Book Antiqua"/>
          <w:sz w:val="20"/>
        </w:rPr>
      </w:pPr>
      <w:r>
        <w:rPr>
          <w:rFonts w:ascii="Book Antiqua" w:hAnsi="Book Antiqua"/>
          <w:sz w:val="20"/>
        </w:rPr>
        <w:t>The explanation given in General Relativity is quite complicated.  In contrast, the</w:t>
      </w:r>
      <w:r w:rsidRPr="005324A0">
        <w:rPr>
          <w:rFonts w:ascii="Book Antiqua" w:hAnsi="Book Antiqua"/>
          <w:sz w:val="20"/>
        </w:rPr>
        <w:t xml:space="preserve"> explanation that the ZPE offers is </w:t>
      </w:r>
      <w:r>
        <w:rPr>
          <w:rFonts w:ascii="Book Antiqua" w:hAnsi="Book Antiqua"/>
          <w:sz w:val="20"/>
        </w:rPr>
        <w:t>not</w:t>
      </w:r>
      <w:r w:rsidRPr="005324A0">
        <w:rPr>
          <w:rFonts w:ascii="Book Antiqua" w:hAnsi="Book Antiqua"/>
          <w:sz w:val="20"/>
        </w:rPr>
        <w:t xml:space="preserve">. The presence of the ZPE dictates that there will be the manifestation of virtual particle pairs in the vacuum. The stronger the ZPE, the more particle pairs per unit volume flashing in and out of existence. </w:t>
      </w:r>
      <w:r>
        <w:rPr>
          <w:rFonts w:ascii="Book Antiqua" w:hAnsi="Book Antiqua"/>
          <w:sz w:val="20"/>
        </w:rPr>
        <w:t>In addition</w:t>
      </w:r>
      <w:r w:rsidRPr="005324A0">
        <w:rPr>
          <w:rFonts w:ascii="Book Antiqua" w:hAnsi="Book Antiqua"/>
          <w:sz w:val="20"/>
        </w:rPr>
        <w:t xml:space="preserve">, the stronger the ZPE, the more electromagnetic waves there are per unit volume. </w:t>
      </w:r>
      <w:r>
        <w:rPr>
          <w:rFonts w:ascii="Book Antiqua" w:hAnsi="Book Antiqua"/>
          <w:sz w:val="20"/>
        </w:rPr>
        <w:t>This means</w:t>
      </w:r>
      <w:r w:rsidRPr="005324A0">
        <w:rPr>
          <w:rFonts w:ascii="Book Antiqua" w:hAnsi="Book Antiqua"/>
          <w:sz w:val="20"/>
        </w:rPr>
        <w:t xml:space="preserve"> that as the earth</w:t>
      </w:r>
      <w:r>
        <w:rPr>
          <w:rFonts w:ascii="Book Antiqua" w:hAnsi="Book Antiqua"/>
          <w:sz w:val="20"/>
        </w:rPr>
        <w:t>,</w:t>
      </w:r>
      <w:r w:rsidRPr="005324A0">
        <w:rPr>
          <w:rFonts w:ascii="Book Antiqua" w:hAnsi="Book Antiqua"/>
          <w:sz w:val="20"/>
        </w:rPr>
        <w:t xml:space="preserve"> or any planet</w:t>
      </w:r>
      <w:r>
        <w:rPr>
          <w:rFonts w:ascii="Book Antiqua" w:hAnsi="Book Antiqua"/>
          <w:sz w:val="20"/>
        </w:rPr>
        <w:t>,</w:t>
      </w:r>
      <w:r w:rsidRPr="005324A0">
        <w:rPr>
          <w:rFonts w:ascii="Book Antiqua" w:hAnsi="Book Antiqua"/>
          <w:sz w:val="20"/>
        </w:rPr>
        <w:t xml:space="preserve"> moves in its orbit, it is effectively “running into” the ZPE waves and virtual particles, creating something like a bow-wave</w:t>
      </w:r>
      <w:r>
        <w:rPr>
          <w:rFonts w:ascii="Book Antiqua" w:hAnsi="Book Antiqua"/>
          <w:sz w:val="20"/>
        </w:rPr>
        <w:t>, as mentioned above</w:t>
      </w:r>
      <w:r w:rsidRPr="005324A0">
        <w:rPr>
          <w:rFonts w:ascii="Book Antiqua" w:hAnsi="Book Antiqua"/>
          <w:sz w:val="20"/>
        </w:rPr>
        <w:t xml:space="preserve">. In other words, the ZPE and virtual particle density is slightly higher on the leading edge of the planet in its orbit and is marginally lower on the trailing edge. The “denser” ZPE at the leading edge of the planet means that atomic clocks will be </w:t>
      </w:r>
      <w:r>
        <w:rPr>
          <w:rFonts w:ascii="Book Antiqua" w:hAnsi="Book Antiqua"/>
          <w:sz w:val="20"/>
        </w:rPr>
        <w:t xml:space="preserve">slightly </w:t>
      </w:r>
      <w:r w:rsidRPr="005324A0">
        <w:rPr>
          <w:rFonts w:ascii="Book Antiqua" w:hAnsi="Book Antiqua"/>
          <w:sz w:val="20"/>
        </w:rPr>
        <w:t>slowed against the pulsar standard, while the trailing edge will have a lower ZPE density and so atomic clocks</w:t>
      </w:r>
      <w:r>
        <w:rPr>
          <w:rFonts w:ascii="Book Antiqua" w:hAnsi="Book Antiqua"/>
          <w:sz w:val="20"/>
        </w:rPr>
        <w:t xml:space="preserve"> will run slightly faster</w:t>
      </w:r>
      <w:r w:rsidRPr="005324A0">
        <w:rPr>
          <w:rFonts w:ascii="Book Antiqua" w:hAnsi="Book Antiqua"/>
          <w:sz w:val="20"/>
        </w:rPr>
        <w:t xml:space="preserve">. </w:t>
      </w:r>
    </w:p>
    <w:p w:rsidR="00835830" w:rsidRDefault="00835830" w:rsidP="00835830">
      <w:pPr>
        <w:pStyle w:val="NoSpacing"/>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Pr>
          <w:rFonts w:ascii="Book Antiqua" w:hAnsi="Book Antiqua"/>
          <w:sz w:val="20"/>
        </w:rPr>
        <w:t>Anywhere on earth, a</w:t>
      </w:r>
      <w:r w:rsidRPr="004116F4">
        <w:rPr>
          <w:rFonts w:ascii="Book Antiqua" w:hAnsi="Book Antiqua"/>
          <w:sz w:val="20"/>
        </w:rPr>
        <w:t xml:space="preserve">t 6 a.m. local time, </w:t>
      </w:r>
      <w:r>
        <w:rPr>
          <w:rFonts w:ascii="Book Antiqua" w:hAnsi="Book Antiqua"/>
          <w:sz w:val="20"/>
        </w:rPr>
        <w:t>that part of earth is</w:t>
      </w:r>
      <w:r w:rsidRPr="004116F4">
        <w:rPr>
          <w:rFonts w:ascii="Book Antiqua" w:hAnsi="Book Antiqua"/>
          <w:sz w:val="20"/>
        </w:rPr>
        <w:t xml:space="preserve"> on the leading edge of its orbit and so the slightly denser ZPE means atomic clocks will be slower than normal. On the other hand, at the 6 p.m. side of the planet </w:t>
      </w:r>
      <w:r>
        <w:rPr>
          <w:rFonts w:ascii="Book Antiqua" w:hAnsi="Book Antiqua"/>
          <w:sz w:val="20"/>
        </w:rPr>
        <w:t>that area is on</w:t>
      </w:r>
      <w:r w:rsidRPr="004116F4">
        <w:rPr>
          <w:rFonts w:ascii="Book Antiqua" w:hAnsi="Book Antiqua"/>
          <w:sz w:val="20"/>
        </w:rPr>
        <w:t xml:space="preserve"> the trailing edge</w:t>
      </w:r>
      <w:r>
        <w:rPr>
          <w:rFonts w:ascii="Book Antiqua" w:hAnsi="Book Antiqua"/>
          <w:sz w:val="20"/>
        </w:rPr>
        <w:t>,</w:t>
      </w:r>
      <w:r w:rsidRPr="004116F4">
        <w:rPr>
          <w:rFonts w:ascii="Book Antiqua" w:hAnsi="Book Antiqua"/>
          <w:sz w:val="20"/>
        </w:rPr>
        <w:t xml:space="preserve"> with a lower ZPE density</w:t>
      </w:r>
      <w:r>
        <w:rPr>
          <w:rFonts w:ascii="Book Antiqua" w:hAnsi="Book Antiqua"/>
          <w:sz w:val="20"/>
        </w:rPr>
        <w:t>,</w:t>
      </w:r>
      <w:r w:rsidRPr="004116F4">
        <w:rPr>
          <w:rFonts w:ascii="Book Antiqua" w:hAnsi="Book Antiqua"/>
          <w:sz w:val="20"/>
        </w:rPr>
        <w:t xml:space="preserve"> and so the atomic clocks are marginally faster than the pulsar standard. This is what has been picked up and mentioned in Charles Hill’s article.</w:t>
      </w:r>
    </w:p>
    <w:p w:rsidR="00835830" w:rsidRPr="004116F4" w:rsidRDefault="00835830" w:rsidP="00835830">
      <w:pPr>
        <w:pStyle w:val="NoSpacing"/>
        <w:jc w:val="both"/>
        <w:rPr>
          <w:rFonts w:ascii="Book Antiqua" w:hAnsi="Book Antiqua"/>
          <w:sz w:val="20"/>
        </w:rPr>
      </w:pPr>
    </w:p>
    <w:p w:rsidR="00835830" w:rsidRPr="004116F4" w:rsidRDefault="00835830" w:rsidP="00835830">
      <w:pPr>
        <w:pStyle w:val="NoSpacing"/>
        <w:ind w:firstLine="720"/>
        <w:jc w:val="both"/>
        <w:rPr>
          <w:rFonts w:ascii="Book Antiqua" w:hAnsi="Book Antiqua"/>
          <w:sz w:val="20"/>
        </w:rPr>
      </w:pPr>
      <w:r w:rsidRPr="004116F4">
        <w:rPr>
          <w:rFonts w:ascii="Book Antiqua" w:hAnsi="Book Antiqua"/>
          <w:sz w:val="20"/>
        </w:rPr>
        <w:t xml:space="preserve">The article also mentioned the “small seasonal modulation.” This is expected due to the eccentricity of the earth’s orbit which means that, at perihelion, the earth is closer to the sun and hence in a slightly more dense ZPE medium. The earth and every planet </w:t>
      </w:r>
      <w:r>
        <w:rPr>
          <w:rFonts w:ascii="Book Antiqua" w:hAnsi="Book Antiqua"/>
          <w:sz w:val="20"/>
        </w:rPr>
        <w:t>are</w:t>
      </w:r>
      <w:r w:rsidRPr="004116F4">
        <w:rPr>
          <w:rFonts w:ascii="Book Antiqua" w:hAnsi="Book Antiqua"/>
          <w:sz w:val="20"/>
        </w:rPr>
        <w:t xml:space="preserve"> moving ballistically through this swarm of waves and particles that make up the vacuum. In the case of the earth, the denser ZPE closer to the sun means that the atomic clocks should be slightly slower in January than they are in July. There will also be an effect due to the direction of motion of the solar system as in one part of the year the earth will be leading the sun in this motion and in the other half it will be trailing. The final result on atomic clocks of orbital and solar system motion will be a combination of both motions. Some of this has been picked up by variations in the decay rates of a few short-half-life radioactive isotopes which are also a form of atomic clock.  </w:t>
      </w:r>
    </w:p>
    <w:p w:rsidR="006D41BD" w:rsidRPr="00F87319" w:rsidRDefault="006D41BD" w:rsidP="006D41BD">
      <w:pPr>
        <w:pStyle w:val="NormPara"/>
        <w:ind w:firstLine="720"/>
        <w:rPr>
          <w:sz w:val="20"/>
        </w:rPr>
      </w:pPr>
    </w:p>
    <w:p w:rsidR="006D41BD" w:rsidRPr="00F87319" w:rsidRDefault="006D41BD" w:rsidP="00252491">
      <w:pPr>
        <w:pStyle w:val="ListParagraph"/>
        <w:numPr>
          <w:ilvl w:val="0"/>
          <w:numId w:val="46"/>
        </w:numPr>
        <w:spacing w:before="120" w:after="120" w:line="240" w:lineRule="atLeast"/>
        <w:ind w:left="274" w:hanging="274"/>
        <w:jc w:val="both"/>
        <w:outlineLvl w:val="0"/>
        <w:rPr>
          <w:rFonts w:ascii="Book Antiqua" w:hAnsi="Book Antiqua"/>
          <w:b/>
          <w:sz w:val="20"/>
        </w:rPr>
      </w:pPr>
      <w:r w:rsidRPr="00F87319">
        <w:rPr>
          <w:rFonts w:ascii="Book Antiqua" w:hAnsi="Book Antiqua"/>
          <w:b/>
          <w:sz w:val="20"/>
        </w:rPr>
        <w:t>The Speed of Gravity</w:t>
      </w:r>
    </w:p>
    <w:p w:rsidR="00121E59" w:rsidRDefault="00121E59" w:rsidP="00121E59">
      <w:pPr>
        <w:pStyle w:val="yiv1214125739msonospacing"/>
        <w:ind w:firstLine="720"/>
        <w:jc w:val="both"/>
      </w:pPr>
      <w:r>
        <w:rPr>
          <w:rFonts w:ascii="Book Antiqua" w:hAnsi="Book Antiqua"/>
          <w:sz w:val="20"/>
          <w:szCs w:val="20"/>
        </w:rPr>
        <w:t xml:space="preserve">One important matter that arises in any discussion of this nature is the speed of gravity. According to Relativity, it is the same as the speed of light. However, Dr. Thomas Van Flandern pointed out some inconsistencies in that position [67]. In his analyses, he presented data which suggested that the speed of gravity is as high as </w:t>
      </w:r>
      <m:oMath>
        <m:r>
          <w:rPr>
            <w:rFonts w:ascii="Cambria Math" w:hAnsi="Cambria Math"/>
            <w:sz w:val="20"/>
            <w:szCs w:val="20"/>
          </w:rPr>
          <m:t xml:space="preserve">2 x </m:t>
        </m:r>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10</m:t>
            </m:r>
          </m:sup>
        </m:sSup>
        <m:r>
          <w:rPr>
            <w:rFonts w:ascii="Cambria Math" w:hAnsi="Cambria Math"/>
            <w:sz w:val="20"/>
            <w:szCs w:val="20"/>
          </w:rPr>
          <m:t xml:space="preserve"> </m:t>
        </m:r>
      </m:oMath>
      <w:r>
        <w:rPr>
          <w:rFonts w:ascii="Book Antiqua" w:hAnsi="Book Antiqua"/>
          <w:sz w:val="20"/>
          <w:szCs w:val="20"/>
        </w:rPr>
        <w:t xml:space="preserve"> times faster than the current speed of light. In the ZPE model, this suggested speed is close to the original speed of light. </w:t>
      </w:r>
    </w:p>
    <w:p w:rsidR="00121E59" w:rsidRDefault="00121E59" w:rsidP="00121E59">
      <w:pPr>
        <w:pStyle w:val="yiv1214125739msonospacing"/>
        <w:ind w:firstLine="720"/>
        <w:jc w:val="both"/>
      </w:pPr>
      <w:r>
        <w:rPr>
          <w:rFonts w:ascii="Book Antiqua" w:hAnsi="Book Antiqua"/>
          <w:sz w:val="20"/>
          <w:szCs w:val="20"/>
        </w:rPr>
        <w:t xml:space="preserve">It has been stated that General Relativity considers gravity waves to be “disturbances of space-time” or “ripples in space-time.” In a ZPE context, the disturbance of space-time is essentially a disturbance of charged virtual particle pairs and/or the waves of the ZPE. Because the particles in motion are charged, the resulting waves are electromagnetic waves, but they will be of long wavelength compared with most of the electromagnetic spectrum. </w:t>
      </w:r>
    </w:p>
    <w:p w:rsidR="0039145B" w:rsidRDefault="00121E59" w:rsidP="00121E59">
      <w:pPr>
        <w:pStyle w:val="yiv1214125739msonospacing"/>
        <w:ind w:firstLine="720"/>
        <w:jc w:val="both"/>
        <w:rPr>
          <w:rFonts w:ascii="Book Antiqua" w:hAnsi="Book Antiqua"/>
          <w:sz w:val="20"/>
          <w:szCs w:val="20"/>
        </w:rPr>
      </w:pPr>
      <w:r>
        <w:rPr>
          <w:rFonts w:ascii="Book Antiqua" w:hAnsi="Book Antiqua"/>
          <w:sz w:val="20"/>
          <w:szCs w:val="20"/>
        </w:rPr>
        <w:lastRenderedPageBreak/>
        <w:t>Long wavelengths can penetrate a fog of particles much more easily than short wavelengths. For example, astronomers use infra-red wavelengths to penetrate dense molecular clouds which are opaque to wavelengths in the visible range.</w:t>
      </w:r>
      <w:r w:rsidR="008744C2">
        <w:rPr>
          <w:rFonts w:ascii="Book Antiqua" w:hAnsi="Book Antiqua"/>
          <w:sz w:val="20"/>
          <w:szCs w:val="20"/>
        </w:rPr>
        <w:t xml:space="preserve"> Another example: m</w:t>
      </w:r>
      <w:r w:rsidR="0039145B">
        <w:rPr>
          <w:rFonts w:ascii="Book Antiqua" w:hAnsi="Book Antiqua"/>
          <w:sz w:val="20"/>
          <w:szCs w:val="20"/>
        </w:rPr>
        <w:t>otorists often use longer wave-length yellow lights to help them drive on foggy roads.</w:t>
      </w:r>
    </w:p>
    <w:p w:rsidR="00121E59" w:rsidRDefault="00121E59" w:rsidP="00121E59">
      <w:pPr>
        <w:pStyle w:val="yiv1214125739msonospacing"/>
        <w:ind w:firstLine="720"/>
        <w:jc w:val="both"/>
      </w:pPr>
      <w:r>
        <w:rPr>
          <w:rFonts w:ascii="Book Antiqua" w:hAnsi="Book Antiqua"/>
          <w:sz w:val="20"/>
          <w:szCs w:val="20"/>
        </w:rPr>
        <w:t xml:space="preserve"> In the present instance, the “fog” is made up of virtual particles. Visible light photons take time to negotiate this maze of virtual particles as they are absorbed and re-emitted by them. But the very long wavelengths associated with gravity waves may only have limited interaction. For that reason, they could be much faster than photons in the usual range of wavelengths from radio to gamma rays. Indeed, their speed might approximate to the original speed of light in the early days of our cosmos before the ZPE built up to its present strength. </w:t>
      </w: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w:t>
      </w:r>
    </w:p>
    <w:p w:rsidR="00BD495E" w:rsidRPr="00F87319" w:rsidRDefault="00BD495E" w:rsidP="006D41BD">
      <w:pPr>
        <w:pStyle w:val="NormPara"/>
        <w:ind w:firstLine="270"/>
        <w:rPr>
          <w:bCs/>
          <w:sz w:val="20"/>
        </w:rPr>
      </w:pPr>
    </w:p>
    <w:p w:rsidR="006D41BD" w:rsidRPr="00F87319" w:rsidRDefault="006D41BD" w:rsidP="006D41BD">
      <w:pPr>
        <w:pStyle w:val="NormPara"/>
        <w:ind w:firstLine="270"/>
        <w:rPr>
          <w:bCs/>
          <w:sz w:val="20"/>
        </w:rPr>
      </w:pPr>
      <w:r w:rsidRPr="00F87319">
        <w:rPr>
          <w:bCs/>
          <w:sz w:val="20"/>
        </w:rPr>
        <w:t xml:space="preserve">A gravitational lens occurs when </w:t>
      </w:r>
      <w:r w:rsidRPr="00F87319">
        <w:rPr>
          <w:sz w:val="20"/>
        </w:rPr>
        <w:t>there</w:t>
      </w:r>
      <w:r w:rsidRPr="00F87319">
        <w:rPr>
          <w:bCs/>
          <w:sz w:val="20"/>
        </w:rPr>
        <w:t xml:space="preserve"> is a large concentration of matter between a galaxy (or a star) and the Earth.  This concentration of mass appears to bend the light from the background object as it comes to us in the same way as a lens would. This principle is illustrated in Figure 6A.</w:t>
      </w:r>
    </w:p>
    <w:p w:rsidR="006D41BD" w:rsidRDefault="006D41BD" w:rsidP="006D41BD">
      <w:pPr>
        <w:pStyle w:val="NormPara"/>
        <w:ind w:firstLine="270"/>
        <w:rPr>
          <w:b/>
          <w:sz w:val="20"/>
        </w:rPr>
      </w:pPr>
    </w:p>
    <w:p w:rsidR="000870DB" w:rsidRPr="00F87319" w:rsidRDefault="000870DB" w:rsidP="000870DB">
      <w:pPr>
        <w:pStyle w:val="NormPara"/>
        <w:ind w:firstLine="720"/>
        <w:rPr>
          <w:bCs/>
          <w:sz w:val="20"/>
        </w:rPr>
      </w:pPr>
      <w:r w:rsidRPr="00F87319">
        <w:rPr>
          <w:bCs/>
          <w:sz w:val="20"/>
        </w:rPr>
        <w:t xml:space="preserve">The explanation for this effect </w:t>
      </w:r>
      <w:r w:rsidRPr="00F87319">
        <w:rPr>
          <w:sz w:val="20"/>
        </w:rPr>
        <w:t>coming</w:t>
      </w:r>
      <w:r w:rsidRPr="00F87319">
        <w:rPr>
          <w:bCs/>
          <w:sz w:val="20"/>
        </w:rPr>
        <w:t xml:space="preserve"> from General Relativity is that mass bends light due to gravitation.  The greater the mass, the more it ‘bends’ space-time; in the illustration of the rubber sheet a greater mass would show a deeper “well.” The curve produced by the deformation is what would actually be felt to be responsible f</w:t>
      </w:r>
      <w:r w:rsidRPr="00F87319">
        <w:rPr>
          <w:sz w:val="20"/>
        </w:rPr>
        <w:t>or the bending of the light. GR had predicted this effect, and so</w:t>
      </w:r>
      <w:r w:rsidRPr="00F87319">
        <w:rPr>
          <w:bCs/>
          <w:sz w:val="20"/>
        </w:rPr>
        <w:t xml:space="preserve"> the scientists started looking for it.</w:t>
      </w:r>
    </w:p>
    <w:p w:rsidR="000870DB" w:rsidRPr="00F87319" w:rsidRDefault="000870DB" w:rsidP="006D41BD">
      <w:pPr>
        <w:pStyle w:val="NormPara"/>
        <w:ind w:firstLine="270"/>
        <w:rPr>
          <w:b/>
          <w:sz w:val="20"/>
        </w:rPr>
      </w:pPr>
    </w:p>
    <w:p w:rsidR="006D41BD" w:rsidRPr="00F87319" w:rsidRDefault="006D41BD" w:rsidP="006D41BD">
      <w:pPr>
        <w:pStyle w:val="NormPara"/>
        <w:ind w:firstLine="0"/>
        <w:jc w:val="center"/>
        <w:rPr>
          <w:bCs/>
          <w:sz w:val="20"/>
        </w:rPr>
      </w:pPr>
      <w:r w:rsidRPr="00F87319">
        <w:rPr>
          <w:bCs/>
          <w:noProof/>
          <w:sz w:val="20"/>
        </w:rPr>
        <w:drawing>
          <wp:inline distT="0" distB="0" distL="0" distR="0">
            <wp:extent cx="4099592" cy="1390810"/>
            <wp:effectExtent l="19050" t="0" r="0" b="0"/>
            <wp:docPr id="1766" name="il_fi" descr="http://imagine.gsfc.nasa.gov/Images/news/lens_fi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ine.gsfc.nasa.gov/Images/news/lens_fig1.gif"/>
                    <pic:cNvPicPr>
                      <a:picLocks noChangeAspect="1" noChangeArrowheads="1"/>
                    </pic:cNvPicPr>
                  </pic:nvPicPr>
                  <pic:blipFill>
                    <a:blip r:embed="rId915" cstate="print"/>
                    <a:srcRect/>
                    <a:stretch>
                      <a:fillRect/>
                    </a:stretch>
                  </pic:blipFill>
                  <pic:spPr bwMode="auto">
                    <a:xfrm>
                      <a:off x="0" y="0"/>
                      <a:ext cx="4114074" cy="1395723"/>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bCs/>
          <w:i/>
          <w:sz w:val="20"/>
        </w:rPr>
      </w:pPr>
    </w:p>
    <w:p w:rsidR="006D41BD" w:rsidRDefault="006D41BD" w:rsidP="00285DFD">
      <w:pPr>
        <w:pStyle w:val="NormPara"/>
        <w:ind w:firstLine="0"/>
        <w:jc w:val="center"/>
        <w:rPr>
          <w:bCs/>
          <w:i/>
          <w:szCs w:val="18"/>
        </w:rPr>
      </w:pPr>
      <w:r w:rsidRPr="00CF2274">
        <w:rPr>
          <w:b/>
          <w:bCs/>
          <w:i/>
          <w:szCs w:val="18"/>
        </w:rPr>
        <w:t>Figure 6A:</w:t>
      </w:r>
      <w:r w:rsidRPr="00CF2274">
        <w:rPr>
          <w:bCs/>
          <w:i/>
          <w:szCs w:val="18"/>
        </w:rPr>
        <w:t xml:space="preserve"> The principle of gravitational lensing.</w:t>
      </w:r>
    </w:p>
    <w:p w:rsidR="00CF2274" w:rsidRPr="00CF2274" w:rsidRDefault="00CF2274" w:rsidP="00CF2274">
      <w:pPr>
        <w:pStyle w:val="NormPara"/>
        <w:ind w:firstLine="0"/>
        <w:jc w:val="left"/>
        <w:rPr>
          <w:bCs/>
          <w:i/>
          <w:szCs w:val="18"/>
        </w:rPr>
      </w:pPr>
    </w:p>
    <w:p w:rsidR="006D41BD" w:rsidRPr="00F87319" w:rsidRDefault="006D41BD" w:rsidP="006D41BD">
      <w:pPr>
        <w:pStyle w:val="NormPara"/>
        <w:spacing w:before="80" w:after="80"/>
        <w:ind w:left="274" w:right="274" w:firstLine="0"/>
        <w:jc w:val="center"/>
        <w:rPr>
          <w:b/>
          <w:i/>
          <w:sz w:val="20"/>
        </w:rPr>
      </w:pPr>
      <w:r w:rsidRPr="00F87319">
        <w:rPr>
          <w:bCs/>
          <w:noProof/>
          <w:sz w:val="20"/>
        </w:rPr>
        <w:drawing>
          <wp:inline distT="0" distB="0" distL="0" distR="0">
            <wp:extent cx="4033674" cy="1775011"/>
            <wp:effectExtent l="19050" t="0" r="4926" b="0"/>
            <wp:docPr id="1774" name="il_fi" descr="galaxy%20cluster%20lens%20NASA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galaxy%20cluster%20lens%20NASAweb"/>
                    <pic:cNvPicPr>
                      <a:picLocks noChangeAspect="1" noChangeArrowheads="1"/>
                    </pic:cNvPicPr>
                  </pic:nvPicPr>
                  <pic:blipFill>
                    <a:blip r:embed="rId916" cstate="print"/>
                    <a:srcRect l="10001"/>
                    <a:stretch>
                      <a:fillRect/>
                    </a:stretch>
                  </pic:blipFill>
                  <pic:spPr bwMode="auto">
                    <a:xfrm>
                      <a:off x="0" y="0"/>
                      <a:ext cx="4049132" cy="1781813"/>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i/>
          <w:sz w:val="20"/>
        </w:rPr>
      </w:pPr>
    </w:p>
    <w:p w:rsidR="006D41BD" w:rsidRPr="00CF2274" w:rsidRDefault="006D41BD" w:rsidP="00285DFD">
      <w:pPr>
        <w:pStyle w:val="NormPara"/>
        <w:spacing w:before="80" w:after="80"/>
        <w:ind w:left="274" w:right="274" w:firstLine="0"/>
        <w:jc w:val="center"/>
        <w:rPr>
          <w:i/>
          <w:szCs w:val="18"/>
        </w:rPr>
      </w:pPr>
      <w:r w:rsidRPr="00285DFD">
        <w:rPr>
          <w:b/>
          <w:i/>
          <w:szCs w:val="18"/>
        </w:rPr>
        <w:t>Fig</w:t>
      </w:r>
      <w:r w:rsidR="00CF2274" w:rsidRPr="00285DFD">
        <w:rPr>
          <w:b/>
          <w:i/>
          <w:szCs w:val="18"/>
        </w:rPr>
        <w:t>utre</w:t>
      </w:r>
      <w:r w:rsidRPr="00285DFD">
        <w:rPr>
          <w:b/>
          <w:i/>
          <w:szCs w:val="18"/>
        </w:rPr>
        <w:t xml:space="preserve"> 6B</w:t>
      </w:r>
      <w:r w:rsidR="00CF2274" w:rsidRPr="00285DFD">
        <w:rPr>
          <w:b/>
          <w:i/>
          <w:szCs w:val="18"/>
        </w:rPr>
        <w:t>:</w:t>
      </w:r>
      <w:r w:rsidR="00CF2274">
        <w:rPr>
          <w:i/>
          <w:szCs w:val="18"/>
        </w:rPr>
        <w:t xml:space="preserve"> </w:t>
      </w:r>
      <w:r w:rsidRPr="00CF2274">
        <w:rPr>
          <w:i/>
          <w:szCs w:val="18"/>
        </w:rPr>
        <w:t>An example of “Gravitational lensing” by massive objects.</w:t>
      </w:r>
    </w:p>
    <w:p w:rsidR="006D41BD" w:rsidRPr="00F87319" w:rsidRDefault="006D41BD" w:rsidP="006D41BD">
      <w:pPr>
        <w:pStyle w:val="NormPara"/>
        <w:spacing w:before="80" w:after="80"/>
        <w:ind w:left="274" w:right="274" w:firstLine="0"/>
        <w:rPr>
          <w:i/>
          <w:sz w:val="20"/>
        </w:rPr>
      </w:pPr>
    </w:p>
    <w:p w:rsidR="006D41BD" w:rsidRPr="00F87319" w:rsidRDefault="006D41BD" w:rsidP="006D41BD">
      <w:pPr>
        <w:pStyle w:val="NormPara"/>
        <w:ind w:firstLine="720"/>
        <w:rPr>
          <w:color w:val="000000"/>
          <w:sz w:val="20"/>
        </w:rPr>
      </w:pPr>
      <w:r w:rsidRPr="00F87319">
        <w:rPr>
          <w:bCs/>
          <w:sz w:val="20"/>
        </w:rPr>
        <w:lastRenderedPageBreak/>
        <w:t>GR would expect the bending of light wherever there is a strong gravitational pull.  The problem is that there are far too few gravitationally lensed objects compared with what would be expected from GR. In addition, among these few, there are contrary examples where the object bending the light does not seem to have enough mass to accomplish that gravitationally. Therefore</w:t>
      </w:r>
      <w:r w:rsidRPr="00F87319">
        <w:rPr>
          <w:color w:val="000000"/>
          <w:sz w:val="20"/>
        </w:rPr>
        <w:t xml:space="preserve">, dark matter is invoked as an answer to this problem. </w:t>
      </w:r>
    </w:p>
    <w:p w:rsidR="006D41BD" w:rsidRPr="00F87319" w:rsidRDefault="006D41BD" w:rsidP="006D41BD">
      <w:pPr>
        <w:pStyle w:val="NormPara"/>
        <w:ind w:firstLine="720"/>
        <w:rPr>
          <w:color w:val="000000"/>
          <w:sz w:val="20"/>
        </w:rPr>
      </w:pPr>
    </w:p>
    <w:p w:rsidR="006D41BD" w:rsidRDefault="006D41BD" w:rsidP="006D41BD">
      <w:pPr>
        <w:pStyle w:val="NormPara"/>
        <w:ind w:firstLine="720"/>
        <w:rPr>
          <w:color w:val="000000"/>
          <w:sz w:val="20"/>
        </w:rPr>
      </w:pPr>
      <w:r w:rsidRPr="00F87319">
        <w:rPr>
          <w:color w:val="000000"/>
          <w:sz w:val="20"/>
        </w:rPr>
        <w:t>Fig</w:t>
      </w:r>
      <w:r w:rsidR="00CF2274">
        <w:rPr>
          <w:color w:val="000000"/>
          <w:sz w:val="20"/>
        </w:rPr>
        <w:t>ure</w:t>
      </w:r>
      <w:r w:rsidRPr="00F87319">
        <w:rPr>
          <w:color w:val="000000"/>
          <w:sz w:val="20"/>
        </w:rPr>
        <w:t xml:space="preserve"> 7 shows two images from the </w:t>
      </w:r>
      <w:r w:rsidRPr="00F87319">
        <w:rPr>
          <w:sz w:val="20"/>
        </w:rPr>
        <w:t>Hubble</w:t>
      </w:r>
      <w:r w:rsidRPr="00F87319">
        <w:rPr>
          <w:color w:val="000000"/>
          <w:sz w:val="20"/>
        </w:rPr>
        <w:t xml:space="preserve"> Space Telescope published by NASA, JPL, the Goddard </w:t>
      </w:r>
      <w:r w:rsidRPr="00F87319">
        <w:rPr>
          <w:sz w:val="20"/>
        </w:rPr>
        <w:t>Space</w:t>
      </w:r>
      <w:r w:rsidRPr="00F87319">
        <w:rPr>
          <w:color w:val="000000"/>
          <w:sz w:val="20"/>
        </w:rPr>
        <w:t xml:space="preserve"> Flight </w:t>
      </w:r>
      <w:r w:rsidRPr="00F87319">
        <w:rPr>
          <w:sz w:val="20"/>
        </w:rPr>
        <w:t>Center,</w:t>
      </w:r>
      <w:r w:rsidRPr="00F87319">
        <w:rPr>
          <w:color w:val="000000"/>
          <w:sz w:val="20"/>
        </w:rPr>
        <w:t xml:space="preserve"> and ESA.  The left hand image </w:t>
      </w:r>
      <w:r w:rsidR="000870DB">
        <w:rPr>
          <w:color w:val="000000"/>
          <w:sz w:val="20"/>
        </w:rPr>
        <w:t>is</w:t>
      </w:r>
      <w:r w:rsidRPr="00F87319">
        <w:rPr>
          <w:color w:val="000000"/>
          <w:sz w:val="20"/>
        </w:rPr>
        <w:t xml:space="preserve"> what has been referred to as the “dark matter ring” around cluster Cl 0024 + 17.  </w:t>
      </w:r>
    </w:p>
    <w:p w:rsidR="00685A78" w:rsidRPr="00F87319" w:rsidRDefault="00685A78" w:rsidP="006D41BD">
      <w:pPr>
        <w:pStyle w:val="NormPara"/>
        <w:ind w:firstLine="720"/>
        <w:rPr>
          <w:color w:val="000000"/>
          <w:sz w:val="20"/>
        </w:rPr>
      </w:pPr>
    </w:p>
    <w:tbl>
      <w:tblPr>
        <w:tblStyle w:val="TableGrid"/>
        <w:tblW w:w="0" w:type="auto"/>
        <w:jc w:val="center"/>
        <w:tblLook w:val="04A0"/>
      </w:tblPr>
      <w:tblGrid>
        <w:gridCol w:w="5556"/>
        <w:gridCol w:w="5226"/>
      </w:tblGrid>
      <w:tr w:rsidR="006D41BD" w:rsidRPr="00F87319" w:rsidTr="00E25399">
        <w:trPr>
          <w:trHeight w:val="3043"/>
          <w:jc w:val="center"/>
        </w:trPr>
        <w:tc>
          <w:tcPr>
            <w:tcW w:w="3393"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367228" cy="3152775"/>
                  <wp:effectExtent l="19050" t="0" r="4622" b="0"/>
                  <wp:docPr id="1768" name="il_fi" descr="http://www.universesite.co.uk/pictures/darkmat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niversesite.co.uk/pictures/darkmatter2.jpg"/>
                          <pic:cNvPicPr>
                            <a:picLocks noChangeAspect="1" noChangeArrowheads="1"/>
                          </pic:cNvPicPr>
                        </pic:nvPicPr>
                        <pic:blipFill>
                          <a:blip r:embed="rId917" cstate="print"/>
                          <a:srcRect l="3528" t="6648" r="3165" b="19885"/>
                          <a:stretch>
                            <a:fillRect/>
                          </a:stretch>
                        </pic:blipFill>
                        <pic:spPr bwMode="auto">
                          <a:xfrm>
                            <a:off x="0" y="0"/>
                            <a:ext cx="3377511" cy="3162403"/>
                          </a:xfrm>
                          <a:prstGeom prst="rect">
                            <a:avLst/>
                          </a:prstGeom>
                          <a:noFill/>
                          <a:ln w="9525">
                            <a:noFill/>
                            <a:miter lim="800000"/>
                            <a:headEnd/>
                            <a:tailEnd/>
                          </a:ln>
                        </pic:spPr>
                      </pic:pic>
                    </a:graphicData>
                  </a:graphic>
                </wp:inline>
              </w:drawing>
            </w:r>
          </w:p>
        </w:tc>
        <w:tc>
          <w:tcPr>
            <w:tcW w:w="3319" w:type="dxa"/>
          </w:tcPr>
          <w:p w:rsidR="006D41BD" w:rsidRPr="00F87319" w:rsidRDefault="006D41BD" w:rsidP="00BD495E">
            <w:pPr>
              <w:pStyle w:val="NormPara"/>
              <w:ind w:firstLine="0"/>
              <w:jc w:val="left"/>
              <w:rPr>
                <w:color w:val="000000"/>
                <w:sz w:val="20"/>
              </w:rPr>
            </w:pPr>
            <w:r w:rsidRPr="00F87319">
              <w:rPr>
                <w:noProof/>
                <w:color w:val="000000"/>
                <w:sz w:val="20"/>
              </w:rPr>
              <w:drawing>
                <wp:inline distT="0" distB="0" distL="0" distR="0">
                  <wp:extent cx="3150382" cy="3155479"/>
                  <wp:effectExtent l="19050" t="0" r="11918" b="0"/>
                  <wp:docPr id="1769" name="Picture 7" descr="the effects of gravitational len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effects of gravitational lensing"/>
                          <pic:cNvPicPr>
                            <a:picLocks noChangeAspect="1" noChangeArrowheads="1"/>
                          </pic:cNvPicPr>
                        </pic:nvPicPr>
                        <pic:blipFill>
                          <a:blip r:embed="rId918" cstate="print"/>
                          <a:srcRect l="8105" r="11632" b="1797"/>
                          <a:stretch>
                            <a:fillRect/>
                          </a:stretch>
                        </pic:blipFill>
                        <pic:spPr bwMode="auto">
                          <a:xfrm rot="-5400000">
                            <a:off x="0" y="0"/>
                            <a:ext cx="3167945" cy="3173070"/>
                          </a:xfrm>
                          <a:prstGeom prst="rect">
                            <a:avLst/>
                          </a:prstGeom>
                          <a:noFill/>
                          <a:ln w="9525">
                            <a:noFill/>
                            <a:miter lim="800000"/>
                            <a:headEnd/>
                            <a:tailEnd/>
                          </a:ln>
                        </pic:spPr>
                      </pic:pic>
                    </a:graphicData>
                  </a:graphic>
                </wp:inline>
              </w:drawing>
            </w:r>
          </w:p>
        </w:tc>
      </w:tr>
    </w:tbl>
    <w:p w:rsidR="006D41BD" w:rsidRPr="00F87319" w:rsidRDefault="006D41BD" w:rsidP="006D41BD">
      <w:pPr>
        <w:pStyle w:val="NormPara"/>
        <w:ind w:firstLine="0"/>
        <w:rPr>
          <w:szCs w:val="18"/>
        </w:rPr>
      </w:pPr>
    </w:p>
    <w:p w:rsidR="006D41BD" w:rsidRPr="00CF2274" w:rsidRDefault="006D41BD" w:rsidP="00CF2274">
      <w:pPr>
        <w:pStyle w:val="NormPara"/>
        <w:ind w:firstLine="0"/>
        <w:jc w:val="left"/>
        <w:rPr>
          <w:i/>
          <w:color w:val="000000"/>
          <w:szCs w:val="18"/>
        </w:rPr>
      </w:pPr>
      <w:r w:rsidRPr="00CF2274">
        <w:rPr>
          <w:b/>
          <w:i/>
          <w:szCs w:val="18"/>
        </w:rPr>
        <w:t>Fig</w:t>
      </w:r>
      <w:r w:rsidR="00CF2274" w:rsidRPr="00CF2274">
        <w:rPr>
          <w:b/>
          <w:i/>
          <w:szCs w:val="18"/>
        </w:rPr>
        <w:t>ure</w:t>
      </w:r>
      <w:r w:rsidRPr="00CF2274">
        <w:rPr>
          <w:b/>
          <w:i/>
          <w:szCs w:val="18"/>
        </w:rPr>
        <w:t xml:space="preserve"> 7.  Left</w:t>
      </w:r>
      <w:r w:rsidRPr="00CF2274">
        <w:rPr>
          <w:i/>
          <w:szCs w:val="18"/>
        </w:rPr>
        <w:t xml:space="preserve">—The “dark matter” ring (the outer blue ring) around galaxy cluster Cl 0024 + 17.  </w:t>
      </w:r>
      <w:r w:rsidRPr="00CF2274">
        <w:rPr>
          <w:b/>
          <w:i/>
          <w:szCs w:val="18"/>
        </w:rPr>
        <w:t>Right—</w:t>
      </w:r>
      <w:r w:rsidRPr="00CF2274">
        <w:rPr>
          <w:i/>
          <w:szCs w:val="18"/>
        </w:rPr>
        <w:t xml:space="preserve">Lensing arcs around galaxy cluster Abell 2218.  </w:t>
      </w:r>
    </w:p>
    <w:p w:rsidR="006D41BD" w:rsidRDefault="006D41BD" w:rsidP="006D41BD">
      <w:pPr>
        <w:pStyle w:val="NormPara"/>
        <w:ind w:firstLine="0"/>
        <w:rPr>
          <w:color w:val="000000"/>
          <w:sz w:val="20"/>
        </w:rPr>
      </w:pPr>
    </w:p>
    <w:p w:rsidR="000870DB" w:rsidRPr="00F87319" w:rsidRDefault="000870DB" w:rsidP="000870DB">
      <w:pPr>
        <w:pStyle w:val="NormPara"/>
        <w:ind w:firstLine="720"/>
        <w:rPr>
          <w:color w:val="000000"/>
          <w:sz w:val="20"/>
        </w:rPr>
      </w:pPr>
      <w:r w:rsidRPr="00F87319">
        <w:rPr>
          <w:color w:val="000000"/>
          <w:sz w:val="20"/>
        </w:rPr>
        <w:t xml:space="preserve">The right hand image shows the lensing arcs around the galaxy cluster Abell 2218.  In the case of the right hand image, there is indeed a strong gravitational component to the lensing.  However, GR calculations reveal that there must also be “dark matter” to the extent of 400 trillion solar masses to give the observed effects. </w:t>
      </w:r>
    </w:p>
    <w:p w:rsidR="000870DB" w:rsidRPr="00F87319" w:rsidRDefault="000870DB" w:rsidP="000870DB">
      <w:pPr>
        <w:pStyle w:val="NormPara"/>
        <w:ind w:firstLine="720"/>
        <w:rPr>
          <w:color w:val="000000"/>
          <w:sz w:val="20"/>
        </w:rPr>
      </w:pPr>
    </w:p>
    <w:p w:rsidR="000870DB" w:rsidRDefault="000870DB" w:rsidP="000870DB">
      <w:pPr>
        <w:pStyle w:val="NormPara"/>
        <w:ind w:firstLine="720"/>
        <w:rPr>
          <w:color w:val="000000"/>
          <w:sz w:val="20"/>
        </w:rPr>
      </w:pPr>
      <w:r w:rsidRPr="00F87319">
        <w:rPr>
          <w:sz w:val="20"/>
        </w:rPr>
        <w:t xml:space="preserve">SED physics with the ZPE agrees that a strong gravitational field is needed.  But that is not enough – as the GR folk have acknowledged in their invention of dark matter.  </w:t>
      </w:r>
      <w:r w:rsidRPr="00F87319">
        <w:rPr>
          <w:color w:val="000000"/>
          <w:sz w:val="20"/>
        </w:rPr>
        <w:t xml:space="preserve">Plasma also bends light.  This can be established by looking at the plasma in the near vicinity of the Sun.  </w:t>
      </w:r>
      <w:r w:rsidRPr="00F87319">
        <w:rPr>
          <w:sz w:val="20"/>
        </w:rPr>
        <w:t>Starlight which goes through this layer is strongly bent as noted by E. H. Dowdye in “Gravitational Light Bending…” [68].</w:t>
      </w:r>
      <w:r w:rsidRPr="00F87319">
        <w:rPr>
          <w:color w:val="000000"/>
          <w:sz w:val="20"/>
        </w:rPr>
        <w:t xml:space="preserve">  In both the cases in Fig. 7, we are looking end on at the plasma filament in which the clusters were immersed.  These filaments were pinched to form the clusters, and </w:t>
      </w:r>
      <w:r w:rsidR="00292D51">
        <w:rPr>
          <w:color w:val="000000"/>
          <w:sz w:val="20"/>
        </w:rPr>
        <w:t xml:space="preserve">this </w:t>
      </w:r>
      <w:r w:rsidRPr="00F87319">
        <w:rPr>
          <w:color w:val="000000"/>
          <w:sz w:val="20"/>
        </w:rPr>
        <w:t>will enhance the lensing effect of the mass already present.  The lensing effects are seen most strongly around the outer edge of the filament since that is where the “double layer” in the plasma filament occurs (the outer blue circle in the left figure and the more defined circle in the right.</w:t>
      </w:r>
    </w:p>
    <w:p w:rsidR="00846979" w:rsidRPr="00F87319" w:rsidRDefault="00846979" w:rsidP="000870DB">
      <w:pPr>
        <w:pStyle w:val="NormPara"/>
        <w:ind w:firstLine="720"/>
        <w:rPr>
          <w:color w:val="000000"/>
          <w:sz w:val="20"/>
        </w:rPr>
      </w:pPr>
    </w:p>
    <w:p w:rsidR="006D41BD" w:rsidRPr="00F87319" w:rsidRDefault="00BD495E" w:rsidP="00BD495E">
      <w:pPr>
        <w:pStyle w:val="NormPara"/>
        <w:ind w:firstLine="720"/>
        <w:rPr>
          <w:color w:val="000000"/>
          <w:sz w:val="20"/>
        </w:rPr>
      </w:pPr>
      <w:r w:rsidRPr="00F87319">
        <w:rPr>
          <w:color w:val="000000"/>
          <w:sz w:val="20"/>
        </w:rPr>
        <w:t xml:space="preserve">This double layer is where the charge difference is concentrated and where the change in plasma density is greatest.  This allows the plasma filament to form images around this outer edge, which pinches in where the cluster is.  Thus light comes to us after traveling down the length of the plasma cylinder, or going through its pinched region, which in some cases will give rise to arc-like distortions.  Up until now, these </w:t>
      </w:r>
      <w:r w:rsidRPr="00F87319">
        <w:rPr>
          <w:sz w:val="20"/>
        </w:rPr>
        <w:t>images</w:t>
      </w:r>
      <w:r w:rsidRPr="00F87319">
        <w:rPr>
          <w:color w:val="000000"/>
          <w:sz w:val="20"/>
        </w:rPr>
        <w:t xml:space="preserve"> have been interpreted in terms of gravitational physics instead of plasma physics</w:t>
      </w:r>
      <w:r w:rsidR="006D41BD" w:rsidRPr="00F87319">
        <w:rPr>
          <w:color w:val="000000"/>
          <w:sz w:val="20"/>
        </w:rPr>
        <w:t>.</w:t>
      </w:r>
    </w:p>
    <w:p w:rsidR="00BD495E" w:rsidRPr="00F87319" w:rsidRDefault="00BD495E" w:rsidP="00BD495E">
      <w:pPr>
        <w:pStyle w:val="NormPara"/>
        <w:ind w:firstLine="720"/>
        <w:rPr>
          <w:color w:val="000000"/>
          <w:sz w:val="20"/>
        </w:rPr>
      </w:pPr>
    </w:p>
    <w:p w:rsidR="000870DB" w:rsidRPr="00F87319" w:rsidRDefault="000870DB" w:rsidP="000870DB">
      <w:pPr>
        <w:pStyle w:val="NormPara"/>
        <w:ind w:firstLine="720"/>
        <w:rPr>
          <w:sz w:val="20"/>
        </w:rPr>
      </w:pPr>
      <w:r w:rsidRPr="00F87319">
        <w:rPr>
          <w:color w:val="000000"/>
          <w:sz w:val="20"/>
        </w:rPr>
        <w:lastRenderedPageBreak/>
        <w:t>Studies from the gravitational lensing effects have resulted in the explanation that what is seen in objects such as shown in Figure 8 is a dark matter ‘filament’ connected two galaxy clusters. The blue shading and yellow contours in Figure 8 indicate the density of matter. The clusters are 2.7 billion light years away from us, and appear close together because of our line of sight. In actual fact they are separated by a considerable distance, so we are almost looking directly down the long axis of a plasma filament. It is this relative position which has allowed the lensing effect</w:t>
      </w:r>
      <w:r w:rsidR="00292D51">
        <w:rPr>
          <w:color w:val="000000"/>
          <w:sz w:val="20"/>
        </w:rPr>
        <w:t xml:space="preserve"> of the plasma filament</w:t>
      </w:r>
      <w:r w:rsidRPr="00F87319">
        <w:rPr>
          <w:color w:val="000000"/>
          <w:sz w:val="20"/>
        </w:rPr>
        <w:t xml:space="preserve"> to </w:t>
      </w:r>
      <w:r w:rsidR="00292D51">
        <w:rPr>
          <w:color w:val="000000"/>
          <w:sz w:val="20"/>
        </w:rPr>
        <w:t>be prominent</w:t>
      </w:r>
      <w:r w:rsidRPr="00F87319">
        <w:rPr>
          <w:sz w:val="20"/>
        </w:rPr>
        <w:t xml:space="preserve"> [69]. </w:t>
      </w:r>
    </w:p>
    <w:p w:rsidR="006D41BD" w:rsidRPr="00F87319" w:rsidRDefault="006D41BD" w:rsidP="006D41BD">
      <w:pPr>
        <w:pStyle w:val="NormPara"/>
        <w:ind w:firstLine="270"/>
        <w:rPr>
          <w:sz w:val="20"/>
        </w:rPr>
      </w:pPr>
    </w:p>
    <w:p w:rsidR="006D41BD" w:rsidRPr="00F87319" w:rsidRDefault="006D41BD" w:rsidP="006D41BD">
      <w:pPr>
        <w:pStyle w:val="NormPara"/>
        <w:ind w:firstLine="0"/>
        <w:jc w:val="center"/>
        <w:rPr>
          <w:color w:val="000000"/>
          <w:sz w:val="20"/>
        </w:rPr>
      </w:pPr>
      <w:r w:rsidRPr="00F87319">
        <w:rPr>
          <w:noProof/>
          <w:color w:val="333333"/>
          <w:sz w:val="20"/>
        </w:rPr>
        <w:drawing>
          <wp:inline distT="0" distB="0" distL="0" distR="0">
            <wp:extent cx="4443000" cy="3095625"/>
            <wp:effectExtent l="19050" t="0" r="0" b="0"/>
            <wp:docPr id="1770" name="Picture 284" descr="Image: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age: Clusters"/>
                    <pic:cNvPicPr>
                      <a:picLocks noChangeAspect="1" noChangeArrowheads="1"/>
                    </pic:cNvPicPr>
                  </pic:nvPicPr>
                  <pic:blipFill>
                    <a:blip r:embed="rId919" cstate="print"/>
                    <a:srcRect t="5543" r="-22" b="7537"/>
                    <a:stretch>
                      <a:fillRect/>
                    </a:stretch>
                  </pic:blipFill>
                  <pic:spPr bwMode="auto">
                    <a:xfrm>
                      <a:off x="0" y="0"/>
                      <a:ext cx="4452420" cy="3102188"/>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270"/>
        <w:rPr>
          <w:color w:val="000000"/>
          <w:sz w:val="20"/>
        </w:rPr>
      </w:pPr>
    </w:p>
    <w:p w:rsidR="006D41BD" w:rsidRPr="00CF2274" w:rsidRDefault="006D41BD" w:rsidP="00CF2274">
      <w:pPr>
        <w:pStyle w:val="NormPara"/>
        <w:ind w:firstLine="0"/>
        <w:jc w:val="left"/>
        <w:rPr>
          <w:i/>
          <w:color w:val="000000"/>
          <w:szCs w:val="18"/>
        </w:rPr>
      </w:pPr>
      <w:r w:rsidRPr="00CF2274">
        <w:rPr>
          <w:b/>
          <w:i/>
          <w:color w:val="000000"/>
          <w:szCs w:val="18"/>
        </w:rPr>
        <w:t>Fig</w:t>
      </w:r>
      <w:r w:rsidR="00CF2274" w:rsidRPr="00CF2274">
        <w:rPr>
          <w:b/>
          <w:i/>
          <w:color w:val="000000"/>
          <w:szCs w:val="18"/>
        </w:rPr>
        <w:t>ure</w:t>
      </w:r>
      <w:r w:rsidRPr="00CF2274">
        <w:rPr>
          <w:b/>
          <w:i/>
          <w:color w:val="000000"/>
          <w:szCs w:val="18"/>
        </w:rPr>
        <w:t xml:space="preserve"> 8</w:t>
      </w:r>
      <w:r w:rsidR="00CF2274" w:rsidRPr="00CF2274">
        <w:rPr>
          <w:b/>
          <w:i/>
          <w:color w:val="000000"/>
          <w:szCs w:val="18"/>
        </w:rPr>
        <w:t>:</w:t>
      </w:r>
      <w:r w:rsidRPr="00CF2274">
        <w:rPr>
          <w:i/>
          <w:color w:val="000000"/>
          <w:szCs w:val="18"/>
        </w:rPr>
        <w:t xml:space="preserve"> A “dark matter filament” connecting galaxy clusters Abell 222 and 223 has been deduced from a study of its gravitational lensing effect. </w:t>
      </w:r>
    </w:p>
    <w:p w:rsidR="006D41BD" w:rsidRPr="00F87319" w:rsidRDefault="006D41BD" w:rsidP="006D41BD">
      <w:pPr>
        <w:pStyle w:val="NormPara"/>
        <w:ind w:firstLine="0"/>
        <w:rPr>
          <w:sz w:val="20"/>
        </w:rPr>
      </w:pPr>
    </w:p>
    <w:p w:rsidR="006D41BD" w:rsidRPr="00F87319" w:rsidRDefault="006D41BD" w:rsidP="006D41BD">
      <w:pPr>
        <w:pStyle w:val="NormPara"/>
        <w:ind w:firstLine="540"/>
        <w:rPr>
          <w:sz w:val="20"/>
        </w:rPr>
      </w:pPr>
      <w:r w:rsidRPr="00F87319">
        <w:rPr>
          <w:sz w:val="20"/>
        </w:rPr>
        <w:t xml:space="preserve">“Dark matter” and “missing mass” were originally introduced because, in the gravitational model, galaxies were observed to have rotation rates that could only be accounted for if there were large dark matter halos around the galaxies.  However, lab experiments in plasma physics have shown that these rotation rates are the natural results of the interactions between plasma filaments that form galaxies.[70]  Plasma physics, coupled with the SED approach, show that missing mass and dark matter are unnecessary in explaining what we see in space.  </w:t>
      </w:r>
    </w:p>
    <w:p w:rsidR="006D41BD" w:rsidRPr="00F87319" w:rsidRDefault="006D41BD" w:rsidP="006D41BD">
      <w:pPr>
        <w:pStyle w:val="NormPara"/>
        <w:ind w:firstLine="54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Gravitational Lensing and Our Galaxy’s Center</w:t>
      </w:r>
    </w:p>
    <w:p w:rsidR="006D41BD" w:rsidRPr="00F87319" w:rsidRDefault="006D41BD" w:rsidP="006D41BD">
      <w:pPr>
        <w:pStyle w:val="NormPara"/>
        <w:ind w:firstLine="270"/>
        <w:rPr>
          <w:sz w:val="20"/>
        </w:rPr>
      </w:pPr>
    </w:p>
    <w:p w:rsidR="006D41BD" w:rsidRPr="00F87319" w:rsidRDefault="006D41BD" w:rsidP="006D41BD">
      <w:pPr>
        <w:pStyle w:val="NormPara"/>
        <w:ind w:firstLine="540"/>
        <w:rPr>
          <w:sz w:val="20"/>
        </w:rPr>
      </w:pPr>
      <w:r w:rsidRPr="00F87319">
        <w:rPr>
          <w:sz w:val="20"/>
        </w:rPr>
        <w:t>At the center of our galaxy, and most other galaxies, there is a fast-spinning disk with polar jets.  In the gravitational model, the rate of spin of the disk, and the rate that stars orbit the center, suggests that there must be a super-massive black hole there, exerting tremendous gravitational force.  In our galaxy, this object is called Sagittarius A* (abbreviated to Sag A* and pronounced “A Star”).  Some 28 stars have been tracked as they orbit around this central object.  See for example the orbit of star S2 in Fig. 9.</w:t>
      </w:r>
    </w:p>
    <w:p w:rsidR="006D41BD" w:rsidRDefault="006D41BD" w:rsidP="006D41BD">
      <w:pPr>
        <w:pStyle w:val="NormPara"/>
        <w:ind w:firstLine="540"/>
        <w:rPr>
          <w:sz w:val="20"/>
        </w:rPr>
      </w:pPr>
    </w:p>
    <w:p w:rsidR="000870DB" w:rsidRPr="00F87319" w:rsidRDefault="000870DB" w:rsidP="000870DB">
      <w:pPr>
        <w:pStyle w:val="NormPara"/>
        <w:ind w:firstLine="548"/>
        <w:rPr>
          <w:sz w:val="20"/>
        </w:rPr>
      </w:pPr>
      <w:r w:rsidRPr="00F87319">
        <w:rPr>
          <w:sz w:val="20"/>
        </w:rPr>
        <w:t>The orbits of these stars have shapes and revolution times which suggest a point-like black hole of about 3 million times the mass of the Sun.  It would be expected that with a super-massive black hole, at least some of these orbiting stars would be gravitationally lensed.  Despite diligent search, no evidence for such lensing has been found [71].  This indicates that the object at the center of our galaxy may not be a black hole.  E. H. Dowdye, Jr. expresses it this way:</w:t>
      </w:r>
    </w:p>
    <w:p w:rsidR="000870DB" w:rsidRPr="00F87319" w:rsidRDefault="000870DB" w:rsidP="000870DB">
      <w:pPr>
        <w:pStyle w:val="NormPara"/>
        <w:ind w:firstLine="548"/>
        <w:rPr>
          <w:sz w:val="20"/>
        </w:rPr>
      </w:pPr>
    </w:p>
    <w:p w:rsidR="000870DB" w:rsidRPr="00F87319" w:rsidRDefault="000870DB" w:rsidP="000870DB">
      <w:pPr>
        <w:pStyle w:val="NormPara"/>
        <w:spacing w:before="80" w:after="80"/>
        <w:ind w:firstLine="548"/>
        <w:rPr>
          <w:sz w:val="20"/>
        </w:rPr>
      </w:pPr>
      <w:r w:rsidRPr="00F87319">
        <w:rPr>
          <w:i/>
          <w:sz w:val="20"/>
        </w:rPr>
        <w:lastRenderedPageBreak/>
        <w:t xml:space="preserve">Moreover, the events taking place at the center of our galaxy [have been] under intense observations by astrophysicists since 1992.  …  This highly studied region, known as Sagittarius A*, is thought to contain a super massive black hole, a most likely candidate for gravitational lensing.  The past two decades of intense observation in this region have revealed not a shred of evidence for any gravitational lensing. </w:t>
      </w:r>
      <w:r w:rsidRPr="00F87319">
        <w:rPr>
          <w:sz w:val="20"/>
        </w:rPr>
        <w:t>[71]</w:t>
      </w:r>
    </w:p>
    <w:p w:rsidR="000870DB" w:rsidRPr="00F87319" w:rsidRDefault="000870DB" w:rsidP="006D41BD">
      <w:pPr>
        <w:pStyle w:val="NormPara"/>
        <w:ind w:firstLine="540"/>
        <w:rPr>
          <w:sz w:val="20"/>
        </w:rPr>
      </w:pPr>
    </w:p>
    <w:p w:rsidR="006D41BD" w:rsidRPr="00F87319" w:rsidRDefault="006D41BD" w:rsidP="006D41BD">
      <w:pPr>
        <w:pStyle w:val="NormPara"/>
        <w:spacing w:before="120"/>
        <w:ind w:firstLine="0"/>
        <w:jc w:val="center"/>
        <w:rPr>
          <w:sz w:val="20"/>
        </w:rPr>
      </w:pPr>
      <w:r w:rsidRPr="00F87319">
        <w:rPr>
          <w:noProof/>
          <w:sz w:val="20"/>
        </w:rPr>
        <w:drawing>
          <wp:inline distT="0" distB="0" distL="0" distR="0">
            <wp:extent cx="4364039" cy="2771775"/>
            <wp:effectExtent l="19050" t="0" r="0" b="0"/>
            <wp:docPr id="1772" name="Picture 19" descr="Description: http://hera.ph1.uni-koeln.de/~heintzma/U1/b4/Sg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hera.ph1.uni-koeln.de/~heintzma/U1/b4/SgrA_1.jpg"/>
                    <pic:cNvPicPr>
                      <a:picLocks noChangeAspect="1" noChangeArrowheads="1"/>
                    </pic:cNvPicPr>
                  </pic:nvPicPr>
                  <pic:blipFill>
                    <a:blip r:embed="rId920" cstate="print"/>
                    <a:srcRect t="2652" b="4730"/>
                    <a:stretch>
                      <a:fillRect/>
                    </a:stretch>
                  </pic:blipFill>
                  <pic:spPr bwMode="auto">
                    <a:xfrm>
                      <a:off x="0" y="0"/>
                      <a:ext cx="4372376" cy="2777070"/>
                    </a:xfrm>
                    <a:prstGeom prst="rect">
                      <a:avLst/>
                    </a:prstGeom>
                    <a:noFill/>
                    <a:ln w="9525">
                      <a:noFill/>
                      <a:miter lim="800000"/>
                      <a:headEnd/>
                      <a:tailEnd/>
                    </a:ln>
                  </pic:spPr>
                </pic:pic>
              </a:graphicData>
            </a:graphic>
          </wp:inline>
        </w:drawing>
      </w:r>
    </w:p>
    <w:p w:rsidR="006D41BD" w:rsidRPr="00F87319" w:rsidRDefault="006D41BD" w:rsidP="006D41BD">
      <w:pPr>
        <w:pStyle w:val="NormPara"/>
        <w:spacing w:before="80" w:after="80"/>
        <w:ind w:left="274" w:right="274" w:firstLine="0"/>
        <w:rPr>
          <w:b/>
          <w:sz w:val="20"/>
        </w:rPr>
      </w:pPr>
    </w:p>
    <w:p w:rsidR="006D41BD" w:rsidRPr="00CF2274" w:rsidRDefault="006D41BD" w:rsidP="006D41BD">
      <w:pPr>
        <w:pStyle w:val="NormPara"/>
        <w:spacing w:before="80" w:after="80"/>
        <w:ind w:right="274" w:firstLine="0"/>
        <w:jc w:val="left"/>
        <w:rPr>
          <w:i/>
          <w:szCs w:val="18"/>
        </w:rPr>
      </w:pPr>
      <w:r w:rsidRPr="00CF2274">
        <w:rPr>
          <w:b/>
          <w:i/>
          <w:szCs w:val="18"/>
        </w:rPr>
        <w:t>Fig</w:t>
      </w:r>
      <w:r w:rsidR="00CF2274" w:rsidRPr="00CF2274">
        <w:rPr>
          <w:b/>
          <w:i/>
          <w:szCs w:val="18"/>
        </w:rPr>
        <w:t xml:space="preserve">ure </w:t>
      </w:r>
      <w:r w:rsidRPr="00CF2274">
        <w:rPr>
          <w:b/>
          <w:i/>
          <w:szCs w:val="18"/>
        </w:rPr>
        <w:t>9</w:t>
      </w:r>
      <w:r w:rsidR="00CF2274" w:rsidRPr="00CF2274">
        <w:rPr>
          <w:b/>
          <w:i/>
          <w:szCs w:val="18"/>
        </w:rPr>
        <w:t>:</w:t>
      </w:r>
      <w:r w:rsidRPr="00CF2274">
        <w:rPr>
          <w:i/>
          <w:szCs w:val="18"/>
        </w:rPr>
        <w:t xml:space="preserve">  The orbit of the star S2 around the object at the center of our Galaxy, Sagittarius A*.  This is one of 28 stars whose orbits have been tracked around Sag A* without any gravitational lensing effect being noted.</w:t>
      </w:r>
    </w:p>
    <w:p w:rsidR="006D41BD" w:rsidRPr="00F87319" w:rsidRDefault="006D41BD" w:rsidP="006D41BD">
      <w:pPr>
        <w:pStyle w:val="NormPara"/>
        <w:spacing w:before="80" w:after="80"/>
        <w:ind w:left="270" w:right="274" w:firstLine="0"/>
        <w:jc w:val="left"/>
        <w:rPr>
          <w:szCs w:val="18"/>
        </w:rPr>
      </w:pPr>
    </w:p>
    <w:p w:rsidR="006D41BD" w:rsidRPr="00F87319" w:rsidRDefault="006D41BD" w:rsidP="006D41BD">
      <w:pPr>
        <w:pStyle w:val="NormPara"/>
        <w:spacing w:before="80" w:after="80"/>
        <w:ind w:firstLine="274"/>
        <w:rPr>
          <w:sz w:val="20"/>
        </w:rPr>
      </w:pPr>
      <w:r w:rsidRPr="00F87319">
        <w:rPr>
          <w:sz w:val="20"/>
        </w:rPr>
        <w:t>The only viable alternative to a black hole comes from plasma physics, where spinning disks and polar jets are an everyday occurrence with objects like plasmoids (see Figure 10).  Plasmoids occur at the focus of electric currents and magnetic fields.</w:t>
      </w:r>
      <w:r w:rsidR="00291AD1">
        <w:rPr>
          <w:sz w:val="20"/>
        </w:rPr>
        <w:t xml:space="preserve"> Since the center of our galaxy is the focus of such fields, a large plasmoid is expected to occur there.</w:t>
      </w:r>
    </w:p>
    <w:p w:rsidR="006D41BD" w:rsidRPr="00F87319" w:rsidRDefault="006D41BD" w:rsidP="006D41BD">
      <w:pPr>
        <w:pStyle w:val="NormPara"/>
        <w:ind w:firstLine="0"/>
        <w:rPr>
          <w:sz w:val="20"/>
        </w:rPr>
      </w:pPr>
    </w:p>
    <w:p w:rsidR="006D41BD" w:rsidRPr="00F87319" w:rsidRDefault="006D41BD" w:rsidP="006D41BD">
      <w:pPr>
        <w:pStyle w:val="NormPara"/>
        <w:ind w:firstLine="0"/>
        <w:jc w:val="center"/>
        <w:rPr>
          <w:sz w:val="20"/>
        </w:rPr>
      </w:pPr>
      <w:r w:rsidRPr="00F87319">
        <w:rPr>
          <w:noProof/>
          <w:sz w:val="20"/>
        </w:rPr>
        <w:drawing>
          <wp:inline distT="0" distB="0" distL="0" distR="0">
            <wp:extent cx="3199377" cy="1466850"/>
            <wp:effectExtent l="19050" t="0" r="1023" b="0"/>
            <wp:docPr id="1514" name="il_fi" descr="Description: http://dev.holoscience.com/news/img/Galactic%20Center%20Plasm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dev.holoscience.com/news/img/Galactic%20Center%20Plasmoid.jpg"/>
                    <pic:cNvPicPr>
                      <a:picLocks noChangeAspect="1" noChangeArrowheads="1"/>
                    </pic:cNvPicPr>
                  </pic:nvPicPr>
                  <pic:blipFill>
                    <a:blip r:embed="rId921" cstate="print"/>
                    <a:srcRect t="20390" r="-119" b="13568"/>
                    <a:stretch>
                      <a:fillRect/>
                    </a:stretch>
                  </pic:blipFill>
                  <pic:spPr bwMode="auto">
                    <a:xfrm>
                      <a:off x="0" y="0"/>
                      <a:ext cx="3199377" cy="1466850"/>
                    </a:xfrm>
                    <a:prstGeom prst="rect">
                      <a:avLst/>
                    </a:prstGeom>
                    <a:noFill/>
                    <a:ln w="9525">
                      <a:noFill/>
                      <a:miter lim="800000"/>
                      <a:headEnd/>
                      <a:tailEnd/>
                    </a:ln>
                  </pic:spPr>
                </pic:pic>
              </a:graphicData>
            </a:graphic>
          </wp:inline>
        </w:drawing>
      </w:r>
    </w:p>
    <w:p w:rsidR="006D41BD" w:rsidRPr="00F87319" w:rsidRDefault="006D41BD" w:rsidP="006D41BD">
      <w:pPr>
        <w:pStyle w:val="NormPara"/>
        <w:ind w:firstLine="0"/>
        <w:rPr>
          <w:sz w:val="20"/>
        </w:rPr>
      </w:pPr>
    </w:p>
    <w:p w:rsidR="006D41BD" w:rsidRPr="00CF2274" w:rsidRDefault="006D41BD" w:rsidP="00E25399">
      <w:pPr>
        <w:pStyle w:val="NormPara"/>
        <w:ind w:firstLine="0"/>
        <w:jc w:val="center"/>
        <w:rPr>
          <w:i/>
          <w:szCs w:val="18"/>
        </w:rPr>
      </w:pPr>
      <w:r w:rsidRPr="00CF2274">
        <w:rPr>
          <w:b/>
          <w:i/>
          <w:szCs w:val="18"/>
        </w:rPr>
        <w:t>Fig</w:t>
      </w:r>
      <w:r w:rsidR="00CF2274" w:rsidRPr="00CF2274">
        <w:rPr>
          <w:b/>
          <w:i/>
          <w:szCs w:val="18"/>
        </w:rPr>
        <w:t>ure</w:t>
      </w:r>
      <w:r w:rsidRPr="00CF2274">
        <w:rPr>
          <w:b/>
          <w:i/>
          <w:szCs w:val="18"/>
        </w:rPr>
        <w:t xml:space="preserve"> 10</w:t>
      </w:r>
      <w:r w:rsidR="00CF2274" w:rsidRPr="00CF2274">
        <w:rPr>
          <w:b/>
          <w:i/>
          <w:szCs w:val="18"/>
        </w:rPr>
        <w:t>:</w:t>
      </w:r>
      <w:r w:rsidRPr="00CF2274">
        <w:rPr>
          <w:i/>
          <w:szCs w:val="18"/>
        </w:rPr>
        <w:t xml:space="preserve">  A spherical plasmoid with polar jets.</w:t>
      </w:r>
    </w:p>
    <w:p w:rsidR="004E34C6" w:rsidRDefault="004E34C6" w:rsidP="006D41BD">
      <w:pPr>
        <w:pStyle w:val="NormPara"/>
        <w:ind w:firstLine="0"/>
        <w:jc w:val="left"/>
        <w:rPr>
          <w:szCs w:val="18"/>
        </w:rPr>
      </w:pPr>
    </w:p>
    <w:p w:rsidR="000870DB" w:rsidRPr="00F87319" w:rsidRDefault="000870DB" w:rsidP="000870DB">
      <w:pPr>
        <w:pStyle w:val="NormPara"/>
        <w:spacing w:before="80" w:after="80"/>
        <w:ind w:firstLine="720"/>
        <w:rPr>
          <w:i/>
          <w:sz w:val="20"/>
        </w:rPr>
      </w:pPr>
      <w:r w:rsidRPr="00F87319">
        <w:rPr>
          <w:sz w:val="20"/>
        </w:rPr>
        <w:t>In describing a plasmoid, Wal Thornhill has stated [72]: “</w:t>
      </w:r>
      <w:r w:rsidRPr="00F87319">
        <w:rPr>
          <w:i/>
          <w:sz w:val="20"/>
        </w:rPr>
        <w:t>In the powerful magnetic field of a plasmoid, charged particles are constrained to accelerate continuously in the complex pattern of the plasmoid.  Like electrons and protons in particle accelerators on Earth, the apparent masses of those particles become enormous as they approach the speed of light.  The plasmoid is “quiet” while storing electromagnetic energy.  The persistent high-energy flux comes from synchrotron radiation from the circulating charged particles in the plasmoid.”</w:t>
      </w:r>
    </w:p>
    <w:p w:rsidR="000870DB" w:rsidRPr="00F87319" w:rsidRDefault="000870DB" w:rsidP="000870DB">
      <w:pPr>
        <w:pStyle w:val="NormPara"/>
        <w:ind w:firstLine="720"/>
        <w:rPr>
          <w:sz w:val="20"/>
        </w:rPr>
      </w:pPr>
    </w:p>
    <w:p w:rsidR="00846979" w:rsidRPr="00F87319" w:rsidRDefault="000870DB" w:rsidP="00846979">
      <w:pPr>
        <w:pStyle w:val="NormPara"/>
        <w:ind w:firstLine="0"/>
        <w:rPr>
          <w:sz w:val="20"/>
        </w:rPr>
      </w:pPr>
      <w:r w:rsidRPr="00F87319">
        <w:rPr>
          <w:sz w:val="20"/>
        </w:rPr>
        <w:lastRenderedPageBreak/>
        <w:t xml:space="preserve">Evidence indicates that such fields and currents exist at galaxy centers as part of the current circuit in every galaxy.  (See Fig. 11.)  Thus plasmoids are expected there. In plasma physics, the rate of spin of the disk, and the behavior of the polar jets, is entirely dependent upon the strength of the current.  If the same applies at the center of our Galaxy, </w:t>
      </w:r>
      <w:r w:rsidR="00846979" w:rsidRPr="00F87319">
        <w:rPr>
          <w:sz w:val="20"/>
        </w:rPr>
        <w:t>then gravity need not enter the picture.  This means that the “black-hole” may not exist either, a conclusion reinforced by the absence of lensing effects from Sag. A*.  Rather the galaxy center is a place of strong electric currents and magnetic fields, as well as strong electric charges.</w:t>
      </w:r>
    </w:p>
    <w:p w:rsidR="000870DB" w:rsidRPr="00F87319" w:rsidRDefault="000870DB" w:rsidP="000870DB">
      <w:pPr>
        <w:pStyle w:val="NormPara"/>
        <w:ind w:firstLine="720"/>
        <w:rPr>
          <w:sz w:val="20"/>
        </w:rPr>
      </w:pPr>
    </w:p>
    <w:p w:rsidR="006D41BD" w:rsidRPr="00F87319" w:rsidRDefault="006D41BD" w:rsidP="006D41BD">
      <w:pPr>
        <w:pStyle w:val="NormPara"/>
        <w:spacing w:before="80" w:after="80"/>
        <w:ind w:right="274" w:firstLine="0"/>
        <w:jc w:val="center"/>
        <w:rPr>
          <w:sz w:val="20"/>
        </w:rPr>
      </w:pPr>
      <w:r w:rsidRPr="00F87319">
        <w:rPr>
          <w:noProof/>
          <w:sz w:val="20"/>
        </w:rPr>
        <w:drawing>
          <wp:inline distT="0" distB="0" distL="0" distR="0">
            <wp:extent cx="3663277" cy="2219325"/>
            <wp:effectExtent l="19050" t="0" r="0" b="0"/>
            <wp:docPr id="33" name="il_fi" descr="http://www.thunderbolts.info/tpod/2005/images05/050113seeing-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underbolts.info/tpod/2005/images05/050113seeing-circuits.jpg"/>
                    <pic:cNvPicPr>
                      <a:picLocks noChangeAspect="1" noChangeArrowheads="1"/>
                    </pic:cNvPicPr>
                  </pic:nvPicPr>
                  <pic:blipFill>
                    <a:blip r:embed="rId922" cstate="print"/>
                    <a:srcRect/>
                    <a:stretch>
                      <a:fillRect/>
                    </a:stretch>
                  </pic:blipFill>
                  <pic:spPr bwMode="auto">
                    <a:xfrm>
                      <a:off x="0" y="0"/>
                      <a:ext cx="3663277" cy="2219325"/>
                    </a:xfrm>
                    <a:prstGeom prst="rect">
                      <a:avLst/>
                    </a:prstGeom>
                    <a:noFill/>
                    <a:ln w="9525">
                      <a:noFill/>
                      <a:miter lim="800000"/>
                      <a:headEnd/>
                      <a:tailEnd/>
                    </a:ln>
                  </pic:spPr>
                </pic:pic>
              </a:graphicData>
            </a:graphic>
          </wp:inline>
        </w:drawing>
      </w:r>
    </w:p>
    <w:p w:rsidR="006D41BD" w:rsidRPr="00F87319" w:rsidRDefault="006D41BD" w:rsidP="006D41BD">
      <w:pPr>
        <w:pStyle w:val="NoSpacing"/>
        <w:rPr>
          <w:rFonts w:ascii="Book Antiqua" w:hAnsi="Book Antiqua"/>
          <w:sz w:val="20"/>
        </w:rPr>
      </w:pPr>
    </w:p>
    <w:p w:rsidR="006D41BD" w:rsidRPr="00CF2274" w:rsidRDefault="006D41BD" w:rsidP="006D41BD">
      <w:pPr>
        <w:pStyle w:val="NoSpacing"/>
        <w:rPr>
          <w:rFonts w:ascii="Book Antiqua" w:hAnsi="Book Antiqua"/>
          <w:i/>
          <w:sz w:val="18"/>
          <w:szCs w:val="18"/>
        </w:rPr>
      </w:pPr>
      <w:r w:rsidRPr="00CF2274">
        <w:rPr>
          <w:rFonts w:ascii="Book Antiqua" w:hAnsi="Book Antiqua"/>
          <w:b/>
          <w:i/>
          <w:sz w:val="18"/>
          <w:szCs w:val="18"/>
        </w:rPr>
        <w:t>Fig</w:t>
      </w:r>
      <w:r w:rsidR="00CF2274" w:rsidRPr="00CF2274">
        <w:rPr>
          <w:rFonts w:ascii="Book Antiqua" w:hAnsi="Book Antiqua"/>
          <w:b/>
          <w:i/>
          <w:sz w:val="18"/>
          <w:szCs w:val="18"/>
        </w:rPr>
        <w:t>ure</w:t>
      </w:r>
      <w:r w:rsidRPr="00CF2274">
        <w:rPr>
          <w:rFonts w:ascii="Book Antiqua" w:hAnsi="Book Antiqua"/>
          <w:b/>
          <w:i/>
          <w:sz w:val="18"/>
          <w:szCs w:val="18"/>
        </w:rPr>
        <w:t xml:space="preserve"> 11</w:t>
      </w:r>
      <w:r w:rsidR="00CF2274" w:rsidRPr="00CF2274">
        <w:rPr>
          <w:rFonts w:ascii="Book Antiqua" w:hAnsi="Book Antiqua"/>
          <w:b/>
          <w:i/>
          <w:sz w:val="18"/>
          <w:szCs w:val="18"/>
        </w:rPr>
        <w:t>:</w:t>
      </w:r>
      <w:r w:rsidRPr="00CF2274">
        <w:rPr>
          <w:rFonts w:ascii="Book Antiqua" w:hAnsi="Book Antiqua"/>
          <w:i/>
          <w:sz w:val="18"/>
          <w:szCs w:val="18"/>
        </w:rPr>
        <w:t xml:space="preserve">  A typical circuit for a galaxy</w:t>
      </w:r>
      <w:r w:rsidR="000870DB" w:rsidRPr="00CF2274">
        <w:rPr>
          <w:rFonts w:ascii="Book Antiqua" w:hAnsi="Book Antiqua"/>
          <w:i/>
          <w:sz w:val="18"/>
          <w:szCs w:val="18"/>
        </w:rPr>
        <w:t xml:space="preserve"> as detected for the</w:t>
      </w:r>
      <w:r w:rsidR="002B474C" w:rsidRPr="00CF2274">
        <w:rPr>
          <w:rFonts w:ascii="Book Antiqua" w:hAnsi="Book Antiqua"/>
          <w:i/>
          <w:sz w:val="18"/>
          <w:szCs w:val="18"/>
        </w:rPr>
        <w:t xml:space="preserve"> starburst</w:t>
      </w:r>
      <w:r w:rsidR="000870DB" w:rsidRPr="00CF2274">
        <w:rPr>
          <w:rFonts w:ascii="Book Antiqua" w:hAnsi="Book Antiqua"/>
          <w:i/>
          <w:sz w:val="18"/>
          <w:szCs w:val="18"/>
        </w:rPr>
        <w:t xml:space="preserve"> galaxy M</w:t>
      </w:r>
      <w:r w:rsidR="002B474C" w:rsidRPr="00CF2274">
        <w:rPr>
          <w:rFonts w:ascii="Book Antiqua" w:hAnsi="Book Antiqua"/>
          <w:i/>
          <w:sz w:val="18"/>
          <w:szCs w:val="18"/>
        </w:rPr>
        <w:t>82 (inset)</w:t>
      </w:r>
      <w:r w:rsidRPr="00CF2274">
        <w:rPr>
          <w:rFonts w:ascii="Book Antiqua" w:hAnsi="Book Antiqua"/>
          <w:i/>
          <w:sz w:val="18"/>
          <w:szCs w:val="18"/>
        </w:rPr>
        <w:t>.  The current comes in via the spiral arms and exits at the core where strong currents, high voltages and hence a plasmoid exist.  The current exits via the jets and circles around back into the spiral arms.</w:t>
      </w:r>
    </w:p>
    <w:p w:rsidR="006D41BD" w:rsidRDefault="006D41BD" w:rsidP="006D41BD">
      <w:pPr>
        <w:pStyle w:val="NormPara"/>
        <w:ind w:firstLine="270"/>
        <w:rPr>
          <w:sz w:val="20"/>
        </w:rPr>
      </w:pPr>
    </w:p>
    <w:p w:rsidR="006D41BD" w:rsidRPr="00F87319" w:rsidRDefault="006D41BD" w:rsidP="006D41BD">
      <w:pPr>
        <w:pStyle w:val="NormPara"/>
        <w:ind w:firstLine="720"/>
        <w:rPr>
          <w:sz w:val="20"/>
        </w:rPr>
      </w:pPr>
      <w:r w:rsidRPr="00F87319">
        <w:rPr>
          <w:sz w:val="20"/>
        </w:rPr>
        <w:t>The equation for an orbiting star around the central plasmoid must consider both the electric and magnetic effects as well as gravity.  Anthony Peratt has done this.  The motion of a solid object in such an environment is completely described by his second equation in “Evolution of a Plasma Universe” [70]:</w:t>
      </w:r>
    </w:p>
    <w:p w:rsidR="006D41BD" w:rsidRPr="00F87319" w:rsidRDefault="006D41BD" w:rsidP="006D41BD">
      <w:pPr>
        <w:pStyle w:val="NormPara"/>
        <w:ind w:firstLine="720"/>
        <w:rPr>
          <w:sz w:val="20"/>
        </w:rPr>
      </w:pPr>
    </w:p>
    <w:p w:rsidR="006D41BD" w:rsidRPr="00F87319" w:rsidRDefault="006D41BD" w:rsidP="006D41BD">
      <w:pPr>
        <w:pStyle w:val="equation"/>
        <w:spacing w:before="80" w:after="80"/>
        <w:jc w:val="right"/>
        <w:rPr>
          <w:color w:val="000000"/>
          <w:sz w:val="20"/>
        </w:rPr>
      </w:pPr>
      <w:r w:rsidRPr="00F87319">
        <w:rPr>
          <w:color w:val="000000"/>
          <w:sz w:val="20"/>
        </w:rPr>
        <w:tab/>
      </w:r>
      <w:r w:rsidRPr="00F87319">
        <w:rPr>
          <w:color w:val="000000"/>
          <w:position w:val="-20"/>
          <w:sz w:val="20"/>
        </w:rPr>
        <w:object w:dxaOrig="2600" w:dyaOrig="499">
          <v:shape id="_x0000_i1308" type="#_x0000_t75" style="width:129.5pt;height:24.8pt" o:ole="">
            <v:imagedata r:id="rId923" o:title=""/>
          </v:shape>
          <o:OLEObject Type="Embed" ProgID="Equation.DSMT4" ShapeID="_x0000_i1308" DrawAspect="Content" ObjectID="_1433920460" r:id="rId924"/>
        </w:object>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color w:val="000000"/>
          <w:sz w:val="20"/>
        </w:rPr>
        <w:tab/>
      </w:r>
      <w:r w:rsidRPr="00F87319">
        <w:rPr>
          <w:i/>
          <w:color w:val="000000"/>
          <w:sz w:val="20"/>
        </w:rPr>
        <w:t>(80)</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0"/>
        <w:rPr>
          <w:color w:val="000000"/>
          <w:sz w:val="20"/>
        </w:rPr>
      </w:pPr>
      <w:r w:rsidRPr="00F87319">
        <w:rPr>
          <w:color w:val="000000"/>
          <w:sz w:val="20"/>
        </w:rPr>
        <w:t xml:space="preserve">In his equation reproduced as (80) here, </w:t>
      </w:r>
      <w:r w:rsidRPr="00F87319">
        <w:rPr>
          <w:color w:val="000000"/>
          <w:position w:val="-6"/>
          <w:sz w:val="20"/>
        </w:rPr>
        <w:object w:dxaOrig="220" w:dyaOrig="200">
          <v:shape id="_x0000_i1309" type="#_x0000_t75" style="width:10.3pt;height:9.7pt" o:ole="">
            <v:imagedata r:id="rId925" o:title=""/>
          </v:shape>
          <o:OLEObject Type="Embed" ProgID="Equation.DSMT4" ShapeID="_x0000_i1309" DrawAspect="Content" ObjectID="_1433920461" r:id="rId926"/>
        </w:object>
      </w:r>
      <w:r w:rsidRPr="00F87319">
        <w:rPr>
          <w:color w:val="000000"/>
          <w:sz w:val="20"/>
        </w:rPr>
        <w:t>is the mass of the object, which has a velocity</w:t>
      </w:r>
      <w:r w:rsidRPr="00F87319">
        <w:rPr>
          <w:color w:val="000000"/>
          <w:position w:val="-6"/>
          <w:sz w:val="20"/>
        </w:rPr>
        <w:object w:dxaOrig="180" w:dyaOrig="200">
          <v:shape id="_x0000_i1310" type="#_x0000_t75" style="width:9.1pt;height:9.7pt" o:ole="">
            <v:imagedata r:id="rId927" o:title=""/>
          </v:shape>
          <o:OLEObject Type="Embed" ProgID="Equation.DSMT4" ShapeID="_x0000_i1310" DrawAspect="Content" ObjectID="_1433920462" r:id="rId928"/>
        </w:object>
      </w:r>
      <w:r w:rsidRPr="00F87319">
        <w:rPr>
          <w:color w:val="000000"/>
          <w:sz w:val="20"/>
        </w:rPr>
        <w:t>and carries an electric charge</w:t>
      </w:r>
      <w:r w:rsidRPr="00F87319">
        <w:rPr>
          <w:color w:val="000000"/>
          <w:position w:val="-10"/>
          <w:sz w:val="20"/>
        </w:rPr>
        <w:object w:dxaOrig="160" w:dyaOrig="240">
          <v:shape id="_x0000_i1311" type="#_x0000_t75" style="width:8.45pt;height:12.1pt" o:ole="">
            <v:imagedata r:id="rId929" o:title=""/>
          </v:shape>
          <o:OLEObject Type="Embed" ProgID="Equation.DSMT4" ShapeID="_x0000_i1311" DrawAspect="Content" ObjectID="_1433920463" r:id="rId930"/>
        </w:object>
      </w:r>
      <w:r w:rsidRPr="00F87319">
        <w:rPr>
          <w:color w:val="000000"/>
          <w:sz w:val="20"/>
        </w:rPr>
        <w:t xml:space="preserve">.  The electric field strength and magnetic induction are </w:t>
      </w:r>
      <w:r w:rsidRPr="00F87319">
        <w:rPr>
          <w:color w:val="000000"/>
          <w:position w:val="-4"/>
          <w:sz w:val="20"/>
        </w:rPr>
        <w:object w:dxaOrig="180" w:dyaOrig="260">
          <v:shape id="_x0000_i1312" type="#_x0000_t75" style="width:9.1pt;height:12.7pt" o:ole="">
            <v:imagedata r:id="rId931" o:title=""/>
          </v:shape>
          <o:OLEObject Type="Embed" ProgID="Equation.DSMT4" ShapeID="_x0000_i1312" DrawAspect="Content" ObjectID="_1433920464" r:id="rId932"/>
        </w:object>
      </w:r>
      <w:r w:rsidRPr="00F87319">
        <w:rPr>
          <w:color w:val="000000"/>
          <w:sz w:val="20"/>
        </w:rPr>
        <w:t xml:space="preserve"> and </w:t>
      </w:r>
      <w:r w:rsidRPr="00F87319">
        <w:rPr>
          <w:color w:val="000000"/>
          <w:position w:val="-4"/>
          <w:sz w:val="20"/>
        </w:rPr>
        <w:object w:dxaOrig="200" w:dyaOrig="260">
          <v:shape id="_x0000_i1313" type="#_x0000_t75" style="width:9.7pt;height:12.7pt" o:ole="">
            <v:imagedata r:id="rId933" o:title=""/>
          </v:shape>
          <o:OLEObject Type="Embed" ProgID="Equation.DSMT4" ShapeID="_x0000_i1313" DrawAspect="Content" ObjectID="_1433920465" r:id="rId934"/>
        </w:object>
      </w:r>
      <w:r w:rsidRPr="00F87319">
        <w:rPr>
          <w:color w:val="000000"/>
          <w:sz w:val="20"/>
        </w:rPr>
        <w:t xml:space="preserve"> respectively.  The term</w:t>
      </w:r>
      <w:r w:rsidRPr="00F87319">
        <w:rPr>
          <w:color w:val="000000"/>
          <w:position w:val="-8"/>
          <w:sz w:val="20"/>
        </w:rPr>
        <w:object w:dxaOrig="279" w:dyaOrig="220">
          <v:shape id="_x0000_i1314" type="#_x0000_t75" style="width:14.5pt;height:10.3pt" o:ole="">
            <v:imagedata r:id="rId935" o:title=""/>
          </v:shape>
          <o:OLEObject Type="Embed" ProgID="Equation.DSMT4" ShapeID="_x0000_i1314" DrawAspect="Content" ObjectID="_1433920466" r:id="rId936"/>
        </w:object>
      </w:r>
      <w:r w:rsidRPr="00F87319">
        <w:rPr>
          <w:color w:val="000000"/>
          <w:sz w:val="20"/>
        </w:rPr>
        <w:t>is due to the viscosity of the medium, and</w:t>
      </w:r>
      <w:r w:rsidRPr="00F87319">
        <w:rPr>
          <w:color w:val="000000"/>
          <w:position w:val="-10"/>
          <w:sz w:val="20"/>
        </w:rPr>
        <w:object w:dxaOrig="220" w:dyaOrig="279">
          <v:shape id="_x0000_i1315" type="#_x0000_t75" style="width:10.3pt;height:14.5pt" o:ole="">
            <v:imagedata r:id="rId937" o:title=""/>
          </v:shape>
          <o:OLEObject Type="Embed" ProgID="Equation.DSMT4" ShapeID="_x0000_i1315" DrawAspect="Content" ObjectID="_1433920467" r:id="rId938"/>
        </w:object>
      </w:r>
      <w:r w:rsidRPr="00F87319">
        <w:rPr>
          <w:color w:val="000000"/>
          <w:sz w:val="20"/>
        </w:rPr>
        <w:t xml:space="preserve">is the sum of all other forces acting.  In the case being considered here, </w:t>
      </w:r>
      <w:proofErr w:type="gramStart"/>
      <w:r w:rsidRPr="00F87319">
        <w:rPr>
          <w:color w:val="000000"/>
          <w:sz w:val="20"/>
        </w:rPr>
        <w:t xml:space="preserve">the </w:t>
      </w:r>
      <w:r w:rsidRPr="00F87319">
        <w:rPr>
          <w:color w:val="000000"/>
          <w:position w:val="-8"/>
          <w:sz w:val="20"/>
        </w:rPr>
        <w:object w:dxaOrig="279" w:dyaOrig="220">
          <v:shape id="_x0000_i1316" type="#_x0000_t75" style="width:14.5pt;height:10.3pt" o:ole="">
            <v:imagedata r:id="rId939" o:title=""/>
          </v:shape>
          <o:OLEObject Type="Embed" ProgID="Equation.DSMT4" ShapeID="_x0000_i1316" DrawAspect="Content" ObjectID="_1433920468" r:id="rId940"/>
        </w:object>
      </w:r>
      <w:r w:rsidRPr="00F87319">
        <w:rPr>
          <w:color w:val="000000"/>
          <w:sz w:val="20"/>
        </w:rPr>
        <w:t>and</w:t>
      </w:r>
      <w:proofErr w:type="gramEnd"/>
      <w:r w:rsidRPr="00F87319">
        <w:rPr>
          <w:color w:val="000000"/>
          <w:sz w:val="20"/>
        </w:rPr>
        <w:t xml:space="preserve"> </w:t>
      </w:r>
      <w:r w:rsidRPr="00F87319">
        <w:rPr>
          <w:color w:val="000000"/>
          <w:position w:val="-10"/>
          <w:sz w:val="20"/>
        </w:rPr>
        <w:object w:dxaOrig="200" w:dyaOrig="279">
          <v:shape id="_x0000_i1317" type="#_x0000_t75" style="width:9.7pt;height:14.5pt" o:ole="">
            <v:imagedata r:id="rId941" o:title=""/>
          </v:shape>
          <o:OLEObject Type="Embed" ProgID="Equation.DSMT4" ShapeID="_x0000_i1317" DrawAspect="Content" ObjectID="_1433920469" r:id="rId942"/>
        </w:object>
      </w:r>
      <w:r w:rsidRPr="00F87319">
        <w:rPr>
          <w:color w:val="000000"/>
          <w:sz w:val="20"/>
        </w:rPr>
        <w:t>terms may be omitted, and only the gravitational and electromagnetic forces need to be considered.  If Sag. A* is not a black hole, then the</w:t>
      </w:r>
      <w:r w:rsidRPr="00F87319">
        <w:rPr>
          <w:color w:val="000000"/>
          <w:position w:val="-10"/>
          <w:sz w:val="20"/>
        </w:rPr>
        <w:object w:dxaOrig="320" w:dyaOrig="240">
          <v:shape id="_x0000_i1318" type="#_x0000_t75" style="width:15.75pt;height:12.1pt" o:ole="">
            <v:imagedata r:id="rId943" o:title=""/>
          </v:shape>
          <o:OLEObject Type="Embed" ProgID="Equation.DSMT4" ShapeID="_x0000_i1318" DrawAspect="Content" ObjectID="_1433920470" r:id="rId944"/>
        </w:object>
      </w:r>
      <w:r w:rsidRPr="00F87319">
        <w:rPr>
          <w:color w:val="000000"/>
          <w:sz w:val="20"/>
        </w:rPr>
        <w:t xml:space="preserve">term will be negligible compared with the electromagnetic terms.  This would mean that the electric and magnetic forces, given </w:t>
      </w:r>
      <w:proofErr w:type="gramStart"/>
      <w:r w:rsidRPr="00F87319">
        <w:rPr>
          <w:color w:val="000000"/>
          <w:sz w:val="20"/>
        </w:rPr>
        <w:t xml:space="preserve">by </w:t>
      </w:r>
      <w:proofErr w:type="gramEnd"/>
      <w:r w:rsidRPr="00F87319">
        <w:rPr>
          <w:color w:val="000000"/>
          <w:position w:val="-16"/>
          <w:sz w:val="20"/>
        </w:rPr>
        <w:object w:dxaOrig="960" w:dyaOrig="400">
          <v:shape id="_x0000_i1319" type="#_x0000_t75" style="width:47.8pt;height:19.95pt" o:ole="">
            <v:imagedata r:id="rId945" o:title=""/>
          </v:shape>
          <o:OLEObject Type="Embed" ProgID="Equation.DSMT4" ShapeID="_x0000_i1319" DrawAspect="Content" ObjectID="_1433920471" r:id="rId946"/>
        </w:object>
      </w:r>
      <w:r w:rsidRPr="00F87319">
        <w:rPr>
          <w:color w:val="000000"/>
          <w:sz w:val="20"/>
        </w:rPr>
        <w:t xml:space="preserve">, must be imparting an acceleration to the nearby stars equivalent to that of a 3 million solar mass black hole.  Plasma physics has already concluded that galaxy rotation rates are governed by electric and magnetic forces.  Therefore, it would come as no great surprise that stars in galaxy centers, where these </w:t>
      </w:r>
      <w:r w:rsidRPr="00F87319">
        <w:rPr>
          <w:sz w:val="20"/>
        </w:rPr>
        <w:t>forces</w:t>
      </w:r>
      <w:r w:rsidRPr="00F87319">
        <w:rPr>
          <w:color w:val="000000"/>
          <w:sz w:val="20"/>
        </w:rPr>
        <w:t xml:space="preserve"> are focused, are doing the same thing.</w:t>
      </w:r>
    </w:p>
    <w:p w:rsidR="006D41BD" w:rsidRPr="00F87319" w:rsidRDefault="006D41BD" w:rsidP="006D41BD">
      <w:pPr>
        <w:pStyle w:val="NormPara"/>
        <w:ind w:firstLine="0"/>
        <w:rPr>
          <w:color w:val="000000"/>
          <w:sz w:val="20"/>
        </w:rPr>
      </w:pPr>
    </w:p>
    <w:p w:rsidR="006D41BD" w:rsidRPr="00F87319" w:rsidRDefault="006D41BD" w:rsidP="00252491">
      <w:pPr>
        <w:pStyle w:val="ListParagraph"/>
        <w:numPr>
          <w:ilvl w:val="0"/>
          <w:numId w:val="46"/>
        </w:numPr>
        <w:spacing w:before="120" w:after="120" w:line="240" w:lineRule="atLeast"/>
        <w:ind w:left="540"/>
        <w:jc w:val="both"/>
        <w:outlineLvl w:val="0"/>
        <w:rPr>
          <w:rFonts w:ascii="Book Antiqua" w:hAnsi="Book Antiqua"/>
          <w:b/>
          <w:sz w:val="20"/>
        </w:rPr>
      </w:pPr>
      <w:r w:rsidRPr="00F87319">
        <w:rPr>
          <w:rFonts w:ascii="Book Antiqua" w:hAnsi="Book Antiqua"/>
          <w:b/>
          <w:sz w:val="20"/>
        </w:rPr>
        <w:t>Conclusion</w:t>
      </w:r>
    </w:p>
    <w:p w:rsidR="006D41BD" w:rsidRPr="00F87319" w:rsidRDefault="006D41BD" w:rsidP="006D41BD">
      <w:pPr>
        <w:pStyle w:val="NormPara"/>
        <w:ind w:firstLine="270"/>
        <w:rPr>
          <w:color w:val="000000"/>
          <w:sz w:val="20"/>
        </w:rPr>
      </w:pPr>
    </w:p>
    <w:p w:rsidR="006D41BD" w:rsidRPr="00F87319" w:rsidRDefault="006D41BD" w:rsidP="006D41BD">
      <w:pPr>
        <w:pStyle w:val="NormPara"/>
        <w:ind w:firstLine="540"/>
        <w:rPr>
          <w:color w:val="000000"/>
          <w:sz w:val="20"/>
        </w:rPr>
      </w:pPr>
      <w:r w:rsidRPr="00F87319">
        <w:rPr>
          <w:color w:val="000000"/>
          <w:sz w:val="20"/>
        </w:rPr>
        <w:t xml:space="preserve">Although quantum physics gained the upper hand in terms of popularity, the investigation of the real Zero Point Energy, started by Planck in 1911, later led to the establishment of SED physics.  Ongoing research in this topic has given </w:t>
      </w:r>
      <w:r w:rsidRPr="00F87319">
        <w:rPr>
          <w:color w:val="000000"/>
          <w:sz w:val="20"/>
        </w:rPr>
        <w:lastRenderedPageBreak/>
        <w:t xml:space="preserve">intuitive solutions, with simple mathematics, to problems posed by both quantum and cosmological phenomena. This chapter, among a number of other sources, has shown that SED physics using the ZPE can also predict a wide range of phenomena that earlier was considered the exclusive province of Relativity theory. </w:t>
      </w:r>
    </w:p>
    <w:p w:rsidR="006D41BD" w:rsidRPr="00F87319" w:rsidRDefault="006D41BD" w:rsidP="006D41BD">
      <w:pPr>
        <w:pStyle w:val="NormPara"/>
        <w:ind w:firstLine="540"/>
        <w:rPr>
          <w:color w:val="000000"/>
          <w:sz w:val="20"/>
        </w:rPr>
      </w:pPr>
    </w:p>
    <w:p w:rsidR="006D41BD" w:rsidRPr="00F87319" w:rsidRDefault="006D41BD" w:rsidP="006D41BD">
      <w:pPr>
        <w:pStyle w:val="NormPara"/>
        <w:ind w:firstLine="540"/>
        <w:rPr>
          <w:color w:val="000000"/>
          <w:sz w:val="20"/>
        </w:rPr>
      </w:pPr>
      <w:r w:rsidRPr="00F87319">
        <w:rPr>
          <w:color w:val="000000"/>
          <w:sz w:val="20"/>
        </w:rPr>
        <w:t>Relativity is the concept that everything is, literally, relative, and that there is no absolute frame of reference in the universe.  The discovery of the Cosmic Microwave Background Radiation provided that absolute frame of reference, and this has negated one premise upon which relativity theory is based.  Instead, the Zero Point Energy provides an alternative explanation for relativistic phenomena. Indeed, the ZPE seems to be the common factor linking quantum mechanics with Relativity and gravity.  When this is combined with the evidence that the ZPE has changed through time, explanations for a number of discrepant data also open up.</w:t>
      </w:r>
      <w:r w:rsidRPr="00F87319">
        <w:rPr>
          <w:sz w:val="20"/>
        </w:rPr>
        <w:t xml:space="preserve"> The SED approach to Relativity thereby seems to deserve some serious consideration.</w:t>
      </w:r>
    </w:p>
    <w:p w:rsidR="006D41BD" w:rsidRPr="00F87319" w:rsidRDefault="006D41BD" w:rsidP="006D41BD">
      <w:pPr>
        <w:pStyle w:val="Els-body-text"/>
        <w:rPr>
          <w:rFonts w:ascii="Book Antiqua" w:hAnsi="Book Antiqua"/>
          <w:sz w:val="16"/>
          <w:szCs w:val="16"/>
        </w:rPr>
      </w:pPr>
    </w:p>
    <w:p w:rsidR="006D41BD" w:rsidRPr="00F87319" w:rsidRDefault="006D41BD" w:rsidP="006D41BD">
      <w:pPr>
        <w:pStyle w:val="ListParagraph"/>
        <w:spacing w:before="120" w:after="120" w:line="240" w:lineRule="atLeast"/>
        <w:ind w:left="0"/>
        <w:outlineLvl w:val="0"/>
        <w:rPr>
          <w:rFonts w:ascii="Book Antiqua" w:hAnsi="Book Antiqua"/>
          <w:b/>
          <w:sz w:val="20"/>
        </w:rPr>
      </w:pPr>
      <w:r w:rsidRPr="00F87319">
        <w:rPr>
          <w:rFonts w:ascii="Book Antiqua" w:hAnsi="Book Antiqua"/>
          <w:b/>
          <w:sz w:val="20"/>
        </w:rPr>
        <w:t xml:space="preserve">References </w:t>
      </w:r>
      <w:r w:rsidRPr="00F87319">
        <w:rPr>
          <w:rFonts w:ascii="Book Antiqua" w:hAnsi="Book Antiqua"/>
          <w:i/>
          <w:sz w:val="20"/>
        </w:rPr>
        <w:t>– All URL’s retrieved 9/13/12</w:t>
      </w:r>
    </w:p>
    <w:p w:rsidR="006D41BD" w:rsidRPr="00F87319" w:rsidRDefault="006D41BD" w:rsidP="006D41BD">
      <w:pPr>
        <w:pStyle w:val="reference"/>
        <w:ind w:left="450" w:hanging="450"/>
        <w:jc w:val="left"/>
        <w:rPr>
          <w:szCs w:val="16"/>
        </w:rPr>
      </w:pPr>
      <w:r w:rsidRPr="00F87319">
        <w:rPr>
          <w:szCs w:val="16"/>
        </w:rPr>
        <w:t>[1]</w:t>
      </w:r>
      <w:r w:rsidRPr="00F87319">
        <w:rPr>
          <w:szCs w:val="16"/>
        </w:rPr>
        <w:tab/>
        <w:t xml:space="preserve">Example graphs from the Michelson-Morley report, </w:t>
      </w:r>
      <w:hyperlink r:id="rId947" w:history="1">
        <w:r w:rsidRPr="00F87319">
          <w:rPr>
            <w:rStyle w:val="Hyperlink"/>
            <w:szCs w:val="16"/>
          </w:rPr>
          <w:t>http://spiff. rit.edu/classes/phys314/lectures/mm_result/mm_result.html</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[2]</w:t>
      </w:r>
      <w:r w:rsidRPr="00F87319">
        <w:rPr>
          <w:szCs w:val="16"/>
        </w:rPr>
        <w:tab/>
        <w:t xml:space="preserve">A. A. Michelson, </w:t>
      </w:r>
      <w:r w:rsidRPr="00F87319">
        <w:rPr>
          <w:i/>
          <w:szCs w:val="16"/>
        </w:rPr>
        <w:t>American Journal of Science</w:t>
      </w:r>
      <w:r w:rsidRPr="00F87319">
        <w:rPr>
          <w:szCs w:val="16"/>
        </w:rPr>
        <w:t xml:space="preserve"> </w:t>
      </w:r>
      <w:r w:rsidRPr="00F87319">
        <w:rPr>
          <w:b/>
          <w:szCs w:val="16"/>
        </w:rPr>
        <w:t>22</w:t>
      </w:r>
      <w:r w:rsidRPr="00F87319">
        <w:rPr>
          <w:szCs w:val="16"/>
        </w:rPr>
        <w:t>: 120-129 (1881).</w:t>
      </w:r>
    </w:p>
    <w:p w:rsidR="006D41BD" w:rsidRPr="00F87319" w:rsidRDefault="006D41BD" w:rsidP="006D41BD">
      <w:pPr>
        <w:pStyle w:val="reference"/>
        <w:ind w:left="450" w:hanging="450"/>
        <w:jc w:val="left"/>
        <w:rPr>
          <w:szCs w:val="16"/>
        </w:rPr>
      </w:pPr>
      <w:r w:rsidRPr="00F87319">
        <w:rPr>
          <w:szCs w:val="16"/>
        </w:rPr>
        <w:t>[3]</w:t>
      </w:r>
      <w:r w:rsidRPr="00F87319">
        <w:rPr>
          <w:szCs w:val="16"/>
        </w:rPr>
        <w:tab/>
        <w:t xml:space="preserve">H. A. Lorentz, </w:t>
      </w:r>
      <w:r w:rsidRPr="00F87319">
        <w:rPr>
          <w:i/>
          <w:szCs w:val="16"/>
        </w:rPr>
        <w:t>Lectures on Theoretical Physics,</w:t>
      </w:r>
      <w:r w:rsidRPr="00F87319">
        <w:rPr>
          <w:szCs w:val="16"/>
        </w:rPr>
        <w:t xml:space="preserve"> Vol. III, pp. 208-211 (Macmillan &amp; Co., London, 1931), contains summary and citation of 1904 paper.</w:t>
      </w:r>
    </w:p>
    <w:p w:rsidR="006D41BD" w:rsidRPr="00F87319" w:rsidRDefault="006D41BD" w:rsidP="006D41BD">
      <w:pPr>
        <w:pStyle w:val="reference"/>
        <w:ind w:left="450" w:hanging="450"/>
        <w:jc w:val="left"/>
        <w:rPr>
          <w:szCs w:val="16"/>
        </w:rPr>
      </w:pPr>
      <w:r w:rsidRPr="00F87319">
        <w:rPr>
          <w:szCs w:val="16"/>
        </w:rPr>
        <w:t>[4]</w:t>
      </w:r>
      <w:r w:rsidRPr="00F87319">
        <w:rPr>
          <w:szCs w:val="16"/>
        </w:rPr>
        <w:tab/>
        <w:t xml:space="preserve">R. T. Cahill, </w:t>
      </w:r>
      <w:r w:rsidRPr="00F87319">
        <w:rPr>
          <w:rStyle w:val="Emphasis"/>
          <w:szCs w:val="16"/>
        </w:rPr>
        <w:t>Progress in Physics</w:t>
      </w:r>
      <w:r w:rsidRPr="00F87319">
        <w:rPr>
          <w:szCs w:val="16"/>
        </w:rPr>
        <w:t>,</w:t>
      </w:r>
      <w:r w:rsidRPr="00F87319">
        <w:rPr>
          <w:rStyle w:val="Strong"/>
          <w:rFonts w:eastAsia="Lucida Sans Unicode"/>
          <w:szCs w:val="16"/>
        </w:rPr>
        <w:t xml:space="preserve"> 4</w:t>
      </w:r>
      <w:r w:rsidRPr="00F87319">
        <w:rPr>
          <w:szCs w:val="16"/>
        </w:rPr>
        <w:t>: 73-92 (2006).</w:t>
      </w:r>
    </w:p>
    <w:p w:rsidR="006D41BD" w:rsidRPr="00F87319" w:rsidRDefault="006D41BD" w:rsidP="006D41BD">
      <w:pPr>
        <w:pStyle w:val="reference"/>
        <w:ind w:left="450" w:hanging="450"/>
        <w:jc w:val="left"/>
        <w:rPr>
          <w:szCs w:val="16"/>
        </w:rPr>
      </w:pPr>
      <w:r w:rsidRPr="00F87319">
        <w:rPr>
          <w:szCs w:val="16"/>
        </w:rPr>
        <w:t>[5]</w:t>
      </w:r>
      <w:r w:rsidRPr="00F87319">
        <w:rPr>
          <w:szCs w:val="16"/>
        </w:rPr>
        <w:tab/>
        <w:t xml:space="preserve">M. Planck, </w:t>
      </w:r>
      <w:r w:rsidRPr="00F87319">
        <w:rPr>
          <w:i/>
          <w:iCs/>
          <w:szCs w:val="16"/>
        </w:rPr>
        <w:t xml:space="preserve">Verhandlungen der Deutschen Physikalischen Gesellschaft </w:t>
      </w:r>
      <w:r w:rsidRPr="00F87319">
        <w:rPr>
          <w:b/>
          <w:bCs/>
          <w:szCs w:val="16"/>
        </w:rPr>
        <w:t>13</w:t>
      </w:r>
      <w:r w:rsidRPr="00F87319">
        <w:rPr>
          <w:bCs/>
          <w:szCs w:val="16"/>
        </w:rPr>
        <w:t xml:space="preserve">: 138 </w:t>
      </w:r>
      <w:r w:rsidRPr="00F87319">
        <w:rPr>
          <w:szCs w:val="16"/>
        </w:rPr>
        <w:t>(1911).</w:t>
      </w:r>
    </w:p>
    <w:p w:rsidR="006D41BD" w:rsidRPr="00F87319" w:rsidRDefault="006D41BD" w:rsidP="006D41BD">
      <w:pPr>
        <w:pStyle w:val="reference"/>
        <w:ind w:left="450" w:hanging="450"/>
        <w:jc w:val="left"/>
        <w:rPr>
          <w:szCs w:val="16"/>
        </w:rPr>
      </w:pPr>
      <w:r w:rsidRPr="00F87319">
        <w:rPr>
          <w:szCs w:val="16"/>
        </w:rPr>
        <w:t>[6]</w:t>
      </w:r>
      <w:r w:rsidRPr="00F87319">
        <w:rPr>
          <w:szCs w:val="16"/>
        </w:rPr>
        <w:tab/>
        <w:t xml:space="preserve">A. Einstein, O. Stern, </w:t>
      </w:r>
      <w:r w:rsidRPr="00F87319">
        <w:rPr>
          <w:i/>
          <w:szCs w:val="16"/>
        </w:rPr>
        <w:t>Ann. Physik</w:t>
      </w:r>
      <w:r w:rsidRPr="00F87319">
        <w:rPr>
          <w:szCs w:val="16"/>
        </w:rPr>
        <w:t xml:space="preserve"> </w:t>
      </w:r>
      <w:r w:rsidRPr="00F87319">
        <w:rPr>
          <w:b/>
          <w:bCs/>
          <w:szCs w:val="16"/>
        </w:rPr>
        <w:t>40</w:t>
      </w:r>
      <w:r w:rsidRPr="00F87319">
        <w:rPr>
          <w:szCs w:val="16"/>
        </w:rPr>
        <w:t>: 551 (1913).</w:t>
      </w:r>
    </w:p>
    <w:p w:rsidR="006D41BD" w:rsidRPr="00F87319" w:rsidRDefault="006D41BD" w:rsidP="006D41BD">
      <w:pPr>
        <w:pStyle w:val="reference"/>
        <w:ind w:left="450" w:hanging="450"/>
        <w:jc w:val="left"/>
        <w:rPr>
          <w:szCs w:val="16"/>
        </w:rPr>
      </w:pPr>
      <w:r w:rsidRPr="00F87319">
        <w:rPr>
          <w:color w:val="000000"/>
          <w:szCs w:val="16"/>
        </w:rPr>
        <w:t>[7]</w:t>
      </w:r>
      <w:r w:rsidRPr="00F87319">
        <w:rPr>
          <w:color w:val="000000"/>
          <w:szCs w:val="16"/>
        </w:rPr>
        <w:tab/>
      </w:r>
      <w:r w:rsidRPr="00F87319">
        <w:rPr>
          <w:szCs w:val="16"/>
        </w:rPr>
        <w:t xml:space="preserve">W. Nernst, </w:t>
      </w:r>
      <w:r w:rsidRPr="00F87319">
        <w:rPr>
          <w:i/>
          <w:szCs w:val="16"/>
        </w:rPr>
        <w:t>Verhandlungen der Deutschen Physikalischen  Gesellschaft</w:t>
      </w:r>
      <w:r w:rsidRPr="00F87319">
        <w:rPr>
          <w:szCs w:val="16"/>
        </w:rPr>
        <w:t xml:space="preserve"> </w:t>
      </w:r>
      <w:r w:rsidRPr="00F87319">
        <w:rPr>
          <w:b/>
          <w:bCs/>
          <w:szCs w:val="16"/>
        </w:rPr>
        <w:t>4</w:t>
      </w:r>
      <w:r w:rsidRPr="00F87319">
        <w:rPr>
          <w:szCs w:val="16"/>
        </w:rPr>
        <w:t>: 83-116 (1916).</w:t>
      </w:r>
    </w:p>
    <w:p w:rsidR="006D41BD" w:rsidRPr="00F87319" w:rsidRDefault="006D41BD" w:rsidP="006D41BD">
      <w:pPr>
        <w:pStyle w:val="reference"/>
        <w:ind w:left="450" w:hanging="450"/>
        <w:jc w:val="left"/>
        <w:rPr>
          <w:szCs w:val="16"/>
        </w:rPr>
      </w:pPr>
      <w:r w:rsidRPr="00F87319">
        <w:rPr>
          <w:szCs w:val="16"/>
        </w:rPr>
        <w:t>[8]</w:t>
      </w:r>
      <w:r w:rsidRPr="00F87319">
        <w:rPr>
          <w:szCs w:val="16"/>
        </w:rPr>
        <w:tab/>
        <w:t xml:space="preserve">T. Kuhn, </w:t>
      </w:r>
      <w:r w:rsidRPr="00F87319">
        <w:rPr>
          <w:i/>
          <w:szCs w:val="16"/>
        </w:rPr>
        <w:t>Black Body theory and the Quantum Discontinuity: 1894-1912</w:t>
      </w:r>
      <w:r w:rsidRPr="00F87319">
        <w:rPr>
          <w:szCs w:val="16"/>
        </w:rPr>
        <w:t xml:space="preserve"> (Oxford University Press, Oxford, 1978).</w:t>
      </w:r>
    </w:p>
    <w:p w:rsidR="006D41BD" w:rsidRPr="00F87319" w:rsidRDefault="006D41BD" w:rsidP="006D41BD">
      <w:pPr>
        <w:pStyle w:val="reference"/>
        <w:ind w:left="450" w:hanging="450"/>
        <w:jc w:val="left"/>
        <w:rPr>
          <w:szCs w:val="16"/>
        </w:rPr>
      </w:pPr>
      <w:r w:rsidRPr="00F87319">
        <w:rPr>
          <w:szCs w:val="16"/>
        </w:rPr>
        <w:t>[9]</w:t>
      </w:r>
      <w:r w:rsidRPr="00F87319">
        <w:rPr>
          <w:szCs w:val="16"/>
        </w:rPr>
        <w:tab/>
        <w:t xml:space="preserve">L. de Broglie, </w:t>
      </w:r>
      <w:r w:rsidRPr="00F87319">
        <w:rPr>
          <w:i/>
          <w:szCs w:val="16"/>
        </w:rPr>
        <w:t>New Perspectives in Physics</w:t>
      </w:r>
      <w:r w:rsidRPr="00F87319">
        <w:rPr>
          <w:szCs w:val="16"/>
        </w:rPr>
        <w:t xml:space="preserve"> (Basic Books Publishing Co., New York, 1962).</w:t>
      </w:r>
    </w:p>
    <w:p w:rsidR="006D41BD" w:rsidRPr="00F87319" w:rsidRDefault="006D41BD" w:rsidP="006D41BD">
      <w:pPr>
        <w:pStyle w:val="reference"/>
        <w:ind w:left="450" w:hanging="450"/>
        <w:jc w:val="left"/>
        <w:rPr>
          <w:szCs w:val="16"/>
        </w:rPr>
      </w:pPr>
      <w:r w:rsidRPr="00F87319">
        <w:rPr>
          <w:szCs w:val="16"/>
        </w:rPr>
        <w:t>[10]</w:t>
      </w:r>
      <w:r w:rsidRPr="00F87319">
        <w:rPr>
          <w:szCs w:val="16"/>
        </w:rPr>
        <w:tab/>
        <w:t xml:space="preserve">U. Mohideen, A. Roy, </w:t>
      </w:r>
      <w:r w:rsidRPr="00F87319">
        <w:rPr>
          <w:i/>
          <w:szCs w:val="16"/>
        </w:rPr>
        <w:t>Phys. Rev. Lett</w:t>
      </w:r>
      <w:r w:rsidRPr="00F87319">
        <w:rPr>
          <w:szCs w:val="16"/>
        </w:rPr>
        <w:t xml:space="preserve">. </w:t>
      </w:r>
      <w:r w:rsidRPr="00F87319">
        <w:rPr>
          <w:b/>
          <w:bCs/>
          <w:szCs w:val="16"/>
        </w:rPr>
        <w:t>81</w:t>
      </w:r>
      <w:r w:rsidRPr="00F87319">
        <w:rPr>
          <w:szCs w:val="16"/>
        </w:rPr>
        <w:t>: 4549 (1998).</w:t>
      </w:r>
    </w:p>
    <w:p w:rsidR="006D41BD" w:rsidRPr="00F87319" w:rsidRDefault="006D41BD" w:rsidP="006D41BD">
      <w:pPr>
        <w:pStyle w:val="reference"/>
        <w:ind w:left="450" w:hanging="450"/>
        <w:jc w:val="left"/>
        <w:rPr>
          <w:szCs w:val="16"/>
        </w:rPr>
      </w:pPr>
      <w:r w:rsidRPr="00F87319">
        <w:rPr>
          <w:szCs w:val="16"/>
        </w:rPr>
        <w:t>[11]</w:t>
      </w:r>
      <w:r w:rsidRPr="00F87319">
        <w:rPr>
          <w:szCs w:val="16"/>
        </w:rPr>
        <w:tab/>
        <w:t xml:space="preserve">T. H. Boyer, </w:t>
      </w:r>
      <w:r w:rsidRPr="00F87319">
        <w:rPr>
          <w:i/>
          <w:iCs/>
          <w:szCs w:val="16"/>
        </w:rPr>
        <w:t>Scientific American</w:t>
      </w:r>
      <w:r w:rsidRPr="00F87319">
        <w:rPr>
          <w:szCs w:val="16"/>
        </w:rPr>
        <w:t>, pp. 70-78 (Aug 1985).</w:t>
      </w:r>
    </w:p>
    <w:p w:rsidR="006D41BD" w:rsidRPr="00F87319" w:rsidRDefault="006D41BD" w:rsidP="006D41BD">
      <w:pPr>
        <w:pStyle w:val="reference"/>
        <w:ind w:left="450" w:hanging="450"/>
        <w:jc w:val="left"/>
        <w:rPr>
          <w:szCs w:val="16"/>
        </w:rPr>
      </w:pPr>
      <w:r w:rsidRPr="00F87319">
        <w:rPr>
          <w:szCs w:val="16"/>
        </w:rPr>
        <w:t>[12]</w:t>
      </w:r>
      <w:r w:rsidRPr="00F87319">
        <w:rPr>
          <w:szCs w:val="16"/>
        </w:rPr>
        <w:tab/>
        <w:t xml:space="preserve">B. J. Setterfield, “The Zero Point Energy, Light and Time,” </w:t>
      </w:r>
      <w:r w:rsidRPr="00F87319">
        <w:rPr>
          <w:i/>
          <w:szCs w:val="16"/>
        </w:rPr>
        <w:t>Proceedings of the NPA</w:t>
      </w:r>
      <w:r w:rsidRPr="00F87319">
        <w:rPr>
          <w:szCs w:val="16"/>
        </w:rPr>
        <w:t xml:space="preserve"> </w:t>
      </w:r>
      <w:r w:rsidRPr="00F87319">
        <w:rPr>
          <w:b/>
          <w:szCs w:val="16"/>
        </w:rPr>
        <w:t>9</w:t>
      </w:r>
      <w:r w:rsidRPr="00F87319">
        <w:rPr>
          <w:szCs w:val="16"/>
        </w:rPr>
        <w:t>: this proceedings (2012).</w:t>
      </w:r>
    </w:p>
    <w:p w:rsidR="006D41BD" w:rsidRPr="00F87319" w:rsidRDefault="006D41BD" w:rsidP="006D41BD">
      <w:pPr>
        <w:pStyle w:val="reference"/>
        <w:ind w:left="450" w:hanging="450"/>
        <w:jc w:val="left"/>
        <w:rPr>
          <w:szCs w:val="16"/>
        </w:rPr>
      </w:pPr>
      <w:r w:rsidRPr="00F87319">
        <w:rPr>
          <w:szCs w:val="16"/>
        </w:rPr>
        <w:t>[13]</w:t>
      </w:r>
      <w:r w:rsidRPr="00F87319">
        <w:rPr>
          <w:szCs w:val="16"/>
        </w:rPr>
        <w:tab/>
      </w:r>
      <w:r w:rsidR="00EF6D6F" w:rsidRPr="005627CB">
        <w:rPr>
          <w:szCs w:val="16"/>
        </w:rPr>
        <w:t>J</w:t>
      </w:r>
      <w:r w:rsidR="00EF6D6F">
        <w:rPr>
          <w:szCs w:val="16"/>
        </w:rPr>
        <w:t>.</w:t>
      </w:r>
      <w:r w:rsidR="00EF6D6F" w:rsidRPr="005627CB">
        <w:rPr>
          <w:szCs w:val="16"/>
        </w:rPr>
        <w:t xml:space="preserve"> Narlikar &amp; H</w:t>
      </w:r>
      <w:r w:rsidR="00EF6D6F">
        <w:rPr>
          <w:szCs w:val="16"/>
        </w:rPr>
        <w:t>.</w:t>
      </w:r>
      <w:r w:rsidR="00EF6D6F" w:rsidRPr="005627CB">
        <w:rPr>
          <w:szCs w:val="16"/>
        </w:rPr>
        <w:t xml:space="preserve"> Arp, </w:t>
      </w:r>
      <w:r w:rsidR="00EF6D6F">
        <w:rPr>
          <w:szCs w:val="16"/>
        </w:rPr>
        <w:t>“Flat Spacetime Cosmology: A Unified Framework for Extragalactic Redshifts”</w:t>
      </w:r>
      <w:r w:rsidR="00EF6D6F" w:rsidRPr="005627CB">
        <w:rPr>
          <w:i/>
          <w:iCs/>
          <w:szCs w:val="16"/>
        </w:rPr>
        <w:t xml:space="preserve">Astrophysical Journal </w:t>
      </w:r>
      <w:r w:rsidR="00EF6D6F" w:rsidRPr="005627CB">
        <w:rPr>
          <w:b/>
          <w:bCs/>
          <w:szCs w:val="16"/>
        </w:rPr>
        <w:t>405</w:t>
      </w:r>
      <w:r w:rsidR="00EF6D6F" w:rsidRPr="005627CB">
        <w:rPr>
          <w:szCs w:val="16"/>
        </w:rPr>
        <w:t>:</w:t>
      </w:r>
      <w:r w:rsidR="00EF6D6F">
        <w:rPr>
          <w:szCs w:val="16"/>
        </w:rPr>
        <w:t>1, pp.</w:t>
      </w:r>
      <w:r w:rsidR="00EF6D6F" w:rsidRPr="005627CB">
        <w:rPr>
          <w:szCs w:val="16"/>
        </w:rPr>
        <w:t>51</w:t>
      </w:r>
      <w:r w:rsidR="00EF6D6F">
        <w:rPr>
          <w:szCs w:val="16"/>
        </w:rPr>
        <w:t xml:space="preserve">-56, (March 1, </w:t>
      </w:r>
      <w:r w:rsidR="00EF6D6F" w:rsidRPr="005627CB">
        <w:rPr>
          <w:szCs w:val="16"/>
        </w:rPr>
        <w:t>1993).</w:t>
      </w:r>
    </w:p>
    <w:p w:rsidR="006D41BD" w:rsidRPr="00F87319" w:rsidRDefault="006D41BD" w:rsidP="006D41BD">
      <w:pPr>
        <w:pStyle w:val="reference"/>
        <w:ind w:left="450" w:hanging="450"/>
        <w:jc w:val="left"/>
        <w:rPr>
          <w:szCs w:val="16"/>
        </w:rPr>
      </w:pPr>
      <w:r w:rsidRPr="00F87319">
        <w:rPr>
          <w:szCs w:val="16"/>
        </w:rPr>
        <w:t>[14]</w:t>
      </w:r>
      <w:r w:rsidRPr="00F87319">
        <w:rPr>
          <w:szCs w:val="16"/>
        </w:rPr>
        <w:tab/>
        <w:t xml:space="preserve">S. L. Martin, A. K. Connor, </w:t>
      </w:r>
      <w:r w:rsidRPr="00F87319">
        <w:rPr>
          <w:i/>
          <w:szCs w:val="16"/>
        </w:rPr>
        <w:t>Basic Physics,</w:t>
      </w:r>
      <w:r w:rsidRPr="00F87319">
        <w:rPr>
          <w:szCs w:val="16"/>
        </w:rPr>
        <w:t xml:space="preserve"> Vol. 3, 6</w:t>
      </w:r>
      <w:r w:rsidRPr="00F87319">
        <w:rPr>
          <w:szCs w:val="16"/>
          <w:vertAlign w:val="superscript"/>
        </w:rPr>
        <w:t>th</w:t>
      </w:r>
      <w:r w:rsidRPr="00F87319">
        <w:rPr>
          <w:szCs w:val="16"/>
        </w:rPr>
        <w:t xml:space="preserve"> Ed., p. 1193 (Whitcombe and Tombs Pty. Ltd., Australia, 1958).</w:t>
      </w:r>
    </w:p>
    <w:p w:rsidR="006D41BD" w:rsidRPr="00F87319" w:rsidRDefault="006D41BD" w:rsidP="006D41BD">
      <w:pPr>
        <w:pStyle w:val="reference"/>
        <w:ind w:left="450" w:hanging="450"/>
        <w:jc w:val="left"/>
        <w:rPr>
          <w:szCs w:val="16"/>
        </w:rPr>
      </w:pPr>
      <w:r w:rsidRPr="00F87319">
        <w:rPr>
          <w:szCs w:val="16"/>
        </w:rPr>
        <w:t>[15]</w:t>
      </w:r>
      <w:r w:rsidRPr="00F87319">
        <w:rPr>
          <w:szCs w:val="16"/>
        </w:rPr>
        <w:tab/>
        <w:t xml:space="preserve">B. I. Bleany and B. Bleany, </w:t>
      </w:r>
      <w:r w:rsidRPr="00F87319">
        <w:rPr>
          <w:i/>
          <w:szCs w:val="16"/>
        </w:rPr>
        <w:t>Electricity and Magnetism</w:t>
      </w:r>
      <w:r w:rsidRPr="00F87319">
        <w:rPr>
          <w:szCs w:val="16"/>
        </w:rPr>
        <w:t>, pp.236-243, (Oxford, at the Clarendon Press, 1962).</w:t>
      </w:r>
    </w:p>
    <w:p w:rsidR="006D41BD" w:rsidRPr="00F87319" w:rsidRDefault="006D41BD" w:rsidP="006D41BD">
      <w:pPr>
        <w:pStyle w:val="reference"/>
        <w:ind w:left="450" w:hanging="450"/>
        <w:jc w:val="left"/>
        <w:rPr>
          <w:szCs w:val="16"/>
        </w:rPr>
      </w:pPr>
      <w:r w:rsidRPr="00F87319">
        <w:rPr>
          <w:szCs w:val="16"/>
        </w:rPr>
        <w:t>[16]</w:t>
      </w:r>
      <w:r w:rsidRPr="00F87319">
        <w:rPr>
          <w:szCs w:val="16"/>
        </w:rPr>
        <w:tab/>
        <w:t>K. Wanser, Fullerton University, private communication (5 July, 2004) about his article.</w:t>
      </w:r>
    </w:p>
    <w:p w:rsidR="006D41BD" w:rsidRPr="00F87319" w:rsidRDefault="006D41BD" w:rsidP="006D41BD">
      <w:pPr>
        <w:pStyle w:val="reference"/>
        <w:ind w:left="450" w:hanging="450"/>
        <w:jc w:val="left"/>
        <w:rPr>
          <w:szCs w:val="16"/>
        </w:rPr>
      </w:pPr>
      <w:r w:rsidRPr="00F87319">
        <w:rPr>
          <w:szCs w:val="16"/>
        </w:rPr>
        <w:t>[17]</w:t>
      </w:r>
      <w:r w:rsidRPr="00F87319">
        <w:rPr>
          <w:szCs w:val="16"/>
        </w:rPr>
        <w:tab/>
        <w:t xml:space="preserve">M. Harwit, </w:t>
      </w:r>
      <w:r w:rsidRPr="00F87319">
        <w:rPr>
          <w:i/>
          <w:szCs w:val="16"/>
        </w:rPr>
        <w:t>Astrophysical Concepts</w:t>
      </w:r>
      <w:r w:rsidRPr="00F87319">
        <w:rPr>
          <w:szCs w:val="16"/>
        </w:rPr>
        <w:t>, p. 178 (Springer-Verlag, 1988).</w:t>
      </w:r>
    </w:p>
    <w:p w:rsidR="006D41BD" w:rsidRPr="00F87319" w:rsidRDefault="006D41BD" w:rsidP="006D41BD">
      <w:pPr>
        <w:pStyle w:val="reference"/>
        <w:ind w:left="450" w:hanging="450"/>
        <w:jc w:val="left"/>
        <w:rPr>
          <w:szCs w:val="16"/>
        </w:rPr>
      </w:pPr>
      <w:r w:rsidRPr="00F87319">
        <w:rPr>
          <w:szCs w:val="16"/>
        </w:rPr>
        <w:t>[18]</w:t>
      </w:r>
      <w:r w:rsidRPr="00F87319">
        <w:rPr>
          <w:szCs w:val="16"/>
        </w:rPr>
        <w:tab/>
        <w:t xml:space="preserve">Science Editor, </w:t>
      </w:r>
      <w:r w:rsidRPr="00F87319">
        <w:rPr>
          <w:i/>
          <w:szCs w:val="16"/>
        </w:rPr>
        <w:t>New Scientist</w:t>
      </w:r>
      <w:r w:rsidRPr="00F87319">
        <w:rPr>
          <w:szCs w:val="16"/>
        </w:rPr>
        <w:t>, pp. 28-31 (1 Nov 2008).</w:t>
      </w:r>
    </w:p>
    <w:p w:rsidR="006D41BD" w:rsidRPr="00F87319" w:rsidRDefault="006D41BD" w:rsidP="006D41BD">
      <w:pPr>
        <w:pStyle w:val="reference"/>
        <w:ind w:left="450" w:hanging="450"/>
        <w:jc w:val="left"/>
        <w:rPr>
          <w:szCs w:val="16"/>
        </w:rPr>
      </w:pPr>
      <w:r w:rsidRPr="00F87319">
        <w:rPr>
          <w:szCs w:val="16"/>
        </w:rPr>
        <w:t>[19]</w:t>
      </w:r>
      <w:r w:rsidRPr="00F87319">
        <w:rPr>
          <w:szCs w:val="16"/>
        </w:rPr>
        <w:tab/>
        <w:t xml:space="preserve">A. O’Rahilly, </w:t>
      </w:r>
      <w:r w:rsidRPr="00F87319">
        <w:rPr>
          <w:rStyle w:val="Emphasis"/>
          <w:szCs w:val="16"/>
        </w:rPr>
        <w:t>Electromagnetic Theory: A Critical Examination of Fundamentals,</w:t>
      </w:r>
      <w:r w:rsidRPr="00F87319">
        <w:rPr>
          <w:szCs w:val="16"/>
        </w:rPr>
        <w:t xml:space="preserve"> pp.304 ff. (Dover, 1965).</w:t>
      </w:r>
    </w:p>
    <w:p w:rsidR="006D41BD" w:rsidRPr="00F87319" w:rsidRDefault="006D41BD" w:rsidP="006D41BD">
      <w:pPr>
        <w:pStyle w:val="reference"/>
        <w:ind w:left="450" w:hanging="450"/>
        <w:jc w:val="left"/>
        <w:rPr>
          <w:szCs w:val="16"/>
        </w:rPr>
      </w:pPr>
      <w:r w:rsidRPr="00F87319">
        <w:rPr>
          <w:szCs w:val="16"/>
        </w:rPr>
        <w:t>[20]</w:t>
      </w:r>
      <w:r w:rsidRPr="00F87319">
        <w:rPr>
          <w:szCs w:val="16"/>
        </w:rPr>
        <w:tab/>
        <w:t xml:space="preserve">T. G. Barnes, </w:t>
      </w:r>
      <w:r w:rsidRPr="00F87319">
        <w:rPr>
          <w:i/>
          <w:szCs w:val="16"/>
        </w:rPr>
        <w:t>CRSQ</w:t>
      </w:r>
      <w:r w:rsidRPr="00F87319">
        <w:rPr>
          <w:szCs w:val="16"/>
        </w:rPr>
        <w:t xml:space="preserve"> </w:t>
      </w:r>
      <w:r w:rsidRPr="00F87319">
        <w:rPr>
          <w:b/>
          <w:szCs w:val="16"/>
        </w:rPr>
        <w:t>14</w:t>
      </w:r>
      <w:r w:rsidRPr="00F87319">
        <w:rPr>
          <w:szCs w:val="16"/>
        </w:rPr>
        <w:t>: 211(Mar 1978).</w:t>
      </w:r>
    </w:p>
    <w:p w:rsidR="006D41BD" w:rsidRPr="00F87319" w:rsidRDefault="006D41BD" w:rsidP="006D41BD">
      <w:pPr>
        <w:pStyle w:val="reference"/>
        <w:ind w:left="450" w:hanging="450"/>
        <w:jc w:val="left"/>
        <w:rPr>
          <w:szCs w:val="16"/>
        </w:rPr>
      </w:pPr>
      <w:r w:rsidRPr="00F87319">
        <w:rPr>
          <w:szCs w:val="16"/>
        </w:rPr>
        <w:t>[21]</w:t>
      </w:r>
      <w:r w:rsidRPr="00F87319">
        <w:rPr>
          <w:szCs w:val="16"/>
        </w:rPr>
        <w:tab/>
        <w:t xml:space="preserve">F. Hasenorhl, </w:t>
      </w:r>
      <w:r w:rsidRPr="00F87319">
        <w:rPr>
          <w:i/>
          <w:szCs w:val="16"/>
        </w:rPr>
        <w:t>Annalen der Physik</w:t>
      </w:r>
      <w:r w:rsidRPr="00F87319">
        <w:rPr>
          <w:szCs w:val="16"/>
        </w:rPr>
        <w:t xml:space="preserve"> </w:t>
      </w:r>
      <w:r w:rsidRPr="00F87319">
        <w:rPr>
          <w:b/>
          <w:szCs w:val="16"/>
        </w:rPr>
        <w:t>15</w:t>
      </w:r>
      <w:r w:rsidRPr="00F87319">
        <w:rPr>
          <w:szCs w:val="16"/>
        </w:rPr>
        <w:t>: 344-370 (1904).</w:t>
      </w:r>
    </w:p>
    <w:p w:rsidR="006D41BD" w:rsidRPr="00F87319" w:rsidRDefault="006D41BD" w:rsidP="006D41BD">
      <w:pPr>
        <w:pStyle w:val="reference"/>
        <w:ind w:left="450" w:hanging="450"/>
        <w:jc w:val="left"/>
        <w:rPr>
          <w:szCs w:val="16"/>
        </w:rPr>
      </w:pPr>
      <w:r w:rsidRPr="00F87319">
        <w:rPr>
          <w:szCs w:val="16"/>
        </w:rPr>
        <w:t>[22]</w:t>
      </w:r>
      <w:r w:rsidRPr="00F87319">
        <w:rPr>
          <w:szCs w:val="16"/>
        </w:rPr>
        <w:tab/>
        <w:t xml:space="preserve">F. Hasenorhl, </w:t>
      </w:r>
      <w:r w:rsidRPr="00F87319">
        <w:rPr>
          <w:i/>
          <w:szCs w:val="16"/>
        </w:rPr>
        <w:t>Annelan der Physik</w:t>
      </w:r>
      <w:r w:rsidRPr="00F87319">
        <w:rPr>
          <w:szCs w:val="16"/>
        </w:rPr>
        <w:t xml:space="preserve"> </w:t>
      </w:r>
      <w:r w:rsidRPr="00F87319">
        <w:rPr>
          <w:b/>
          <w:szCs w:val="16"/>
        </w:rPr>
        <w:t>16</w:t>
      </w:r>
      <w:r w:rsidRPr="00F87319">
        <w:rPr>
          <w:szCs w:val="16"/>
        </w:rPr>
        <w:t>: 589-592 (1905).</w:t>
      </w:r>
    </w:p>
    <w:p w:rsidR="006D41BD" w:rsidRPr="00F87319" w:rsidRDefault="006D41BD" w:rsidP="006D41BD">
      <w:pPr>
        <w:pStyle w:val="reference"/>
        <w:ind w:left="450" w:hanging="450"/>
        <w:jc w:val="left"/>
        <w:rPr>
          <w:szCs w:val="16"/>
        </w:rPr>
      </w:pPr>
      <w:r w:rsidRPr="00F87319">
        <w:rPr>
          <w:szCs w:val="16"/>
        </w:rPr>
        <w:t>[23]</w:t>
      </w:r>
      <w:r w:rsidRPr="00F87319">
        <w:rPr>
          <w:szCs w:val="16"/>
        </w:rPr>
        <w:tab/>
        <w:t xml:space="preserve">M. Planck, </w:t>
      </w:r>
      <w:r w:rsidRPr="00F87319">
        <w:rPr>
          <w:i/>
          <w:szCs w:val="16"/>
        </w:rPr>
        <w:t>Sitz. der preuss. Akad. Wiss.</w:t>
      </w:r>
      <w:r w:rsidRPr="00F87319">
        <w:rPr>
          <w:szCs w:val="16"/>
        </w:rPr>
        <w:t xml:space="preserve"> </w:t>
      </w:r>
      <w:r w:rsidRPr="00F87319">
        <w:rPr>
          <w:i/>
          <w:szCs w:val="16"/>
        </w:rPr>
        <w:t>Erster Halbband</w:t>
      </w:r>
      <w:r w:rsidRPr="00F87319">
        <w:rPr>
          <w:szCs w:val="16"/>
        </w:rPr>
        <w:t xml:space="preserve"> </w:t>
      </w:r>
      <w:r w:rsidRPr="00F87319">
        <w:rPr>
          <w:b/>
          <w:szCs w:val="16"/>
        </w:rPr>
        <w:t>29</w:t>
      </w:r>
      <w:r w:rsidRPr="00F87319">
        <w:rPr>
          <w:szCs w:val="16"/>
        </w:rPr>
        <w:t>: 542-570 (1907).</w:t>
      </w:r>
    </w:p>
    <w:p w:rsidR="006D41BD" w:rsidRPr="00F87319" w:rsidRDefault="006D41BD" w:rsidP="006D41BD">
      <w:pPr>
        <w:pStyle w:val="reference"/>
        <w:ind w:left="450" w:hanging="450"/>
        <w:jc w:val="left"/>
        <w:rPr>
          <w:szCs w:val="16"/>
        </w:rPr>
      </w:pPr>
      <w:r w:rsidRPr="00F87319">
        <w:rPr>
          <w:szCs w:val="16"/>
        </w:rPr>
        <w:t>[24]</w:t>
      </w:r>
      <w:r w:rsidRPr="00F87319">
        <w:rPr>
          <w:szCs w:val="16"/>
        </w:rPr>
        <w:tab/>
        <w:t xml:space="preserve">M. Planck, </w:t>
      </w:r>
      <w:r w:rsidRPr="00F87319">
        <w:rPr>
          <w:i/>
          <w:szCs w:val="16"/>
        </w:rPr>
        <w:t>Sitz. der preuss. Akad. Wiss., Physik. Math. Klasse</w:t>
      </w:r>
      <w:r w:rsidRPr="00F87319">
        <w:rPr>
          <w:szCs w:val="16"/>
        </w:rPr>
        <w:t xml:space="preserve">. </w:t>
      </w:r>
      <w:r w:rsidRPr="00F87319">
        <w:rPr>
          <w:b/>
          <w:szCs w:val="16"/>
        </w:rPr>
        <w:t>13</w:t>
      </w:r>
      <w:r w:rsidRPr="00F87319">
        <w:rPr>
          <w:szCs w:val="16"/>
        </w:rPr>
        <w:t>: 566 (Jun 1907), footnote.</w:t>
      </w:r>
    </w:p>
    <w:p w:rsidR="006D41BD" w:rsidRPr="00F87319" w:rsidRDefault="006D41BD" w:rsidP="006D41BD">
      <w:pPr>
        <w:pStyle w:val="reference"/>
        <w:ind w:left="450" w:hanging="450"/>
        <w:jc w:val="left"/>
        <w:rPr>
          <w:szCs w:val="16"/>
        </w:rPr>
      </w:pPr>
      <w:r w:rsidRPr="00F87319">
        <w:rPr>
          <w:szCs w:val="16"/>
        </w:rPr>
        <w:t>[25]</w:t>
      </w:r>
      <w:r w:rsidRPr="00F87319">
        <w:rPr>
          <w:szCs w:val="16"/>
        </w:rPr>
        <w:tab/>
        <w:t xml:space="preserve">R. A. Herrmann (1 Jan 2004), </w:t>
      </w:r>
      <w:hyperlink r:id="rId948" w:history="1">
        <w:r w:rsidRPr="00F87319">
          <w:rPr>
            <w:rStyle w:val="Hyperlink"/>
            <w:i/>
            <w:szCs w:val="16"/>
          </w:rPr>
          <w:t>http://guardian.150m.com/jews/ emc2-not-einsteins-idea.htm</w:t>
        </w:r>
      </w:hyperlink>
      <w:r w:rsidRPr="00F87319">
        <w:rPr>
          <w:i/>
          <w:szCs w:val="16"/>
        </w:rPr>
        <w:t>.</w:t>
      </w:r>
    </w:p>
    <w:p w:rsidR="006D41BD" w:rsidRPr="00F87319" w:rsidRDefault="006D41BD" w:rsidP="006D41BD">
      <w:pPr>
        <w:pStyle w:val="reference"/>
        <w:ind w:left="450" w:hanging="450"/>
        <w:jc w:val="left"/>
        <w:rPr>
          <w:rStyle w:val="Strong"/>
          <w:rFonts w:eastAsia="Lucida Sans Unicode"/>
          <w:b w:val="0"/>
          <w:i/>
          <w:szCs w:val="16"/>
        </w:rPr>
      </w:pPr>
      <w:r w:rsidRPr="00F87319">
        <w:rPr>
          <w:szCs w:val="16"/>
        </w:rPr>
        <w:t>[26]</w:t>
      </w:r>
      <w:r w:rsidRPr="00F87319">
        <w:rPr>
          <w:szCs w:val="16"/>
        </w:rPr>
        <w:tab/>
      </w:r>
      <w:r w:rsidRPr="00F87319">
        <w:rPr>
          <w:rStyle w:val="Strong"/>
          <w:rFonts w:eastAsia="Lucida Sans Unicode"/>
          <w:b w:val="0"/>
          <w:szCs w:val="16"/>
        </w:rPr>
        <w:t>H. E. Ives, “Letters to the Editor”,</w:t>
      </w:r>
      <w:r w:rsidRPr="00F87319">
        <w:rPr>
          <w:rStyle w:val="Strong"/>
          <w:rFonts w:eastAsia="Lucida Sans Unicode"/>
          <w:b w:val="0"/>
          <w:i/>
          <w:szCs w:val="16"/>
        </w:rPr>
        <w:t xml:space="preserve"> Journal of the Optical Society of America </w:t>
      </w:r>
      <w:r w:rsidRPr="00F87319">
        <w:rPr>
          <w:rStyle w:val="Strong"/>
          <w:rFonts w:eastAsia="Lucida Sans Unicode"/>
          <w:szCs w:val="16"/>
        </w:rPr>
        <w:t>43</w:t>
      </w:r>
      <w:r w:rsidRPr="00F87319">
        <w:rPr>
          <w:rStyle w:val="Strong"/>
          <w:rFonts w:eastAsia="Lucida Sans Unicode"/>
          <w:b w:val="0"/>
          <w:szCs w:val="16"/>
        </w:rPr>
        <w:t xml:space="preserve"> (7): 618-619 (1953).</w:t>
      </w:r>
    </w:p>
    <w:p w:rsidR="006D41BD" w:rsidRPr="00F87319" w:rsidRDefault="006D41BD" w:rsidP="006D41BD">
      <w:pPr>
        <w:pStyle w:val="reference"/>
        <w:ind w:left="450" w:hanging="450"/>
        <w:jc w:val="left"/>
        <w:rPr>
          <w:rStyle w:val="Strong"/>
          <w:rFonts w:eastAsia="Lucida Sans Unicode"/>
          <w:b w:val="0"/>
          <w:szCs w:val="16"/>
        </w:rPr>
      </w:pPr>
      <w:r w:rsidRPr="00F87319">
        <w:rPr>
          <w:rStyle w:val="Strong"/>
          <w:rFonts w:eastAsia="Lucida Sans Unicode"/>
          <w:b w:val="0"/>
          <w:szCs w:val="16"/>
        </w:rPr>
        <w:t>[27]</w:t>
      </w:r>
      <w:r w:rsidRPr="00F87319">
        <w:rPr>
          <w:rStyle w:val="Strong"/>
          <w:rFonts w:eastAsia="Lucida Sans Unicode"/>
          <w:b w:val="0"/>
          <w:szCs w:val="16"/>
        </w:rPr>
        <w:tab/>
        <w:t>M. Von Laue</w:t>
      </w:r>
      <w:r w:rsidRPr="00F87319">
        <w:rPr>
          <w:rStyle w:val="Strong"/>
          <w:rFonts w:eastAsia="Lucida Sans Unicode"/>
          <w:szCs w:val="16"/>
        </w:rPr>
        <w:t xml:space="preserve">, </w:t>
      </w:r>
      <w:r w:rsidRPr="00F87319">
        <w:rPr>
          <w:i/>
          <w:szCs w:val="16"/>
        </w:rPr>
        <w:t>Annalen der Physik</w:t>
      </w:r>
      <w:r w:rsidRPr="00F87319">
        <w:rPr>
          <w:szCs w:val="16"/>
        </w:rPr>
        <w:t xml:space="preserve"> </w:t>
      </w:r>
      <w:r w:rsidRPr="00F87319">
        <w:rPr>
          <w:b/>
          <w:szCs w:val="16"/>
        </w:rPr>
        <w:t>66</w:t>
      </w:r>
      <w:r w:rsidRPr="00F87319">
        <w:rPr>
          <w:szCs w:val="16"/>
        </w:rPr>
        <w:t xml:space="preserve"> (20): 283-284 (1921).</w:t>
      </w:r>
    </w:p>
    <w:p w:rsidR="006D41BD" w:rsidRPr="00F87319" w:rsidRDefault="006D41BD" w:rsidP="006D41BD">
      <w:pPr>
        <w:pStyle w:val="reference"/>
        <w:ind w:left="450" w:hanging="450"/>
        <w:jc w:val="left"/>
        <w:rPr>
          <w:szCs w:val="16"/>
        </w:rPr>
      </w:pPr>
      <w:r w:rsidRPr="00F87319">
        <w:rPr>
          <w:szCs w:val="16"/>
        </w:rPr>
        <w:t>[28]</w:t>
      </w:r>
      <w:r w:rsidRPr="00F87319">
        <w:rPr>
          <w:szCs w:val="16"/>
        </w:rPr>
        <w:tab/>
        <w:t xml:space="preserve">T. Van Flandern, </w:t>
      </w:r>
      <w:r w:rsidRPr="00F87319">
        <w:rPr>
          <w:i/>
          <w:szCs w:val="16"/>
        </w:rPr>
        <w:t>Apeiron</w:t>
      </w:r>
      <w:r w:rsidRPr="00F87319">
        <w:rPr>
          <w:szCs w:val="16"/>
        </w:rPr>
        <w:t xml:space="preserve"> </w:t>
      </w:r>
      <w:r w:rsidRPr="00F87319">
        <w:rPr>
          <w:b/>
          <w:szCs w:val="16"/>
        </w:rPr>
        <w:t>10</w:t>
      </w:r>
      <w:r w:rsidRPr="00F87319">
        <w:rPr>
          <w:szCs w:val="16"/>
        </w:rPr>
        <w:t xml:space="preserve"> (4): 152-158 (2003); </w:t>
      </w:r>
      <w:r w:rsidRPr="00F87319">
        <w:rPr>
          <w:i/>
          <w:szCs w:val="16"/>
        </w:rPr>
        <w:t>Apeiron</w:t>
      </w:r>
      <w:r w:rsidRPr="00F87319">
        <w:rPr>
          <w:szCs w:val="16"/>
        </w:rPr>
        <w:t xml:space="preserve"> </w:t>
      </w:r>
      <w:r w:rsidRPr="00F87319">
        <w:rPr>
          <w:b/>
          <w:szCs w:val="16"/>
        </w:rPr>
        <w:t>10</w:t>
      </w:r>
      <w:r w:rsidRPr="00F87319">
        <w:rPr>
          <w:szCs w:val="16"/>
        </w:rPr>
        <w:t xml:space="preserve"> (1): 69ff (2003).</w:t>
      </w:r>
    </w:p>
    <w:p w:rsidR="006D41BD" w:rsidRPr="00F87319" w:rsidRDefault="006D41BD" w:rsidP="006D41BD">
      <w:pPr>
        <w:pStyle w:val="reference"/>
        <w:ind w:left="450" w:hanging="450"/>
        <w:jc w:val="left"/>
        <w:rPr>
          <w:szCs w:val="16"/>
        </w:rPr>
      </w:pPr>
      <w:r w:rsidRPr="00F87319">
        <w:rPr>
          <w:szCs w:val="16"/>
        </w:rPr>
        <w:t>[29]</w:t>
      </w:r>
      <w:r w:rsidRPr="00F87319">
        <w:rPr>
          <w:szCs w:val="16"/>
        </w:rPr>
        <w:tab/>
        <w:t xml:space="preserve">B. Haisch, A. Rueda, H. E. Puthoff, </w:t>
      </w:r>
      <w:r w:rsidRPr="00F87319">
        <w:rPr>
          <w:i/>
          <w:szCs w:val="16"/>
        </w:rPr>
        <w:t>Speculations in Science and Technology</w:t>
      </w:r>
      <w:r w:rsidRPr="00F87319">
        <w:rPr>
          <w:szCs w:val="16"/>
        </w:rPr>
        <w:t xml:space="preserve"> </w:t>
      </w:r>
      <w:r w:rsidRPr="00F87319">
        <w:rPr>
          <w:b/>
          <w:szCs w:val="16"/>
        </w:rPr>
        <w:t>20</w:t>
      </w:r>
      <w:r w:rsidRPr="00F87319">
        <w:rPr>
          <w:szCs w:val="16"/>
        </w:rPr>
        <w:t>: 99-114 (1997).</w:t>
      </w:r>
    </w:p>
    <w:p w:rsidR="006D41BD" w:rsidRPr="00F87319" w:rsidRDefault="006D41BD" w:rsidP="006D41BD">
      <w:pPr>
        <w:pStyle w:val="reference"/>
        <w:ind w:left="450" w:hanging="450"/>
        <w:jc w:val="left"/>
        <w:rPr>
          <w:szCs w:val="16"/>
        </w:rPr>
      </w:pPr>
      <w:r w:rsidRPr="00F87319">
        <w:rPr>
          <w:szCs w:val="16"/>
        </w:rPr>
        <w:t>[30]</w:t>
      </w:r>
      <w:r w:rsidRPr="00F87319">
        <w:rPr>
          <w:szCs w:val="16"/>
        </w:rPr>
        <w:tab/>
        <w:t xml:space="preserve">Science Editor, </w:t>
      </w:r>
      <w:r w:rsidRPr="00F87319">
        <w:rPr>
          <w:i/>
          <w:szCs w:val="16"/>
        </w:rPr>
        <w:t>New Scientist</w:t>
      </w:r>
      <w:r w:rsidRPr="00F87319">
        <w:rPr>
          <w:szCs w:val="16"/>
        </w:rPr>
        <w:t xml:space="preserve"> </w:t>
      </w:r>
      <w:r w:rsidRPr="00F87319">
        <w:rPr>
          <w:b/>
          <w:szCs w:val="16"/>
        </w:rPr>
        <w:t>2611</w:t>
      </w:r>
      <w:r w:rsidRPr="00F87319">
        <w:rPr>
          <w:szCs w:val="16"/>
        </w:rPr>
        <w:t xml:space="preserve"> (7 Jul 2007).</w:t>
      </w:r>
    </w:p>
    <w:p w:rsidR="006D41BD" w:rsidRPr="00F87319" w:rsidRDefault="006D41BD" w:rsidP="006D41BD">
      <w:pPr>
        <w:pStyle w:val="reference"/>
        <w:ind w:left="450" w:hanging="450"/>
        <w:jc w:val="left"/>
        <w:rPr>
          <w:szCs w:val="16"/>
        </w:rPr>
      </w:pPr>
      <w:r w:rsidRPr="00F87319">
        <w:rPr>
          <w:szCs w:val="16"/>
        </w:rPr>
        <w:t>[31]</w:t>
      </w:r>
      <w:r w:rsidRPr="00F87319">
        <w:rPr>
          <w:szCs w:val="16"/>
        </w:rPr>
        <w:tab/>
        <w:t xml:space="preserve">R. Gerritsma et al, </w:t>
      </w:r>
      <w:r w:rsidRPr="00F87319">
        <w:rPr>
          <w:i/>
          <w:szCs w:val="16"/>
        </w:rPr>
        <w:t>Nature</w:t>
      </w:r>
      <w:r w:rsidRPr="00F87319">
        <w:rPr>
          <w:szCs w:val="16"/>
        </w:rPr>
        <w:t xml:space="preserve"> </w:t>
      </w:r>
      <w:r w:rsidRPr="00F87319">
        <w:rPr>
          <w:b/>
          <w:szCs w:val="16"/>
        </w:rPr>
        <w:t>463</w:t>
      </w:r>
      <w:r w:rsidRPr="00F87319">
        <w:rPr>
          <w:szCs w:val="16"/>
        </w:rPr>
        <w:t>: 68-71 (7 Jan 2010).</w:t>
      </w:r>
    </w:p>
    <w:p w:rsidR="006D41BD" w:rsidRPr="00F87319" w:rsidRDefault="006D41BD" w:rsidP="006D41BD">
      <w:pPr>
        <w:pStyle w:val="reference"/>
        <w:ind w:left="450" w:hanging="450"/>
        <w:jc w:val="left"/>
        <w:rPr>
          <w:szCs w:val="16"/>
        </w:rPr>
      </w:pPr>
      <w:r w:rsidRPr="00F87319">
        <w:rPr>
          <w:szCs w:val="16"/>
        </w:rPr>
        <w:t>[32]</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r w:rsidRPr="00F87319">
        <w:rPr>
          <w:color w:val="000000"/>
          <w:szCs w:val="16"/>
        </w:rPr>
        <w:t xml:space="preserve"> Note: Puthoff states here that the existence of the Planck length cut-off for the ZPE is sometimes cited as breaking its Lorentz invar-iance. But he states that </w:t>
      </w:r>
      <w:r w:rsidRPr="00F87319">
        <w:rPr>
          <w:i/>
          <w:color w:val="000000"/>
          <w:szCs w:val="16"/>
        </w:rPr>
        <w:t>“as long as the cutoff frequency is beyond detectability (as is the Planck frequency in this case) there is no measurable consequence expected of such a breakdown of Lorentz invariance at this limit of physical theory, either now or in the foreseeable future.”</w:t>
      </w:r>
    </w:p>
    <w:p w:rsidR="006D41BD" w:rsidRPr="00F87319" w:rsidRDefault="006D41BD" w:rsidP="006D41BD">
      <w:pPr>
        <w:pStyle w:val="reference"/>
        <w:ind w:left="450" w:hanging="450"/>
        <w:jc w:val="left"/>
        <w:rPr>
          <w:szCs w:val="16"/>
        </w:rPr>
      </w:pPr>
      <w:r w:rsidRPr="00F87319">
        <w:rPr>
          <w:szCs w:val="16"/>
        </w:rPr>
        <w:t>[33]</w:t>
      </w:r>
      <w:r w:rsidRPr="00F87319">
        <w:rPr>
          <w:szCs w:val="16"/>
        </w:rPr>
        <w:tab/>
        <w:t xml:space="preserve">M. Chown,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[34]</w:t>
      </w:r>
      <w:r w:rsidRPr="00F87319">
        <w:rPr>
          <w:szCs w:val="16"/>
        </w:rPr>
        <w:tab/>
        <w:t xml:space="preserve">B. Haisch, A. Rueda, H. E. Puthoff, </w:t>
      </w:r>
      <w:r w:rsidRPr="00F87319">
        <w:rPr>
          <w:i/>
          <w:szCs w:val="16"/>
        </w:rPr>
        <w:t>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lastRenderedPageBreak/>
        <w:t>[35]</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 Mar 1989).</w:t>
      </w:r>
    </w:p>
    <w:p w:rsidR="006D41BD" w:rsidRPr="00F87319" w:rsidRDefault="006D41BD" w:rsidP="006D41BD">
      <w:pPr>
        <w:pStyle w:val="reference"/>
        <w:ind w:left="450" w:hanging="450"/>
        <w:jc w:val="left"/>
        <w:rPr>
          <w:szCs w:val="16"/>
        </w:rPr>
      </w:pPr>
      <w:r w:rsidRPr="00F87319">
        <w:rPr>
          <w:szCs w:val="16"/>
        </w:rPr>
        <w:t>[36]</w:t>
      </w:r>
      <w:r w:rsidRPr="00F87319">
        <w:rPr>
          <w:szCs w:val="16"/>
        </w:rPr>
        <w:tab/>
        <w:t xml:space="preserve">B. Setterfield, ”Reviewing the Zero Point Energy,” </w:t>
      </w:r>
      <w:r w:rsidRPr="00F87319">
        <w:rPr>
          <w:i/>
          <w:szCs w:val="16"/>
        </w:rPr>
        <w:t>Journal of Vectorial  Relativity</w:t>
      </w:r>
      <w:r w:rsidRPr="00F87319">
        <w:rPr>
          <w:szCs w:val="16"/>
        </w:rPr>
        <w:t xml:space="preserve"> </w:t>
      </w:r>
      <w:r w:rsidRPr="00F87319">
        <w:rPr>
          <w:b/>
          <w:szCs w:val="16"/>
        </w:rPr>
        <w:t>2</w:t>
      </w:r>
      <w:r w:rsidRPr="00F87319">
        <w:rPr>
          <w:szCs w:val="16"/>
        </w:rPr>
        <w:t xml:space="preserve"> (3): 1-28 (2007); also in [31].</w:t>
      </w:r>
    </w:p>
    <w:p w:rsidR="006D41BD" w:rsidRPr="00F87319" w:rsidRDefault="006D41BD" w:rsidP="006D41BD">
      <w:pPr>
        <w:pStyle w:val="reference"/>
        <w:ind w:left="450" w:hanging="450"/>
        <w:jc w:val="left"/>
        <w:rPr>
          <w:szCs w:val="16"/>
        </w:rPr>
      </w:pPr>
      <w:r w:rsidRPr="00F87319">
        <w:rPr>
          <w:szCs w:val="16"/>
        </w:rPr>
        <w:t>[37]</w:t>
      </w:r>
      <w:r w:rsidRPr="00F87319">
        <w:rPr>
          <w:szCs w:val="16"/>
        </w:rPr>
        <w:tab/>
        <w:t xml:space="preserve">T. Norman, B. Setterfield, </w:t>
      </w:r>
      <w:r w:rsidRPr="00F87319">
        <w:rPr>
          <w:i/>
          <w:iCs/>
          <w:szCs w:val="16"/>
        </w:rPr>
        <w:t>The Atomic Constants, Light, and Time</w:t>
      </w:r>
      <w:r w:rsidRPr="00F87319">
        <w:rPr>
          <w:szCs w:val="16"/>
        </w:rPr>
        <w:t>, Research Report, p. 35 (Stanford Research Institute (SRI) International &amp; Flinders University, South Australia, Aug 1987).</w:t>
      </w:r>
    </w:p>
    <w:p w:rsidR="006D41BD" w:rsidRPr="00F87319" w:rsidRDefault="006D41BD" w:rsidP="006D41BD">
      <w:pPr>
        <w:pStyle w:val="reference"/>
        <w:ind w:left="450" w:hanging="450"/>
        <w:jc w:val="left"/>
        <w:rPr>
          <w:szCs w:val="16"/>
        </w:rPr>
      </w:pPr>
      <w:r w:rsidRPr="00F87319">
        <w:rPr>
          <w:szCs w:val="16"/>
        </w:rPr>
        <w:t>[38]</w:t>
      </w:r>
      <w:r w:rsidRPr="00F87319">
        <w:rPr>
          <w:szCs w:val="16"/>
        </w:rPr>
        <w:tab/>
        <w:t xml:space="preserve">B. J. Setterfield, “A Plasma Universe with Changing Zero Point Energy,” </w:t>
      </w:r>
      <w:r w:rsidRPr="00F87319">
        <w:rPr>
          <w:i/>
          <w:szCs w:val="16"/>
        </w:rPr>
        <w:t>Proceedings of the NPA</w:t>
      </w:r>
      <w:r w:rsidRPr="00F87319">
        <w:rPr>
          <w:szCs w:val="16"/>
        </w:rPr>
        <w:t xml:space="preserve"> </w:t>
      </w:r>
      <w:r w:rsidRPr="00F87319">
        <w:rPr>
          <w:b/>
          <w:szCs w:val="16"/>
        </w:rPr>
        <w:t>8</w:t>
      </w:r>
      <w:r w:rsidRPr="00F87319">
        <w:rPr>
          <w:szCs w:val="16"/>
        </w:rPr>
        <w:t xml:space="preserve">: 535-544 (2011). </w:t>
      </w:r>
    </w:p>
    <w:p w:rsidR="006D41BD" w:rsidRPr="00F87319" w:rsidRDefault="006D41BD" w:rsidP="006D41BD">
      <w:pPr>
        <w:pStyle w:val="reference"/>
        <w:ind w:left="450" w:hanging="450"/>
        <w:jc w:val="left"/>
        <w:rPr>
          <w:szCs w:val="16"/>
        </w:rPr>
      </w:pPr>
      <w:r w:rsidRPr="00F87319">
        <w:rPr>
          <w:szCs w:val="16"/>
        </w:rPr>
        <w:t>[39]</w:t>
      </w:r>
      <w:r w:rsidRPr="00F87319">
        <w:rPr>
          <w:szCs w:val="16"/>
        </w:rPr>
        <w:tab/>
        <w:t xml:space="preserve">H. E. Puthoff, </w:t>
      </w:r>
      <w:r w:rsidRPr="00F87319">
        <w:rPr>
          <w:i/>
          <w:szCs w:val="16"/>
        </w:rPr>
        <w:t>International Journal of Theoretical Physics</w:t>
      </w:r>
      <w:r w:rsidRPr="00F87319">
        <w:rPr>
          <w:szCs w:val="16"/>
        </w:rPr>
        <w:t xml:space="preserve"> </w:t>
      </w:r>
      <w:r w:rsidRPr="00F87319">
        <w:rPr>
          <w:b/>
          <w:szCs w:val="16"/>
        </w:rPr>
        <w:t>46</w:t>
      </w:r>
      <w:r w:rsidRPr="00F87319">
        <w:rPr>
          <w:szCs w:val="16"/>
        </w:rPr>
        <w:t>: 3005-3008 (2007).</w:t>
      </w:r>
    </w:p>
    <w:p w:rsidR="006D41BD" w:rsidRPr="00F87319" w:rsidRDefault="006D41BD" w:rsidP="006D41BD">
      <w:pPr>
        <w:pStyle w:val="reference"/>
        <w:ind w:left="450" w:hanging="450"/>
        <w:jc w:val="left"/>
        <w:rPr>
          <w:szCs w:val="16"/>
        </w:rPr>
      </w:pPr>
      <w:r w:rsidRPr="00F87319">
        <w:rPr>
          <w:szCs w:val="16"/>
        </w:rPr>
        <w:t>[40]</w:t>
      </w:r>
      <w:r w:rsidRPr="00F87319">
        <w:rPr>
          <w:szCs w:val="16"/>
        </w:rPr>
        <w:tab/>
        <w:t>B. Haisch, A. Rueda, H. E. Puthoff,</w:t>
      </w:r>
      <w:r w:rsidRPr="00F87319">
        <w:rPr>
          <w:i/>
          <w:szCs w:val="16"/>
        </w:rPr>
        <w:t xml:space="preserve"> Physical Review A</w:t>
      </w:r>
      <w:r w:rsidRPr="00F87319">
        <w:rPr>
          <w:szCs w:val="16"/>
        </w:rPr>
        <w:t xml:space="preserve"> </w:t>
      </w:r>
      <w:r w:rsidRPr="00F87319">
        <w:rPr>
          <w:b/>
          <w:szCs w:val="16"/>
        </w:rPr>
        <w:t>49</w:t>
      </w:r>
      <w:r w:rsidRPr="00F87319">
        <w:rPr>
          <w:szCs w:val="16"/>
        </w:rPr>
        <w:t xml:space="preserve"> (2): 678-694 (Feb 1994).</w:t>
      </w:r>
    </w:p>
    <w:p w:rsidR="006D41BD" w:rsidRPr="00F87319" w:rsidRDefault="006D41BD" w:rsidP="006D41BD">
      <w:pPr>
        <w:pStyle w:val="reference"/>
        <w:ind w:left="450" w:hanging="450"/>
        <w:jc w:val="left"/>
        <w:rPr>
          <w:szCs w:val="16"/>
        </w:rPr>
      </w:pPr>
      <w:r w:rsidRPr="00F87319">
        <w:rPr>
          <w:szCs w:val="16"/>
        </w:rPr>
        <w:t>[41]</w:t>
      </w:r>
      <w:r w:rsidRPr="00F87319">
        <w:rPr>
          <w:szCs w:val="16"/>
        </w:rPr>
        <w:tab/>
        <w:t xml:space="preserve">T. Van Flandern, in M. Edwards, Ed., </w:t>
      </w:r>
      <w:r w:rsidRPr="00F87319">
        <w:rPr>
          <w:rStyle w:val="Emphasis"/>
          <w:szCs w:val="16"/>
        </w:rPr>
        <w:t>Pushing Gravity</w:t>
      </w:r>
      <w:r w:rsidRPr="00F87319">
        <w:rPr>
          <w:szCs w:val="16"/>
        </w:rPr>
        <w:t>, pp. 93-122 (Apeiron, Montreal, 2002).</w:t>
      </w:r>
    </w:p>
    <w:p w:rsidR="006D41BD" w:rsidRPr="00F87319" w:rsidRDefault="006D41BD" w:rsidP="006D41BD">
      <w:pPr>
        <w:pStyle w:val="reference"/>
        <w:ind w:left="450" w:hanging="450"/>
        <w:jc w:val="left"/>
        <w:rPr>
          <w:szCs w:val="16"/>
        </w:rPr>
      </w:pPr>
      <w:r w:rsidRPr="00F87319">
        <w:rPr>
          <w:szCs w:val="16"/>
        </w:rPr>
        <w:t>[42]</w:t>
      </w:r>
      <w:r w:rsidRPr="00F87319">
        <w:rPr>
          <w:szCs w:val="16"/>
        </w:rPr>
        <w:tab/>
        <w:t xml:space="preserve">CIPA Q and A, </w:t>
      </w:r>
      <w:hyperlink r:id="rId949" w:history="1">
        <w:r w:rsidRPr="00F87319">
          <w:rPr>
            <w:rStyle w:val="Hyperlink"/>
            <w:i/>
            <w:szCs w:val="16"/>
          </w:rPr>
          <w:t>http://www.calphysics.org/questions.html</w:t>
        </w:r>
      </w:hyperlink>
      <w:r w:rsidRPr="00F87319">
        <w:rPr>
          <w:szCs w:val="16"/>
        </w:rPr>
        <w:t xml:space="preserve">; Y. Dobyns, A. Rueda, B. Haisch, </w:t>
      </w:r>
      <w:r w:rsidRPr="00F87319">
        <w:rPr>
          <w:i/>
          <w:iCs/>
          <w:szCs w:val="16"/>
        </w:rPr>
        <w:t xml:space="preserve">Found. Phys. </w:t>
      </w:r>
      <w:r w:rsidRPr="00F87319">
        <w:rPr>
          <w:b/>
          <w:bCs/>
          <w:szCs w:val="16"/>
        </w:rPr>
        <w:t>30</w:t>
      </w:r>
      <w:r w:rsidRPr="00F87319">
        <w:rPr>
          <w:szCs w:val="16"/>
        </w:rPr>
        <w:t xml:space="preserve"> (1): 59 (2000).</w:t>
      </w:r>
    </w:p>
    <w:p w:rsidR="006D41BD" w:rsidRPr="00F87319" w:rsidRDefault="006D41BD" w:rsidP="006D41BD">
      <w:pPr>
        <w:pStyle w:val="reference"/>
        <w:ind w:left="450" w:hanging="450"/>
        <w:jc w:val="left"/>
        <w:rPr>
          <w:szCs w:val="16"/>
        </w:rPr>
      </w:pPr>
      <w:r w:rsidRPr="00F87319">
        <w:rPr>
          <w:szCs w:val="16"/>
        </w:rPr>
        <w:t>[43]</w:t>
      </w:r>
      <w:r w:rsidRPr="00F87319">
        <w:rPr>
          <w:szCs w:val="16"/>
        </w:rPr>
        <w:tab/>
        <w:t xml:space="preserve">H. E. Puthoff, B. Haisch, A. Rueda, quoted in Marcus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[44]</w:t>
      </w:r>
      <w:r w:rsidRPr="00F87319">
        <w:rPr>
          <w:szCs w:val="16"/>
        </w:rPr>
        <w:tab/>
        <w:t xml:space="preserve">A. Eddington, </w:t>
      </w:r>
      <w:r w:rsidRPr="00F87319">
        <w:rPr>
          <w:rStyle w:val="Emphasis"/>
          <w:szCs w:val="16"/>
        </w:rPr>
        <w:t>Space, Time and Gravitation</w:t>
      </w:r>
      <w:r w:rsidRPr="00F87319">
        <w:rPr>
          <w:szCs w:val="16"/>
        </w:rPr>
        <w:t>, p. 109, (Cambridge University Press, reprint 1987).</w:t>
      </w:r>
    </w:p>
    <w:p w:rsidR="006D41BD" w:rsidRPr="00F87319" w:rsidRDefault="006D41BD" w:rsidP="006D41BD">
      <w:pPr>
        <w:pStyle w:val="reference"/>
        <w:ind w:left="450" w:hanging="450"/>
        <w:jc w:val="left"/>
        <w:rPr>
          <w:szCs w:val="16"/>
        </w:rPr>
      </w:pPr>
      <w:r w:rsidRPr="00F87319">
        <w:rPr>
          <w:szCs w:val="16"/>
        </w:rPr>
        <w:t>[45]</w:t>
      </w:r>
      <w:r w:rsidRPr="00F87319">
        <w:rPr>
          <w:szCs w:val="16"/>
        </w:rPr>
        <w:tab/>
        <w:t>De Felice,</w:t>
      </w:r>
      <w:r w:rsidRPr="00F87319">
        <w:rPr>
          <w:rStyle w:val="Emphasis"/>
          <w:color w:val="FF0000"/>
          <w:szCs w:val="16"/>
        </w:rPr>
        <w:t xml:space="preserve"> </w:t>
      </w:r>
      <w:r w:rsidRPr="00F87319">
        <w:rPr>
          <w:rStyle w:val="Emphasis"/>
          <w:szCs w:val="16"/>
        </w:rPr>
        <w:t xml:space="preserve">Gen. Rel. &amp; Grav. </w:t>
      </w:r>
      <w:r w:rsidRPr="00F87319">
        <w:rPr>
          <w:b/>
          <w:szCs w:val="16"/>
        </w:rPr>
        <w:t>2</w:t>
      </w:r>
      <w:r w:rsidRPr="00F87319">
        <w:rPr>
          <w:szCs w:val="16"/>
        </w:rPr>
        <w:t xml:space="preserve"> (4): 347-357 (1971).</w:t>
      </w:r>
    </w:p>
    <w:p w:rsidR="006D41BD" w:rsidRPr="00F87319" w:rsidRDefault="006D41BD" w:rsidP="006D41BD">
      <w:pPr>
        <w:pStyle w:val="reference"/>
        <w:ind w:left="450" w:hanging="450"/>
        <w:jc w:val="left"/>
        <w:rPr>
          <w:szCs w:val="16"/>
        </w:rPr>
      </w:pPr>
      <w:r w:rsidRPr="00F87319">
        <w:rPr>
          <w:szCs w:val="16"/>
        </w:rPr>
        <w:t>[46]</w:t>
      </w:r>
      <w:r w:rsidRPr="00F87319">
        <w:rPr>
          <w:szCs w:val="16"/>
        </w:rPr>
        <w:tab/>
        <w:t xml:space="preserve">Context at </w:t>
      </w:r>
      <w:hyperlink r:id="rId950" w:history="1">
        <w:r w:rsidRPr="00F87319">
          <w:rPr>
            <w:rStyle w:val="Hyperlink"/>
            <w:i/>
            <w:szCs w:val="16"/>
          </w:rPr>
          <w:t>http://www.ldolphin.org/vanFlandern/</w:t>
        </w:r>
      </w:hyperlink>
      <w:r w:rsidRPr="00F87319">
        <w:rPr>
          <w:szCs w:val="16"/>
        </w:rPr>
        <w:t>.</w:t>
      </w:r>
    </w:p>
    <w:p w:rsidR="006D41BD" w:rsidRPr="00F87319" w:rsidRDefault="006D41BD" w:rsidP="006D41BD">
      <w:pPr>
        <w:pStyle w:val="reference"/>
        <w:ind w:left="450" w:hanging="450"/>
        <w:jc w:val="left"/>
        <w:rPr>
          <w:szCs w:val="16"/>
        </w:rPr>
      </w:pPr>
      <w:r w:rsidRPr="00F87319">
        <w:rPr>
          <w:szCs w:val="16"/>
        </w:rPr>
        <w:t>[47]</w:t>
      </w:r>
      <w:r w:rsidRPr="00F87319">
        <w:rPr>
          <w:szCs w:val="16"/>
        </w:rPr>
        <w:tab/>
        <w:t xml:space="preserve">B. Haisch, A. Rueda, H. E. Puthoff, </w:t>
      </w:r>
      <w:r w:rsidRPr="00F87319">
        <w:rPr>
          <w:rStyle w:val="Emphasis"/>
          <w:szCs w:val="16"/>
        </w:rPr>
        <w:t>The Sciences</w:t>
      </w:r>
      <w:r w:rsidRPr="00F87319">
        <w:rPr>
          <w:szCs w:val="16"/>
        </w:rPr>
        <w:t>, pp.26-31 (Nov/ Dec 1994).</w:t>
      </w:r>
    </w:p>
    <w:p w:rsidR="006D41BD" w:rsidRPr="00F87319" w:rsidRDefault="006D41BD" w:rsidP="006D41BD">
      <w:pPr>
        <w:pStyle w:val="reference"/>
        <w:ind w:left="450" w:hanging="450"/>
        <w:jc w:val="left"/>
        <w:rPr>
          <w:szCs w:val="16"/>
        </w:rPr>
      </w:pPr>
      <w:r w:rsidRPr="00F87319">
        <w:rPr>
          <w:szCs w:val="16"/>
        </w:rPr>
        <w:t>[48]</w:t>
      </w:r>
      <w:r w:rsidRPr="00F87319">
        <w:rPr>
          <w:szCs w:val="16"/>
        </w:rPr>
        <w:tab/>
        <w:t xml:space="preserve">H. E. Puthoff, </w:t>
      </w:r>
      <w:r w:rsidRPr="00F87319">
        <w:rPr>
          <w:i/>
          <w:iCs/>
          <w:szCs w:val="16"/>
        </w:rPr>
        <w:t xml:space="preserve">Phys. Rev. A </w:t>
      </w:r>
      <w:r w:rsidRPr="00F87319">
        <w:rPr>
          <w:b/>
          <w:bCs/>
          <w:szCs w:val="16"/>
        </w:rPr>
        <w:t xml:space="preserve">39 </w:t>
      </w:r>
      <w:r w:rsidRPr="00F87319">
        <w:rPr>
          <w:szCs w:val="16"/>
        </w:rPr>
        <w:t>(5): 2333-2342 (1989).</w:t>
      </w:r>
    </w:p>
    <w:p w:rsidR="006D41BD" w:rsidRPr="00F87319" w:rsidRDefault="006D41BD" w:rsidP="006D41BD">
      <w:pPr>
        <w:pStyle w:val="reference"/>
        <w:ind w:left="450" w:hanging="450"/>
        <w:jc w:val="left"/>
        <w:rPr>
          <w:szCs w:val="16"/>
        </w:rPr>
      </w:pPr>
      <w:r w:rsidRPr="00F87319">
        <w:rPr>
          <w:szCs w:val="16"/>
        </w:rPr>
        <w:t>[49]</w:t>
      </w:r>
      <w:r w:rsidRPr="00F87319">
        <w:rPr>
          <w:szCs w:val="16"/>
        </w:rPr>
        <w:tab/>
        <w:t xml:space="preserve">B. Haisch, A. Rueda, H. E. Puthoff, </w:t>
      </w:r>
      <w:r w:rsidRPr="00F87319">
        <w:rPr>
          <w:i/>
          <w:szCs w:val="16"/>
        </w:rPr>
        <w:t xml:space="preserve">Phys. Rev. A </w:t>
      </w:r>
      <w:r w:rsidRPr="00F87319">
        <w:rPr>
          <w:b/>
          <w:szCs w:val="16"/>
        </w:rPr>
        <w:t>49:678</w:t>
      </w:r>
      <w:r w:rsidRPr="00F87319">
        <w:rPr>
          <w:szCs w:val="16"/>
        </w:rPr>
        <w:t xml:space="preserve"> (1994).</w:t>
      </w:r>
    </w:p>
    <w:p w:rsidR="006D41BD" w:rsidRPr="00F87319" w:rsidRDefault="006D41BD" w:rsidP="006D41BD">
      <w:pPr>
        <w:pStyle w:val="reference"/>
        <w:ind w:left="450" w:hanging="450"/>
        <w:jc w:val="left"/>
        <w:rPr>
          <w:szCs w:val="16"/>
        </w:rPr>
      </w:pPr>
      <w:r w:rsidRPr="00F87319">
        <w:rPr>
          <w:szCs w:val="16"/>
        </w:rPr>
        <w:t>[50]</w:t>
      </w:r>
      <w:r w:rsidRPr="00F87319">
        <w:rPr>
          <w:szCs w:val="16"/>
        </w:rPr>
        <w:tab/>
        <w:t xml:space="preserve">M. Chown, “Mass Medium”, </w:t>
      </w:r>
      <w:r w:rsidRPr="00F87319">
        <w:rPr>
          <w:i/>
          <w:szCs w:val="16"/>
        </w:rPr>
        <w:t>New Scientist</w:t>
      </w:r>
      <w:r w:rsidRPr="00F87319">
        <w:rPr>
          <w:szCs w:val="16"/>
        </w:rPr>
        <w:t>, pp. 22-25 (3 Feb 2001).</w:t>
      </w:r>
    </w:p>
    <w:p w:rsidR="006D41BD" w:rsidRPr="00F87319" w:rsidRDefault="006D41BD" w:rsidP="006D41BD">
      <w:pPr>
        <w:pStyle w:val="reference"/>
        <w:ind w:left="450" w:hanging="450"/>
        <w:jc w:val="left"/>
        <w:rPr>
          <w:szCs w:val="16"/>
        </w:rPr>
      </w:pPr>
      <w:r w:rsidRPr="00F87319">
        <w:rPr>
          <w:szCs w:val="16"/>
        </w:rPr>
        <w:t>[51]</w:t>
      </w:r>
      <w:r w:rsidRPr="00F87319">
        <w:rPr>
          <w:szCs w:val="16"/>
        </w:rPr>
        <w:tab/>
        <w:t xml:space="preserve">B. Setterfield, “Reviewing a Plasma Universe With Zero Point Energy,” </w:t>
      </w:r>
      <w:r w:rsidRPr="00F87319">
        <w:rPr>
          <w:i/>
          <w:szCs w:val="16"/>
        </w:rPr>
        <w:t>Journal of Vectorial Relativity</w:t>
      </w:r>
      <w:r w:rsidRPr="00F87319">
        <w:rPr>
          <w:szCs w:val="16"/>
        </w:rPr>
        <w:t xml:space="preserve"> </w:t>
      </w:r>
      <w:r w:rsidRPr="00F87319">
        <w:rPr>
          <w:b/>
          <w:szCs w:val="16"/>
        </w:rPr>
        <w:t>3</w:t>
      </w:r>
      <w:r w:rsidRPr="00F87319">
        <w:rPr>
          <w:szCs w:val="16"/>
        </w:rPr>
        <w:t xml:space="preserve"> (3): 1-29 (2008).</w:t>
      </w:r>
    </w:p>
    <w:p w:rsidR="006D41BD" w:rsidRPr="00F87319" w:rsidRDefault="006D41BD" w:rsidP="006D41BD">
      <w:pPr>
        <w:pStyle w:val="reference"/>
        <w:ind w:left="450" w:hanging="450"/>
        <w:jc w:val="left"/>
        <w:rPr>
          <w:szCs w:val="16"/>
        </w:rPr>
      </w:pPr>
      <w:r w:rsidRPr="00F87319">
        <w:rPr>
          <w:szCs w:val="16"/>
        </w:rPr>
        <w:t>[52]</w:t>
      </w:r>
      <w:r w:rsidRPr="00F87319">
        <w:rPr>
          <w:szCs w:val="16"/>
        </w:rPr>
        <w:tab/>
        <w:t xml:space="preserve">B. Setterfield,  ”Reviewing the Zero Point Energy,” </w:t>
      </w:r>
      <w:r w:rsidRPr="00F87319">
        <w:rPr>
          <w:i/>
          <w:szCs w:val="16"/>
        </w:rPr>
        <w:t>Journal of Vectorial Relativity</w:t>
      </w:r>
      <w:r w:rsidRPr="00F87319">
        <w:rPr>
          <w:b/>
          <w:szCs w:val="16"/>
        </w:rPr>
        <w:t xml:space="preserve"> 2</w:t>
      </w:r>
      <w:r w:rsidRPr="00F87319">
        <w:rPr>
          <w:szCs w:val="16"/>
        </w:rPr>
        <w:t xml:space="preserve"> (3): 1-28 (2007).</w:t>
      </w:r>
    </w:p>
    <w:p w:rsidR="006D41BD" w:rsidRPr="00F87319" w:rsidRDefault="006D41BD" w:rsidP="006D41BD">
      <w:pPr>
        <w:pStyle w:val="reference"/>
        <w:ind w:left="450" w:hanging="450"/>
        <w:jc w:val="left"/>
        <w:rPr>
          <w:szCs w:val="16"/>
        </w:rPr>
      </w:pPr>
      <w:r w:rsidRPr="00F87319">
        <w:rPr>
          <w:szCs w:val="16"/>
        </w:rPr>
        <w:t>[53]</w:t>
      </w:r>
      <w:r w:rsidRPr="00F87319">
        <w:rPr>
          <w:szCs w:val="16"/>
        </w:rPr>
        <w:tab/>
        <w:t xml:space="preserve">I. Shapiro et al., “Fourth test of general relativity: New radar results”, </w:t>
      </w:r>
      <w:r w:rsidRPr="00F87319">
        <w:rPr>
          <w:i/>
          <w:iCs/>
          <w:szCs w:val="16"/>
        </w:rPr>
        <w:t xml:space="preserve">Phys. Rev. Lett. </w:t>
      </w:r>
      <w:r w:rsidRPr="00F87319">
        <w:rPr>
          <w:b/>
          <w:bCs/>
          <w:szCs w:val="16"/>
        </w:rPr>
        <w:t>26</w:t>
      </w:r>
      <w:r w:rsidRPr="00F87319">
        <w:rPr>
          <w:szCs w:val="16"/>
        </w:rPr>
        <w:t>: 1132-1135 (1971).</w:t>
      </w:r>
    </w:p>
    <w:p w:rsidR="006D41BD" w:rsidRPr="00F87319" w:rsidRDefault="006D41BD" w:rsidP="006D41BD">
      <w:pPr>
        <w:pStyle w:val="reference"/>
        <w:ind w:left="450" w:hanging="450"/>
        <w:jc w:val="left"/>
        <w:rPr>
          <w:szCs w:val="16"/>
        </w:rPr>
      </w:pPr>
      <w:r w:rsidRPr="00F87319">
        <w:rPr>
          <w:szCs w:val="16"/>
        </w:rPr>
        <w:t>[54]</w:t>
      </w:r>
      <w:r w:rsidRPr="00F87319">
        <w:rPr>
          <w:szCs w:val="16"/>
        </w:rPr>
        <w:tab/>
        <w:t xml:space="preserve">K. W. Ford, </w:t>
      </w:r>
      <w:r w:rsidRPr="00F87319">
        <w:rPr>
          <w:i/>
          <w:iCs/>
          <w:szCs w:val="16"/>
        </w:rPr>
        <w:t>Classical and Modern Physics</w:t>
      </w:r>
      <w:r w:rsidRPr="00F87319">
        <w:rPr>
          <w:szCs w:val="16"/>
        </w:rPr>
        <w:t>, Vol.3, p. 1152 (John Wiley &amp; Sons, 1974).</w:t>
      </w:r>
    </w:p>
    <w:p w:rsidR="006D41BD" w:rsidRPr="00F87319" w:rsidRDefault="006D41BD" w:rsidP="006D41BD">
      <w:pPr>
        <w:pStyle w:val="reference"/>
        <w:ind w:left="450" w:hanging="450"/>
        <w:jc w:val="left"/>
        <w:rPr>
          <w:szCs w:val="16"/>
        </w:rPr>
      </w:pPr>
      <w:r w:rsidRPr="00F87319">
        <w:rPr>
          <w:szCs w:val="16"/>
        </w:rPr>
        <w:t>[55]</w:t>
      </w:r>
      <w:r w:rsidRPr="00F87319">
        <w:rPr>
          <w:szCs w:val="16"/>
        </w:rPr>
        <w:tab/>
        <w:t xml:space="preserve">J.K. Webb et al, </w:t>
      </w:r>
      <w:r w:rsidRPr="00F87319">
        <w:rPr>
          <w:i/>
          <w:iCs/>
          <w:szCs w:val="16"/>
        </w:rPr>
        <w:t>Phys. Rev. Lett</w:t>
      </w:r>
      <w:r w:rsidRPr="00F87319">
        <w:rPr>
          <w:szCs w:val="16"/>
        </w:rPr>
        <w:t xml:space="preserve">. </w:t>
      </w:r>
      <w:r w:rsidRPr="00F87319">
        <w:rPr>
          <w:b/>
          <w:bCs/>
          <w:szCs w:val="16"/>
        </w:rPr>
        <w:t>82</w:t>
      </w:r>
      <w:r w:rsidRPr="00F87319">
        <w:rPr>
          <w:szCs w:val="16"/>
        </w:rPr>
        <w:t xml:space="preserve">: 884-887 (1999); </w:t>
      </w:r>
      <w:r w:rsidRPr="00F87319">
        <w:rPr>
          <w:i/>
          <w:iCs/>
          <w:szCs w:val="16"/>
        </w:rPr>
        <w:t xml:space="preserve">Phys Rev. Lett. </w:t>
      </w:r>
      <w:r w:rsidRPr="00F87319">
        <w:rPr>
          <w:b/>
          <w:bCs/>
          <w:szCs w:val="16"/>
        </w:rPr>
        <w:t>87</w:t>
      </w:r>
      <w:r w:rsidRPr="00F87319">
        <w:rPr>
          <w:bCs/>
          <w:szCs w:val="16"/>
        </w:rPr>
        <w:t>:</w:t>
      </w:r>
      <w:r w:rsidRPr="00F87319">
        <w:rPr>
          <w:szCs w:val="16"/>
        </w:rPr>
        <w:t xml:space="preserve"> 091301 (2001).</w:t>
      </w:r>
    </w:p>
    <w:p w:rsidR="006D41BD" w:rsidRPr="00F87319" w:rsidRDefault="006D41BD" w:rsidP="006D41BD">
      <w:pPr>
        <w:pStyle w:val="reference"/>
        <w:ind w:left="450" w:hanging="450"/>
        <w:jc w:val="left"/>
        <w:rPr>
          <w:szCs w:val="16"/>
        </w:rPr>
      </w:pPr>
      <w:r w:rsidRPr="00F87319">
        <w:rPr>
          <w:szCs w:val="16"/>
        </w:rPr>
        <w:t>[56]</w:t>
      </w:r>
      <w:r w:rsidRPr="00F87319">
        <w:rPr>
          <w:szCs w:val="16"/>
        </w:rPr>
        <w:tab/>
        <w:t xml:space="preserve">P. C. W. Davies, T. M. Davis, C. H. Lineweaver, </w:t>
      </w:r>
      <w:r w:rsidRPr="00F87319">
        <w:rPr>
          <w:i/>
          <w:iCs/>
          <w:szCs w:val="16"/>
        </w:rPr>
        <w:t xml:space="preserve">Nature </w:t>
      </w:r>
      <w:r w:rsidRPr="00F87319">
        <w:rPr>
          <w:b/>
          <w:bCs/>
          <w:szCs w:val="16"/>
        </w:rPr>
        <w:t>418</w:t>
      </w:r>
      <w:r w:rsidRPr="00F87319">
        <w:rPr>
          <w:szCs w:val="16"/>
        </w:rPr>
        <w:t>: 602-603 (2002).</w:t>
      </w:r>
    </w:p>
    <w:p w:rsidR="006D41BD" w:rsidRPr="00F87319" w:rsidRDefault="006D41BD" w:rsidP="006D41BD">
      <w:pPr>
        <w:pStyle w:val="reference"/>
        <w:ind w:left="450" w:hanging="450"/>
        <w:jc w:val="left"/>
        <w:rPr>
          <w:szCs w:val="16"/>
        </w:rPr>
      </w:pPr>
      <w:r w:rsidRPr="00F87319">
        <w:rPr>
          <w:szCs w:val="16"/>
        </w:rPr>
        <w:t>[57]</w:t>
      </w:r>
      <w:r w:rsidRPr="00F87319">
        <w:rPr>
          <w:szCs w:val="16"/>
        </w:rPr>
        <w:tab/>
        <w:t xml:space="preserve">S. Carlip, S. Vaidya, </w:t>
      </w:r>
      <w:r w:rsidRPr="00F87319">
        <w:rPr>
          <w:i/>
          <w:iCs/>
          <w:szCs w:val="16"/>
        </w:rPr>
        <w:t xml:space="preserve">Nature </w:t>
      </w:r>
      <w:r w:rsidRPr="00F87319">
        <w:rPr>
          <w:b/>
          <w:bCs/>
          <w:szCs w:val="16"/>
        </w:rPr>
        <w:t>421</w:t>
      </w:r>
      <w:r w:rsidRPr="00F87319">
        <w:rPr>
          <w:szCs w:val="16"/>
        </w:rPr>
        <w:t>: 498 (2003).</w:t>
      </w:r>
    </w:p>
    <w:p w:rsidR="006D41BD" w:rsidRPr="00F87319" w:rsidRDefault="006D41BD" w:rsidP="006D41BD">
      <w:pPr>
        <w:pStyle w:val="reference"/>
        <w:ind w:left="450" w:hanging="450"/>
        <w:jc w:val="left"/>
        <w:rPr>
          <w:szCs w:val="16"/>
        </w:rPr>
      </w:pPr>
      <w:r w:rsidRPr="00F87319">
        <w:rPr>
          <w:szCs w:val="16"/>
        </w:rPr>
        <w:t>[58]</w:t>
      </w:r>
      <w:r w:rsidRPr="00F87319">
        <w:rPr>
          <w:szCs w:val="16"/>
        </w:rPr>
        <w:tab/>
        <w:t xml:space="preserve">M. Brooks, </w:t>
      </w:r>
      <w:r w:rsidRPr="00F87319">
        <w:rPr>
          <w:i/>
          <w:szCs w:val="16"/>
        </w:rPr>
        <w:t>New Scientist</w:t>
      </w:r>
      <w:r w:rsidRPr="00F87319">
        <w:rPr>
          <w:szCs w:val="16"/>
        </w:rPr>
        <w:t>, pp. 32-35 (23 Oct 2010).</w:t>
      </w:r>
    </w:p>
    <w:p w:rsidR="006D41BD" w:rsidRPr="00F87319" w:rsidRDefault="006D41BD" w:rsidP="006D41BD">
      <w:pPr>
        <w:pStyle w:val="reference"/>
        <w:ind w:left="450" w:hanging="450"/>
        <w:jc w:val="left"/>
        <w:rPr>
          <w:szCs w:val="16"/>
        </w:rPr>
      </w:pPr>
      <w:r w:rsidRPr="00F87319">
        <w:rPr>
          <w:szCs w:val="16"/>
        </w:rPr>
        <w:t xml:space="preserve">[59] </w:t>
      </w:r>
      <w:r w:rsidRPr="00F87319">
        <w:rPr>
          <w:szCs w:val="16"/>
        </w:rPr>
        <w:tab/>
        <w:t xml:space="preserve">T. Van Flandern, </w:t>
      </w:r>
      <w:r w:rsidRPr="00F87319">
        <w:rPr>
          <w:i/>
          <w:iCs/>
          <w:szCs w:val="16"/>
        </w:rPr>
        <w:t>Meta Research Bulletin</w:t>
      </w:r>
      <w:r w:rsidRPr="00F87319">
        <w:rPr>
          <w:szCs w:val="16"/>
        </w:rPr>
        <w:t xml:space="preserve"> </w:t>
      </w:r>
      <w:r w:rsidRPr="00F87319">
        <w:rPr>
          <w:b/>
          <w:bCs/>
          <w:szCs w:val="16"/>
        </w:rPr>
        <w:t>8</w:t>
      </w:r>
      <w:r w:rsidRPr="00F87319">
        <w:rPr>
          <w:szCs w:val="16"/>
        </w:rPr>
        <w:t xml:space="preserve"> (1): 11ff. (1 Mar 1999).</w:t>
      </w:r>
    </w:p>
    <w:p w:rsidR="006D41BD" w:rsidRPr="00F87319" w:rsidRDefault="006D41BD" w:rsidP="006D41BD">
      <w:pPr>
        <w:pStyle w:val="reference"/>
        <w:ind w:left="450" w:hanging="450"/>
        <w:jc w:val="left"/>
        <w:rPr>
          <w:szCs w:val="16"/>
        </w:rPr>
      </w:pPr>
      <w:r w:rsidRPr="00F87319">
        <w:rPr>
          <w:szCs w:val="16"/>
        </w:rPr>
        <w:t>[60]</w:t>
      </w:r>
      <w:r w:rsidRPr="00F87319">
        <w:rPr>
          <w:szCs w:val="16"/>
        </w:rPr>
        <w:tab/>
        <w:t xml:space="preserve">M. R. Edwards, Ed, </w:t>
      </w:r>
      <w:r w:rsidRPr="00F87319">
        <w:rPr>
          <w:i/>
          <w:iCs/>
          <w:szCs w:val="16"/>
        </w:rPr>
        <w:t>Pushing Gravity</w:t>
      </w:r>
      <w:r w:rsidRPr="00F87319">
        <w:rPr>
          <w:szCs w:val="16"/>
        </w:rPr>
        <w:t>, p.99 (Apeiron, 2002).</w:t>
      </w:r>
    </w:p>
    <w:p w:rsidR="006D41BD" w:rsidRPr="00F87319" w:rsidRDefault="006D41BD" w:rsidP="006D41BD">
      <w:pPr>
        <w:pStyle w:val="reference"/>
        <w:ind w:left="450" w:hanging="450"/>
        <w:jc w:val="left"/>
        <w:rPr>
          <w:szCs w:val="16"/>
        </w:rPr>
      </w:pPr>
      <w:r w:rsidRPr="00F87319">
        <w:rPr>
          <w:szCs w:val="16"/>
        </w:rPr>
        <w:t>[61]</w:t>
      </w:r>
      <w:r w:rsidRPr="00F87319">
        <w:rPr>
          <w:szCs w:val="16"/>
        </w:rPr>
        <w:tab/>
        <w:t xml:space="preserve">A. P. French, </w:t>
      </w:r>
      <w:r w:rsidRPr="00F87319">
        <w:rPr>
          <w:i/>
          <w:iCs/>
          <w:szCs w:val="16"/>
        </w:rPr>
        <w:t>Principles of Modern Physics</w:t>
      </w:r>
      <w:r w:rsidRPr="00F87319">
        <w:rPr>
          <w:szCs w:val="16"/>
        </w:rPr>
        <w:t xml:space="preserve">, pp.175-178 (John Wiley &amp; Sons, 1959). </w:t>
      </w:r>
    </w:p>
    <w:p w:rsidR="006D41BD" w:rsidRPr="00F87319" w:rsidRDefault="006D41BD" w:rsidP="006D41BD">
      <w:pPr>
        <w:pStyle w:val="reference"/>
        <w:ind w:left="450" w:hanging="450"/>
        <w:jc w:val="left"/>
        <w:rPr>
          <w:szCs w:val="16"/>
        </w:rPr>
      </w:pPr>
      <w:r w:rsidRPr="00F87319">
        <w:rPr>
          <w:szCs w:val="16"/>
        </w:rPr>
        <w:t>[62]</w:t>
      </w:r>
      <w:r w:rsidRPr="00F87319">
        <w:rPr>
          <w:szCs w:val="16"/>
        </w:rPr>
        <w:tab/>
        <w:t>T. Van Flandern, [59], pp.12-14.</w:t>
      </w:r>
    </w:p>
    <w:p w:rsidR="006D41BD" w:rsidRPr="00F87319" w:rsidRDefault="006D41BD" w:rsidP="006D41BD">
      <w:pPr>
        <w:pStyle w:val="reference"/>
        <w:ind w:left="450" w:hanging="450"/>
        <w:jc w:val="left"/>
        <w:rPr>
          <w:szCs w:val="16"/>
        </w:rPr>
      </w:pPr>
      <w:r w:rsidRPr="00F87319">
        <w:rPr>
          <w:szCs w:val="16"/>
        </w:rPr>
        <w:t>[63]</w:t>
      </w:r>
      <w:r w:rsidRPr="00F87319">
        <w:rPr>
          <w:szCs w:val="16"/>
        </w:rPr>
        <w:tab/>
        <w:t xml:space="preserve">S. L. Martin &amp; A. K. Connor, </w:t>
      </w:r>
      <w:r w:rsidRPr="00F87319">
        <w:rPr>
          <w:i/>
          <w:iCs/>
          <w:szCs w:val="16"/>
        </w:rPr>
        <w:t>Basic Physics</w:t>
      </w:r>
      <w:r w:rsidRPr="00F87319">
        <w:rPr>
          <w:szCs w:val="16"/>
        </w:rPr>
        <w:t xml:space="preserve">, Vol. 1, pp 175 &amp; 207, (Whitcombe &amp; Tombs Pty. Ltd., Melbourne, 1958). </w:t>
      </w:r>
    </w:p>
    <w:p w:rsidR="006D41BD" w:rsidRPr="00F87319" w:rsidRDefault="006D41BD" w:rsidP="006D41BD">
      <w:pPr>
        <w:pStyle w:val="reference"/>
        <w:ind w:left="450" w:hanging="450"/>
        <w:jc w:val="left"/>
        <w:rPr>
          <w:szCs w:val="16"/>
        </w:rPr>
      </w:pPr>
      <w:r w:rsidRPr="00F87319">
        <w:rPr>
          <w:szCs w:val="16"/>
        </w:rPr>
        <w:t>[64]</w:t>
      </w:r>
      <w:r w:rsidRPr="00F87319">
        <w:rPr>
          <w:szCs w:val="16"/>
        </w:rPr>
        <w:tab/>
        <w:t xml:space="preserve">J. M. A. Danby, </w:t>
      </w:r>
      <w:r w:rsidRPr="00F87319">
        <w:rPr>
          <w:i/>
          <w:szCs w:val="16"/>
        </w:rPr>
        <w:t>Fundamentals of Celestial Mechanics</w:t>
      </w:r>
      <w:r w:rsidRPr="00F87319">
        <w:rPr>
          <w:szCs w:val="16"/>
        </w:rPr>
        <w:t xml:space="preserve"> 2</w:t>
      </w:r>
      <w:r w:rsidRPr="00F87319">
        <w:rPr>
          <w:szCs w:val="16"/>
          <w:vertAlign w:val="superscript"/>
        </w:rPr>
        <w:t>nd</w:t>
      </w:r>
      <w:r w:rsidRPr="00F87319">
        <w:rPr>
          <w:szCs w:val="16"/>
        </w:rPr>
        <w:t xml:space="preserve"> Ed., Chaps. 4, 6, and 11 (Willmann-Bell, Richmond, 1988).</w:t>
      </w:r>
    </w:p>
    <w:p w:rsidR="006D41BD" w:rsidRPr="00F87319" w:rsidRDefault="006D41BD" w:rsidP="006D41BD">
      <w:pPr>
        <w:pStyle w:val="reference"/>
        <w:ind w:left="450" w:hanging="450"/>
        <w:jc w:val="left"/>
        <w:rPr>
          <w:szCs w:val="16"/>
        </w:rPr>
      </w:pPr>
      <w:r w:rsidRPr="00F87319">
        <w:rPr>
          <w:szCs w:val="16"/>
        </w:rPr>
        <w:t>[65]</w:t>
      </w:r>
      <w:r w:rsidRPr="00F87319">
        <w:rPr>
          <w:szCs w:val="16"/>
        </w:rPr>
        <w:tab/>
        <w:t xml:space="preserve">C.W.F. Everitt et al, </w:t>
      </w:r>
      <w:r w:rsidRPr="00F87319">
        <w:rPr>
          <w:bCs/>
          <w:i/>
          <w:iCs/>
          <w:color w:val="000000"/>
          <w:szCs w:val="16"/>
        </w:rPr>
        <w:t>Physical Review Letters</w:t>
      </w:r>
      <w:r w:rsidRPr="00F87319">
        <w:rPr>
          <w:bCs/>
          <w:iCs/>
          <w:color w:val="000000"/>
          <w:szCs w:val="16"/>
        </w:rPr>
        <w:t xml:space="preserve"> </w:t>
      </w:r>
      <w:r w:rsidRPr="00F87319">
        <w:rPr>
          <w:b/>
          <w:bCs/>
          <w:iCs/>
          <w:color w:val="000000"/>
          <w:szCs w:val="16"/>
        </w:rPr>
        <w:t>106</w:t>
      </w:r>
      <w:r w:rsidRPr="00F87319">
        <w:rPr>
          <w:bCs/>
          <w:iCs/>
          <w:color w:val="000000"/>
          <w:szCs w:val="16"/>
        </w:rPr>
        <w:t>: 221101 (3 Jun 2011).</w:t>
      </w:r>
    </w:p>
    <w:p w:rsidR="006D41BD" w:rsidRPr="00F87319" w:rsidRDefault="006D41BD" w:rsidP="006D41BD">
      <w:pPr>
        <w:pStyle w:val="reference"/>
        <w:ind w:left="450" w:hanging="450"/>
        <w:jc w:val="left"/>
        <w:rPr>
          <w:szCs w:val="16"/>
        </w:rPr>
      </w:pPr>
      <w:r w:rsidRPr="00F87319">
        <w:rPr>
          <w:szCs w:val="16"/>
        </w:rPr>
        <w:t xml:space="preserve">[66]    C. M. Hill, </w:t>
      </w:r>
      <w:r w:rsidRPr="00F87319">
        <w:rPr>
          <w:i/>
          <w:szCs w:val="16"/>
        </w:rPr>
        <w:t>Galilean Electrodynamics</w:t>
      </w:r>
      <w:r w:rsidRPr="00F87319">
        <w:rPr>
          <w:szCs w:val="16"/>
        </w:rPr>
        <w:t xml:space="preserve">, </w:t>
      </w:r>
      <w:r w:rsidRPr="00F87319">
        <w:rPr>
          <w:b/>
          <w:szCs w:val="16"/>
        </w:rPr>
        <w:t>6</w:t>
      </w:r>
      <w:r w:rsidRPr="00F87319">
        <w:rPr>
          <w:szCs w:val="16"/>
        </w:rPr>
        <w:t>:1, pp.3-10,  (January/February 1995).</w:t>
      </w:r>
    </w:p>
    <w:p w:rsidR="006D41BD" w:rsidRPr="00F87319" w:rsidRDefault="006D41BD" w:rsidP="006D41BD">
      <w:pPr>
        <w:pStyle w:val="reference"/>
        <w:ind w:left="450" w:hanging="450"/>
        <w:jc w:val="left"/>
        <w:rPr>
          <w:szCs w:val="16"/>
        </w:rPr>
      </w:pPr>
      <w:r w:rsidRPr="00F87319">
        <w:rPr>
          <w:szCs w:val="16"/>
        </w:rPr>
        <w:t>[67]</w:t>
      </w:r>
      <w:r w:rsidRPr="00F87319">
        <w:rPr>
          <w:szCs w:val="16"/>
        </w:rPr>
        <w:tab/>
        <w:t xml:space="preserve">T. Van Flandern, J-P Vigier “Experimental Repeal of the Speed Limit for Gravitational, Electrodynamic, and Quantum Field Interactions,” </w:t>
      </w:r>
      <w:r w:rsidRPr="00F87319">
        <w:rPr>
          <w:i/>
          <w:szCs w:val="16"/>
        </w:rPr>
        <w:t>Foundations of Physics</w:t>
      </w:r>
      <w:r w:rsidRPr="00F87319">
        <w:rPr>
          <w:szCs w:val="16"/>
        </w:rPr>
        <w:t xml:space="preserve"> </w:t>
      </w:r>
      <w:r w:rsidRPr="00F87319">
        <w:rPr>
          <w:b/>
          <w:szCs w:val="16"/>
        </w:rPr>
        <w:t>32</w:t>
      </w:r>
      <w:r w:rsidRPr="00F87319">
        <w:rPr>
          <w:szCs w:val="16"/>
        </w:rPr>
        <w:t xml:space="preserve"> (7): 1-38 (Jul 2002); T. Van Flandern, “Gravity”, in </w:t>
      </w:r>
      <w:r w:rsidRPr="00F87319">
        <w:rPr>
          <w:i/>
          <w:szCs w:val="16"/>
        </w:rPr>
        <w:t>Pushing Gravity</w:t>
      </w:r>
      <w:r w:rsidRPr="00F87319">
        <w:rPr>
          <w:szCs w:val="16"/>
        </w:rPr>
        <w:t>, M. R. Edwards, Ed., pp. 93-122, (Apeiron, Montreal, 2002).</w:t>
      </w:r>
    </w:p>
    <w:p w:rsidR="006D41BD" w:rsidRPr="00F87319" w:rsidRDefault="006D41BD" w:rsidP="006D41BD">
      <w:pPr>
        <w:pStyle w:val="reference"/>
        <w:ind w:left="450" w:hanging="450"/>
        <w:jc w:val="left"/>
        <w:rPr>
          <w:szCs w:val="16"/>
        </w:rPr>
      </w:pPr>
      <w:r w:rsidRPr="00F87319">
        <w:rPr>
          <w:szCs w:val="16"/>
        </w:rPr>
        <w:t>[68]    E. H. Dowdye, “Gravitational Light Bending History is Impact-Parameter Dependent</w:t>
      </w:r>
      <w:r w:rsidRPr="00F87319">
        <w:rPr>
          <w:i/>
          <w:szCs w:val="16"/>
        </w:rPr>
        <w:t>,” Proceedings of the NPA</w:t>
      </w:r>
      <w:r w:rsidRPr="00F87319">
        <w:rPr>
          <w:szCs w:val="16"/>
        </w:rPr>
        <w:t xml:space="preserve"> </w:t>
      </w:r>
      <w:r w:rsidRPr="00F87319">
        <w:rPr>
          <w:b/>
          <w:szCs w:val="16"/>
        </w:rPr>
        <w:t>9</w:t>
      </w:r>
      <w:r w:rsidRPr="00F87319">
        <w:rPr>
          <w:szCs w:val="16"/>
        </w:rPr>
        <w:t xml:space="preserve">  (2012).</w:t>
      </w:r>
    </w:p>
    <w:p w:rsidR="006D41BD" w:rsidRPr="00F87319" w:rsidRDefault="006D41BD" w:rsidP="006D41BD">
      <w:pPr>
        <w:pStyle w:val="reference"/>
        <w:ind w:left="450" w:hanging="450"/>
        <w:jc w:val="left"/>
        <w:rPr>
          <w:szCs w:val="16"/>
        </w:rPr>
      </w:pPr>
      <w:r w:rsidRPr="00F87319">
        <w:rPr>
          <w:szCs w:val="16"/>
        </w:rPr>
        <w:t>[69] J. Deitrich and colleagues from University Observatory, Munich, Germany, 4 July, 2012 reported in   Astronomy and Space at:           http://esciencenews.com/sources/space.com/2012/07/04/giant.dark.matter.bridge.between.galaxy.clusters.discovered.</w:t>
      </w:r>
    </w:p>
    <w:p w:rsidR="006D41BD" w:rsidRPr="00F87319" w:rsidRDefault="006D41BD" w:rsidP="006D41BD">
      <w:pPr>
        <w:pStyle w:val="reference"/>
        <w:ind w:left="450" w:hanging="450"/>
        <w:jc w:val="left"/>
        <w:rPr>
          <w:szCs w:val="16"/>
        </w:rPr>
      </w:pPr>
      <w:r w:rsidRPr="00F87319">
        <w:rPr>
          <w:szCs w:val="16"/>
        </w:rPr>
        <w:t>[70]</w:t>
      </w:r>
      <w:r w:rsidRPr="00F87319">
        <w:rPr>
          <w:szCs w:val="16"/>
        </w:rPr>
        <w:tab/>
        <w:t xml:space="preserve">A. L. Peratt, “Evolution of a Plasma Universe”, </w:t>
      </w:r>
      <w:r w:rsidRPr="00F87319">
        <w:rPr>
          <w:i/>
          <w:szCs w:val="16"/>
        </w:rPr>
        <w:t>IEEE Transactions on Plasma Science</w:t>
      </w:r>
      <w:r w:rsidRPr="00F87319">
        <w:rPr>
          <w:szCs w:val="16"/>
        </w:rPr>
        <w:t xml:space="preserve">, PS </w:t>
      </w:r>
      <w:r w:rsidRPr="00F87319">
        <w:rPr>
          <w:b/>
          <w:szCs w:val="16"/>
        </w:rPr>
        <w:t>14</w:t>
      </w:r>
      <w:r w:rsidRPr="00F87319">
        <w:rPr>
          <w:szCs w:val="16"/>
        </w:rPr>
        <w:t xml:space="preserve"> (6): 639-778 (Dec 1986).</w:t>
      </w:r>
    </w:p>
    <w:p w:rsidR="006D41BD" w:rsidRPr="00F87319" w:rsidRDefault="006D41BD" w:rsidP="006D41BD">
      <w:pPr>
        <w:pStyle w:val="reference"/>
        <w:ind w:left="450" w:hanging="450"/>
        <w:jc w:val="left"/>
        <w:rPr>
          <w:szCs w:val="16"/>
        </w:rPr>
      </w:pPr>
      <w:r w:rsidRPr="00F87319">
        <w:rPr>
          <w:szCs w:val="16"/>
        </w:rPr>
        <w:t>[71]</w:t>
      </w:r>
      <w:r w:rsidRPr="00F87319">
        <w:rPr>
          <w:szCs w:val="16"/>
        </w:rPr>
        <w:tab/>
        <w:t xml:space="preserve">E. H. Dowdye, Jr., </w:t>
      </w:r>
      <w:r w:rsidRPr="00F87319">
        <w:rPr>
          <w:i/>
          <w:szCs w:val="16"/>
        </w:rPr>
        <w:t>Proceedings of the NPA</w:t>
      </w:r>
      <w:r w:rsidRPr="00F87319">
        <w:rPr>
          <w:szCs w:val="16"/>
        </w:rPr>
        <w:t xml:space="preserve"> </w:t>
      </w:r>
      <w:r w:rsidRPr="00F87319">
        <w:rPr>
          <w:b/>
          <w:szCs w:val="16"/>
        </w:rPr>
        <w:t>7</w:t>
      </w:r>
      <w:r w:rsidRPr="00F87319">
        <w:rPr>
          <w:szCs w:val="16"/>
        </w:rPr>
        <w:t>: 131-136 (2010).</w:t>
      </w:r>
    </w:p>
    <w:p w:rsidR="006D41BD" w:rsidRPr="00F87319" w:rsidRDefault="006D41BD" w:rsidP="006D41BD">
      <w:pPr>
        <w:pStyle w:val="reference"/>
        <w:ind w:left="450" w:hanging="450"/>
        <w:jc w:val="left"/>
        <w:rPr>
          <w:i/>
          <w:szCs w:val="16"/>
        </w:rPr>
      </w:pPr>
      <w:r w:rsidRPr="00F87319">
        <w:rPr>
          <w:szCs w:val="16"/>
        </w:rPr>
        <w:t>[72]</w:t>
      </w:r>
      <w:r w:rsidRPr="00F87319">
        <w:rPr>
          <w:szCs w:val="16"/>
        </w:rPr>
        <w:tab/>
        <w:t xml:space="preserve">W. Thornhill, </w:t>
      </w:r>
      <w:hyperlink r:id="rId951" w:history="1">
        <w:r w:rsidRPr="00F87319">
          <w:rPr>
            <w:rStyle w:val="Hyperlink"/>
            <w:i/>
            <w:szCs w:val="16"/>
          </w:rPr>
          <w:t>http://www.holoscience.com/news.php?article= 7qqsr17q</w:t>
        </w:r>
      </w:hyperlink>
      <w:r w:rsidRPr="00F87319">
        <w:rPr>
          <w:i/>
          <w:szCs w:val="16"/>
        </w:rPr>
        <w:t>.</w:t>
      </w:r>
    </w:p>
    <w:p w:rsidR="006D41BD" w:rsidRPr="00F87319" w:rsidRDefault="006D41BD" w:rsidP="006D41BD">
      <w:pPr>
        <w:pStyle w:val="reference"/>
        <w:ind w:left="450" w:hanging="450"/>
        <w:rPr>
          <w:szCs w:val="16"/>
        </w:rPr>
      </w:pPr>
    </w:p>
    <w:p w:rsidR="006D41BD" w:rsidRPr="00F87319" w:rsidRDefault="006D41BD" w:rsidP="006D41BD">
      <w:pPr>
        <w:pStyle w:val="reference"/>
        <w:ind w:left="450" w:hanging="450"/>
        <w:rPr>
          <w:szCs w:val="16"/>
        </w:rPr>
      </w:pPr>
      <w:r w:rsidRPr="00F87319">
        <w:rPr>
          <w:b/>
          <w:szCs w:val="16"/>
        </w:rPr>
        <w:t xml:space="preserve">Figure References </w:t>
      </w:r>
      <w:r w:rsidRPr="00F87319">
        <w:rPr>
          <w:i/>
          <w:szCs w:val="16"/>
        </w:rPr>
        <w:t>– All URL’s retrieved 9/13/12</w:t>
      </w:r>
    </w:p>
    <w:p w:rsidR="006D41BD" w:rsidRPr="00F87319" w:rsidRDefault="006D41BD" w:rsidP="006D41BD">
      <w:pPr>
        <w:pStyle w:val="reference"/>
        <w:ind w:left="450" w:hanging="450"/>
        <w:jc w:val="left"/>
        <w:rPr>
          <w:i/>
          <w:szCs w:val="16"/>
        </w:rPr>
      </w:pPr>
      <w:r w:rsidRPr="00F87319">
        <w:rPr>
          <w:szCs w:val="16"/>
        </w:rPr>
        <w:t xml:space="preserve">Figure 1: Results of the Michelson-Morley experiment. </w:t>
      </w:r>
      <w:hyperlink r:id="rId952" w:history="1">
        <w:r w:rsidRPr="00F87319">
          <w:rPr>
            <w:rStyle w:val="Hyperlink"/>
            <w:i/>
            <w:szCs w:val="16"/>
          </w:rPr>
          <w:t>http://en.wikisource.org/wiki/On_the_Relative_Motion_of_the_Earth_and_the_Luminiferous_Ether</w:t>
        </w:r>
      </w:hyperlink>
    </w:p>
    <w:p w:rsidR="006D41BD" w:rsidRPr="00F87319" w:rsidRDefault="006D41BD" w:rsidP="006D41BD">
      <w:pPr>
        <w:pStyle w:val="reference"/>
        <w:ind w:left="450" w:hanging="450"/>
        <w:jc w:val="left"/>
        <w:rPr>
          <w:szCs w:val="16"/>
        </w:rPr>
      </w:pPr>
      <w:r w:rsidRPr="00F87319">
        <w:rPr>
          <w:szCs w:val="16"/>
        </w:rPr>
        <w:t xml:space="preserve">Figure 2: The Casimir Effect. </w:t>
      </w:r>
      <w:hyperlink r:id="rId953" w:history="1">
        <w:r w:rsidRPr="00F87319">
          <w:rPr>
            <w:rStyle w:val="Hyperlink"/>
            <w:i/>
            <w:szCs w:val="16"/>
          </w:rPr>
          <w:t>http://www.calphysics.org/rindler.html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4: Rubber sheet analogy of gravity. </w:t>
      </w:r>
      <w:hyperlink r:id="rId954" w:history="1">
        <w:r w:rsidRPr="00F87319">
          <w:rPr>
            <w:rStyle w:val="Hyperlink"/>
            <w:rFonts w:ascii="Book Antiqua" w:hAnsi="Book Antiqua"/>
            <w:i/>
            <w:szCs w:val="16"/>
          </w:rPr>
          <w:t>http://www.scienceforums.net/topic/52516-general-relativity-theory/</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5: Perihelion advance of Mercury. </w:t>
      </w:r>
      <w:hyperlink r:id="rId955" w:history="1">
        <w:r w:rsidRPr="00F87319">
          <w:rPr>
            <w:rStyle w:val="Hyperlink"/>
            <w:rFonts w:ascii="Book Antiqua" w:hAnsi="Book Antiqua"/>
            <w:i/>
            <w:szCs w:val="16"/>
          </w:rPr>
          <w:t>http://en.wikipedia.org/wiki/Apsidal_precession</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6A: The principle of gravitational lensing. </w:t>
      </w:r>
      <w:hyperlink r:id="rId956" w:history="1">
        <w:r w:rsidRPr="00F87319">
          <w:rPr>
            <w:rStyle w:val="Hyperlink"/>
            <w:rFonts w:ascii="Book Antiqua" w:hAnsi="Book Antiqua"/>
            <w:i/>
            <w:szCs w:val="16"/>
          </w:rPr>
          <w:t>http://imagine.gsfc.nasa.gov/docs/features/news/grav_lens.html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 xml:space="preserve">Figure 6B: Gravitational lensing of quasars and galaxies. </w:t>
      </w:r>
      <w:hyperlink r:id="rId957" w:history="1">
        <w:r w:rsidRPr="00F87319">
          <w:rPr>
            <w:rStyle w:val="Hyperlink"/>
            <w:rFonts w:ascii="Book Antiqua" w:hAnsi="Book Antiqua"/>
            <w:i/>
            <w:szCs w:val="16"/>
          </w:rPr>
          <w:t>http://www.nasa.gov/multimedia/imagegallery/image_feature_575.html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7 Left: Dark matter ring around galaxy cluster Cl0024+17.</w:t>
      </w:r>
    </w:p>
    <w:p w:rsidR="006D41BD" w:rsidRPr="00F87319" w:rsidRDefault="007B3EBC" w:rsidP="006D41BD">
      <w:pPr>
        <w:pStyle w:val="NoSpacing"/>
        <w:rPr>
          <w:rFonts w:ascii="Book Antiqua" w:hAnsi="Book Antiqua"/>
          <w:i/>
          <w:sz w:val="16"/>
          <w:szCs w:val="16"/>
        </w:rPr>
      </w:pPr>
      <w:hyperlink r:id="rId958" w:history="1">
        <w:r w:rsidR="006D41BD" w:rsidRPr="00F87319">
          <w:rPr>
            <w:rStyle w:val="Hyperlink"/>
            <w:rFonts w:ascii="Book Antiqua" w:hAnsi="Book Antiqua"/>
            <w:i/>
            <w:szCs w:val="16"/>
          </w:rPr>
          <w:t>http://www.astronet.ru/db/xware/msg/1222015/cl0024dark_hst_big.jpg.html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lastRenderedPageBreak/>
        <w:t xml:space="preserve">Figure 7 Right: Lensing arcs around galaxy cluster Abell 2218.  </w:t>
      </w:r>
    </w:p>
    <w:p w:rsidR="006D41BD" w:rsidRPr="00F87319" w:rsidRDefault="007B3EBC" w:rsidP="006D41BD">
      <w:pPr>
        <w:pStyle w:val="NoSpacing"/>
        <w:rPr>
          <w:rFonts w:ascii="Book Antiqua" w:hAnsi="Book Antiqua"/>
          <w:i/>
          <w:sz w:val="16"/>
          <w:szCs w:val="16"/>
        </w:rPr>
      </w:pPr>
      <w:hyperlink r:id="rId959" w:history="1">
        <w:r w:rsidR="006D41BD" w:rsidRPr="00F87319">
          <w:rPr>
            <w:rStyle w:val="Hyperlink"/>
            <w:rFonts w:ascii="Book Antiqua" w:hAnsi="Book Antiqua"/>
            <w:i/>
            <w:szCs w:val="16"/>
          </w:rPr>
          <w:t>http://www.mpa-garching.mpg.de/HIGHLIGHT/2000/highlight0010_e.html</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8: A dark matter filament connecting galaxies Abell 222 &amp; 223.</w:t>
      </w:r>
    </w:p>
    <w:p w:rsidR="006D41BD" w:rsidRPr="00F87319" w:rsidRDefault="007B3EBC" w:rsidP="006D41BD">
      <w:pPr>
        <w:pStyle w:val="NoSpacing"/>
        <w:rPr>
          <w:rFonts w:ascii="Book Antiqua" w:hAnsi="Book Antiqua"/>
          <w:sz w:val="16"/>
          <w:szCs w:val="16"/>
        </w:rPr>
      </w:pPr>
      <w:hyperlink r:id="rId960" w:history="1">
        <w:r w:rsidR="006D41BD" w:rsidRPr="00F87319">
          <w:rPr>
            <w:rStyle w:val="Hyperlink"/>
            <w:rFonts w:ascii="Book Antiqua" w:hAnsi="Book Antiqua"/>
            <w:i/>
            <w:szCs w:val="16"/>
          </w:rPr>
          <w:t>http://arstechnica.com/science/2012/07/dark-matter-is-the-thread-connecting-galaxy-clusters/</w:t>
        </w:r>
      </w:hyperlink>
    </w:p>
    <w:p w:rsidR="006D41BD" w:rsidRPr="00F87319" w:rsidRDefault="006D41BD" w:rsidP="006D41BD">
      <w:pPr>
        <w:pStyle w:val="NoSpacing"/>
        <w:rPr>
          <w:rFonts w:ascii="Book Antiqua" w:hAnsi="Book Antiqua"/>
          <w:sz w:val="16"/>
          <w:szCs w:val="16"/>
        </w:rPr>
      </w:pPr>
      <w:r w:rsidRPr="00F87319">
        <w:rPr>
          <w:rFonts w:ascii="Book Antiqua" w:hAnsi="Book Antiqua"/>
          <w:sz w:val="16"/>
          <w:szCs w:val="16"/>
        </w:rPr>
        <w:t>Figure 9: Orbit of star S2 around Sagittarius A* at our galaxy’s center.</w:t>
      </w:r>
    </w:p>
    <w:p w:rsidR="006D41BD" w:rsidRPr="00F87319" w:rsidRDefault="007B3EBC" w:rsidP="006D41BD">
      <w:pPr>
        <w:pStyle w:val="NoSpacing"/>
        <w:rPr>
          <w:rFonts w:ascii="Book Antiqua" w:hAnsi="Book Antiqua"/>
          <w:i/>
          <w:sz w:val="16"/>
          <w:szCs w:val="16"/>
        </w:rPr>
      </w:pPr>
      <w:hyperlink r:id="rId961" w:history="1">
        <w:r w:rsidR="006D41BD" w:rsidRPr="00F87319">
          <w:rPr>
            <w:rStyle w:val="Hyperlink"/>
            <w:rFonts w:ascii="Book Antiqua" w:hAnsi="Book Antiqua"/>
            <w:i/>
            <w:szCs w:val="16"/>
          </w:rPr>
          <w:t>http://www.mpia.de/Public/menu_q2.php?Aktuelles/PR/2011/PR111125/PR_111125_en.htm</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10: A spherical plasmoid plus electron and ion beam as jets. </w:t>
      </w:r>
      <w:hyperlink r:id="rId962" w:history="1">
        <w:r w:rsidRPr="00F87319">
          <w:rPr>
            <w:rStyle w:val="Hyperlink"/>
            <w:rFonts w:ascii="Book Antiqua" w:hAnsi="Book Antiqua"/>
            <w:i/>
            <w:szCs w:val="16"/>
          </w:rPr>
          <w:t>http://www.angelfire.com/rnb/pp0/plasma3.html</w:t>
        </w:r>
      </w:hyperlink>
    </w:p>
    <w:p w:rsidR="006D41BD" w:rsidRPr="00F87319" w:rsidRDefault="006D41BD" w:rsidP="006D41BD">
      <w:pPr>
        <w:pStyle w:val="NoSpacing"/>
        <w:rPr>
          <w:rFonts w:ascii="Book Antiqua" w:hAnsi="Book Antiqua"/>
          <w:i/>
          <w:sz w:val="16"/>
          <w:szCs w:val="16"/>
        </w:rPr>
      </w:pPr>
      <w:r w:rsidRPr="00F87319">
        <w:rPr>
          <w:rFonts w:ascii="Book Antiqua" w:hAnsi="Book Antiqua"/>
          <w:sz w:val="16"/>
          <w:szCs w:val="16"/>
        </w:rPr>
        <w:t xml:space="preserve">Figure 11: A typical electric current circuit for a galaxy. </w:t>
      </w:r>
      <w:hyperlink r:id="rId963" w:history="1">
        <w:r w:rsidRPr="00F87319">
          <w:rPr>
            <w:rStyle w:val="Hyperlink"/>
            <w:rFonts w:ascii="Book Antiqua" w:hAnsi="Book Antiqua"/>
            <w:i/>
            <w:szCs w:val="16"/>
          </w:rPr>
          <w:t>http://www.thunderbolts.info/tpod/2007/arch07/070718seeingcircuits2.htm</w:t>
        </w:r>
      </w:hyperlink>
    </w:p>
    <w:p w:rsidR="006D41BD" w:rsidRPr="00F87319" w:rsidRDefault="006D41BD" w:rsidP="006D41BD">
      <w:pPr>
        <w:pStyle w:val="NoSpacing"/>
        <w:rPr>
          <w:rFonts w:ascii="Book Antiqua" w:hAnsi="Book Antiqua"/>
          <w:sz w:val="16"/>
          <w:szCs w:val="16"/>
        </w:rPr>
      </w:pPr>
    </w:p>
    <w:p w:rsidR="006D41BD" w:rsidRDefault="006D41BD" w:rsidP="006D41BD">
      <w:pPr>
        <w:pStyle w:val="NoSpacing"/>
        <w:jc w:val="center"/>
        <w:rPr>
          <w:rFonts w:ascii="Book Antiqua" w:hAnsi="Book Antiqua"/>
          <w:b/>
          <w:sz w:val="28"/>
          <w:szCs w:val="28"/>
        </w:rPr>
      </w:pPr>
      <w:r w:rsidRPr="00F87319">
        <w:rPr>
          <w:rFonts w:ascii="Book Antiqua" w:hAnsi="Book Antiqua"/>
          <w:b/>
          <w:sz w:val="28"/>
          <w:szCs w:val="28"/>
        </w:rPr>
        <w:t>*  *  *  *  *  *  *</w:t>
      </w:r>
    </w:p>
    <w:p w:rsidR="00685A78" w:rsidRDefault="00685A78">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796231" w:rsidRPr="003A1AA9" w:rsidRDefault="00796231" w:rsidP="00796231">
      <w:pPr>
        <w:pStyle w:val="NormalWeb"/>
        <w:jc w:val="center"/>
        <w:rPr>
          <w:rFonts w:ascii="Book Antiqua" w:hAnsi="Book Antiqua"/>
          <w:b/>
          <w:bCs/>
          <w:iCs/>
          <w:color w:val="000000"/>
        </w:rPr>
      </w:pPr>
      <w:r w:rsidRPr="003A1AA9">
        <w:rPr>
          <w:rFonts w:ascii="Book Antiqua" w:hAnsi="Book Antiqua"/>
          <w:b/>
          <w:bCs/>
          <w:iCs/>
          <w:color w:val="000000"/>
        </w:rPr>
        <w:lastRenderedPageBreak/>
        <w:t xml:space="preserve">Chapter 8: </w:t>
      </w:r>
      <w:r w:rsidRPr="00773AFD">
        <w:rPr>
          <w:rFonts w:ascii="Book Antiqua" w:hAnsi="Book Antiqua"/>
          <w:b/>
          <w:bCs/>
          <w:i/>
          <w:iCs/>
          <w:color w:val="000000"/>
        </w:rPr>
        <w:t>The Zero Point Energy and Radioactive Decay Processes.</w:t>
      </w:r>
    </w:p>
    <w:p w:rsidR="00796231" w:rsidRPr="003A1AA9" w:rsidRDefault="00796231" w:rsidP="00796231">
      <w:pPr>
        <w:pStyle w:val="NormalWeb"/>
        <w:numPr>
          <w:ilvl w:val="0"/>
          <w:numId w:val="36"/>
        </w:numPr>
        <w:spacing w:before="0" w:beforeAutospacing="0" w:after="240" w:afterAutospacing="0" w:line="210" w:lineRule="atLeast"/>
        <w:ind w:left="360"/>
        <w:rPr>
          <w:rFonts w:ascii="Book Antiqua" w:hAnsi="Book Antiqua"/>
          <w:b/>
          <w:bCs/>
          <w:iCs/>
          <w:color w:val="000000"/>
          <w:sz w:val="20"/>
          <w:szCs w:val="20"/>
          <w:u w:val="single"/>
        </w:rPr>
      </w:pPr>
      <w:r w:rsidRPr="003A1AA9">
        <w:rPr>
          <w:rFonts w:ascii="Book Antiqua" w:hAnsi="Book Antiqua"/>
          <w:b/>
          <w:sz w:val="20"/>
          <w:szCs w:val="20"/>
        </w:rPr>
        <w:t>Introduction.</w:t>
      </w: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In Chapter 4, a comparison was made between orbital clocks, which we use to determine our calendars and general time-keeping, and atomic clocks, which are used to give precise measurements and ages in science.  Orbital clocks run at a steady rate, depending, as they do, on the steady gravitational processes of the moon orbiting the earth and the earth orbiting the sun.  Atomic clocks, however, have been shown to vary, in particular with the strength of the Zero Point Energy.  One type of atomic clock that is used for dating is the radiometric clock. This clock is based on the rate of radioactive decay. In simple terms, radioactive decay occurs if there are too many particles in the nucleus. This excess may be of protons, neutrons, or both. In general, there are several kinds of radioactive decay to consider:  alpha (</w:t>
      </w:r>
      <m:oMath>
        <m:r>
          <w:rPr>
            <w:rFonts w:ascii="Cambria Math" w:hAnsi="Cambria Math"/>
            <w:sz w:val="20"/>
          </w:rPr>
          <m:t>α</m:t>
        </m:r>
      </m:oMath>
      <w:r w:rsidRPr="009B0474">
        <w:rPr>
          <w:rFonts w:ascii="Book Antiqua" w:hAnsi="Book Antiqua"/>
          <w:sz w:val="20"/>
        </w:rPr>
        <w:t>), beta (</w:t>
      </w:r>
      <m:oMath>
        <m:r>
          <w:rPr>
            <w:rFonts w:ascii="Cambria Math" w:hAnsi="Cambria Math"/>
            <w:sz w:val="20"/>
          </w:rPr>
          <m:t>β</m:t>
        </m:r>
      </m:oMath>
      <w:r w:rsidRPr="009B0474">
        <w:rPr>
          <w:rFonts w:ascii="Book Antiqua" w:hAnsi="Book Antiqua"/>
          <w:sz w:val="20"/>
        </w:rPr>
        <w:t>), and gamma (</w:t>
      </w:r>
      <m:oMath>
        <m:r>
          <w:rPr>
            <w:rFonts w:ascii="Cambria Math" w:hAnsi="Cambria Math"/>
            <w:sz w:val="20"/>
          </w:rPr>
          <m:t>γ</m:t>
        </m:r>
      </m:oMath>
      <w:r w:rsidRPr="009B0474">
        <w:rPr>
          <w:rFonts w:ascii="Book Antiqua" w:hAnsi="Book Antiqua"/>
          <w:sz w:val="20"/>
        </w:rPr>
        <w:t xml:space="preserve">) decay which is often associated with electron capture. </w:t>
      </w:r>
    </w:p>
    <w:p w:rsidR="00796231" w:rsidRPr="009B0474"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Alpha decay (</w:t>
      </w:r>
      <m:oMath>
        <m:r>
          <w:rPr>
            <w:rFonts w:ascii="Cambria Math" w:hAnsi="Cambria Math"/>
            <w:sz w:val="20"/>
          </w:rPr>
          <m:t>a</m:t>
        </m:r>
      </m:oMath>
      <w:r w:rsidRPr="009B0474">
        <w:rPr>
          <w:rFonts w:ascii="Book Antiqua" w:hAnsi="Book Antiqua"/>
          <w:sz w:val="20"/>
        </w:rPr>
        <w:t xml:space="preserve">), is when a combination of two protons and two neutrons together are ejected from the nucleus.  This combination of protons and neutrons, called an alpha particle, is essentially a helium nucleus.  This type of decay is associated with the larger atoms which have the larger nuclei.  The simple size of the nucleus in such atoms makes it unstable.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Beta (</w:t>
      </w:r>
      <m:oMath>
        <m:r>
          <w:rPr>
            <w:rFonts w:ascii="Cambria Math" w:hAnsi="Cambria Math"/>
            <w:sz w:val="20"/>
          </w:rPr>
          <m:t>β</m:t>
        </m:r>
      </m:oMath>
      <w:r w:rsidRPr="009B0474">
        <w:rPr>
          <w:rFonts w:ascii="Book Antiqua" w:hAnsi="Book Antiqua"/>
          <w:sz w:val="20"/>
        </w:rPr>
        <w:t>) decay is a form of radioactive decay which occurs when a Beta particle is emitted.  This particle may be one of two kinds. A Beta minus particle (</w:t>
      </w:r>
      <w:proofErr w:type="gramStart"/>
      <w:r w:rsidRPr="009B0474">
        <w:rPr>
          <w:rFonts w:ascii="Book Antiqua" w:hAnsi="Book Antiqua"/>
          <w:sz w:val="20"/>
        </w:rPr>
        <w:t xml:space="preserve">written </w:t>
      </w:r>
      <m:oMath>
        <w:proofErr w:type="gramEnd"/>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is an ordinary negative electron. In this case a neutron in the nucleus has ejected the electron and turned into a proton. This occurs because of an excess of neutrons in the nucleus. Alternately, a Beta plus particle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9B0474">
        <w:rPr>
          <w:rFonts w:ascii="Book Antiqua" w:hAnsi="Book Antiqua"/>
          <w:sz w:val="20"/>
        </w:rPr>
        <w:t>) may be emitted. This particle is a positive electron or positron. In this case, there was an excess of protons, one of which has emitted this positron and so become a neutron.</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A third type of radio decay is Electron Capture, which takes place when a proton in the nucleus captures an electron orbiting close by. This electron then combines with a proton in the nucleus to form a neutron. This can happen when there is an excess of protons or positive charges. As part of this process, a gamma (</w:t>
      </w:r>
      <m:oMath>
        <m:r>
          <w:rPr>
            <w:rFonts w:ascii="Cambria Math" w:hAnsi="Cambria Math"/>
            <w:sz w:val="20"/>
          </w:rPr>
          <m:t>γ</m:t>
        </m:r>
      </m:oMath>
      <w:r w:rsidRPr="009B0474">
        <w:rPr>
          <w:rFonts w:ascii="Book Antiqua" w:hAnsi="Book Antiqua"/>
          <w:sz w:val="20"/>
        </w:rPr>
        <w:t>) ray may often be emitted. When gamma rays are emitted from the nucleus it is called Gamma (</w:t>
      </w:r>
      <m:oMath>
        <m:r>
          <w:rPr>
            <w:rFonts w:ascii="Cambria Math" w:hAnsi="Cambria Math"/>
            <w:sz w:val="20"/>
          </w:rPr>
          <m:t>γ</m:t>
        </m:r>
      </m:oMath>
      <w:r w:rsidRPr="009B0474">
        <w:rPr>
          <w:rFonts w:ascii="Book Antiqua" w:hAnsi="Book Antiqua"/>
          <w:sz w:val="20"/>
        </w:rPr>
        <w:t xml:space="preserve">) decay.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When an element decays, in any one of the three ways, it becomes another element or another isotope of the same element.  The original element is referred to as the mother element and what it becomes is referred to as the daughter.  The daughter product that results from the decay of a given element is predictable. In some cases these daughter products are themselves radioactive and undergo further decay leaving a whole chain of decay products. For example, if the original radioactive nuclei were uranium 238, or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there are 14 decay steps before the series concludes with lead 206, or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which is stable. </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In addition, there is a time factor.  If we start with a lump of pure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rPr>
        <w:t xml:space="preserve"> having a mass of 10 kilograms, there will be a fixed (and predictable) amount of time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 xml:space="preserve">, when half of that mass will have changed into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At this point, half of the original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proofErr w:type="gramStart"/>
      <w:r w:rsidRPr="009B0474">
        <w:rPr>
          <w:rFonts w:ascii="Book Antiqua" w:hAnsi="Book Antiqua"/>
          <w:sz w:val="20"/>
        </w:rPr>
        <w:t>amount,</w:t>
      </w:r>
      <w:proofErr w:type="gramEnd"/>
      <w:r w:rsidRPr="009B0474">
        <w:rPr>
          <w:rFonts w:ascii="Book Antiqua" w:hAnsi="Book Antiqua"/>
          <w:sz w:val="20"/>
        </w:rPr>
        <w:t xml:space="preserve"> or 5 kilograms are left. The amount of time it took the first half to decay is referred to as its half life.  The 5 kilograms which are left will then require that same amount of time to be reduced to 2.5 kilograms, with the rest being the daughter element </w:t>
      </w:r>
      <w:proofErr w:type="gramStart"/>
      <w:r w:rsidRPr="009B0474">
        <w:rPr>
          <w:rFonts w:ascii="Book Antiqua" w:hAnsi="Book Antiqua"/>
          <w:sz w:val="20"/>
        </w:rPr>
        <w:t xml:space="preserve">of </w:t>
      </w:r>
      <m:oMath>
        <w:proofErr w:type="gramEnd"/>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No matter how small the amount of mother element, it will take that same amount of time for half of it to become its daughter element.  This situation applies to all radioactive decay forms. Each radioactive element has its own specific half-life.</w:t>
      </w:r>
    </w:p>
    <w:p w:rsidR="00796231" w:rsidRPr="009B0474" w:rsidRDefault="00796231" w:rsidP="00796231">
      <w:pPr>
        <w:pStyle w:val="NoSpacing"/>
        <w:ind w:firstLine="36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9B0474">
        <w:rPr>
          <w:rFonts w:ascii="Book Antiqua" w:hAnsi="Book Antiqua"/>
          <w:sz w:val="20"/>
        </w:rPr>
        <w:t xml:space="preserve"> So if a geologist finds a rock with some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9B0474">
        <w:rPr>
          <w:rFonts w:ascii="Book Antiqua" w:hAnsi="Book Antiqua"/>
          <w:sz w:val="20"/>
          <w:vertAlign w:val="superscript"/>
        </w:rPr>
        <w:t xml:space="preserve"> </w:t>
      </w:r>
      <w:r w:rsidRPr="009B0474">
        <w:rPr>
          <w:rFonts w:ascii="Book Antiqua" w:hAnsi="Book Antiqua"/>
          <w:sz w:val="20"/>
        </w:rPr>
        <w:t xml:space="preserve"> and some </w:t>
      </w:r>
      <m:oMath>
        <m:sSup>
          <m:sSupPr>
            <m:ctrlPr>
              <w:rPr>
                <w:rFonts w:ascii="Cambria Math" w:hAnsi="Book Antiqua"/>
                <w:i/>
                <w:sz w:val="20"/>
              </w:rPr>
            </m:ctrlPr>
          </m:sSupPr>
          <m:e>
            <m:r>
              <w:rPr>
                <w:rFonts w:ascii="Cambria Math" w:hAnsi="Cambria Math"/>
                <w:sz w:val="20"/>
              </w:rPr>
              <m:t>Pb</m:t>
            </m:r>
          </m:e>
          <m:sup>
            <m:r>
              <w:rPr>
                <w:rFonts w:ascii="Cambria Math" w:hAnsi="Book Antiqua"/>
                <w:sz w:val="20"/>
              </w:rPr>
              <m:t>206</m:t>
            </m:r>
          </m:sup>
        </m:sSup>
      </m:oMath>
      <w:r w:rsidRPr="009B0474">
        <w:rPr>
          <w:rFonts w:ascii="Book Antiqua" w:hAnsi="Book Antiqua"/>
          <w:sz w:val="20"/>
        </w:rPr>
        <w:t xml:space="preserve"> in it, he will send it to a lab to be analyzed.  If the sample has all the appropriate quantities of the daughter products from the decay in their correct abundances, along with both mother and daughter elements, the age can then be determined using the equations which have been formulated to account for the half-life of the mother element.  In a similar way, radiometric dating can be done with all other radioactive elements and their daughters, each of which has its own unique half-life</w:t>
      </w:r>
      <w:proofErr w:type="gramStart"/>
      <w:r w:rsidRPr="009B0474">
        <w:rPr>
          <w:rFonts w:ascii="Book Antiqua" w:hAnsi="Book Antiqua"/>
          <w:sz w:val="20"/>
        </w:rPr>
        <w:t xml:space="preserve">, </w:t>
      </w:r>
      <m:oMath>
        <w:proofErr w:type="gramEnd"/>
        <m:r>
          <w:rPr>
            <w:rFonts w:ascii="Cambria Math" w:hAnsi="Cambria Math"/>
            <w:sz w:val="20"/>
          </w:rPr>
          <m:t>τ</m:t>
        </m:r>
      </m:oMath>
      <w:r w:rsidRPr="009B0474">
        <w:rPr>
          <w:rFonts w:ascii="Book Antiqua" w:hAnsi="Book Antiqua"/>
          <w:sz w:val="20"/>
        </w:rPr>
        <w:t>.</w:t>
      </w:r>
    </w:p>
    <w:p w:rsidR="00796231" w:rsidRPr="009B0474" w:rsidRDefault="00796231" w:rsidP="00796231">
      <w:pPr>
        <w:pStyle w:val="NoSpacing"/>
        <w:ind w:firstLine="360"/>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 xml:space="preserve">The current presupposition is that decay rates for elements have remained constant through time and so the decay rate is called a decay constant, and is represented </w:t>
      </w:r>
      <w:proofErr w:type="gramStart"/>
      <w:r w:rsidRPr="009B0474">
        <w:rPr>
          <w:rFonts w:ascii="Book Antiqua" w:hAnsi="Book Antiqua"/>
          <w:sz w:val="20"/>
        </w:rPr>
        <w:t xml:space="preserve">by </w:t>
      </w:r>
      <m:oMath>
        <w:proofErr w:type="gramEnd"/>
        <m:sSup>
          <m:sSupPr>
            <m:ctrlPr>
              <w:rPr>
                <w:rFonts w:ascii="Cambria Math" w:hAnsi="Book Antiqua"/>
                <w:sz w:val="20"/>
              </w:rPr>
            </m:ctrlPr>
          </m:sSupPr>
          <m:e>
            <m:r>
              <w:rPr>
                <w:rFonts w:ascii="Cambria Math" w:hAnsi="Cambria Math"/>
                <w:sz w:val="20"/>
              </w:rPr>
              <m:t>λ</m:t>
            </m:r>
          </m:e>
          <m:sup>
            <m:r>
              <m:rPr>
                <m:sty m:val="p"/>
              </m:rPr>
              <w:rPr>
                <w:rFonts w:ascii="Cambria Math" w:hAnsi="Cambria Math"/>
                <w:sz w:val="20"/>
              </w:rPr>
              <m:t>*</m:t>
            </m:r>
          </m:sup>
        </m:sSup>
      </m:oMath>
      <w:r w:rsidRPr="009B0474">
        <w:rPr>
          <w:rFonts w:ascii="Book Antiqua" w:hAnsi="Book Antiqua"/>
          <w:sz w:val="20"/>
        </w:rPr>
        <w:t>.  However, if the Zero Point Energy has changed through time, then the rate of many atomic processes have also changed.  At this point it must be determined if this half-life is indeed dependent upon the strength of the ZPE (</w:t>
      </w:r>
      <m:oMath>
        <m:r>
          <w:rPr>
            <w:rFonts w:ascii="Cambria Math" w:hAnsi="Cambria Math"/>
            <w:sz w:val="20"/>
          </w:rPr>
          <m:t>U</m:t>
        </m:r>
      </m:oMath>
      <w:r w:rsidRPr="009B0474">
        <w:rPr>
          <w:rFonts w:ascii="Book Antiqua" w:hAnsi="Book Antiqua"/>
          <w:sz w:val="20"/>
        </w:rPr>
        <w:t xml:space="preserve">). If it is, then, in line with other atomic clocks, </w:t>
      </w:r>
      <m:oMath>
        <m:r>
          <w:rPr>
            <w:rFonts w:ascii="Cambria Math" w:hAnsi="Cambria Math"/>
            <w:sz w:val="20"/>
          </w:rPr>
          <m:t>τ</m:t>
        </m:r>
      </m:oMath>
      <w:r w:rsidRPr="009B0474">
        <w:rPr>
          <w:rFonts w:ascii="Book Antiqua" w:hAnsi="Book Antiqua"/>
          <w:sz w:val="20"/>
        </w:rPr>
        <w:t xml:space="preserve"> will be proportional </w:t>
      </w:r>
      <w:proofErr w:type="gramStart"/>
      <w:r w:rsidRPr="009B0474">
        <w:rPr>
          <w:rFonts w:ascii="Book Antiqua" w:hAnsi="Book Antiqua"/>
          <w:sz w:val="20"/>
        </w:rPr>
        <w:t xml:space="preserve">to </w:t>
      </w:r>
      <m:oMath>
        <w:proofErr w:type="gramEnd"/>
        <m:r>
          <w:rPr>
            <w:rFonts w:ascii="Cambria Math" w:hAnsi="Cambria Math"/>
            <w:sz w:val="20"/>
          </w:rPr>
          <m:t>U</m:t>
        </m:r>
      </m:oMath>
      <w:r w:rsidRPr="009B0474">
        <w:rPr>
          <w:rFonts w:ascii="Book Antiqua" w:hAnsi="Book Antiqua"/>
          <w:sz w:val="20"/>
        </w:rPr>
        <w:t>. Thus, when the ZPE strength is small, so, too is the half-life which means the clock is ticking more rapidly. If the ZPE strength increases, so too does the half-life, which means the clock is ticking more slowly.</w:t>
      </w:r>
    </w:p>
    <w:p w:rsidR="00796231" w:rsidRPr="003A1AA9" w:rsidRDefault="00796231" w:rsidP="00796231">
      <w:pPr>
        <w:pStyle w:val="NormalWeb"/>
        <w:jc w:val="both"/>
        <w:rPr>
          <w:rFonts w:ascii="Book Antiqua" w:hAnsi="Book Antiqua"/>
          <w:b/>
          <w:sz w:val="20"/>
          <w:szCs w:val="20"/>
        </w:rPr>
      </w:pPr>
      <w:r w:rsidRPr="003A1AA9">
        <w:rPr>
          <w:rFonts w:ascii="Book Antiqua" w:hAnsi="Book Antiqua"/>
          <w:b/>
          <w:sz w:val="20"/>
          <w:szCs w:val="20"/>
        </w:rPr>
        <w:t>2.   The Nuclear “Potential Well”</w:t>
      </w:r>
    </w:p>
    <w:p w:rsidR="00796231" w:rsidRPr="003A1AA9" w:rsidRDefault="00796231" w:rsidP="00796231">
      <w:pPr>
        <w:pStyle w:val="Default"/>
        <w:ind w:firstLine="720"/>
        <w:jc w:val="both"/>
        <w:rPr>
          <w:rFonts w:ascii="Book Antiqua" w:hAnsi="Book Antiqua"/>
          <w:sz w:val="20"/>
          <w:szCs w:val="20"/>
        </w:rPr>
      </w:pPr>
      <w:r w:rsidRPr="003A1AA9">
        <w:rPr>
          <w:rFonts w:ascii="Book Antiqua" w:hAnsi="Book Antiqua"/>
          <w:sz w:val="20"/>
          <w:szCs w:val="20"/>
        </w:rPr>
        <w:t>To understand what is going on in the nucleus, we can use a picture given by Figure 1 which may help.</w:t>
      </w:r>
    </w:p>
    <w:p w:rsidR="00796231" w:rsidRPr="003A1AA9" w:rsidRDefault="00796231" w:rsidP="00796231">
      <w:pPr>
        <w:pStyle w:val="Default"/>
        <w:jc w:val="both"/>
        <w:rPr>
          <w:rFonts w:ascii="Book Antiqua" w:hAnsi="Book Antiqua"/>
          <w:sz w:val="20"/>
          <w:szCs w:val="20"/>
        </w:rPr>
      </w:pPr>
    </w:p>
    <w:p w:rsidR="00796231" w:rsidRPr="003A1AA9" w:rsidRDefault="00796231" w:rsidP="00796231">
      <w:pPr>
        <w:pStyle w:val="Default"/>
        <w:ind w:firstLine="720"/>
        <w:jc w:val="center"/>
        <w:rPr>
          <w:rFonts w:ascii="Book Antiqua" w:hAnsi="Book Antiqua"/>
          <w:sz w:val="20"/>
          <w:szCs w:val="20"/>
        </w:rPr>
      </w:pPr>
      <w:r w:rsidRPr="003A1AA9">
        <w:rPr>
          <w:rFonts w:ascii="Book Antiqua" w:hAnsi="Book Antiqua"/>
          <w:noProof/>
          <w:sz w:val="20"/>
          <w:szCs w:val="20"/>
        </w:rPr>
        <w:drawing>
          <wp:inline distT="0" distB="0" distL="0" distR="0">
            <wp:extent cx="5729284" cy="3905250"/>
            <wp:effectExtent l="19050" t="0" r="4766" b="0"/>
            <wp:docPr id="28" name="il_fi" descr="http://electron6.phys.utk.edu/phys250/modules/module%205/images/npleve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lectron6.phys.utk.edu/phys250/modules/module%205/images/nplevels.gif"/>
                    <pic:cNvPicPr>
                      <a:picLocks noChangeAspect="1" noChangeArrowheads="1"/>
                    </pic:cNvPicPr>
                  </pic:nvPicPr>
                  <pic:blipFill>
                    <a:blip r:embed="rId964" cstate="print"/>
                    <a:srcRect/>
                    <a:stretch>
                      <a:fillRect/>
                    </a:stretch>
                  </pic:blipFill>
                  <pic:spPr bwMode="auto">
                    <a:xfrm>
                      <a:off x="0" y="0"/>
                      <a:ext cx="5748944" cy="3918651"/>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sz w:val="18"/>
          <w:szCs w:val="18"/>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1:</w:t>
      </w:r>
      <w:r w:rsidRPr="005830E6">
        <w:rPr>
          <w:rFonts w:ascii="Book Antiqua" w:hAnsi="Book Antiqua"/>
          <w:i/>
          <w:sz w:val="18"/>
          <w:szCs w:val="18"/>
        </w:rPr>
        <w:t xml:space="preserve"> Illustrating the concept of the potential energy within a nucleus as being like a well. Within this well are energy levels or orbitals occupied by neutrons (n) and protons (p). The diagram on the right takes account of the effect of electrostatic charges on the position of the orbitals.</w:t>
      </w: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these two diagrams we have a picture of the potential energy levels or orbitals inside the nucleus of an atom with the arrangement being shown as a potential “well”. On the left hand half of each diagram are the neutron pairs</w:t>
      </w:r>
      <w:proofErr w:type="gramStart"/>
      <w:r w:rsidRPr="00515ED7">
        <w:rPr>
          <w:rFonts w:ascii="Book Antiqua" w:hAnsi="Book Antiqua"/>
          <w:sz w:val="20"/>
        </w:rPr>
        <w:t xml:space="preserve">, </w:t>
      </w:r>
      <m:oMath>
        <w:proofErr w:type="gramEnd"/>
        <m:r>
          <w:rPr>
            <w:rFonts w:ascii="Cambria Math" w:hAnsi="Cambria Math"/>
            <w:sz w:val="20"/>
          </w:rPr>
          <m:t>n</m:t>
        </m:r>
      </m:oMath>
      <w:r w:rsidRPr="00515ED7">
        <w:rPr>
          <w:rFonts w:ascii="Book Antiqua" w:hAnsi="Book Antiqua"/>
          <w:sz w:val="20"/>
        </w:rPr>
        <w:t xml:space="preserve">; on the right hand half are the proton pairs, </w:t>
      </w:r>
      <m:oMath>
        <m:r>
          <w:rPr>
            <w:rFonts w:ascii="Cambria Math" w:hAnsi="Cambria Math"/>
            <w:sz w:val="20"/>
          </w:rPr>
          <m:t>p</m:t>
        </m:r>
      </m:oMath>
      <w:r w:rsidRPr="00515ED7">
        <w:rPr>
          <w:rFonts w:ascii="Book Antiqua" w:hAnsi="Book Antiqua"/>
          <w:sz w:val="20"/>
        </w:rPr>
        <w:t xml:space="preserve">. </w:t>
      </w:r>
      <w:proofErr w:type="gramStart"/>
      <w:r w:rsidRPr="00515ED7">
        <w:rPr>
          <w:rFonts w:ascii="Book Antiqua" w:hAnsi="Book Antiqua"/>
          <w:sz w:val="20"/>
        </w:rPr>
        <w:t>Notice that each pair has opposite spins represented by the arrow up and arrow down.</w:t>
      </w:r>
      <w:proofErr w:type="gramEnd"/>
      <w:r w:rsidRPr="00515ED7">
        <w:rPr>
          <w:rFonts w:ascii="Book Antiqua" w:hAnsi="Book Antiqua"/>
          <w:sz w:val="20"/>
        </w:rPr>
        <w:t xml:space="preserve">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This opposite spin is important.  This can be understood by thinking of a proton as a spinning sphere with the axis of spin different from the axis of symmetry for its positive charge. The axis spin then means that the axis of charge symmetry is effectively tracing out a circle so that it is the same as a charge in motion – which is effectively an electric current. Such currents inevitably create a magnetic field. If the spin of the protons are opposite to each other, the two </w:t>
      </w:r>
      <w:r w:rsidRPr="00515ED7">
        <w:rPr>
          <w:rFonts w:ascii="Book Antiqua" w:hAnsi="Book Antiqua"/>
          <w:sz w:val="20"/>
        </w:rPr>
        <w:lastRenderedPageBreak/>
        <w:t xml:space="preserve">magnetic fields act in such a way that there is a magnetic attraction between them. In this way, two protons of opposite spin will be attracted to each other rather than forcing each other apart. Similarly, the same effect exists for neutrons (which might be considered to be made up of a proton and an electron bound together).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Because of these considerations, the left hand diagram shows that each energy level, or orbital, within the nucleus contains a pair of protons and a pair of neutrons. This diagram does not consider the effects of the charges, or Coulomb forces, on the orbital energy level.  But when this is taken into account, the situation becomes rather like the right hand diagram. As can be seen in both diagrams, the energy level at the top of the “well” contains a pair of protons and a pair of neutrons. </w:t>
      </w:r>
    </w:p>
    <w:p w:rsidR="00796231" w:rsidRPr="003A1AA9" w:rsidRDefault="00796231" w:rsidP="00796231">
      <w:pPr>
        <w:pStyle w:val="Default"/>
        <w:ind w:firstLine="720"/>
        <w:jc w:val="both"/>
        <w:rPr>
          <w:rFonts w:ascii="Book Antiqua" w:hAnsi="Book Antiqua"/>
          <w:sz w:val="20"/>
          <w:szCs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Thus the most stable energy configuration is to either have one proton and one neutron in the uppermost orbital, or to have a proton pair and a neutron pair there. The condition for equal numbers of protons and neutrons only applies to the uppermost orbital rather than to the whole nucleus. However, in atoms with low atomic numbers, this essentially amounts to the same thing.</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NormalWeb"/>
        <w:spacing w:before="0" w:beforeAutospacing="0" w:after="240" w:afterAutospacing="0" w:line="210" w:lineRule="atLeast"/>
        <w:jc w:val="both"/>
        <w:rPr>
          <w:rFonts w:ascii="Book Antiqua" w:hAnsi="Book Antiqua"/>
          <w:b/>
          <w:sz w:val="20"/>
          <w:szCs w:val="20"/>
        </w:rPr>
      </w:pPr>
      <w:r w:rsidRPr="003A1AA9">
        <w:rPr>
          <w:rFonts w:ascii="Book Antiqua" w:hAnsi="Book Antiqua"/>
          <w:b/>
          <w:sz w:val="20"/>
          <w:szCs w:val="20"/>
        </w:rPr>
        <w:t>3.  Alpha Decay Processes</w:t>
      </w:r>
    </w:p>
    <w:p w:rsidR="00796231" w:rsidRPr="003A1AA9" w:rsidRDefault="00796231" w:rsidP="00796231">
      <w:pPr>
        <w:pStyle w:val="NormalWeb"/>
        <w:jc w:val="center"/>
        <w:rPr>
          <w:rFonts w:ascii="Book Antiqua" w:hAnsi="Book Antiqua"/>
          <w:b/>
          <w:bCs/>
          <w:iCs/>
          <w:color w:val="000000"/>
          <w:sz w:val="20"/>
          <w:szCs w:val="20"/>
          <w:u w:val="single"/>
        </w:rPr>
      </w:pPr>
      <w:r w:rsidRPr="003A1AA9">
        <w:rPr>
          <w:rFonts w:ascii="Book Antiqua" w:hAnsi="Book Antiqua"/>
          <w:noProof/>
          <w:sz w:val="20"/>
          <w:szCs w:val="20"/>
        </w:rPr>
        <w:drawing>
          <wp:inline distT="0" distB="0" distL="0" distR="0">
            <wp:extent cx="4306178" cy="2019300"/>
            <wp:effectExtent l="19050" t="0" r="0" b="0"/>
            <wp:docPr id="175" name="il_fi" descr="http://kgortney.pbworks.com/f/1287766628/alpha_dec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kgortney.pbworks.com/f/1287766628/alpha_decay.jpg"/>
                    <pic:cNvPicPr>
                      <a:picLocks noChangeAspect="1" noChangeArrowheads="1"/>
                    </pic:cNvPicPr>
                  </pic:nvPicPr>
                  <pic:blipFill>
                    <a:blip r:embed="rId965" cstate="print"/>
                    <a:srcRect/>
                    <a:stretch>
                      <a:fillRect/>
                    </a:stretch>
                  </pic:blipFill>
                  <pic:spPr bwMode="auto">
                    <a:xfrm>
                      <a:off x="0" y="0"/>
                      <a:ext cx="4321206" cy="2026347"/>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2:</w:t>
      </w:r>
      <w:r w:rsidRPr="005830E6">
        <w:rPr>
          <w:rFonts w:ascii="Book Antiqua" w:hAnsi="Book Antiqua"/>
          <w:i/>
          <w:sz w:val="18"/>
          <w:szCs w:val="18"/>
        </w:rPr>
        <w:t xml:space="preserve"> A representation of the Alpha decay process whereby an alpha particle is expelled from a large nucleus that has too many particles. An alpha particle is a Helium nucleus made up of two protons (red) and two neutrons.</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As mentioned, radioactive decay occurs because there is an excess of one or another of the particles in the nucleus. Alpha decay occurs because there is an excess of both protons and neutrons. This condition applies in large nuclei. This t</w:t>
      </w:r>
      <w:r>
        <w:rPr>
          <w:rFonts w:ascii="Book Antiqua" w:hAnsi="Book Antiqua"/>
          <w:sz w:val="20"/>
        </w:rPr>
        <w:tab/>
      </w:r>
      <w:r w:rsidRPr="009B0474">
        <w:rPr>
          <w:rFonts w:ascii="Book Antiqua" w:hAnsi="Book Antiqua"/>
          <w:sz w:val="20"/>
        </w:rPr>
        <w:t xml:space="preserve">ype of nucleus can reach a more stable configuration if some excess protons and neutrons are expelled. In this case the repulsive forces eject an alpha particle (two protons and two neutrons) from the nucleus, as illustrated in Figure 2.  A gamma ray may also be given off at the same time.  </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The half-life</w:t>
      </w:r>
      <w:proofErr w:type="gramStart"/>
      <w:r w:rsidRPr="003A1AA9">
        <w:rPr>
          <w:rFonts w:ascii="Book Antiqua" w:hAnsi="Book Antiqua"/>
          <w:sz w:val="20"/>
          <w:szCs w:val="20"/>
        </w:rPr>
        <w:t>,</w:t>
      </w:r>
      <w:r w:rsidRPr="003A1AA9">
        <w:rPr>
          <w:rFonts w:ascii="Book Antiqua" w:hAnsi="Book Antiqua"/>
          <w:i/>
          <w:sz w:val="20"/>
          <w:szCs w:val="20"/>
        </w:rPr>
        <w:t xml:space="preserve"> </w:t>
      </w:r>
      <m:oMath>
        <w:proofErr w:type="gramEnd"/>
        <m:r>
          <w:rPr>
            <w:rFonts w:ascii="Cambria Math" w:hAnsi="Cambria Math"/>
            <w:sz w:val="20"/>
            <w:szCs w:val="20"/>
          </w:rPr>
          <m:t>τ</m:t>
        </m:r>
      </m:oMath>
      <w:r w:rsidRPr="003A1AA9">
        <w:rPr>
          <w:rFonts w:ascii="Book Antiqua" w:hAnsi="Book Antiqua"/>
          <w:i/>
          <w:sz w:val="20"/>
          <w:szCs w:val="20"/>
        </w:rPr>
        <w:t>,</w:t>
      </w:r>
      <w:r w:rsidRPr="003A1AA9">
        <w:rPr>
          <w:rFonts w:ascii="Book Antiqua" w:hAnsi="Book Antiqua"/>
          <w:sz w:val="20"/>
          <w:szCs w:val="20"/>
        </w:rPr>
        <w:t xml:space="preserve"> and the decay constant, </w:t>
      </w: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m:t>
        </m:r>
      </m:oMath>
      <w:r w:rsidRPr="003A1AA9">
        <w:rPr>
          <w:rFonts w:ascii="Book Antiqua" w:hAnsi="Book Antiqua"/>
          <w:sz w:val="20"/>
          <w:szCs w:val="20"/>
        </w:rPr>
        <w:t xml:space="preserve"> are related as follows </w:t>
      </w:r>
      <w:hyperlink r:id="rId966" w:anchor="4a176" w:history="1">
        <w:r w:rsidRPr="003A1AA9">
          <w:rPr>
            <w:rStyle w:val="Hyperlink"/>
            <w:rFonts w:ascii="Book Antiqua" w:hAnsi="Book Antiqua"/>
            <w:sz w:val="20"/>
            <w:szCs w:val="20"/>
          </w:rPr>
          <w:t>[1]</w:t>
        </w:r>
      </w:hyperlink>
      <w:r w:rsidRPr="003A1AA9">
        <w:rPr>
          <w:rFonts w:ascii="Book Antiqua" w:hAnsi="Book Antiqua"/>
          <w:sz w:val="20"/>
          <w:szCs w:val="20"/>
        </w:rPr>
        <w:t>:</w:t>
      </w:r>
    </w:p>
    <w:p w:rsidR="00796231" w:rsidRPr="003A1AA9" w:rsidRDefault="00796231" w:rsidP="00796231">
      <w:pPr>
        <w:pStyle w:val="NormalWeb"/>
        <w:jc w:val="right"/>
        <w:rPr>
          <w:rFonts w:ascii="Book Antiqua" w:hAnsi="Book Antiqua"/>
          <w:sz w:val="20"/>
          <w:szCs w:val="20"/>
        </w:rPr>
      </w:pPr>
      <m:oMath>
        <m:r>
          <w:rPr>
            <w:rStyle w:val="style11"/>
            <w:rFonts w:ascii="Cambria Math" w:hAnsi="Cambria Math"/>
            <w:sz w:val="20"/>
            <w:szCs w:val="20"/>
          </w:rPr>
          <m:t>τ</m:t>
        </m:r>
        <m:r>
          <w:rPr>
            <w:rStyle w:val="style11"/>
            <w:rFonts w:ascii="Cambria Math" w:hAnsi="Book Antiqua"/>
            <w:sz w:val="20"/>
            <w:szCs w:val="20"/>
          </w:rPr>
          <m:t xml:space="preserve"> = </m:t>
        </m:r>
        <m:r>
          <w:rPr>
            <w:rStyle w:val="style11"/>
            <w:rFonts w:ascii="Cambria Math" w:hAnsi="Cambria Math"/>
            <w:sz w:val="20"/>
            <w:szCs w:val="20"/>
          </w:rPr>
          <m:t>ln</m:t>
        </m:r>
        <m:r>
          <w:rPr>
            <w:rStyle w:val="style11"/>
            <w:rFonts w:ascii="Cambria Math" w:hAnsi="Book Antiqua"/>
            <w:sz w:val="20"/>
            <w:szCs w:val="20"/>
          </w:rPr>
          <m:t xml:space="preserve"> 2/</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Book Antiqua" w:hAnsi="Cambria Math"/>
                <w:sz w:val="20"/>
                <w:szCs w:val="20"/>
              </w:rPr>
              <m:t>*</m:t>
            </m:r>
          </m:sup>
        </m:sSup>
        <m:r>
          <w:rPr>
            <w:rStyle w:val="style11"/>
            <w:rFonts w:ascii="Cambria Math" w:hAnsi="Book Antiqua"/>
            <w:sz w:val="20"/>
            <w:szCs w:val="20"/>
          </w:rPr>
          <m:t xml:space="preserve"> = 0.69315/</m:t>
        </m:r>
        <m:sSup>
          <m:sSupPr>
            <m:ctrlPr>
              <w:rPr>
                <w:rStyle w:val="style11"/>
                <w:rFonts w:ascii="Cambria Math" w:hAnsi="Book Antiqua"/>
                <w:i/>
                <w:sz w:val="20"/>
                <w:szCs w:val="20"/>
              </w:rPr>
            </m:ctrlPr>
          </m:sSupPr>
          <m:e>
            <m:r>
              <w:rPr>
                <w:rStyle w:val="style11"/>
                <w:rFonts w:ascii="Cambria Math" w:hAnsi="Cambria Math"/>
                <w:sz w:val="20"/>
                <w:szCs w:val="20"/>
              </w:rPr>
              <m:t>λ</m:t>
            </m:r>
          </m:e>
          <m:sup>
            <m:r>
              <w:rPr>
                <w:rStyle w:val="style11"/>
                <w:rFonts w:ascii="Cambria Math" w:hAnsi="Cambria Math"/>
                <w:sz w:val="20"/>
                <w:szCs w:val="20"/>
              </w:rPr>
              <m:t>*</m:t>
            </m:r>
          </m:sup>
        </m:sSup>
        <m:r>
          <w:rPr>
            <w:rStyle w:val="style11"/>
            <w:rFonts w:ascii="Cambria Math" w:hAnsi="Book Antiqua"/>
            <w:sz w:val="20"/>
            <w:szCs w:val="20"/>
          </w:rPr>
          <m:t xml:space="preserve"> </m:t>
        </m:r>
      </m:oMath>
      <w:r w:rsidRPr="003A1AA9">
        <w:rPr>
          <w:rStyle w:val="style11"/>
          <w:rFonts w:ascii="Book Antiqua" w:hAnsi="Book Antiqua"/>
          <w:i/>
          <w:sz w:val="20"/>
          <w:szCs w:val="20"/>
        </w:rPr>
        <w:t xml:space="preserve"> .</w:t>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sz w:val="20"/>
          <w:szCs w:val="20"/>
        </w:rPr>
        <w:tab/>
      </w:r>
      <w:r w:rsidRPr="003A1AA9">
        <w:rPr>
          <w:rStyle w:val="style11"/>
          <w:rFonts w:ascii="Book Antiqua" w:hAnsi="Book Antiqua"/>
          <w:i/>
          <w:sz w:val="20"/>
          <w:szCs w:val="20"/>
        </w:rPr>
        <w:t xml:space="preserve"> </w:t>
      </w:r>
      <w:r w:rsidRPr="003A1AA9">
        <w:rPr>
          <w:rFonts w:ascii="Book Antiqua" w:hAnsi="Book Antiqua"/>
          <w:i/>
          <w:sz w:val="20"/>
          <w:szCs w:val="20"/>
        </w:rPr>
        <w:t>(1)</w:t>
      </w: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 xml:space="preserve">In the case of Alpha decay, the frequency of escape of alpha particles from the nucleus per second is equal to the decay constant,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w:t>
      </w:r>
      <w:hyperlink r:id="rId967" w:anchor="4a177" w:history="1">
        <w:r w:rsidRPr="009B0474">
          <w:rPr>
            <w:rStyle w:val="Hyperlink"/>
            <w:rFonts w:ascii="Book Antiqua" w:hAnsi="Book Antiqua"/>
            <w:sz w:val="20"/>
          </w:rPr>
          <w:t>[2]</w:t>
        </w:r>
      </w:hyperlink>
      <w:r w:rsidRPr="009B0474">
        <w:rPr>
          <w:rFonts w:ascii="Book Antiqua" w:hAnsi="Book Antiqua"/>
          <w:sz w:val="20"/>
        </w:rPr>
        <w:t>. A greater escape frequency of alpha particles from the nucleus results in a higher decay constant</w:t>
      </w:r>
      <w:proofErr w:type="gramStart"/>
      <w:r w:rsidRPr="009B0474">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and a therefore a shorter half-life</w:t>
      </w:r>
      <m:oMath>
        <m:r>
          <w:rPr>
            <w:rFonts w:ascii="Cambria Math" w:hAnsi="Book Antiqua"/>
            <w:sz w:val="20"/>
          </w:rPr>
          <m:t xml:space="preserve">, </m:t>
        </m:r>
        <m:r>
          <w:rPr>
            <w:rFonts w:ascii="Cambria Math" w:hAnsi="Cambria Math"/>
            <w:sz w:val="20"/>
          </w:rPr>
          <m:t>τ</m:t>
        </m:r>
      </m:oMath>
      <w:r w:rsidRPr="009B0474">
        <w:rPr>
          <w:rFonts w:ascii="Book Antiqua" w:hAnsi="Book Antiqua"/>
          <w:sz w:val="20"/>
        </w:rPr>
        <w:t xml:space="preserve">, in inverse proportion.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lastRenderedPageBreak/>
        <w:t>The subatomic particles in their potential well orbitals may be considered to be moving back and forth with a velocity</w:t>
      </w:r>
      <w:proofErr w:type="gramStart"/>
      <w:r w:rsidRPr="009B0474">
        <w:rPr>
          <w:rFonts w:ascii="Book Antiqua" w:hAnsi="Book Antiqua"/>
          <w:sz w:val="20"/>
        </w:rPr>
        <w:t xml:space="preserve">, </w:t>
      </w:r>
      <m:oMath>
        <w:proofErr w:type="gramEnd"/>
        <m:r>
          <w:rPr>
            <w:rFonts w:ascii="Cambria Math" w:hAnsi="Cambria Math"/>
            <w:sz w:val="20"/>
          </w:rPr>
          <m:t>v</m:t>
        </m:r>
      </m:oMath>
      <w:r w:rsidRPr="009B0474">
        <w:rPr>
          <w:rFonts w:ascii="Book Antiqua" w:hAnsi="Book Antiqua"/>
          <w:sz w:val="20"/>
        </w:rPr>
        <w:t xml:space="preserve">. As they move to and fro, they hit the “wall” of the potential well. When this happens, there is a finite probability that the particle will escape. Thus, statistically, after a given number of hits on the wall, the particle is likely to escape from the nucleus. </w:t>
      </w:r>
    </w:p>
    <w:p w:rsidR="00796231" w:rsidRDefault="00796231" w:rsidP="00796231">
      <w:pPr>
        <w:pStyle w:val="NoSpacing"/>
        <w:jc w:val="both"/>
        <w:rPr>
          <w:rFonts w:ascii="Book Antiqua" w:hAnsi="Book Antiqua"/>
          <w:sz w:val="20"/>
        </w:rPr>
      </w:pPr>
    </w:p>
    <w:p w:rsidR="00796231" w:rsidRPr="009B0474" w:rsidRDefault="00796231" w:rsidP="00796231">
      <w:pPr>
        <w:pStyle w:val="NoSpacing"/>
        <w:ind w:firstLine="720"/>
        <w:jc w:val="both"/>
        <w:rPr>
          <w:rFonts w:ascii="Book Antiqua" w:hAnsi="Book Antiqua"/>
          <w:sz w:val="20"/>
        </w:rPr>
      </w:pPr>
      <w:r w:rsidRPr="009B0474">
        <w:rPr>
          <w:rFonts w:ascii="Book Antiqua" w:hAnsi="Book Antiqua"/>
          <w:sz w:val="20"/>
        </w:rPr>
        <w:t>In a changing ZPE scenario, kinetic energy is conserved in particle motion for electrons in their orbits, as well as for the protons and neutrons in their orbitals. (See the equations in Chapter 4. The kinetic energy equations found there apply to nucleons as well as electrons). The velocity</w:t>
      </w:r>
      <w:proofErr w:type="gramStart"/>
      <w:r w:rsidRPr="009B0474">
        <w:rPr>
          <w:rFonts w:ascii="Book Antiqua" w:hAnsi="Book Antiqua"/>
          <w:sz w:val="20"/>
        </w:rPr>
        <w:t xml:space="preserve">, </w:t>
      </w:r>
      <m:oMath>
        <w:proofErr w:type="gramEnd"/>
        <m:r>
          <w:rPr>
            <w:rStyle w:val="Emphasis"/>
            <w:rFonts w:ascii="Cambria Math" w:hAnsi="Cambria Math"/>
            <w:sz w:val="20"/>
          </w:rPr>
          <m:t>v</m:t>
        </m:r>
      </m:oMath>
      <w:r w:rsidRPr="009B0474">
        <w:rPr>
          <w:rFonts w:ascii="Book Antiqua" w:hAnsi="Book Antiqua"/>
          <w:sz w:val="20"/>
        </w:rPr>
        <w:t>, at which nucleons move in their orbitals within the nuclear potential well is proportional to</w:t>
      </w:r>
      <m:oMath>
        <m:r>
          <w:rPr>
            <w:rFonts w:ascii="Cambria Math" w:hAnsi="Book Antiqua"/>
            <w:sz w:val="20"/>
          </w:rPr>
          <m:t xml:space="preserve"> </m:t>
        </m:r>
        <m:r>
          <w:rPr>
            <w:rStyle w:val="Emphasis"/>
            <w:rFonts w:ascii="Cambria Math" w:hAnsi="Cambria Math"/>
            <w:sz w:val="20"/>
          </w:rPr>
          <m:t>c</m:t>
        </m:r>
      </m:oMath>
      <w:r w:rsidRPr="009B0474">
        <w:rPr>
          <w:rFonts w:ascii="Book Antiqua" w:hAnsi="Book Antiqua"/>
          <w:sz w:val="20"/>
        </w:rPr>
        <w:t xml:space="preserve">, and inversely proportional to </w:t>
      </w:r>
      <m:oMath>
        <m:r>
          <w:rPr>
            <w:rStyle w:val="Emphasis"/>
            <w:rFonts w:ascii="Cambria Math" w:hAnsi="Cambria Math"/>
            <w:sz w:val="20"/>
          </w:rPr>
          <m:t>h</m:t>
        </m:r>
      </m:oMath>
      <w:r w:rsidRPr="009B0474">
        <w:rPr>
          <w:rStyle w:val="Emphasis"/>
          <w:rFonts w:ascii="Book Antiqua" w:hAnsi="Book Antiqua"/>
          <w:sz w:val="20"/>
        </w:rPr>
        <w:t xml:space="preserve"> </w:t>
      </w:r>
      <w:r w:rsidRPr="009B0474">
        <w:rPr>
          <w:rFonts w:ascii="Book Antiqua" w:hAnsi="Book Antiqua"/>
          <w:sz w:val="20"/>
        </w:rPr>
        <w:t xml:space="preserve">and </w:t>
      </w:r>
      <m:oMath>
        <m:r>
          <w:rPr>
            <w:rStyle w:val="Emphasis"/>
            <w:rFonts w:ascii="Cambria Math" w:hAnsi="Cambria Math"/>
            <w:sz w:val="20"/>
          </w:rPr>
          <m:t>U</m:t>
        </m:r>
      </m:oMath>
      <w:r w:rsidRPr="009B0474">
        <w:rPr>
          <w:rFonts w:ascii="Book Antiqua" w:hAnsi="Book Antiqua"/>
          <w:sz w:val="20"/>
        </w:rPr>
        <w:t xml:space="preserve">. If we designate the radius of the atomic nucleus </w:t>
      </w:r>
      <w:proofErr w:type="gramStart"/>
      <w:r w:rsidRPr="009B0474">
        <w:rPr>
          <w:rFonts w:ascii="Book Antiqua" w:hAnsi="Book Antiqua"/>
          <w:sz w:val="20"/>
        </w:rPr>
        <w:t xml:space="preserve">by </w:t>
      </w:r>
      <m:oMath>
        <w:proofErr w:type="gramEnd"/>
        <m:r>
          <w:rPr>
            <w:rStyle w:val="Emphasis"/>
            <w:rFonts w:ascii="Cambria Math" w:hAnsi="Cambria Math"/>
            <w:sz w:val="20"/>
          </w:rPr>
          <m:t>r</m:t>
        </m:r>
      </m:oMath>
      <w:r w:rsidRPr="009B0474">
        <w:rPr>
          <w:rFonts w:ascii="Book Antiqua" w:hAnsi="Book Antiqua"/>
          <w:sz w:val="20"/>
        </w:rPr>
        <w:t xml:space="preserve">, then the alpha particle escape frequency, </w:t>
      </w:r>
      <m:oMath>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9B0474">
        <w:rPr>
          <w:rFonts w:ascii="Book Antiqua" w:hAnsi="Book Antiqua"/>
          <w:sz w:val="20"/>
        </w:rPr>
        <w:t xml:space="preserve">, the decay constant, is defined by Glasstone </w:t>
      </w:r>
      <w:hyperlink r:id="rId968" w:anchor="4a177" w:history="1">
        <w:r w:rsidRPr="009B0474">
          <w:rPr>
            <w:rStyle w:val="Hyperlink"/>
            <w:rFonts w:ascii="Book Antiqua" w:hAnsi="Book Antiqua"/>
            <w:sz w:val="20"/>
          </w:rPr>
          <w:t>[2]</w:t>
        </w:r>
      </w:hyperlink>
      <w:r w:rsidRPr="009B0474">
        <w:rPr>
          <w:rFonts w:ascii="Book Antiqua" w:hAnsi="Book Antiqua"/>
          <w:sz w:val="20"/>
        </w:rPr>
        <w:t xml:space="preserve"> and Von Buttlar </w:t>
      </w:r>
      <w:hyperlink r:id="rId969" w:anchor="4a178" w:history="1">
        <w:r w:rsidRPr="009B0474">
          <w:rPr>
            <w:rStyle w:val="Hyperlink"/>
            <w:rFonts w:ascii="Book Antiqua" w:hAnsi="Book Antiqua"/>
            <w:sz w:val="20"/>
          </w:rPr>
          <w:t>[3]</w:t>
        </w:r>
      </w:hyperlink>
      <w:r w:rsidRPr="009B0474">
        <w:rPr>
          <w:rFonts w:ascii="Book Antiqua" w:hAnsi="Book Antiqua"/>
          <w:sz w:val="20"/>
        </w:rPr>
        <w:t xml:space="preserve">, as </w:t>
      </w:r>
    </w:p>
    <w:p w:rsidR="00796231" w:rsidRPr="003A1AA9" w:rsidRDefault="00796231"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Pv</m:t>
        </m:r>
        <m:r>
          <w:rPr>
            <w:rFonts w:ascii="Cambria Math" w:hAnsi="Book Antiqua"/>
            <w:sz w:val="20"/>
            <w:szCs w:val="20"/>
          </w:rPr>
          <m:t>/</m:t>
        </m:r>
        <m:r>
          <w:rPr>
            <w:rFonts w:ascii="Cambria Math" w:hAnsi="Cambria Math"/>
            <w:sz w:val="20"/>
            <w:szCs w:val="20"/>
          </w:rPr>
          <m:t>r</m:t>
        </m:r>
        <m:r>
          <w:rPr>
            <w:rFonts w:ascii="Cambria Math" w:hAnsi="Book Antiqua"/>
            <w:sz w:val="20"/>
            <w:szCs w:val="20"/>
          </w:rPr>
          <m:t xml:space="preserve"> </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(2)</w:t>
      </w:r>
    </w:p>
    <w:p w:rsidR="00796231" w:rsidRPr="00515ED7" w:rsidRDefault="00796231" w:rsidP="00796231">
      <w:pPr>
        <w:pStyle w:val="NoSpacing"/>
        <w:jc w:val="both"/>
        <w:rPr>
          <w:rFonts w:ascii="Book Antiqua" w:hAnsi="Book Antiqua"/>
          <w:sz w:val="20"/>
        </w:rPr>
      </w:pPr>
      <m:oMath>
        <m:r>
          <w:rPr>
            <w:rStyle w:val="Emphasis"/>
            <w:rFonts w:ascii="Cambria Math" w:hAnsi="Cambria Math"/>
            <w:sz w:val="20"/>
          </w:rPr>
          <m:t>P</m:t>
        </m:r>
      </m:oMath>
      <w:r w:rsidRPr="00515ED7">
        <w:rPr>
          <w:rStyle w:val="Emphasis"/>
          <w:rFonts w:ascii="Book Antiqua" w:hAnsi="Book Antiqua"/>
          <w:sz w:val="20"/>
        </w:rPr>
        <w:t xml:space="preserve"> </w:t>
      </w:r>
      <w:proofErr w:type="gramStart"/>
      <w:r w:rsidRPr="00515ED7">
        <w:rPr>
          <w:rFonts w:ascii="Book Antiqua" w:hAnsi="Book Antiqua"/>
          <w:sz w:val="20"/>
        </w:rPr>
        <w:t>is</w:t>
      </w:r>
      <w:proofErr w:type="gramEnd"/>
      <w:r w:rsidRPr="00515ED7">
        <w:rPr>
          <w:rFonts w:ascii="Book Antiqua" w:hAnsi="Book Antiqua"/>
          <w:sz w:val="20"/>
        </w:rPr>
        <w:t xml:space="preserve"> the probability of alpha particle escape from a nuclear potential well, and is a function of the electrostatic or Coulomb energy of the nucleus. This energy is constant since </w:t>
      </w:r>
      <m:oMath>
        <m:sSup>
          <m:sSupPr>
            <m:ctrlPr>
              <w:rPr>
                <w:rFonts w:ascii="Cambria Math" w:hAnsi="Book Antiqua"/>
                <w:i/>
                <w:sz w:val="20"/>
              </w:rPr>
            </m:ctrlPr>
          </m:sSupPr>
          <m:e>
            <m:r>
              <w:rPr>
                <w:rFonts w:ascii="Cambria Math" w:hAnsi="Cambria Math"/>
                <w:sz w:val="20"/>
              </w:rPr>
              <m:t>e</m:t>
            </m:r>
          </m:e>
          <m:sup>
            <m:r>
              <w:rPr>
                <w:rFonts w:ascii="Cambria Math" w:hAnsi="Book Antiqua"/>
                <w:sz w:val="20"/>
              </w:rPr>
              <m:t>2</m:t>
            </m:r>
          </m:sup>
        </m:sSup>
        <m:r>
          <w:rPr>
            <w:rFonts w:ascii="Cambria Math" w:hAnsi="Book Antiqua"/>
            <w:sz w:val="20"/>
          </w:rPr>
          <m:t>/</m:t>
        </m:r>
        <m:r>
          <w:rPr>
            <w:rFonts w:ascii="Cambria Math" w:hAnsi="Cambria Math"/>
            <w:sz w:val="20"/>
          </w:rPr>
          <m:t>ε</m:t>
        </m:r>
      </m:oMath>
      <w:r w:rsidRPr="00515ED7">
        <w:rPr>
          <w:rFonts w:ascii="Book Antiqua" w:hAnsi="Book Antiqua"/>
          <w:sz w:val="20"/>
        </w:rPr>
        <w:t xml:space="preserve"> is constant (chapter 2). Radius</w:t>
      </w:r>
      <w:proofErr w:type="gramStart"/>
      <w:r w:rsidRPr="00515ED7">
        <w:rPr>
          <w:rFonts w:ascii="Book Antiqua" w:hAnsi="Book Antiqua"/>
          <w:sz w:val="20"/>
        </w:rPr>
        <w:t xml:space="preserve">, </w:t>
      </w:r>
      <m:oMath>
        <w:proofErr w:type="gramEnd"/>
        <m:r>
          <w:rPr>
            <w:rStyle w:val="Emphasis"/>
            <w:rFonts w:ascii="Cambria Math" w:hAnsi="Cambria Math"/>
            <w:sz w:val="20"/>
          </w:rPr>
          <m:t>r</m:t>
        </m:r>
      </m:oMath>
      <w:r w:rsidRPr="00515ED7">
        <w:rPr>
          <w:rFonts w:ascii="Book Antiqua" w:hAnsi="Book Antiqua"/>
          <w:sz w:val="20"/>
        </w:rPr>
        <w:t xml:space="preserve">, is also constant, while velocity, </w:t>
      </w:r>
      <m:oMath>
        <m:r>
          <w:rPr>
            <w:rStyle w:val="Emphasis"/>
            <w:rFonts w:ascii="Cambria Math" w:hAnsi="Cambria Math"/>
            <w:sz w:val="20"/>
          </w:rPr>
          <m:t>v</m:t>
        </m:r>
      </m:oMath>
      <w:r w:rsidRPr="00515ED7">
        <w:rPr>
          <w:rFonts w:ascii="Book Antiqua" w:hAnsi="Book Antiqua"/>
          <w:sz w:val="20"/>
        </w:rPr>
        <w:t xml:space="preserve">, is proportional to </w:t>
      </w:r>
      <m:oMath>
        <m:r>
          <w:rPr>
            <w:rStyle w:val="Emphasis"/>
            <w:rFonts w:ascii="Cambria Math" w:hAnsi="Cambria Math"/>
            <w:sz w:val="20"/>
          </w:rPr>
          <m:t>c</m:t>
        </m:r>
      </m:oMath>
      <w:r w:rsidRPr="00515ED7">
        <w:rPr>
          <w:rFonts w:ascii="Book Antiqua" w:hAnsi="Book Antiqua"/>
          <w:sz w:val="20"/>
        </w:rPr>
        <w:t xml:space="preserve">. Therefore, the decay constant is proportional to particle velocities, which are also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roofErr w:type="gramStart"/>
      <w:r w:rsidRPr="00515ED7">
        <w:rPr>
          <w:rFonts w:ascii="Book Antiqua" w:hAnsi="Book Antiqua"/>
          <w:sz w:val="20"/>
        </w:rPr>
        <w:t>A ZPE having lower energy in the past means that atomic masses were lower, and so their velocities were higher, maintaining the same kinetic energy as today.</w:t>
      </w:r>
      <w:proofErr w:type="gramEnd"/>
      <w:r w:rsidRPr="00515ED7">
        <w:rPr>
          <w:rFonts w:ascii="Book Antiqua" w:hAnsi="Book Antiqua"/>
          <w:sz w:val="20"/>
        </w:rPr>
        <w:t xml:space="preserve"> But a higher velocity means more hits per second against the potential well “wall”, although the escape probability remains unchanged.  This means that when the ZPE strength was lower, and the speed of light was higher, alpha decay would have been more rapid.  The alpha particle would have escaped sooner since the number of hits required (before it could statistically escape) occurred more quickly. This means that:</w:t>
      </w:r>
    </w:p>
    <w:p w:rsidR="00796231" w:rsidRPr="003A1AA9" w:rsidRDefault="00796231"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(3)</w:t>
      </w:r>
    </w:p>
    <w:p w:rsidR="00796231" w:rsidRPr="00515ED7" w:rsidRDefault="00796231" w:rsidP="00796231">
      <w:pPr>
        <w:pStyle w:val="NoSpacing"/>
        <w:rPr>
          <w:rFonts w:ascii="Book Antiqua" w:hAnsi="Book Antiqua"/>
          <w:sz w:val="20"/>
        </w:rPr>
      </w:pPr>
      <w:r w:rsidRPr="00515ED7">
        <w:rPr>
          <w:rFonts w:ascii="Book Antiqua" w:hAnsi="Book Antiqua"/>
          <w:sz w:val="20"/>
        </w:rPr>
        <w:t>So then, the alpha decay constant</w:t>
      </w:r>
      <w:proofErr w:type="gramStart"/>
      <w:r w:rsidRPr="00515ED7">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λ</m:t>
            </m:r>
          </m:e>
          <m:sup>
            <m:r>
              <w:rPr>
                <w:rFonts w:ascii="Cambria Math" w:hAnsi="Cambria Math"/>
                <w:sz w:val="20"/>
              </w:rPr>
              <m:t>*</m:t>
            </m:r>
          </m:sup>
        </m:sSup>
      </m:oMath>
      <w:r w:rsidRPr="00515ED7">
        <w:rPr>
          <w:rFonts w:ascii="Book Antiqua" w:hAnsi="Book Antiqua"/>
          <w:i/>
          <w:sz w:val="20"/>
        </w:rPr>
        <w:t>,</w:t>
      </w:r>
      <w:r w:rsidRPr="00515ED7">
        <w:rPr>
          <w:rFonts w:ascii="Book Antiqua" w:hAnsi="Book Antiqua"/>
          <w:sz w:val="20"/>
        </w:rPr>
        <w:t xml:space="preserve"> is proportional to </w:t>
      </w:r>
      <m:oMath>
        <m:r>
          <w:rPr>
            <w:rStyle w:val="Emphasis"/>
            <w:rFonts w:ascii="Cambria Math" w:hAnsi="Cambria Math"/>
            <w:sz w:val="20"/>
          </w:rPr>
          <m:t>c</m:t>
        </m:r>
      </m:oMath>
      <w:r w:rsidRPr="00515ED7">
        <w:rPr>
          <w:rStyle w:val="Emphasis"/>
          <w:rFonts w:ascii="Book Antiqua" w:hAnsi="Book Antiqua"/>
          <w:sz w:val="20"/>
        </w:rPr>
        <w:t xml:space="preserve"> </w:t>
      </w:r>
      <w:r w:rsidRPr="00515ED7">
        <w:rPr>
          <w:rFonts w:ascii="Book Antiqua" w:hAnsi="Book Antiqua"/>
          <w:sz w:val="20"/>
        </w:rPr>
        <w:t xml:space="preserve">and </w:t>
      </w:r>
      <m:oMath>
        <m:r>
          <w:rPr>
            <w:rStyle w:val="Emphasis"/>
            <w:rFonts w:ascii="Cambria Math" w:hAnsi="Book Antiqua"/>
            <w:sz w:val="20"/>
          </w:rPr>
          <m:t>1</m:t>
        </m:r>
        <m:r>
          <m:rPr>
            <m:sty m:val="p"/>
          </m:rPr>
          <w:rPr>
            <w:rFonts w:ascii="Cambria Math" w:hAnsi="Book Antiqua"/>
            <w:sz w:val="20"/>
          </w:rPr>
          <m:t>/</m:t>
        </m:r>
        <m:r>
          <w:rPr>
            <w:rStyle w:val="Emphasis"/>
            <w:rFonts w:ascii="Cambria Math" w:hAnsi="Cambria Math"/>
            <w:sz w:val="20"/>
          </w:rPr>
          <m:t>U</m:t>
        </m:r>
      </m:oMath>
      <w:r w:rsidRPr="00515ED7">
        <w:rPr>
          <w:rFonts w:ascii="Book Antiqua" w:hAnsi="Book Antiqua"/>
          <w:sz w:val="20"/>
        </w:rPr>
        <w:t xml:space="preserve">, with the half-lives, </w:t>
      </w:r>
      <m:oMath>
        <m:r>
          <w:rPr>
            <w:rFonts w:ascii="Cambria Math" w:hAnsi="Cambria Math"/>
            <w:sz w:val="20"/>
          </w:rPr>
          <m:t>τ</m:t>
        </m:r>
      </m:oMath>
      <w:r w:rsidRPr="00515ED7">
        <w:rPr>
          <w:rFonts w:ascii="Book Antiqua" w:hAnsi="Book Antiqua"/>
          <w:i/>
          <w:sz w:val="20"/>
        </w:rPr>
        <w:t>,</w:t>
      </w:r>
      <w:r w:rsidRPr="00515ED7">
        <w:rPr>
          <w:rFonts w:ascii="Book Antiqua" w:hAnsi="Book Antiqua"/>
          <w:sz w:val="20"/>
        </w:rPr>
        <w:t xml:space="preserve"> proportional to </w:t>
      </w:r>
      <m:oMath>
        <m:r>
          <w:rPr>
            <w:rStyle w:val="Emphasis"/>
            <w:rFonts w:ascii="Cambria Math" w:hAnsi="Cambria Math"/>
            <w:sz w:val="20"/>
          </w:rPr>
          <m:t>U</m:t>
        </m:r>
      </m:oMath>
      <w:r w:rsidRPr="00515ED7">
        <w:rPr>
          <w:rStyle w:val="Emphasis"/>
          <w:rFonts w:ascii="Book Antiqua" w:hAnsi="Book Antiqua"/>
          <w:sz w:val="20"/>
        </w:rPr>
        <w:t xml:space="preserve"> </w:t>
      </w:r>
      <w:r w:rsidRPr="00515ED7">
        <w:rPr>
          <w:rStyle w:val="Emphasis"/>
          <w:rFonts w:ascii="Book Antiqua" w:hAnsi="Book Antiqua"/>
          <w:i w:val="0"/>
          <w:sz w:val="20"/>
        </w:rPr>
        <w:t>or</w:t>
      </w:r>
      <w:r w:rsidRPr="00515ED7">
        <w:rPr>
          <w:rStyle w:val="Emphasis"/>
          <w:rFonts w:ascii="Book Antiqua" w:hAnsi="Book Antiqua"/>
          <w:sz w:val="20"/>
        </w:rPr>
        <w:t xml:space="preserve"> </w:t>
      </w:r>
      <m:oMath>
        <m:r>
          <w:rPr>
            <w:rStyle w:val="Emphasis"/>
            <w:rFonts w:ascii="Cambria Math" w:hAnsi="Book Antiqua"/>
            <w:sz w:val="20"/>
          </w:rPr>
          <m:t>1/</m:t>
        </m:r>
        <m:r>
          <w:rPr>
            <w:rStyle w:val="Emphasis"/>
            <w:rFonts w:ascii="Cambria Math" w:hAnsi="Cambria Math"/>
            <w:sz w:val="20"/>
          </w:rPr>
          <m:t>c</m:t>
        </m:r>
      </m:oMath>
      <w:r w:rsidRPr="00515ED7">
        <w:rPr>
          <w:rFonts w:ascii="Book Antiqua" w:hAnsi="Book Antiqua"/>
          <w:sz w:val="20"/>
        </w:rPr>
        <w:t>.</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b w:val="0"/>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Pr>
          <w:rFonts w:ascii="Book Antiqua" w:hAnsi="Book Antiqua"/>
          <w:b w:val="0"/>
          <w:sz w:val="20"/>
          <w:szCs w:val="20"/>
        </w:rPr>
        <w:t>4</w:t>
      </w:r>
      <w:r w:rsidRPr="003A1AA9">
        <w:rPr>
          <w:rFonts w:ascii="Book Antiqua" w:hAnsi="Book Antiqua"/>
          <w:b w:val="0"/>
          <w:sz w:val="20"/>
          <w:szCs w:val="20"/>
        </w:rPr>
        <w:t xml:space="preserve">. </w:t>
      </w:r>
      <w:r w:rsidRPr="003A1AA9">
        <w:rPr>
          <w:rFonts w:ascii="Book Antiqua" w:hAnsi="Book Antiqua"/>
          <w:sz w:val="20"/>
          <w:szCs w:val="20"/>
        </w:rPr>
        <w:t>Beta Decay Processes</w:t>
      </w:r>
    </w:p>
    <w:p w:rsidR="00796231" w:rsidRPr="003A1AA9" w:rsidRDefault="00796231" w:rsidP="00796231">
      <w:pPr>
        <w:pStyle w:val="Default"/>
        <w:ind w:firstLine="36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In simple terms, Beta decay happens because atoms tend to favor a condition in which the number of protons in the nucleus is the same as the number of neutrons. In the case of an atom of an element like Carbon 12, there are 6 protons and 6 neutrons. However, Carbon 14 has 6 protons and 8 neutrons. That is an excess of neutrons. In order to attain equal numbers of protons and neutrons, one of the neutrons will change into a proton and an electron.  The extra electron is then ejected, leaving the nucleus with 7 protons and 7 neutrons.  Since the identity of an element depends on the number of protons in the nucleus, the carbon has then become Nitrogen 14. The ejected electron is referred to as a Beta (</w:t>
      </w:r>
      <m:oMath>
        <m:r>
          <w:rPr>
            <w:rFonts w:ascii="Cambria Math" w:hAnsi="Cambria Math"/>
            <w:sz w:val="20"/>
          </w:rPr>
          <m:t>β</m:t>
        </m:r>
      </m:oMath>
      <w:r w:rsidRPr="00515ED7">
        <w:rPr>
          <w:rFonts w:ascii="Book Antiqua" w:hAnsi="Book Antiqua"/>
          <w:sz w:val="20"/>
        </w:rPr>
        <w:t>) particle. This is illustrated in Figure 3.</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Beta decay involves an excess of neutrons in the uppermost orbital of the nucleus. In the example used above with Carbon 14, there are two neutrons in the uppermost orbital. So a stable condition can be reached if one neutron ejects an electron and becomes a proton. This means that there will then be a proton and a neutron in the uppermost orbital of the nucleus, and a stable condition is attained. The original element has changed to one with an atomic number which is one integer greater on the Periodic Table. It has a more stable energy balance because a proton and a neutron together form a more stable energy configuration than two neutrons together. This type of nuclear Beta decay is called a Beta minus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decay. The minus is there because the ejected electron carries a negative charge.</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3730060" cy="2819400"/>
            <wp:effectExtent l="19050" t="0" r="3740" b="0"/>
            <wp:docPr id="176" name="pbImage181272" descr="http://kgortney.pbworks.com/f/1287767908/c14_decay_to_n14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Image181272" descr="http://kgortney.pbworks.com/f/1287767908/c14_decay_to_n14_sm.jpg"/>
                    <pic:cNvPicPr>
                      <a:picLocks noChangeAspect="1" noChangeArrowheads="1"/>
                    </pic:cNvPicPr>
                  </pic:nvPicPr>
                  <pic:blipFill>
                    <a:blip r:embed="rId970" cstate="print"/>
                    <a:srcRect/>
                    <a:stretch>
                      <a:fillRect/>
                    </a:stretch>
                  </pic:blipFill>
                  <pic:spPr bwMode="auto">
                    <a:xfrm>
                      <a:off x="0" y="0"/>
                      <a:ext cx="3752082" cy="2836046"/>
                    </a:xfrm>
                    <a:prstGeom prst="rect">
                      <a:avLst/>
                    </a:prstGeom>
                    <a:noFill/>
                    <a:ln w="9525">
                      <a:noFill/>
                      <a:miter lim="800000"/>
                      <a:headEnd/>
                      <a:tailEnd/>
                    </a:ln>
                  </pic:spPr>
                </pic:pic>
              </a:graphicData>
            </a:graphic>
          </wp:inline>
        </w:drawing>
      </w:r>
    </w:p>
    <w:p w:rsidR="00796231" w:rsidRPr="003A1AA9" w:rsidRDefault="00796231" w:rsidP="00796231">
      <w:pPr>
        <w:pStyle w:val="Default"/>
        <w:jc w:val="center"/>
        <w:rPr>
          <w:rFonts w:ascii="Book Antiqua" w:hAnsi="Book Antiqua"/>
          <w:sz w:val="20"/>
          <w:szCs w:val="20"/>
        </w:rPr>
      </w:pPr>
    </w:p>
    <w:p w:rsidR="00796231" w:rsidRPr="003A1AA9" w:rsidRDefault="00796231" w:rsidP="00796231">
      <w:pPr>
        <w:pStyle w:val="Default"/>
        <w:rPr>
          <w:rFonts w:ascii="Book Antiqua" w:hAnsi="Book Antiqua"/>
          <w:b/>
          <w:i/>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3:</w:t>
      </w:r>
      <w:r w:rsidRPr="005830E6">
        <w:rPr>
          <w:rFonts w:ascii="Book Antiqua" w:hAnsi="Book Antiqua"/>
          <w:i/>
          <w:sz w:val="18"/>
          <w:szCs w:val="18"/>
        </w:rPr>
        <w:t xml:space="preserve"> A representation of Beta decay when an atom has an excess of neutrons in the nucleus. A neutron “decays” into a proton and an electron. The proton is retained in the nucleus whose energy state is now more stable, and the excess electron is emitted.</w:t>
      </w:r>
    </w:p>
    <w:p w:rsidR="00796231" w:rsidRPr="003A1AA9" w:rsidRDefault="00796231" w:rsidP="00796231">
      <w:pPr>
        <w:pStyle w:val="Default"/>
        <w:ind w:firstLine="720"/>
        <w:jc w:val="both"/>
        <w:rPr>
          <w:rFonts w:ascii="Book Antiqua" w:hAnsi="Book Antiqua"/>
          <w:sz w:val="20"/>
          <w:szCs w:val="20"/>
        </w:rPr>
      </w:pPr>
    </w:p>
    <w:p w:rsidR="00796231" w:rsidRPr="003A1AA9" w:rsidRDefault="00796231" w:rsidP="00796231">
      <w:pPr>
        <w:pStyle w:val="Default"/>
        <w:ind w:firstLine="720"/>
        <w:jc w:val="both"/>
        <w:rPr>
          <w:rFonts w:ascii="Book Antiqua" w:hAnsi="Book Antiqua"/>
          <w:sz w:val="20"/>
          <w:szCs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On the other hand, if there are two protons in the uppermost orbital of the nucleus, there is an excess of protons. Under these conditions it is possible for one of the protons to eject a positron (positive electron) and become a neutron. This again results in the stability of a proton and neutron in the uppermost orbital of the nucleus. This is called Beta plus</w:t>
      </w:r>
      <w:r w:rsidRPr="00515ED7">
        <w:rPr>
          <w:sz w:val="20"/>
        </w:rPr>
        <w:t xml:space="preserve"> (</w:t>
      </w:r>
      <m:oMath>
        <m:sSup>
          <m:sSupPr>
            <m:ctrlPr>
              <w:rPr>
                <w:rFonts w:ascii="Cambria Math" w:hAnsi="Cambria Math"/>
                <w:i/>
                <w:sz w:val="20"/>
              </w:rPr>
            </m:ctrlPr>
          </m:sSupPr>
          <m:e>
            <m:r>
              <w:rPr>
                <w:rFonts w:ascii="Cambria Math" w:hAnsi="Cambria Math"/>
                <w:sz w:val="20"/>
              </w:rPr>
              <m:t>β</m:t>
            </m:r>
          </m:e>
          <m:sup>
            <m:r>
              <w:rPr>
                <w:rFonts w:ascii="Cambria Math"/>
                <w:sz w:val="20"/>
              </w:rPr>
              <m:t>+</m:t>
            </m:r>
          </m:sup>
        </m:sSup>
      </m:oMath>
      <w:r w:rsidRPr="00515ED7">
        <w:rPr>
          <w:sz w:val="20"/>
        </w:rPr>
        <w:t>)</w:t>
      </w:r>
      <w:r w:rsidRPr="003A1AA9">
        <w:t xml:space="preserve"> </w:t>
      </w:r>
      <w:r w:rsidRPr="00515ED7">
        <w:rPr>
          <w:rFonts w:ascii="Book Antiqua" w:hAnsi="Book Antiqua"/>
          <w:sz w:val="20"/>
        </w:rPr>
        <w:t>decay because the ejected positron carries a positive charge. In this case, the original element has changed to become an element with an atomic number one integer lower on the Periodic Table, and with a more stable energy balance.  Both types of Beta decay can also release a gamma ray.</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The ejection of an electron or positron from the upper orbital during Beta decay depends upon two things:  the strength of the force acting upon them and the amount of time a given configuration of particles exists in the upper orbital.  The force acting upon them is electromagnetic.  Since the Zero Point Energy is electromagnetic, any changes there will affect the rate of decay.   </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With all changes in the ZPE, kinetic energy is conserved with both electrons moving in atomic orbits and particles moving within the nuclear orbitals. Thus, as previously shown, when the ZPE strength</w:t>
      </w:r>
      <w:proofErr w:type="gramStart"/>
      <w:r w:rsidRPr="00515ED7">
        <w:rPr>
          <w:rFonts w:ascii="Book Antiqua" w:hAnsi="Book Antiqua"/>
          <w:sz w:val="20"/>
        </w:rPr>
        <w:t xml:space="preserve">, </w:t>
      </w:r>
      <m:oMath>
        <w:proofErr w:type="gramEnd"/>
        <m:r>
          <w:rPr>
            <w:rFonts w:ascii="Cambria Math" w:hAnsi="Cambria Math"/>
            <w:sz w:val="20"/>
          </w:rPr>
          <m:t>U</m:t>
        </m:r>
      </m:oMath>
      <w:r w:rsidRPr="00515ED7">
        <w:rPr>
          <w:rFonts w:ascii="Book Antiqua" w:hAnsi="Book Antiqua"/>
          <w:i/>
          <w:sz w:val="20"/>
        </w:rPr>
        <w:t>,</w:t>
      </w:r>
      <w:r w:rsidRPr="00515ED7">
        <w:rPr>
          <w:rFonts w:ascii="Book Antiqua" w:hAnsi="Book Antiqua"/>
          <w:sz w:val="20"/>
        </w:rPr>
        <w:t xml:space="preserve"> was lower, atomic masses, </w:t>
      </w:r>
      <m:oMath>
        <m:r>
          <w:rPr>
            <w:rFonts w:ascii="Cambria Math" w:hAnsi="Cambria Math"/>
            <w:sz w:val="20"/>
          </w:rPr>
          <m:t>m</m:t>
        </m:r>
      </m:oMath>
      <w:r w:rsidRPr="00515ED7">
        <w:rPr>
          <w:rFonts w:ascii="Book Antiqua" w:hAnsi="Book Antiqua"/>
          <w:sz w:val="20"/>
        </w:rPr>
        <w:t>, were also lower. Since the speed of light</w:t>
      </w:r>
      <w:proofErr w:type="gramStart"/>
      <w:r w:rsidRPr="00515ED7">
        <w:rPr>
          <w:rFonts w:ascii="Book Antiqua" w:hAnsi="Book Antiqua"/>
          <w:sz w:val="20"/>
        </w:rPr>
        <w:t xml:space="preserve">, </w:t>
      </w:r>
      <m:oMath>
        <w:proofErr w:type="gramEnd"/>
        <m:r>
          <w:rPr>
            <w:rFonts w:ascii="Cambria Math" w:hAnsi="Cambria Math"/>
            <w:sz w:val="20"/>
          </w:rPr>
          <m:t>c</m:t>
        </m:r>
      </m:oMath>
      <w:r w:rsidRPr="00515ED7">
        <w:rPr>
          <w:rFonts w:ascii="Book Antiqua" w:hAnsi="Book Antiqua"/>
          <w:sz w:val="20"/>
        </w:rPr>
        <w:t xml:space="preserve">, operates inversely to the strength of the ZPE, this means that </w:t>
      </w:r>
      <m:oMath>
        <m:r>
          <w:rPr>
            <w:rFonts w:ascii="Cambria Math" w:hAnsi="Cambria Math"/>
            <w:sz w:val="20"/>
          </w:rPr>
          <m:t>m</m:t>
        </m:r>
      </m:oMath>
      <w:r w:rsidRPr="00515ED7">
        <w:rPr>
          <w:rFonts w:ascii="Book Antiqua" w:hAnsi="Book Antiqua"/>
          <w:sz w:val="20"/>
        </w:rPr>
        <w:t xml:space="preserve"> is also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as well as to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Since the kinetic energy of these particles is given </w:t>
      </w:r>
      <w:proofErr w:type="gramStart"/>
      <w:r w:rsidRPr="00515ED7">
        <w:rPr>
          <w:rFonts w:ascii="Book Antiqua" w:hAnsi="Book Antiqua"/>
          <w:sz w:val="20"/>
        </w:rPr>
        <w:t xml:space="preserve">by </w:t>
      </w:r>
      <m:oMath>
        <w:proofErr w:type="gramEnd"/>
        <m:r>
          <w:rPr>
            <w:rFonts w:ascii="Cambria Math" w:hAnsi="Book Antiqua"/>
            <w:sz w:val="20"/>
          </w:rPr>
          <m:t>½</m:t>
        </m:r>
        <m:r>
          <w:rPr>
            <w:rFonts w:ascii="Cambria Math" w:hAnsi="Book Antiqua"/>
            <w:sz w:val="20"/>
          </w:rPr>
          <m:t xml:space="preserve"> </m:t>
        </m:r>
        <m:r>
          <w:rPr>
            <w:rFonts w:ascii="Cambria Math" w:hAnsi="Cambria Math"/>
            <w:sz w:val="20"/>
          </w:rPr>
          <m:t>m</m:t>
        </m:r>
        <m:sSup>
          <m:sSupPr>
            <m:ctrlPr>
              <w:rPr>
                <w:rFonts w:ascii="Cambria Math" w:hAnsi="Book Antiqua"/>
                <w:i/>
                <w:sz w:val="20"/>
              </w:rPr>
            </m:ctrlPr>
          </m:sSupPr>
          <m:e>
            <m:r>
              <w:rPr>
                <w:rFonts w:ascii="Cambria Math" w:hAnsi="Cambria Math"/>
                <w:sz w:val="20"/>
              </w:rPr>
              <m:t>v</m:t>
            </m:r>
          </m:e>
          <m:sup>
            <m:r>
              <w:rPr>
                <w:rFonts w:ascii="Cambria Math" w:hAnsi="Book Antiqua"/>
                <w:sz w:val="20"/>
              </w:rPr>
              <m:t>2</m:t>
            </m:r>
          </m:sup>
        </m:sSup>
      </m:oMath>
      <w:r w:rsidRPr="00515ED7">
        <w:rPr>
          <w:rFonts w:ascii="Book Antiqua" w:hAnsi="Book Antiqua"/>
          <w:sz w:val="20"/>
        </w:rPr>
        <w:t xml:space="preserve">, where </w:t>
      </w:r>
      <m:oMath>
        <m:r>
          <w:rPr>
            <w:rFonts w:ascii="Cambria Math" w:hAnsi="Cambria Math"/>
            <w:sz w:val="20"/>
          </w:rPr>
          <m:t>v</m:t>
        </m:r>
      </m:oMath>
      <w:r w:rsidRPr="00515ED7">
        <w:rPr>
          <w:rFonts w:ascii="Book Antiqua" w:hAnsi="Book Antiqua"/>
          <w:sz w:val="20"/>
        </w:rPr>
        <w:t xml:space="preserve"> is their velocity, this means that the particle velocities are proportional to </w:t>
      </w:r>
      <m:oMath>
        <m:r>
          <w:rPr>
            <w:rFonts w:ascii="Cambria Math" w:hAnsi="Cambria Math"/>
            <w:sz w:val="20"/>
          </w:rPr>
          <m:t>c</m:t>
        </m:r>
      </m:oMath>
      <w:r w:rsidRPr="00515ED7">
        <w:rPr>
          <w:rFonts w:ascii="Book Antiqua" w:hAnsi="Book Antiqua"/>
          <w:sz w:val="20"/>
        </w:rPr>
        <w:t xml:space="preserve"> (or to </w:t>
      </w:r>
      <m:oMath>
        <m:r>
          <w:rPr>
            <w:rFonts w:ascii="Cambria Math" w:hAnsi="Book Antiqua"/>
            <w:sz w:val="20"/>
          </w:rPr>
          <m:t>1/</m:t>
        </m:r>
        <m:r>
          <w:rPr>
            <w:rFonts w:ascii="Cambria Math" w:hAnsi="Cambria Math"/>
            <w:sz w:val="20"/>
          </w:rPr>
          <m:t>U</m:t>
        </m:r>
      </m:oMath>
      <w:r w:rsidRPr="00515ED7">
        <w:rPr>
          <w:rFonts w:ascii="Book Antiqua" w:hAnsi="Book Antiqua"/>
          <w:sz w:val="20"/>
        </w:rPr>
        <w:t>), and were thus higher originally. As a result, the amount of time that the particles existed in any given configuration was shorter when the ZPE was higher.</w:t>
      </w:r>
    </w:p>
    <w:p w:rsidR="00796231" w:rsidRPr="00515ED7"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Since atomic masses are all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w:t>
      </w:r>
      <w:proofErr w:type="gramStart"/>
      <w:r w:rsidRPr="00515ED7">
        <w:rPr>
          <w:rFonts w:ascii="Book Antiqua" w:hAnsi="Book Antiqua"/>
          <w:sz w:val="20"/>
        </w:rPr>
        <w:t xml:space="preserve">or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m:t>
            </m:r>
          </m:sup>
        </m:sSup>
      </m:oMath>
      <w:r w:rsidRPr="00515ED7">
        <w:rPr>
          <w:rFonts w:ascii="Book Antiqua" w:hAnsi="Book Antiqua"/>
          <w:sz w:val="20"/>
        </w:rPr>
        <w:t xml:space="preserve">, then it follows that all particle masses were lower when the ZPE was lower.  However, the electromagnetic force acting on the particles depends on the charge squared, divided by the electric permittivity of free space, which keeps it a constant.  Therefore the same force is acting upon the subatomic particles through time, regardless of the changes in the ZPE. </w:t>
      </w:r>
      <w:r w:rsidRPr="00515ED7">
        <w:rPr>
          <w:rFonts w:ascii="Book Antiqua" w:hAnsi="Book Antiqua"/>
          <w:vanish/>
          <w:sz w:val="20"/>
        </w:rPr>
        <w:t>owevH jdklslskdfjf</w:t>
      </w:r>
      <w:r w:rsidRPr="00515ED7">
        <w:rPr>
          <w:rFonts w:ascii="Book Antiqua" w:hAnsi="Book Antiqua"/>
          <w:sz w:val="20"/>
        </w:rPr>
        <w:t xml:space="preserve"> If the same force is acting upon a heavy mass and a light mass, the light mass will respond more quickly and move faster.  In the same way, when subatomic masses were lower, they responded more quickly and with greater speed than today.  The force acting per particle per unit time was </w:t>
      </w:r>
      <w:r w:rsidRPr="00515ED7">
        <w:rPr>
          <w:rFonts w:ascii="Book Antiqua" w:hAnsi="Book Antiqua"/>
          <w:sz w:val="20"/>
        </w:rPr>
        <w:lastRenderedPageBreak/>
        <w:t xml:space="preserve">proportional to </w:t>
      </w:r>
      <m:oMath>
        <m:r>
          <w:rPr>
            <w:rFonts w:ascii="Cambria Math" w:hAnsi="Cambria Math"/>
            <w:sz w:val="20"/>
          </w:rPr>
          <m:t>c</m:t>
        </m:r>
        <m:r>
          <w:rPr>
            <w:rFonts w:ascii="Cambria Math" w:hAnsi="Book Antiqua"/>
            <w:sz w:val="20"/>
          </w:rPr>
          <m:t>,</m:t>
        </m:r>
      </m:oMath>
      <w:r w:rsidRPr="00515ED7">
        <w:rPr>
          <w:rFonts w:ascii="Book Antiqua" w:hAnsi="Book Antiqua"/>
          <w:sz w:val="20"/>
        </w:rPr>
        <w:t xml:space="preserve"> or </w:t>
      </w:r>
      <w:proofErr w:type="gramStart"/>
      <w:r w:rsidRPr="00515ED7">
        <w:rPr>
          <w:rFonts w:ascii="Book Antiqua" w:hAnsi="Book Antiqua"/>
          <w:sz w:val="20"/>
        </w:rPr>
        <w:t xml:space="preserve">to </w:t>
      </w:r>
      <m:oMath>
        <w:proofErr w:type="gramEnd"/>
        <m:r>
          <w:rPr>
            <w:rFonts w:ascii="Cambria Math" w:hAnsi="Book Antiqua"/>
            <w:sz w:val="20"/>
          </w:rPr>
          <m:t>1/</m:t>
        </m:r>
        <m:r>
          <w:rPr>
            <w:rFonts w:ascii="Cambria Math" w:hAnsi="Cambria Math"/>
            <w:sz w:val="20"/>
          </w:rPr>
          <m:t>U</m:t>
        </m:r>
      </m:oMath>
      <w:r w:rsidRPr="00515ED7">
        <w:rPr>
          <w:rFonts w:ascii="Book Antiqua" w:hAnsi="Book Antiqua"/>
          <w:sz w:val="20"/>
        </w:rPr>
        <w:t xml:space="preserve">. This means that all Beta decay phenomena should be faster in the past (proportional </w:t>
      </w:r>
      <w:proofErr w:type="gramStart"/>
      <w:r w:rsidRPr="00515ED7">
        <w:rPr>
          <w:rFonts w:ascii="Book Antiqua" w:hAnsi="Book Antiqua"/>
          <w:sz w:val="20"/>
        </w:rPr>
        <w:t xml:space="preserve">to </w:t>
      </w:r>
      <m:oMath>
        <w:proofErr w:type="gramEnd"/>
        <m:r>
          <w:rPr>
            <w:rFonts w:ascii="Cambria Math" w:hAnsi="Cambria Math"/>
            <w:sz w:val="20"/>
          </w:rPr>
          <m:t>c</m:t>
        </m:r>
      </m:oMath>
      <w:r w:rsidRPr="00515ED7">
        <w:rPr>
          <w:rFonts w:ascii="Book Antiqua" w:hAnsi="Book Antiqua"/>
          <w:sz w:val="20"/>
        </w:rPr>
        <w:t>)</w:t>
      </w:r>
      <w:r w:rsidRPr="00515ED7">
        <w:rPr>
          <w:rFonts w:ascii="Book Antiqua" w:hAnsi="Book Antiqua"/>
          <w:i/>
          <w:sz w:val="20"/>
        </w:rPr>
        <w:t xml:space="preserve"> </w:t>
      </w:r>
      <w:r w:rsidRPr="00515ED7">
        <w:rPr>
          <w:rFonts w:ascii="Book Antiqua" w:hAnsi="Book Antiqua"/>
          <w:sz w:val="20"/>
        </w:rPr>
        <w:t>when the ZPE was lower.</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A different approach using the formulas for the quantities involved in the decay procedure yields the same result. For both</w:t>
      </w:r>
      <m:oMath>
        <m:r>
          <w:rPr>
            <w:rFonts w:ascii="Cambria Math" w:hAnsi="Book Antiqua"/>
            <w:sz w:val="20"/>
          </w:rPr>
          <m:t xml:space="preserve"> </m:t>
        </m:r>
        <m:r>
          <w:rPr>
            <w:rFonts w:ascii="Cambria Math" w:hAnsi="Cambria Math"/>
            <w:sz w:val="20"/>
          </w:rPr>
          <m:t>β</m:t>
        </m:r>
      </m:oMath>
      <w:r w:rsidRPr="00515ED7">
        <w:rPr>
          <w:rFonts w:ascii="Book Antiqua" w:hAnsi="Book Antiqua"/>
          <w:sz w:val="20"/>
        </w:rPr>
        <w:t xml:space="preserve"> decay processes, Von Buttlar defines the decay constant as </w:t>
      </w:r>
      <w:hyperlink r:id="rId971" w:anchor="4a179" w:history="1">
        <w:r w:rsidRPr="00515ED7">
          <w:rPr>
            <w:rStyle w:val="Hyperlink"/>
            <w:rFonts w:ascii="Book Antiqua" w:hAnsi="Book Antiqua"/>
            <w:sz w:val="20"/>
          </w:rPr>
          <w:t>[4]</w:t>
        </w:r>
      </w:hyperlink>
      <w:r w:rsidRPr="00515ED7">
        <w:rPr>
          <w:rFonts w:ascii="Book Antiqua" w:hAnsi="Book Antiqua"/>
          <w:sz w:val="20"/>
        </w:rPr>
        <w:t>:</w:t>
      </w:r>
    </w:p>
    <w:p w:rsidR="00796231" w:rsidRPr="003A1AA9" w:rsidRDefault="00796231"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Gf</m:t>
        </m:r>
        <m:r>
          <w:rPr>
            <w:rFonts w:ascii="Cambria Math" w:hAnsi="Book Antiqua"/>
            <w:sz w:val="20"/>
            <w:szCs w:val="20"/>
          </w:rPr>
          <m:t xml:space="preserve"> = </m:t>
        </m:r>
        <m:r>
          <w:rPr>
            <w:rFonts w:ascii="Cambria Math" w:hAnsi="Cambria Math"/>
            <w:sz w:val="20"/>
            <w:szCs w:val="20"/>
          </w:rPr>
          <m:t>m</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2</m:t>
            </m:r>
          </m:sup>
        </m:sSup>
        <m:r>
          <w:rPr>
            <w:rFonts w:ascii="Book Antiqua" w:hAnsi="Cambria Math"/>
            <w:sz w:val="20"/>
            <w:szCs w:val="20"/>
          </w:rPr>
          <m:t>h</m:t>
        </m:r>
        <m:r>
          <w:rPr>
            <w:rFonts w:ascii="Cambria Math" w:hAnsi="Book Antiqua"/>
            <w:sz w:val="20"/>
            <w:szCs w:val="20"/>
          </w:rPr>
          <m:t>)</m:t>
        </m:r>
      </m:oMath>
      <w:r w:rsidRPr="003A1AA9">
        <w:rPr>
          <w:rFonts w:ascii="Book Antiqua" w:hAnsi="Book Antiqua"/>
          <w:i/>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(4)</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Here, </w:t>
      </w:r>
      <m:oMath>
        <m:r>
          <w:rPr>
            <w:rStyle w:val="Emphasis"/>
            <w:rFonts w:ascii="Cambria Math" w:hAnsi="Cambria Math"/>
            <w:sz w:val="20"/>
            <w:szCs w:val="20"/>
          </w:rPr>
          <m:t>M</m:t>
        </m:r>
      </m:oMath>
      <w:r w:rsidRPr="003A1AA9">
        <w:rPr>
          <w:rStyle w:val="Emphasis"/>
          <w:rFonts w:ascii="Book Antiqua" w:hAnsi="Book Antiqua"/>
          <w:sz w:val="20"/>
          <w:szCs w:val="20"/>
        </w:rPr>
        <w:t xml:space="preserve"> </w:t>
      </w:r>
      <w:r w:rsidRPr="003A1AA9">
        <w:rPr>
          <w:rFonts w:ascii="Book Antiqua" w:hAnsi="Book Antiqua"/>
          <w:sz w:val="20"/>
          <w:szCs w:val="20"/>
        </w:rPr>
        <w:t xml:space="preserve">is the nuclear matrix element dependent upon the electrostatic energy of the nucleus, which is unchanged with varying ZPE, as is the </w:t>
      </w:r>
      <w:proofErr w:type="gramStart"/>
      <w:r w:rsidRPr="003A1AA9">
        <w:rPr>
          <w:rFonts w:ascii="Book Antiqua" w:hAnsi="Book Antiqua"/>
          <w:sz w:val="20"/>
          <w:szCs w:val="20"/>
        </w:rPr>
        <w:t xml:space="preserve">constant </w:t>
      </w:r>
      <m:oMath>
        <w:proofErr w:type="gramEnd"/>
        <m:r>
          <w:rPr>
            <w:rStyle w:val="Emphasis"/>
            <w:rFonts w:ascii="Cambria Math" w:hAnsi="Cambria Math"/>
            <w:sz w:val="20"/>
            <w:szCs w:val="20"/>
          </w:rPr>
          <m:t>g</m:t>
        </m:r>
      </m:oMath>
      <w:r w:rsidRPr="003A1AA9">
        <w:rPr>
          <w:rFonts w:ascii="Book Antiqua" w:hAnsi="Book Antiqua"/>
          <w:sz w:val="20"/>
          <w:szCs w:val="20"/>
        </w:rPr>
        <w:t xml:space="preserve">.  As shown in Chapter 4, the term </w:t>
      </w:r>
      <w:r w:rsidRPr="003A1AA9">
        <w:rPr>
          <w:rStyle w:val="Emphasis"/>
          <w:rFonts w:ascii="Book Antiqua" w:hAnsi="Book Antiqua"/>
          <w:sz w:val="20"/>
          <w:szCs w:val="20"/>
        </w:rPr>
        <w:t>(</w:t>
      </w:r>
      <m:oMath>
        <m:r>
          <w:rPr>
            <w:rStyle w:val="Emphasis"/>
            <w:rFonts w:ascii="Cambria Math" w:hAnsi="Cambria Math"/>
            <w:sz w:val="20"/>
            <w:szCs w:val="20"/>
          </w:rPr>
          <m:t>m</m:t>
        </m:r>
        <m:sSup>
          <m:sSupPr>
            <m:ctrlPr>
              <w:rPr>
                <w:rStyle w:val="Emphasis"/>
                <w:rFonts w:ascii="Cambria Math" w:hAnsi="Book Antiqua"/>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3A1AA9">
        <w:rPr>
          <w:rStyle w:val="Emphasis"/>
          <w:rFonts w:ascii="Book Antiqua" w:hAnsi="Book Antiqua"/>
          <w:sz w:val="20"/>
          <w:szCs w:val="20"/>
        </w:rPr>
        <w:t xml:space="preserve">) </w:t>
      </w:r>
      <w:r w:rsidRPr="003A1AA9">
        <w:rPr>
          <w:rFonts w:ascii="Book Antiqua" w:hAnsi="Book Antiqua"/>
          <w:sz w:val="20"/>
          <w:szCs w:val="20"/>
        </w:rPr>
        <w:t xml:space="preserve">is a constant (equations 17 and 19) as energy is conserved in atomic processes. The term </w:t>
      </w:r>
      <m:oMath>
        <m:r>
          <w:rPr>
            <w:rStyle w:val="Emphasis"/>
            <w:rFonts w:ascii="Cambria Math" w:hAnsi="Cambria Math"/>
            <w:sz w:val="20"/>
            <w:szCs w:val="20"/>
          </w:rPr>
          <m:t>f</m:t>
        </m:r>
        <m:r>
          <w:rPr>
            <w:rStyle w:val="Emphasis"/>
            <w:rFonts w:ascii="Cambria Math" w:hAnsi="Book Antiqua"/>
            <w:sz w:val="20"/>
            <w:szCs w:val="20"/>
          </w:rPr>
          <m:t xml:space="preserve"> </m:t>
        </m:r>
      </m:oMath>
      <w:r w:rsidRPr="003A1AA9">
        <w:rPr>
          <w:rFonts w:ascii="Book Antiqua" w:hAnsi="Book Antiqua"/>
          <w:sz w:val="20"/>
          <w:szCs w:val="20"/>
        </w:rPr>
        <w:t xml:space="preserve">is a function of atomic </w:t>
      </w:r>
      <w:proofErr w:type="gramStart"/>
      <w:r w:rsidRPr="003A1AA9">
        <w:rPr>
          <w:rFonts w:ascii="Book Antiqua" w:hAnsi="Book Antiqua"/>
          <w:sz w:val="20"/>
          <w:szCs w:val="20"/>
        </w:rPr>
        <w:t xml:space="preserve">number </w:t>
      </w:r>
      <m:oMath>
        <w:proofErr w:type="gramEnd"/>
        <m:r>
          <w:rPr>
            <w:rStyle w:val="Emphasis"/>
            <w:rFonts w:ascii="Cambria Math" w:hAnsi="Cambria Math"/>
            <w:sz w:val="20"/>
            <w:szCs w:val="20"/>
          </w:rPr>
          <m:t>Z</m:t>
        </m:r>
      </m:oMath>
      <w:r w:rsidRPr="003A1AA9">
        <w:rPr>
          <w:rFonts w:ascii="Book Antiqua" w:hAnsi="Book Antiqua"/>
          <w:sz w:val="20"/>
          <w:szCs w:val="20"/>
        </w:rPr>
        <w:t xml:space="preserve">, and emission energy (related to the energy of the nuclear potential well), and so is unchanged. So for </w:t>
      </w:r>
      <m:oMath>
        <m:r>
          <w:rPr>
            <w:rFonts w:ascii="Cambria Math" w:hAnsi="Cambria Math"/>
            <w:sz w:val="20"/>
            <w:szCs w:val="20"/>
          </w:rPr>
          <m:t>β</m:t>
        </m:r>
      </m:oMath>
      <w:r w:rsidRPr="003A1AA9">
        <w:rPr>
          <w:rFonts w:ascii="Book Antiqua" w:hAnsi="Book Antiqua"/>
          <w:sz w:val="20"/>
          <w:szCs w:val="20"/>
        </w:rPr>
        <w:t xml:space="preserve"> decay processes</w:t>
      </w:r>
    </w:p>
    <w:p w:rsidR="00796231" w:rsidRPr="003A1AA9" w:rsidRDefault="00796231"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τ</m:t>
        </m:r>
        <m:r>
          <w:rPr>
            <w:rFonts w:ascii="Cambria Math" w:hAnsi="Book Antiqua"/>
            <w:sz w:val="20"/>
            <w:szCs w:val="20"/>
          </w:rPr>
          <m:t xml:space="preserve"> ~ 1/</m:t>
        </m:r>
        <m:r>
          <w:rPr>
            <w:rFonts w:ascii="Cambria Math" w:hAnsi="Cambria Math"/>
            <w:sz w:val="20"/>
            <w:szCs w:val="20"/>
          </w:rPr>
          <m:t>U</m:t>
        </m:r>
      </m:oMath>
      <w:r w:rsidRPr="003A1AA9">
        <w:rPr>
          <w:rFonts w:ascii="Book Antiqua" w:hAnsi="Book Antiqua"/>
          <w:i/>
          <w:sz w:val="20"/>
          <w:szCs w:val="20"/>
        </w:rPr>
        <w:t xml:space="preserve">  .</w:t>
      </w:r>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(5)</w:t>
      </w:r>
    </w:p>
    <w:p w:rsidR="00796231" w:rsidRPr="003A1AA9" w:rsidRDefault="00796231" w:rsidP="00796231">
      <w:pPr>
        <w:pStyle w:val="NormalWeb"/>
        <w:jc w:val="both"/>
        <w:rPr>
          <w:rFonts w:ascii="Book Antiqua" w:hAnsi="Book Antiqua"/>
          <w:sz w:val="20"/>
          <w:szCs w:val="20"/>
        </w:rPr>
      </w:pPr>
      <w:r w:rsidRPr="003A1AA9">
        <w:rPr>
          <w:rFonts w:ascii="Book Antiqua" w:hAnsi="Book Antiqua"/>
          <w:sz w:val="20"/>
          <w:szCs w:val="20"/>
        </w:rPr>
        <w:t xml:space="preserve">Burcham uses a slightly different approach </w:t>
      </w:r>
      <w:hyperlink r:id="rId972" w:anchor="4a180" w:history="1">
        <w:r w:rsidRPr="003A1AA9">
          <w:rPr>
            <w:rStyle w:val="Hyperlink"/>
            <w:rFonts w:ascii="Book Antiqua" w:hAnsi="Book Antiqua"/>
            <w:sz w:val="20"/>
            <w:szCs w:val="20"/>
          </w:rPr>
          <w:t>[5]</w:t>
        </w:r>
      </w:hyperlink>
      <w:r w:rsidRPr="003A1AA9">
        <w:rPr>
          <w:rFonts w:ascii="Book Antiqua" w:hAnsi="Book Antiqua"/>
          <w:sz w:val="20"/>
          <w:szCs w:val="20"/>
        </w:rPr>
        <w:t xml:space="preserve">.  But whichever approach is used, the decay rate can be shown to be proportional to the speed of light.  This is why we often see the quantity </w:t>
      </w:r>
      <m:oMath>
        <m:r>
          <w:rPr>
            <w:rFonts w:ascii="Cambria Math" w:hAnsi="Cambria Math"/>
            <w:sz w:val="20"/>
            <w:szCs w:val="20"/>
          </w:rPr>
          <m:t>c</m:t>
        </m:r>
      </m:oMath>
      <w:r w:rsidRPr="003A1AA9">
        <w:rPr>
          <w:rFonts w:ascii="Book Antiqua" w:hAnsi="Book Antiqua"/>
          <w:sz w:val="20"/>
          <w:szCs w:val="20"/>
        </w:rPr>
        <w:t xml:space="preserve"> in the numerator of many radio decay rate equations.</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There is a way of looking at Beta decay that parallels the approach used for Alpha decay in a nuclear potential well and may simplify the picture for some. It may be presented in the following way:</w:t>
      </w:r>
    </w:p>
    <w:p w:rsidR="00796231" w:rsidRPr="003A1AA9" w:rsidRDefault="00796231" w:rsidP="00796231">
      <w:pPr>
        <w:pStyle w:val="NormalWeb"/>
        <w:ind w:firstLine="360"/>
        <w:jc w:val="both"/>
        <w:rPr>
          <w:rFonts w:ascii="Book Antiqua" w:hAnsi="Book Antiqua"/>
          <w:sz w:val="20"/>
          <w:szCs w:val="20"/>
        </w:rPr>
      </w:pPr>
      <w:r w:rsidRPr="003A1AA9">
        <w:rPr>
          <w:rFonts w:ascii="Book Antiqua" w:hAnsi="Book Antiqua"/>
          <w:sz w:val="20"/>
          <w:szCs w:val="20"/>
        </w:rPr>
        <w:t xml:space="preserve">In the case of Beta decay an electron (or positron) escapes from a neutron (or proton) which is in the highest energy level of the nuclear potential well. The result is that a proton (or neutron) is left. Therefore, in parallel with the concepts used for the Alpha decay case and equation (2), the term </w:t>
      </w:r>
      <m:oMath>
        <m:r>
          <w:rPr>
            <w:rFonts w:ascii="Cambria Math" w:hAnsi="Cambria Math"/>
            <w:sz w:val="20"/>
            <w:szCs w:val="20"/>
          </w:rPr>
          <m:t>P</m:t>
        </m:r>
      </m:oMath>
      <w:r w:rsidRPr="003A1AA9">
        <w:rPr>
          <w:rFonts w:ascii="Book Antiqua" w:hAnsi="Book Antiqua"/>
          <w:sz w:val="20"/>
          <w:szCs w:val="20"/>
        </w:rPr>
        <w:t xml:space="preserve"> can again be used to refer to the probability of escape. But this time it is the escape of an electron (or positron) from the nuclear potential well of the neutron (or proton) of </w:t>
      </w:r>
      <w:proofErr w:type="gramStart"/>
      <w:r w:rsidRPr="003A1AA9">
        <w:rPr>
          <w:rFonts w:ascii="Book Antiqua" w:hAnsi="Book Antiqua"/>
          <w:sz w:val="20"/>
          <w:szCs w:val="20"/>
        </w:rPr>
        <w:t xml:space="preserve">radius </w:t>
      </w:r>
      <m:oMath>
        <w:proofErr w:type="gramEnd"/>
        <m:r>
          <w:rPr>
            <w:rFonts w:ascii="Cambria Math" w:hAnsi="Cambria Math"/>
            <w:sz w:val="20"/>
            <w:szCs w:val="20"/>
          </w:rPr>
          <m:t>r</m:t>
        </m:r>
      </m:oMath>
      <w:r w:rsidRPr="003A1AA9">
        <w:rPr>
          <w:rFonts w:ascii="Book Antiqua" w:hAnsi="Book Antiqua"/>
          <w:sz w:val="20"/>
          <w:szCs w:val="20"/>
        </w:rPr>
        <w:t>. This probability</w:t>
      </w:r>
      <w:proofErr w:type="gramStart"/>
      <w:r w:rsidRPr="003A1AA9">
        <w:rPr>
          <w:rFonts w:ascii="Book Antiqua" w:hAnsi="Book Antiqua"/>
          <w:sz w:val="20"/>
          <w:szCs w:val="20"/>
        </w:rPr>
        <w:t xml:space="preserve">, </w:t>
      </w:r>
      <m:oMath>
        <w:proofErr w:type="gramEnd"/>
        <m:r>
          <w:rPr>
            <w:rFonts w:ascii="Cambria Math" w:hAnsi="Cambria Math"/>
            <w:sz w:val="20"/>
            <w:szCs w:val="20"/>
          </w:rPr>
          <m:t>P</m:t>
        </m:r>
      </m:oMath>
      <w:r w:rsidRPr="003A1AA9">
        <w:rPr>
          <w:rFonts w:ascii="Book Antiqua" w:hAnsi="Book Antiqua"/>
          <w:sz w:val="20"/>
          <w:szCs w:val="20"/>
        </w:rPr>
        <w:t xml:space="preserve">, is again a constant quantity, as is </w:t>
      </w:r>
      <m:oMath>
        <m:r>
          <w:rPr>
            <w:rFonts w:ascii="Cambria Math" w:hAnsi="Cambria Math"/>
            <w:sz w:val="20"/>
            <w:szCs w:val="20"/>
          </w:rPr>
          <m:t>r</m:t>
        </m:r>
      </m:oMath>
      <w:r w:rsidRPr="003A1AA9">
        <w:rPr>
          <w:rFonts w:ascii="Book Antiqua" w:hAnsi="Book Antiqua"/>
          <w:sz w:val="20"/>
          <w:szCs w:val="20"/>
        </w:rPr>
        <w:t xml:space="preserve">. The electron and a proton go to make up the neutron, but this neutron is in the environment of a nucleus. Because of these conditions, the terms </w:t>
      </w:r>
      <m:oMath>
        <m:r>
          <w:rPr>
            <w:rFonts w:ascii="Cambria Math" w:hAnsi="Cambria Math"/>
            <w:sz w:val="20"/>
            <w:szCs w:val="20"/>
          </w:rPr>
          <m:t>P</m:t>
        </m:r>
      </m:oMath>
      <w:r w:rsidRPr="003A1AA9">
        <w:rPr>
          <w:rFonts w:ascii="Book Antiqua" w:hAnsi="Book Antiqua"/>
          <w:sz w:val="20"/>
          <w:szCs w:val="20"/>
        </w:rPr>
        <w:t xml:space="preserve"> and </w:t>
      </w:r>
      <m:oMath>
        <m:r>
          <w:rPr>
            <w:rFonts w:ascii="Cambria Math" w:hAnsi="Cambria Math"/>
            <w:sz w:val="20"/>
            <w:szCs w:val="20"/>
          </w:rPr>
          <m:t>r</m:t>
        </m:r>
      </m:oMath>
      <w:r w:rsidRPr="003A1AA9">
        <w:rPr>
          <w:rFonts w:ascii="Book Antiqua" w:hAnsi="Book Antiqua"/>
          <w:sz w:val="20"/>
          <w:szCs w:val="20"/>
        </w:rPr>
        <w:t xml:space="preserve"> used in (2) have different magnitudes in the Beta decay case.</w:t>
      </w:r>
    </w:p>
    <w:p w:rsidR="00796231" w:rsidRPr="00515ED7" w:rsidRDefault="00796231" w:rsidP="00796231">
      <w:pPr>
        <w:pStyle w:val="NoSpacing"/>
        <w:jc w:val="both"/>
        <w:rPr>
          <w:rFonts w:ascii="Book Antiqua" w:hAnsi="Book Antiqua"/>
          <w:sz w:val="20"/>
        </w:rPr>
      </w:pPr>
      <w:r w:rsidRPr="00515ED7">
        <w:rPr>
          <w:rFonts w:ascii="Book Antiqua" w:hAnsi="Book Antiqua"/>
          <w:sz w:val="20"/>
        </w:rPr>
        <w:t>So, for Beta decay, a parallel situation exists for an electron (or positron) to escape from a neutron (or proton). In this process a neutrino accompanies the disgorged particle. The decay constant is then dependent again upon the probability of escape</w:t>
      </w:r>
      <w:proofErr w:type="gramStart"/>
      <w:r w:rsidRPr="00515ED7">
        <w:rPr>
          <w:rFonts w:ascii="Book Antiqua" w:hAnsi="Book Antiqua"/>
          <w:sz w:val="20"/>
        </w:rPr>
        <w:t xml:space="preserve">, </w:t>
      </w:r>
      <m:oMath>
        <w:proofErr w:type="gramEnd"/>
        <m:r>
          <w:rPr>
            <w:rFonts w:ascii="Cambria Math" w:hAnsi="Cambria Math"/>
            <w:sz w:val="20"/>
          </w:rPr>
          <m:t>P</m:t>
        </m:r>
      </m:oMath>
      <w:r w:rsidRPr="00515ED7">
        <w:rPr>
          <w:rFonts w:ascii="Book Antiqua" w:hAnsi="Book Antiqua"/>
          <w:sz w:val="20"/>
        </w:rPr>
        <w:t>. When the ZPE is low, it means that there is a higher intrinsic velocity for the electron/positron hitting against the sides of the neutron (or proton) potential well. The decay constant</w:t>
      </w:r>
      <w:proofErr w:type="gramStart"/>
      <w:r w:rsidRPr="00515ED7">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λ</m:t>
            </m:r>
          </m:e>
          <m:sub>
            <m:r>
              <w:rPr>
                <w:rFonts w:ascii="Cambria Math" w:hAnsi="Cambria Math"/>
                <w:sz w:val="20"/>
                <w:vertAlign w:val="subscript"/>
              </w:rPr>
              <m:t>β</m:t>
            </m:r>
          </m:sub>
        </m:sSub>
      </m:oMath>
      <w:r w:rsidRPr="00515ED7">
        <w:rPr>
          <w:rFonts w:ascii="Book Antiqua" w:hAnsi="Book Antiqua"/>
          <w:sz w:val="20"/>
        </w:rPr>
        <w:t>, could then be considered to have the same form as for the alpha decay case, namely</w:t>
      </w:r>
    </w:p>
    <w:p w:rsidR="00796231" w:rsidRPr="003A1AA9" w:rsidRDefault="00796231" w:rsidP="00796231">
      <w:pPr>
        <w:ind w:firstLine="720"/>
        <w:jc w:val="both"/>
        <w:rPr>
          <w:rFonts w:ascii="Book Antiqua" w:hAnsi="Book Antiqua"/>
        </w:rPr>
      </w:pPr>
    </w:p>
    <w:p w:rsidR="00796231" w:rsidRPr="003A1AA9" w:rsidRDefault="00796231"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β</m:t>
            </m:r>
          </m:sub>
        </m:sSub>
        <m:r>
          <w:rPr>
            <w:rFonts w:ascii="Cambria Math" w:hAnsi="Book Antiqua"/>
          </w:rPr>
          <m:t xml:space="preserve"> = </m:t>
        </m:r>
        <m:r>
          <w:rPr>
            <w:rFonts w:ascii="Cambria Math" w:hAnsi="Cambria Math"/>
          </w:rPr>
          <m:t>Pv</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i/>
        </w:rPr>
        <w:t>(6)</w:t>
      </w:r>
    </w:p>
    <w:p w:rsidR="00C77CC0" w:rsidRDefault="00C77CC0" w:rsidP="00796231">
      <w:pPr>
        <w:pStyle w:val="NoSpacing"/>
        <w:jc w:val="both"/>
        <w:rPr>
          <w:rFonts w:ascii="Book Antiqua" w:hAnsi="Book Antiqua"/>
          <w:sz w:val="20"/>
        </w:rPr>
      </w:pPr>
    </w:p>
    <w:p w:rsidR="00796231" w:rsidRDefault="00796231" w:rsidP="00796231">
      <w:pPr>
        <w:pStyle w:val="NoSpacing"/>
        <w:jc w:val="both"/>
        <w:rPr>
          <w:rFonts w:ascii="Book Antiqua" w:hAnsi="Book Antiqua"/>
          <w:sz w:val="20"/>
        </w:rPr>
      </w:pPr>
      <w:r w:rsidRPr="00515ED7">
        <w:rPr>
          <w:rFonts w:ascii="Book Antiqua" w:hAnsi="Book Antiqua"/>
          <w:sz w:val="20"/>
        </w:rPr>
        <w:t>In (6), since both</w:t>
      </w:r>
      <m:oMath>
        <m:r>
          <w:rPr>
            <w:rFonts w:ascii="Cambria Math" w:hAnsi="Book Antiqua"/>
            <w:sz w:val="20"/>
          </w:rPr>
          <m:t xml:space="preserve"> </m:t>
        </m:r>
        <m:r>
          <w:rPr>
            <w:rFonts w:ascii="Cambria Math" w:hAnsi="Cambria Math"/>
            <w:sz w:val="20"/>
          </w:rPr>
          <m:t>P</m:t>
        </m:r>
      </m:oMath>
      <w:r w:rsidRPr="00515ED7">
        <w:rPr>
          <w:rFonts w:ascii="Book Antiqua" w:hAnsi="Book Antiqua"/>
          <w:sz w:val="20"/>
        </w:rPr>
        <w:t xml:space="preserve"> and </w:t>
      </w:r>
      <m:oMath>
        <m:r>
          <w:rPr>
            <w:rFonts w:ascii="Cambria Math" w:hAnsi="Cambria Math"/>
            <w:sz w:val="20"/>
          </w:rPr>
          <m:t>r</m:t>
        </m:r>
      </m:oMath>
      <w:r w:rsidRPr="00515ED7">
        <w:rPr>
          <w:rFonts w:ascii="Book Antiqua" w:hAnsi="Book Antiqua"/>
          <w:sz w:val="20"/>
        </w:rPr>
        <w:t xml:space="preserve"> are constant quantities, the decay constant is again dependent upon particle velocity, </w:t>
      </w:r>
      <m:oMath>
        <m:r>
          <w:rPr>
            <w:rFonts w:ascii="Cambria Math" w:hAnsi="Cambria Math"/>
            <w:sz w:val="20"/>
          </w:rPr>
          <m:t>v</m:t>
        </m:r>
      </m:oMath>
      <w:r w:rsidRPr="00515ED7">
        <w:rPr>
          <w:rFonts w:ascii="Book Antiqua" w:hAnsi="Book Antiqua"/>
          <w:sz w:val="20"/>
        </w:rPr>
        <w:t xml:space="preserve"> which is inversely proportional to the ZPE strength, </w:t>
      </w:r>
      <m:oMath>
        <m:r>
          <w:rPr>
            <w:rFonts w:ascii="Cambria Math" w:hAnsi="Cambria Math"/>
            <w:sz w:val="20"/>
          </w:rPr>
          <m:t>U</m:t>
        </m:r>
      </m:oMath>
      <w:r w:rsidRPr="00515ED7">
        <w:rPr>
          <w:rFonts w:ascii="Book Antiqua" w:hAnsi="Book Antiqua"/>
          <w:sz w:val="20"/>
        </w:rPr>
        <w:t>.</w:t>
      </w:r>
    </w:p>
    <w:p w:rsidR="00796231" w:rsidRPr="00515ED7" w:rsidRDefault="00796231" w:rsidP="00796231">
      <w:pPr>
        <w:pStyle w:val="NoSpacing"/>
        <w:jc w:val="both"/>
        <w:rPr>
          <w:rFonts w:ascii="Book Antiqua" w:hAnsi="Book Antiqua"/>
          <w:sz w:val="20"/>
        </w:rPr>
      </w:pPr>
    </w:p>
    <w:p w:rsidR="00796231" w:rsidRPr="002C11EB" w:rsidRDefault="00796231" w:rsidP="00796231">
      <w:pPr>
        <w:pStyle w:val="NormalWeb"/>
        <w:numPr>
          <w:ilvl w:val="0"/>
          <w:numId w:val="66"/>
        </w:numPr>
        <w:spacing w:before="0" w:beforeAutospacing="0" w:after="240" w:afterAutospacing="0" w:line="210" w:lineRule="atLeast"/>
        <w:jc w:val="both"/>
        <w:rPr>
          <w:rFonts w:ascii="Book Antiqua" w:hAnsi="Book Antiqua"/>
          <w:b/>
          <w:sz w:val="20"/>
          <w:szCs w:val="20"/>
        </w:rPr>
      </w:pPr>
      <w:r w:rsidRPr="002C11EB">
        <w:rPr>
          <w:rFonts w:ascii="Book Antiqua" w:hAnsi="Book Antiqua"/>
          <w:b/>
          <w:sz w:val="20"/>
          <w:szCs w:val="20"/>
        </w:rPr>
        <w:t>Electron or “K-Capture” Processes</w:t>
      </w: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Electron capture occurs when an electron from the innermost shell of orbiting electrons, the K shell, is captured by the nucleus, and a neutrino (a high energy particle with very little mass) is emitted. The proton which captured the electron becomes a neutron. Electron capture is likely to occur when there is an excess of protons.  Ordinarily, such proton-rich nuclei would correct the imbalance by a </w:t>
      </w:r>
      <m:oMath>
        <m:sSup>
          <m:sSupPr>
            <m:ctrlPr>
              <w:rPr>
                <w:rFonts w:ascii="Cambria Math" w:hAnsi="Book Antiqua"/>
                <w:i/>
                <w:sz w:val="20"/>
              </w:rPr>
            </m:ctrlPr>
          </m:sSupPr>
          <m:e>
            <m:r>
              <w:rPr>
                <w:rFonts w:ascii="Cambria Math" w:hAnsi="Cambria Math"/>
                <w:sz w:val="20"/>
              </w:rPr>
              <m:t>β</m:t>
            </m:r>
          </m:e>
          <m:sup>
            <m:r>
              <w:rPr>
                <w:rFonts w:ascii="Cambria Math" w:hAnsi="Book Antiqua"/>
                <w:sz w:val="20"/>
              </w:rPr>
              <m:t>+</m:t>
            </m:r>
          </m:sup>
        </m:sSup>
      </m:oMath>
      <w:r w:rsidRPr="00515ED7">
        <w:rPr>
          <w:rFonts w:ascii="Book Antiqua" w:hAnsi="Book Antiqua"/>
          <w:sz w:val="20"/>
        </w:rPr>
        <w:t xml:space="preserve"> decay process. However, in some of these cases, the energy difference between the initial and final states will be too small for a Beta decay to occur. In these cases the only possible way for the proton-rich nucleus to correct its imbalance is to capture an electron orbiting close to the nucleus. </w:t>
      </w:r>
    </w:p>
    <w:p w:rsidR="00796231" w:rsidRPr="003A1AA9" w:rsidRDefault="00796231" w:rsidP="00796231">
      <w:pPr>
        <w:pStyle w:val="NormalWeb"/>
        <w:spacing w:before="0" w:beforeAutospacing="0" w:after="240" w:afterAutospacing="0" w:line="210" w:lineRule="atLeast"/>
        <w:ind w:left="360"/>
        <w:jc w:val="both"/>
        <w:rPr>
          <w:rFonts w:ascii="Book Antiqua" w:hAnsi="Book Antiqua"/>
          <w:b/>
          <w:sz w:val="20"/>
          <w:szCs w:val="20"/>
        </w:rPr>
      </w:pPr>
    </w:p>
    <w:p w:rsidR="00796231" w:rsidRPr="003A1AA9" w:rsidRDefault="00796231" w:rsidP="00796231">
      <w:pPr>
        <w:pStyle w:val="Default"/>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2470712" cy="2857500"/>
            <wp:effectExtent l="19050" t="0" r="5788" b="0"/>
            <wp:docPr id="178" name="il_fi" descr="http://mail.rdcrd.ab.ca/~smolesky/Physics30/5Matter/MatterPics/radioactive%20decay/electron%20capture%20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il.rdcrd.ab.ca/~smolesky/Physics30/5Matter/MatterPics/radioactive%20decay/electron%20capture%20example.jpg"/>
                    <pic:cNvPicPr>
                      <a:picLocks noChangeAspect="1" noChangeArrowheads="1"/>
                    </pic:cNvPicPr>
                  </pic:nvPicPr>
                  <pic:blipFill>
                    <a:blip r:embed="rId973" cstate="print"/>
                    <a:srcRect r="-45" b="1965"/>
                    <a:stretch>
                      <a:fillRect/>
                    </a:stretch>
                  </pic:blipFill>
                  <pic:spPr bwMode="auto">
                    <a:xfrm>
                      <a:off x="0" y="0"/>
                      <a:ext cx="2481413" cy="2869876"/>
                    </a:xfrm>
                    <a:prstGeom prst="rect">
                      <a:avLst/>
                    </a:prstGeom>
                    <a:noFill/>
                    <a:ln w="9525">
                      <a:noFill/>
                      <a:miter lim="800000"/>
                      <a:headEnd/>
                      <a:tailEnd/>
                    </a:ln>
                  </pic:spPr>
                </pic:pic>
              </a:graphicData>
            </a:graphic>
          </wp:inline>
        </w:drawing>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Default"/>
        <w:rPr>
          <w:rFonts w:ascii="Book Antiqua" w:hAnsi="Book Antiqua"/>
          <w:sz w:val="20"/>
          <w:szCs w:val="20"/>
        </w:rPr>
      </w:pPr>
    </w:p>
    <w:p w:rsidR="00796231" w:rsidRPr="005830E6" w:rsidRDefault="00796231" w:rsidP="00796231">
      <w:pPr>
        <w:pStyle w:val="Default"/>
        <w:rPr>
          <w:rFonts w:ascii="Book Antiqua" w:hAnsi="Book Antiqua"/>
          <w:i/>
          <w:sz w:val="18"/>
          <w:szCs w:val="18"/>
        </w:rPr>
      </w:pPr>
      <w:r w:rsidRPr="005830E6">
        <w:rPr>
          <w:rFonts w:ascii="Book Antiqua" w:hAnsi="Book Antiqua"/>
          <w:b/>
          <w:i/>
          <w:sz w:val="18"/>
          <w:szCs w:val="18"/>
        </w:rPr>
        <w:t>Figure 4:</w:t>
      </w:r>
      <w:r w:rsidRPr="005830E6">
        <w:rPr>
          <w:rFonts w:ascii="Book Antiqua" w:hAnsi="Book Antiqua"/>
          <w:i/>
          <w:sz w:val="18"/>
          <w:szCs w:val="18"/>
        </w:rPr>
        <w:t xml:space="preserve"> Electron capture illustrated (1). One electron from the innermost or K shell is captured by a proton in the nucleus to form a neutron. This decreases the number of protons thereby reducing the pressure exerted on the nucleus by an excess of positive charges.</w:t>
      </w:r>
    </w:p>
    <w:p w:rsidR="00796231" w:rsidRPr="003A1AA9" w:rsidRDefault="00796231" w:rsidP="00796231">
      <w:pPr>
        <w:pStyle w:val="Default"/>
        <w:rPr>
          <w:rFonts w:ascii="Book Antiqua" w:hAnsi="Book Antiqua"/>
          <w:sz w:val="20"/>
          <w:szCs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drawing>
          <wp:inline distT="0" distB="0" distL="0" distR="0">
            <wp:extent cx="2847935" cy="2038350"/>
            <wp:effectExtent l="19050" t="0" r="0" b="0"/>
            <wp:docPr id="179" name="il_fi" descr="http://nuclearpowertraining.tpub.com/h1019v1/img/h1019v1_4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nuclearpowertraining.tpub.com/h1019v1/img/h1019v1_49_1.jpg"/>
                    <pic:cNvPicPr>
                      <a:picLocks noChangeAspect="1" noChangeArrowheads="1"/>
                    </pic:cNvPicPr>
                  </pic:nvPicPr>
                  <pic:blipFill>
                    <a:blip r:embed="rId974" cstate="print">
                      <a:lum contrast="-10000"/>
                    </a:blip>
                    <a:srcRect/>
                    <a:stretch>
                      <a:fillRect/>
                    </a:stretch>
                  </pic:blipFill>
                  <pic:spPr bwMode="auto">
                    <a:xfrm>
                      <a:off x="0" y="0"/>
                      <a:ext cx="2852736" cy="2041786"/>
                    </a:xfrm>
                    <a:prstGeom prst="rect">
                      <a:avLst/>
                    </a:prstGeom>
                    <a:noFill/>
                    <a:ln w="9525">
                      <a:noFill/>
                      <a:miter lim="800000"/>
                      <a:headEnd/>
                      <a:tailEnd/>
                    </a:ln>
                  </pic:spPr>
                </pic:pic>
              </a:graphicData>
            </a:graphic>
          </wp:inline>
        </w:drawing>
      </w:r>
    </w:p>
    <w:p w:rsidR="00796231" w:rsidRPr="005830E6" w:rsidRDefault="00796231" w:rsidP="00796231">
      <w:pPr>
        <w:pStyle w:val="NormalWeb"/>
        <w:rPr>
          <w:rFonts w:ascii="Book Antiqua" w:hAnsi="Book Antiqua"/>
          <w:i/>
          <w:sz w:val="18"/>
          <w:szCs w:val="18"/>
        </w:rPr>
      </w:pPr>
      <w:r w:rsidRPr="005830E6">
        <w:rPr>
          <w:rFonts w:ascii="Book Antiqua" w:hAnsi="Book Antiqua"/>
          <w:b/>
          <w:i/>
          <w:sz w:val="18"/>
          <w:szCs w:val="18"/>
        </w:rPr>
        <w:t>Figure 5:</w:t>
      </w:r>
      <w:r w:rsidRPr="005830E6">
        <w:rPr>
          <w:rFonts w:ascii="Book Antiqua" w:hAnsi="Book Antiqua"/>
          <w:i/>
          <w:sz w:val="18"/>
          <w:szCs w:val="18"/>
        </w:rPr>
        <w:t xml:space="preserve"> Electron capture illustrated (2). An electron is taken from the K shell by the nucleus. This leaves a gap in the K shell. This gap is filled by an electron falling into the K shell from an orbit further out. As it does this, the electron gives up its excess energy as an X-ray.</w:t>
      </w: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 xml:space="preserve">Although the standard Bohr picture of the electron orbit portrays it as circular, in actual fact a better picture is one where these orbits may be considered as being elliptical with the nucleus at the focus of the ellipse. Arnold J. W. Sommerfeld pointed this out in 1916. Thus with an elliptical orbit, there are times in each circuit when the electron is closer to the nucleus than the rest of the orbit and is open to capture. This electron is usually from the K shell, which is closest to the nucleus. This is why it is often called a K-Capture process. </w:t>
      </w:r>
    </w:p>
    <w:p w:rsidR="00796231" w:rsidRPr="00515ED7" w:rsidRDefault="00796231" w:rsidP="00796231">
      <w:pPr>
        <w:pStyle w:val="NoSpacing"/>
        <w:ind w:firstLine="720"/>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 xml:space="preserve">All radio decay processes go from a high energy state to a lower energy state.  In the case of the K-Capture process, the released neutrino carries off much of the excess energy. However, if there is still an excess of energy after </w:t>
      </w:r>
      <w:r w:rsidRPr="00515ED7">
        <w:rPr>
          <w:rFonts w:ascii="Book Antiqua" w:hAnsi="Book Antiqua"/>
          <w:sz w:val="20"/>
        </w:rPr>
        <w:lastRenderedPageBreak/>
        <w:t>that, it is usually given off as an additional gamma ray, which is pure energy. Furthermore, since there is now an electron missing in the inner shell, an electron from further out falls into the K shell to make up the deficit. In so doing it, too, gives up extra energy.  This energy normally appears as an X-ray.  The process is illustrated in Figures 4 and 5.</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515ED7">
        <w:rPr>
          <w:rFonts w:ascii="Book Antiqua" w:hAnsi="Book Antiqua"/>
          <w:sz w:val="20"/>
        </w:rPr>
        <w:t>In a similar way to which Beta decay was expressed in terms of the picture presented for Alpha decay, we can also do something similar with electron capture. This presents a simplified picture in the following terms:</w:t>
      </w:r>
    </w:p>
    <w:p w:rsidR="00796231" w:rsidRDefault="00796231" w:rsidP="00796231">
      <w:pPr>
        <w:pStyle w:val="NoSpacing"/>
        <w:jc w:val="both"/>
        <w:rPr>
          <w:rFonts w:ascii="Book Antiqua" w:hAnsi="Book Antiqua"/>
          <w:sz w:val="20"/>
        </w:rPr>
      </w:pPr>
    </w:p>
    <w:p w:rsidR="00796231" w:rsidRPr="00515ED7" w:rsidRDefault="00796231" w:rsidP="00796231">
      <w:pPr>
        <w:pStyle w:val="NoSpacing"/>
        <w:ind w:firstLine="720"/>
        <w:jc w:val="both"/>
        <w:rPr>
          <w:rFonts w:ascii="Book Antiqua" w:hAnsi="Book Antiqua"/>
          <w:sz w:val="20"/>
        </w:rPr>
      </w:pPr>
      <w:r w:rsidRPr="00515ED7">
        <w:rPr>
          <w:rFonts w:ascii="Book Antiqua" w:hAnsi="Book Antiqua"/>
          <w:sz w:val="20"/>
        </w:rPr>
        <w:t>For electron capture, there is an excess of protons in the nucleus which attract the closest orbiting electrons, usually in the K shell. Again, for this picture of the process, we accept that the electron orbits are elliptical with the nucleus at one focus. Therefore, once each orbit, the innermost electron</w:t>
      </w:r>
      <w:r>
        <w:rPr>
          <w:rFonts w:ascii="Book Antiqua" w:hAnsi="Book Antiqua"/>
          <w:sz w:val="20"/>
        </w:rPr>
        <w:t>s</w:t>
      </w:r>
      <w:r w:rsidRPr="00515ED7">
        <w:rPr>
          <w:rFonts w:ascii="Book Antiqua" w:hAnsi="Book Antiqua"/>
          <w:sz w:val="20"/>
        </w:rPr>
        <w:t xml:space="preserve"> come very close to the nucleus.</w:t>
      </w:r>
      <w:r>
        <w:rPr>
          <w:rFonts w:ascii="Book Antiqua" w:hAnsi="Book Antiqua"/>
          <w:sz w:val="20"/>
        </w:rPr>
        <w:t xml:space="preserve">  The electrostatic forces of attraction are unchanged, but w</w:t>
      </w:r>
      <w:r w:rsidRPr="00515ED7">
        <w:rPr>
          <w:rFonts w:ascii="Book Antiqua" w:hAnsi="Book Antiqua"/>
          <w:sz w:val="20"/>
        </w:rPr>
        <w:t>hen the ZPE is lower, electron masses were also lower, proportional to</w:t>
      </w:r>
      <m:oMath>
        <m:r>
          <w:rPr>
            <w:rFonts w:ascii="Cambria Math" w:hAnsi="Book Antiqua"/>
            <w:sz w:val="20"/>
          </w:rPr>
          <m:t xml:space="preserve"> 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 xml:space="preserve"> , </w:t>
      </w:r>
      <w:proofErr w:type="gramStart"/>
      <w:r w:rsidRPr="00515ED7">
        <w:rPr>
          <w:rFonts w:ascii="Book Antiqua" w:hAnsi="Book Antiqua"/>
          <w:sz w:val="20"/>
        </w:rPr>
        <w:t xml:space="preserve">or </w:t>
      </w:r>
      <m:oMath>
        <w:proofErr w:type="gramEnd"/>
        <m:sSup>
          <m:sSupPr>
            <m:ctrlPr>
              <w:rPr>
                <w:rFonts w:ascii="Cambria Math" w:eastAsiaTheme="minorHAnsi" w:hAnsi="Book Antiqua" w:cstheme="minorBidi"/>
                <w:i/>
                <w:sz w:val="20"/>
              </w:rPr>
            </m:ctrlPr>
          </m:sSupPr>
          <m:e>
            <m:r>
              <w:rPr>
                <w:rFonts w:ascii="Cambria Math" w:hAnsi="Cambria Math"/>
                <w:sz w:val="20"/>
              </w:rPr>
              <m:t>U</m:t>
            </m:r>
          </m:e>
          <m:sup>
            <m:r>
              <w:rPr>
                <w:rFonts w:ascii="Cambria Math" w:hAnsi="Book Antiqua"/>
                <w:sz w:val="20"/>
              </w:rPr>
              <m:t>2</m:t>
            </m:r>
          </m:sup>
        </m:sSup>
      </m:oMath>
      <w:r w:rsidRPr="00515ED7">
        <w:rPr>
          <w:rFonts w:ascii="Book Antiqua" w:eastAsiaTheme="minorEastAsia" w:hAnsi="Book Antiqua"/>
          <w:sz w:val="20"/>
        </w:rPr>
        <w:t xml:space="preserve">. </w:t>
      </w:r>
      <w:r>
        <w:rPr>
          <w:rFonts w:ascii="Book Antiqua" w:eastAsiaTheme="minorEastAsia" w:hAnsi="Book Antiqua"/>
          <w:sz w:val="20"/>
        </w:rPr>
        <w:t>T</w:t>
      </w:r>
      <w:r w:rsidRPr="00515ED7">
        <w:rPr>
          <w:rFonts w:ascii="Book Antiqua" w:eastAsiaTheme="minorEastAsia" w:hAnsi="Book Antiqua"/>
          <w:sz w:val="20"/>
        </w:rPr>
        <w:t>his means that</w:t>
      </w:r>
      <w:r w:rsidRPr="00515ED7">
        <w:rPr>
          <w:rFonts w:ascii="Book Antiqua" w:hAnsi="Book Antiqua"/>
          <w:sz w:val="20"/>
        </w:rPr>
        <w:t xml:space="preserve"> the attract</w:t>
      </w:r>
      <w:r>
        <w:rPr>
          <w:rFonts w:ascii="Book Antiqua" w:hAnsi="Book Antiqua"/>
          <w:sz w:val="20"/>
        </w:rPr>
        <w:t>ive force per particle</w:t>
      </w:r>
      <w:proofErr w:type="gramStart"/>
      <w:r>
        <w:rPr>
          <w:rFonts w:ascii="Book Antiqua" w:hAnsi="Book Antiqua"/>
          <w:sz w:val="20"/>
        </w:rPr>
        <w:t xml:space="preserve">, </w:t>
      </w:r>
      <m:oMath>
        <w:proofErr w:type="gramEnd"/>
        <m:r>
          <w:rPr>
            <w:rFonts w:ascii="Cambria Math" w:hAnsi="Cambria Math"/>
            <w:sz w:val="20"/>
          </w:rPr>
          <m:t>F</m:t>
        </m:r>
        <m:r>
          <w:rPr>
            <w:rFonts w:ascii="Cambria Math" w:hAnsi="Book Antiqua"/>
            <w:sz w:val="20"/>
          </w:rPr>
          <m:t>/</m:t>
        </m:r>
        <m:r>
          <w:rPr>
            <w:rFonts w:ascii="Cambria Math" w:hAnsi="Cambria Math"/>
            <w:sz w:val="20"/>
          </w:rPr>
          <m:t>m</m:t>
        </m:r>
      </m:oMath>
      <w:r>
        <w:rPr>
          <w:rFonts w:ascii="Book Antiqua" w:hAnsi="Book Antiqua"/>
          <w:sz w:val="20"/>
        </w:rPr>
        <w:t>,</w:t>
      </w:r>
      <w:r w:rsidRPr="00515ED7">
        <w:rPr>
          <w:rFonts w:ascii="Book Antiqua" w:hAnsi="Book Antiqua"/>
          <w:sz w:val="20"/>
        </w:rPr>
        <w:t xml:space="preserve"> w</w:t>
      </w:r>
      <w:r>
        <w:rPr>
          <w:rFonts w:ascii="Book Antiqua" w:hAnsi="Book Antiqua"/>
          <w:sz w:val="20"/>
        </w:rPr>
        <w:t>as</w:t>
      </w:r>
      <w:r w:rsidRPr="00515ED7">
        <w:rPr>
          <w:rFonts w:ascii="Book Antiqua" w:hAnsi="Book Antiqua"/>
          <w:sz w:val="20"/>
        </w:rPr>
        <w:t xml:space="preserve"> effectively stronger for each electron in the K shell</w:t>
      </w:r>
      <w:r>
        <w:rPr>
          <w:rFonts w:ascii="Book Antiqua" w:hAnsi="Book Antiqua"/>
          <w:sz w:val="20"/>
        </w:rPr>
        <w:t xml:space="preserve">, being </w:t>
      </w:r>
      <w:r w:rsidRPr="00515ED7">
        <w:rPr>
          <w:rFonts w:ascii="Book Antiqua" w:hAnsi="Book Antiqua"/>
          <w:sz w:val="20"/>
        </w:rPr>
        <w:t xml:space="preserve">proportional to </w:t>
      </w:r>
      <m:oMath>
        <m:sSup>
          <m:sSupPr>
            <m:ctrlPr>
              <w:rPr>
                <w:rFonts w:ascii="Cambria Math" w:eastAsiaTheme="minorHAnsi" w:hAnsi="Book Antiqua" w:cstheme="minorBidi"/>
                <w:i/>
                <w:sz w:val="20"/>
              </w:rPr>
            </m:ctrlPr>
          </m:sSupPr>
          <m:e>
            <m:r>
              <w:rPr>
                <w:rFonts w:ascii="Cambria Math" w:hAnsi="Cambria Math"/>
                <w:sz w:val="20"/>
              </w:rPr>
              <m:t>c</m:t>
            </m:r>
          </m:e>
          <m:sup>
            <m:r>
              <w:rPr>
                <w:rFonts w:ascii="Cambria Math" w:hAnsi="Book Antiqua"/>
                <w:sz w:val="20"/>
              </w:rPr>
              <m:t>2</m:t>
            </m:r>
          </m:sup>
        </m:sSup>
      </m:oMath>
      <w:r w:rsidRPr="00515ED7">
        <w:rPr>
          <w:rFonts w:ascii="Book Antiqua" w:hAnsi="Book Antiqua"/>
          <w:sz w:val="20"/>
        </w:rPr>
        <w:t>.</w:t>
      </w:r>
      <w:r>
        <w:rPr>
          <w:rFonts w:ascii="Book Antiqua" w:hAnsi="Book Antiqua"/>
          <w:sz w:val="20"/>
        </w:rPr>
        <w:t xml:space="preserve">  Since electron velocities were higher, this means that the particle spent a shorter time in the vicinity of the nucleus, proportional </w:t>
      </w:r>
      <w:proofErr w:type="gramStart"/>
      <w:r>
        <w:rPr>
          <w:rFonts w:ascii="Book Antiqua" w:hAnsi="Book Antiqua"/>
          <w:sz w:val="20"/>
        </w:rPr>
        <w:t xml:space="preserve">to </w:t>
      </w:r>
      <m:oMath>
        <w:proofErr w:type="gramEnd"/>
        <m:r>
          <w:rPr>
            <w:rFonts w:ascii="Cambria Math" w:hAnsi="Cambria Math"/>
            <w:sz w:val="20"/>
          </w:rPr>
          <m:t>1/c</m:t>
        </m:r>
      </m:oMath>
      <w:r>
        <w:rPr>
          <w:rFonts w:ascii="Book Antiqua" w:hAnsi="Book Antiqua"/>
          <w:sz w:val="20"/>
        </w:rPr>
        <w:t xml:space="preserve">. This means that the electron’s chances of being captured by the nucleus per unit time were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If we label this chance of capture per unit time as</w:t>
      </w:r>
      <m:oMath>
        <m:r>
          <w:rPr>
            <w:rFonts w:ascii="Cambria Math" w:hAnsi="Cambria Math"/>
            <w:sz w:val="20"/>
          </w:rPr>
          <m:t xml:space="preserve"> P</m:t>
        </m:r>
      </m:oMath>
      <w:r>
        <w:rPr>
          <w:rFonts w:ascii="Book Antiqua" w:hAnsi="Book Antiqua"/>
          <w:sz w:val="20"/>
        </w:rPr>
        <w:t xml:space="preserve">, then </w:t>
      </w:r>
      <m:oMath>
        <m:r>
          <w:rPr>
            <w:rFonts w:ascii="Cambria Math" w:hAnsi="Cambria Math"/>
            <w:sz w:val="20"/>
          </w:rPr>
          <m:t>P</m:t>
        </m:r>
      </m:oMath>
      <w:r>
        <w:rPr>
          <w:rFonts w:ascii="Book Antiqua" w:hAnsi="Book Antiqua"/>
          <w:sz w:val="20"/>
        </w:rPr>
        <w:t xml:space="preserve"> is proportional to </w:t>
      </w:r>
      <m:oMath>
        <m:r>
          <w:rPr>
            <w:rFonts w:ascii="Cambria Math" w:hAnsi="Cambria Math"/>
            <w:sz w:val="20"/>
          </w:rPr>
          <m:t>c</m:t>
        </m:r>
      </m:oMath>
      <w:r w:rsidRPr="00515ED7">
        <w:rPr>
          <w:rFonts w:ascii="Book Antiqua" w:hAnsi="Book Antiqua"/>
          <w:sz w:val="20"/>
        </w:rPr>
        <w:t xml:space="preserve"> or </w:t>
      </w:r>
      <m:oMath>
        <m:r>
          <w:rPr>
            <w:rFonts w:ascii="Cambria Math" w:hAnsi="Book Antiqua"/>
            <w:sz w:val="20"/>
          </w:rPr>
          <m:t>1/</m:t>
        </m:r>
        <m:r>
          <w:rPr>
            <w:rFonts w:ascii="Cambria Math" w:hAnsi="Cambria Math"/>
            <w:sz w:val="20"/>
          </w:rPr>
          <m:t>U</m:t>
        </m:r>
      </m:oMath>
      <w:r w:rsidRPr="00515ED7">
        <w:rPr>
          <w:rFonts w:ascii="Book Antiqua" w:hAnsi="Book Antiqua"/>
          <w:i/>
          <w:sz w:val="20"/>
        </w:rPr>
        <w:t xml:space="preserve"> </w:t>
      </w:r>
      <w:proofErr w:type="gramStart"/>
      <w:r w:rsidRPr="00515ED7">
        <w:rPr>
          <w:rFonts w:ascii="Book Antiqua" w:hAnsi="Book Antiqua"/>
          <w:sz w:val="20"/>
        </w:rPr>
        <w:t>or</w:t>
      </w:r>
      <w:r w:rsidRPr="00515ED7">
        <w:rPr>
          <w:rFonts w:ascii="Book Antiqua" w:hAnsi="Book Antiqua"/>
          <w:i/>
          <w:sz w:val="20"/>
        </w:rPr>
        <w:t xml:space="preserve"> </w:t>
      </w:r>
      <m:oMath>
        <w:proofErr w:type="gramEnd"/>
        <m:r>
          <w:rPr>
            <w:rFonts w:ascii="Cambria Math" w:hAnsi="Book Antiqua"/>
            <w:sz w:val="20"/>
          </w:rPr>
          <m:t>1/</m:t>
        </m:r>
        <m:r>
          <w:rPr>
            <w:rFonts w:ascii="Cambria Math" w:hAnsi="Cambria Math"/>
            <w:sz w:val="20"/>
          </w:rPr>
          <m:t>h</m:t>
        </m:r>
      </m:oMath>
      <w:r w:rsidRPr="00515ED7">
        <w:rPr>
          <w:rFonts w:ascii="Book Antiqua" w:hAnsi="Book Antiqua"/>
          <w:sz w:val="20"/>
        </w:rPr>
        <w:t>.</w:t>
      </w:r>
      <w:r>
        <w:rPr>
          <w:rFonts w:ascii="Book Antiqua" w:hAnsi="Book Antiqua"/>
          <w:sz w:val="20"/>
        </w:rPr>
        <w:t xml:space="preserve"> The only other factor involved is the distance of the electron from the nuclear potential well</w:t>
      </w:r>
      <w:proofErr w:type="gramStart"/>
      <w:r>
        <w:rPr>
          <w:rFonts w:ascii="Book Antiqua" w:hAnsi="Book Antiqua"/>
          <w:sz w:val="20"/>
        </w:rPr>
        <w:t xml:space="preserve">, </w:t>
      </w:r>
      <m:oMath>
        <w:proofErr w:type="gramEnd"/>
        <m:r>
          <w:rPr>
            <w:rFonts w:ascii="Cambria Math" w:hAnsi="Cambria Math"/>
            <w:sz w:val="20"/>
          </w:rPr>
          <m:t>r</m:t>
        </m:r>
      </m:oMath>
      <w:r>
        <w:rPr>
          <w:rFonts w:ascii="Book Antiqua" w:hAnsi="Book Antiqua"/>
          <w:sz w:val="20"/>
        </w:rPr>
        <w:t xml:space="preserve">. </w:t>
      </w:r>
      <w:r w:rsidRPr="00515ED7">
        <w:rPr>
          <w:rFonts w:ascii="Book Antiqua" w:hAnsi="Book Antiqua"/>
          <w:sz w:val="20"/>
        </w:rPr>
        <w:t>As a consequence</w:t>
      </w:r>
      <w:r>
        <w:rPr>
          <w:rFonts w:ascii="Book Antiqua" w:hAnsi="Book Antiqua"/>
          <w:sz w:val="20"/>
        </w:rPr>
        <w:t xml:space="preserve"> we can</w:t>
      </w:r>
      <w:r w:rsidRPr="00515ED7">
        <w:rPr>
          <w:rFonts w:ascii="Book Antiqua" w:hAnsi="Book Antiqua"/>
          <w:sz w:val="20"/>
        </w:rPr>
        <w:t xml:space="preserve"> write that for electron capture,</w:t>
      </w:r>
    </w:p>
    <w:p w:rsidR="00796231" w:rsidRPr="003A1AA9" w:rsidRDefault="00796231" w:rsidP="00796231">
      <w:pPr>
        <w:ind w:firstLine="720"/>
        <w:jc w:val="both"/>
        <w:rPr>
          <w:rFonts w:ascii="Book Antiqua" w:hAnsi="Book Antiqua"/>
        </w:rPr>
      </w:pPr>
    </w:p>
    <w:p w:rsidR="00796231" w:rsidRPr="003A1AA9" w:rsidRDefault="00796231" w:rsidP="00796231">
      <w:pPr>
        <w:ind w:firstLine="720"/>
        <w:jc w:val="right"/>
        <w:rPr>
          <w:rFonts w:ascii="Book Antiqua" w:hAnsi="Book Antiqua"/>
        </w:rPr>
      </w:pPr>
      <m:oMath>
        <m:sSub>
          <m:sSubPr>
            <m:ctrlPr>
              <w:rPr>
                <w:rFonts w:ascii="Cambria Math" w:hAnsi="Book Antiqua"/>
                <w:i/>
              </w:rPr>
            </m:ctrlPr>
          </m:sSubPr>
          <m:e>
            <m:r>
              <w:rPr>
                <w:rFonts w:ascii="Cambria Math" w:hAnsi="Cambria Math"/>
              </w:rPr>
              <m:t>λ</m:t>
            </m:r>
          </m:e>
          <m:sub>
            <m:r>
              <w:rPr>
                <w:rFonts w:ascii="Cambria Math" w:hAnsi="Cambria Math"/>
                <w:vertAlign w:val="subscript"/>
              </w:rPr>
              <m:t>ec</m:t>
            </m:r>
          </m:sub>
        </m:sSub>
        <m:r>
          <w:rPr>
            <w:rFonts w:ascii="Cambria Math" w:hAnsi="Book Antiqua"/>
          </w:rPr>
          <m:t xml:space="preserve"> = </m:t>
        </m:r>
        <m:r>
          <w:rPr>
            <w:rFonts w:ascii="Cambria Math" w:hAnsi="Cambria Math"/>
          </w:rPr>
          <m:t>P</m:t>
        </m:r>
        <m:r>
          <w:rPr>
            <w:rFonts w:ascii="Cambria Math" w:hAnsi="Book Antiqua"/>
          </w:rPr>
          <m:t>/</m:t>
        </m:r>
        <m:r>
          <w:rPr>
            <w:rFonts w:ascii="Cambria Math" w:hAnsi="Cambria Math"/>
          </w:rPr>
          <m:t>r</m:t>
        </m:r>
        <m:r>
          <w:rPr>
            <w:rFonts w:ascii="Cambria Math" w:hAnsi="Book Antiqua"/>
          </w:rPr>
          <m:t xml:space="preserve"> ~ 1/</m:t>
        </m:r>
        <m:r>
          <w:rPr>
            <w:rFonts w:ascii="Cambria Math" w:hAnsi="Cambria Math"/>
          </w:rPr>
          <m:t>U</m:t>
        </m:r>
      </m:oMath>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rPr>
        <w:tab/>
      </w:r>
      <w:r w:rsidRPr="003A1AA9">
        <w:rPr>
          <w:rFonts w:ascii="Book Antiqua" w:hAnsi="Book Antiqua"/>
          <w:i/>
        </w:rPr>
        <w:t>(7)</w:t>
      </w:r>
    </w:p>
    <w:p w:rsidR="00796231" w:rsidRPr="003A1AA9" w:rsidRDefault="00796231" w:rsidP="00796231">
      <w:pPr>
        <w:ind w:firstLine="720"/>
        <w:jc w:val="both"/>
        <w:rPr>
          <w:rFonts w:ascii="Book Antiqua" w:hAnsi="Book Antiqua"/>
        </w:rPr>
      </w:pPr>
    </w:p>
    <w:p w:rsidR="00796231" w:rsidRDefault="00796231" w:rsidP="00796231">
      <w:pPr>
        <w:pStyle w:val="NoSpacing"/>
        <w:jc w:val="both"/>
        <w:rPr>
          <w:rFonts w:ascii="Book Antiqua" w:hAnsi="Book Antiqua"/>
          <w:sz w:val="20"/>
        </w:rPr>
      </w:pPr>
      <w:r w:rsidRPr="007B001B">
        <w:rPr>
          <w:rFonts w:ascii="Book Antiqua" w:hAnsi="Book Antiqua"/>
          <w:sz w:val="20"/>
        </w:rPr>
        <w:t>In (7), it can be seen that the capture rate depends on the probability of capture</w:t>
      </w:r>
      <w:proofErr w:type="gramStart"/>
      <w:r w:rsidRPr="007B001B">
        <w:rPr>
          <w:rFonts w:ascii="Book Antiqua" w:hAnsi="Book Antiqua"/>
          <w:sz w:val="20"/>
        </w:rPr>
        <w:t xml:space="preserve">, </w:t>
      </w:r>
      <m:oMath>
        <w:proofErr w:type="gramEnd"/>
        <m:r>
          <w:rPr>
            <w:rFonts w:ascii="Cambria Math" w:hAnsi="Cambria Math"/>
            <w:sz w:val="20"/>
          </w:rPr>
          <m:t>P</m:t>
        </m:r>
      </m:oMath>
      <w:r w:rsidRPr="007B001B">
        <w:rPr>
          <w:rFonts w:ascii="Book Antiqua" w:hAnsi="Book Antiqua"/>
          <w:sz w:val="20"/>
        </w:rPr>
        <w:t xml:space="preserve">, </w:t>
      </w:r>
      <w:r>
        <w:rPr>
          <w:rFonts w:ascii="Book Antiqua" w:hAnsi="Book Antiqua"/>
          <w:sz w:val="20"/>
        </w:rPr>
        <w:t xml:space="preserve">and the closest approach distance </w:t>
      </w:r>
      <m:oMath>
        <m:r>
          <w:rPr>
            <w:rFonts w:ascii="Cambria Math" w:hAnsi="Cambria Math"/>
            <w:sz w:val="20"/>
          </w:rPr>
          <m:t>r</m:t>
        </m:r>
      </m:oMath>
      <w:r>
        <w:rPr>
          <w:rFonts w:ascii="Book Antiqua" w:hAnsi="Book Antiqua"/>
          <w:sz w:val="20"/>
        </w:rPr>
        <w:t xml:space="preserve">, </w:t>
      </w:r>
      <w:r w:rsidRPr="007B001B">
        <w:rPr>
          <w:rFonts w:ascii="Book Antiqua" w:hAnsi="Book Antiqua"/>
          <w:sz w:val="20"/>
        </w:rPr>
        <w:t>which is a constant quantity</w:t>
      </w:r>
      <w:r>
        <w:rPr>
          <w:rFonts w:ascii="Book Antiqua" w:hAnsi="Book Antiqua"/>
          <w:sz w:val="20"/>
        </w:rPr>
        <w:t xml:space="preserve">.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 </w:t>
      </w:r>
      <w:r w:rsidRPr="007B001B">
        <w:rPr>
          <w:rFonts w:ascii="Book Antiqua" w:hAnsi="Book Antiqua"/>
          <w:sz w:val="20"/>
        </w:rPr>
        <w:tab/>
        <w:t>An alternative, and accepted, model for describing electron capture is given by Burcham whose equation is [6]:</w:t>
      </w:r>
    </w:p>
    <w:p w:rsidR="00796231" w:rsidRPr="003A1AA9" w:rsidRDefault="00796231" w:rsidP="00796231">
      <w:pPr>
        <w:pStyle w:val="NormalWeb"/>
        <w:jc w:val="right"/>
        <w:rPr>
          <w:rFonts w:ascii="Book Antiqua" w:hAnsi="Book Antiqua"/>
          <w:sz w:val="20"/>
          <w:szCs w:val="20"/>
        </w:rPr>
      </w:pPr>
      <m:oMath>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f</m:t>
        </m:r>
        <m:r>
          <w:rPr>
            <w:rFonts w:ascii="Cambria Math" w:hAnsi="Book Antiqua"/>
            <w:sz w:val="20"/>
            <w:szCs w:val="20"/>
          </w:rPr>
          <m:t>(2</m:t>
        </m:r>
        <m:sSup>
          <m:sSupPr>
            <m:ctrlPr>
              <w:rPr>
                <w:rFonts w:ascii="Cambria Math" w:hAnsi="Book Antiqua"/>
                <w:i/>
                <w:sz w:val="20"/>
                <w:szCs w:val="20"/>
              </w:rPr>
            </m:ctrlPr>
          </m:sSupPr>
          <m:e>
            <m:r>
              <w:rPr>
                <w:rFonts w:ascii="Cambria Math" w:hAnsi="Cambria Math"/>
                <w:sz w:val="20"/>
                <w:szCs w:val="20"/>
              </w:rPr>
              <m:t>π</m:t>
            </m:r>
          </m:e>
          <m:sup>
            <m:r>
              <w:rPr>
                <w:rFonts w:ascii="Cambria Math" w:hAnsi="Book Antiqua"/>
                <w:sz w:val="20"/>
                <w:szCs w:val="20"/>
              </w:rPr>
              <m:t>3</m:t>
            </m:r>
          </m:sup>
        </m:sSup>
        <m:r>
          <w:rPr>
            <w:rFonts w:ascii="Cambria Math" w:hAnsi="Book Antiqua"/>
            <w:sz w:val="20"/>
            <w:szCs w:val="20"/>
          </w:rPr>
          <m:t>)</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(8)</w:t>
      </w:r>
    </w:p>
    <w:p w:rsidR="00796231" w:rsidRPr="007B001B" w:rsidRDefault="00796231" w:rsidP="00796231">
      <w:pPr>
        <w:pStyle w:val="NoSpacing"/>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same quantity as in (4) and remains unchanged; </w:t>
      </w:r>
      <m:oMath>
        <m:r>
          <w:rPr>
            <w:rStyle w:val="Emphasis"/>
            <w:rFonts w:ascii="Cambria Math" w:hAnsi="Cambria Math"/>
            <w:sz w:val="20"/>
          </w:rPr>
          <m:t>f</m:t>
        </m:r>
        <m:r>
          <w:rPr>
            <w:rStyle w:val="Emphasis"/>
            <w:rFonts w:ascii="Cambria Math" w:hAnsi="Book Antiqua"/>
            <w:sz w:val="20"/>
          </w:rPr>
          <m:t xml:space="preserve"> </m:t>
        </m:r>
      </m:oMath>
      <w:r w:rsidRPr="007B001B">
        <w:rPr>
          <w:rFonts w:ascii="Book Antiqua" w:hAnsi="Book Antiqua"/>
          <w:sz w:val="20"/>
        </w:rPr>
        <w:t xml:space="preserve">is a function of the fine structure constant, the atomic number, </w:t>
      </w:r>
      <m:oMath>
        <m:r>
          <w:rPr>
            <w:rStyle w:val="Emphasis"/>
            <w:rFonts w:ascii="Cambria Math" w:hAnsi="Cambria Math"/>
            <w:sz w:val="20"/>
          </w:rPr>
          <m:t>Z</m:t>
        </m:r>
      </m:oMath>
      <w:r w:rsidRPr="007B001B">
        <w:rPr>
          <w:rFonts w:ascii="Book Antiqua" w:hAnsi="Book Antiqua"/>
          <w:sz w:val="20"/>
        </w:rPr>
        <w:t xml:space="preserve">, and Coulomb energy, all of which remain unchanged with varying ZPE. The quantity </w:t>
      </w:r>
      <m:oMath>
        <m:sSup>
          <m:sSupPr>
            <m:ctrlPr>
              <w:rPr>
                <w:rStyle w:val="Emphasis"/>
                <w:rFonts w:ascii="Cambria Math" w:hAnsi="Book Antiqua"/>
                <w:sz w:val="20"/>
              </w:rPr>
            </m:ctrlPr>
          </m:sSupPr>
          <m:e>
            <m:r>
              <w:rPr>
                <w:rStyle w:val="Emphasis"/>
                <w:rFonts w:ascii="Cambria Math" w:hAnsi="Cambria Math"/>
                <w:sz w:val="20"/>
              </w:rPr>
              <m:t>K</m:t>
            </m:r>
          </m:e>
          <m:sup>
            <m:r>
              <w:rPr>
                <w:rStyle w:val="Emphasis"/>
                <w:rFonts w:ascii="Cambria Math" w:hAnsi="Book Antiqua"/>
                <w:sz w:val="20"/>
              </w:rPr>
              <m:t>2</m:t>
            </m:r>
          </m:sup>
        </m:sSup>
      </m:oMath>
      <w:r w:rsidRPr="007B001B">
        <w:rPr>
          <w:rStyle w:val="Emphasis"/>
          <w:rFonts w:ascii="Book Antiqua" w:hAnsi="Book Antiqua"/>
          <w:sz w:val="20"/>
          <w:vertAlign w:val="superscript"/>
        </w:rPr>
        <w:t xml:space="preserve"> </w:t>
      </w:r>
      <w:r w:rsidRPr="007B001B">
        <w:rPr>
          <w:rFonts w:ascii="Book Antiqua" w:hAnsi="Book Antiqua"/>
          <w:sz w:val="20"/>
        </w:rPr>
        <w:t xml:space="preserve">is defined by Burcham as </w:t>
      </w:r>
      <w:hyperlink r:id="rId975" w:anchor="4a182" w:history="1">
        <w:r w:rsidRPr="007B001B">
          <w:rPr>
            <w:rStyle w:val="Hyperlink"/>
            <w:rFonts w:ascii="Book Antiqua" w:hAnsi="Book Antiqua"/>
            <w:sz w:val="20"/>
          </w:rPr>
          <w:t>[7]</w:t>
        </w:r>
      </w:hyperlink>
      <w:r w:rsidRPr="007B001B">
        <w:rPr>
          <w:rFonts w:ascii="Book Antiqua" w:hAnsi="Book Antiqua"/>
          <w:sz w:val="20"/>
        </w:rPr>
        <w:t>:</w:t>
      </w:r>
    </w:p>
    <w:p w:rsidR="00796231" w:rsidRPr="003A1AA9" w:rsidRDefault="00796231"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g</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5</m:t>
            </m:r>
          </m:sup>
        </m:sSup>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4</m:t>
            </m:r>
          </m:sup>
        </m:sSup>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7</m:t>
            </m:r>
          </m:sup>
        </m:sSup>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(9)</w:t>
      </w:r>
    </w:p>
    <w:p w:rsidR="00796231" w:rsidRPr="007B001B" w:rsidRDefault="00796231" w:rsidP="00796231">
      <w:pPr>
        <w:pStyle w:val="NoSpacing"/>
        <w:jc w:val="both"/>
        <w:rPr>
          <w:rFonts w:ascii="Book Antiqua" w:hAnsi="Book Antiqua"/>
          <w:sz w:val="20"/>
        </w:rPr>
      </w:pPr>
      <w:proofErr w:type="gramStart"/>
      <w:r w:rsidRPr="007B001B">
        <w:rPr>
          <w:rFonts w:ascii="Book Antiqua" w:hAnsi="Book Antiqua"/>
          <w:sz w:val="20"/>
        </w:rPr>
        <w:t xml:space="preserve">where </w:t>
      </w:r>
      <m:oMath>
        <w:proofErr w:type="gramEnd"/>
        <m:r>
          <w:rPr>
            <w:rStyle w:val="Emphasis"/>
            <w:rFonts w:ascii="Cambria Math" w:hAnsi="Cambria Math"/>
            <w:sz w:val="20"/>
          </w:rPr>
          <m:t>g</m:t>
        </m:r>
      </m:oMath>
      <w:r w:rsidRPr="007B001B">
        <w:rPr>
          <w:rStyle w:val="Emphasis"/>
          <w:rFonts w:ascii="Book Antiqua" w:hAnsi="Book Antiqua"/>
          <w:sz w:val="20"/>
        </w:rPr>
        <w:t xml:space="preserve">, </w:t>
      </w:r>
      <w:r w:rsidRPr="007B001B">
        <w:rPr>
          <w:rStyle w:val="Emphasis"/>
          <w:rFonts w:ascii="Book Antiqua" w:hAnsi="Book Antiqua"/>
          <w:i w:val="0"/>
          <w:sz w:val="20"/>
        </w:rPr>
        <w:t>the coupling constant</w:t>
      </w:r>
      <w:r w:rsidRPr="007B001B">
        <w:rPr>
          <w:rStyle w:val="Emphasis"/>
          <w:rFonts w:ascii="Book Antiqua" w:hAnsi="Book Antiqua"/>
          <w:sz w:val="20"/>
        </w:rPr>
        <w:t xml:space="preserve"> </w:t>
      </w:r>
      <w:r w:rsidRPr="007B001B">
        <w:rPr>
          <w:rFonts w:ascii="Book Antiqua" w:hAnsi="Book Antiqua"/>
          <w:sz w:val="20"/>
        </w:rPr>
        <w:t xml:space="preserve">is independent of ZPE strength, as shown below. Proportionalities in Chapter 2 and 4 </w:t>
      </w:r>
      <w:proofErr w:type="gramStart"/>
      <w:r w:rsidRPr="007B001B">
        <w:rPr>
          <w:rFonts w:ascii="Book Antiqua" w:hAnsi="Book Antiqua"/>
          <w:sz w:val="20"/>
        </w:rPr>
        <w:t xml:space="preserve">for </w:t>
      </w:r>
      <m:oMath>
        <w:proofErr w:type="gramEnd"/>
        <m:r>
          <w:rPr>
            <w:rStyle w:val="Emphasis"/>
            <w:rFonts w:ascii="Cambria Math" w:hAnsi="Cambria Math"/>
            <w:sz w:val="20"/>
          </w:rPr>
          <m:t>m</m:t>
        </m:r>
      </m:oMath>
      <w:r w:rsidRPr="007B001B">
        <w:rPr>
          <w:rFonts w:ascii="Book Antiqua" w:hAnsi="Book Antiqua"/>
          <w:sz w:val="20"/>
        </w:rPr>
        <w:t xml:space="preserve">, </w:t>
      </w:r>
      <m:oMath>
        <m:r>
          <w:rPr>
            <w:rStyle w:val="Emphasis"/>
            <w:rFonts w:ascii="Cambria Math" w:hAnsi="Cambria Math"/>
            <w:sz w:val="20"/>
          </w:rPr>
          <m:t>h</m:t>
        </m:r>
      </m:oMath>
      <w:r w:rsidRPr="007B001B">
        <w:rPr>
          <w:rFonts w:ascii="Book Antiqua" w:hAnsi="Book Antiqua"/>
          <w:sz w:val="20"/>
        </w:rPr>
        <w:t xml:space="preserve">, and </w:t>
      </w:r>
      <m:oMath>
        <m:r>
          <w:rPr>
            <w:rStyle w:val="Emphasis"/>
            <w:rFonts w:ascii="Cambria Math" w:hAnsi="Cambria Math"/>
            <w:sz w:val="20"/>
          </w:rPr>
          <m:t>c</m:t>
        </m:r>
      </m:oMath>
      <w:r w:rsidRPr="007B001B">
        <w:rPr>
          <w:rFonts w:ascii="Book Antiqua" w:hAnsi="Book Antiqua"/>
          <w:sz w:val="20"/>
        </w:rPr>
        <w:t>, then give us:</w:t>
      </w:r>
    </w:p>
    <w:p w:rsidR="00796231" w:rsidRPr="003A1AA9" w:rsidRDefault="00796231" w:rsidP="00796231">
      <w:pPr>
        <w:pStyle w:val="NormalWeb"/>
        <w:jc w:val="right"/>
        <w:rPr>
          <w:rFonts w:ascii="Book Antiqua" w:hAnsi="Book Antiqua"/>
          <w:i/>
          <w:sz w:val="20"/>
          <w:szCs w:val="20"/>
        </w:rPr>
      </w:pP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2</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λ</m:t>
            </m:r>
          </m:e>
          <m:sup>
            <m:r>
              <w:rPr>
                <w:rFonts w:ascii="Book Antiqua" w:hAnsi="Cambria Math"/>
                <w:sz w:val="20"/>
                <w:szCs w:val="20"/>
              </w:rPr>
              <m:t>*</m:t>
            </m:r>
          </m:sup>
        </m:sSup>
        <m:r>
          <w:rPr>
            <w:rFonts w:ascii="Cambria Math" w:hAnsi="Book Antiqua"/>
            <w:sz w:val="20"/>
            <w:szCs w:val="20"/>
          </w:rPr>
          <m:t xml:space="preserve"> ~ 1/</m:t>
        </m:r>
        <m:r>
          <w:rPr>
            <w:rFonts w:ascii="Cambria Math" w:hAnsi="Cambria Math"/>
            <w:sz w:val="20"/>
            <w:szCs w:val="20"/>
          </w:rPr>
          <m:t>τ</m:t>
        </m:r>
      </m:oMath>
      <w:r w:rsidRPr="003A1AA9">
        <w:rPr>
          <w:rFonts w:ascii="Book Antiqua" w:hAnsi="Book Antiqua"/>
          <w:i/>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(10)</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So the decay constants in electron capture are proportional to </w:t>
      </w:r>
      <w:r w:rsidRPr="007B001B">
        <w:rPr>
          <w:rStyle w:val="Emphasis"/>
          <w:rFonts w:ascii="Book Antiqua" w:hAnsi="Book Antiqua"/>
          <w:sz w:val="20"/>
        </w:rPr>
        <w:t>c</w:t>
      </w:r>
      <w:r w:rsidRPr="007B001B">
        <w:rPr>
          <w:rFonts w:ascii="Book Antiqua" w:hAnsi="Book Antiqua"/>
          <w:sz w:val="20"/>
        </w:rPr>
        <w:t xml:space="preserve">, with half-lives proportional to </w:t>
      </w:r>
      <m:oMath>
        <m:r>
          <w:rPr>
            <w:rStyle w:val="Emphasis"/>
            <w:rFonts w:ascii="Cambria Math" w:hAnsi="Cambria Math"/>
            <w:sz w:val="20"/>
          </w:rPr>
          <m:t>h</m:t>
        </m:r>
      </m:oMath>
      <w:r w:rsidRPr="007B001B">
        <w:rPr>
          <w:rStyle w:val="Emphasis"/>
          <w:rFonts w:ascii="Book Antiqua" w:hAnsi="Book Antiqua"/>
          <w:sz w:val="20"/>
        </w:rPr>
        <w:t xml:space="preserve"> </w:t>
      </w:r>
      <w:proofErr w:type="gramStart"/>
      <w:r w:rsidRPr="007B001B">
        <w:rPr>
          <w:rFonts w:ascii="Book Antiqua" w:hAnsi="Book Antiqua"/>
          <w:sz w:val="20"/>
        </w:rPr>
        <w:t xml:space="preserve">and </w:t>
      </w:r>
      <m:oMath>
        <w:proofErr w:type="gramEnd"/>
        <m:r>
          <w:rPr>
            <w:rStyle w:val="Emphasis"/>
            <w:rFonts w:ascii="Cambria Math" w:hAnsi="Cambria Math"/>
            <w:sz w:val="20"/>
          </w:rPr>
          <m:t>U</m:t>
        </m:r>
      </m:oMath>
      <w:r w:rsidRPr="007B001B">
        <w:rPr>
          <w:rFonts w:ascii="Book Antiqua" w:hAnsi="Book Antiqua"/>
          <w:sz w:val="20"/>
        </w:rPr>
        <w:t xml:space="preserve">. </w:t>
      </w:r>
    </w:p>
    <w:p w:rsidR="00796231" w:rsidRPr="007B001B" w:rsidRDefault="00796231" w:rsidP="00796231">
      <w:pPr>
        <w:pStyle w:val="NoSpacing"/>
        <w:jc w:val="both"/>
        <w:rPr>
          <w:rFonts w:ascii="Book Antiqua" w:hAnsi="Book Antiqua"/>
          <w:sz w:val="20"/>
        </w:rPr>
      </w:pPr>
      <w:r w:rsidRPr="007B001B">
        <w:rPr>
          <w:rFonts w:ascii="Book Antiqua" w:hAnsi="Book Antiqua"/>
          <w:sz w:val="20"/>
        </w:rPr>
        <w:t>The approach to the question of how the decay rate equations behave with changing ZPE may be summarized as follows: When the formulae are examined in detail and the ZPE dependence of each of the terms is established, it is found that the reduced decay rate equations are either proportional to the speed of light</w:t>
      </w:r>
      <w:proofErr w:type="gramStart"/>
      <w:r w:rsidRPr="007B001B">
        <w:rPr>
          <w:rFonts w:ascii="Book Antiqua" w:hAnsi="Book Antiqua"/>
          <w:sz w:val="20"/>
        </w:rPr>
        <w:t xml:space="preserve">, </w:t>
      </w:r>
      <m:oMath>
        <w:proofErr w:type="gramEnd"/>
        <m:r>
          <w:rPr>
            <w:rFonts w:ascii="Cambria Math" w:hAnsi="Cambria Math"/>
            <w:sz w:val="20"/>
          </w:rPr>
          <m:t>c</m:t>
        </m:r>
      </m:oMath>
      <w:r w:rsidRPr="007B001B">
        <w:rPr>
          <w:rFonts w:ascii="Book Antiqua" w:hAnsi="Book Antiqua"/>
          <w:sz w:val="20"/>
        </w:rPr>
        <w:t xml:space="preserve">, or inversely proportional to Planck’s constant, </w:t>
      </w:r>
      <m:oMath>
        <m:r>
          <w:rPr>
            <w:rFonts w:ascii="Cambria Math" w:hAnsi="Cambria Math"/>
            <w:sz w:val="20"/>
          </w:rPr>
          <m:t>h</m:t>
        </m:r>
      </m:oMath>
      <w:r w:rsidRPr="007B001B">
        <w:rPr>
          <w:rFonts w:ascii="Book Antiqua" w:hAnsi="Book Antiqua"/>
          <w:sz w:val="20"/>
        </w:rPr>
        <w:t xml:space="preserve">. It is effectively the same as saying that you end up either with </w:t>
      </w:r>
      <m:oMath>
        <m:r>
          <w:rPr>
            <w:rFonts w:ascii="Cambria Math" w:hAnsi="Cambria Math"/>
            <w:sz w:val="20"/>
          </w:rPr>
          <m:t>c</m:t>
        </m:r>
      </m:oMath>
      <w:r w:rsidRPr="007B001B">
        <w:rPr>
          <w:rFonts w:ascii="Book Antiqua" w:hAnsi="Book Antiqua"/>
          <w:sz w:val="20"/>
        </w:rPr>
        <w:t xml:space="preserve"> in the numerator of every equation or </w:t>
      </w:r>
      <m:oMath>
        <m:r>
          <w:rPr>
            <w:rFonts w:ascii="Cambria Math" w:hAnsi="Cambria Math"/>
            <w:sz w:val="20"/>
          </w:rPr>
          <m:t>h</m:t>
        </m:r>
      </m:oMath>
      <w:r w:rsidRPr="007B001B">
        <w:rPr>
          <w:rFonts w:ascii="Book Antiqua" w:hAnsi="Book Antiqua"/>
          <w:sz w:val="20"/>
        </w:rPr>
        <w:t xml:space="preserve"> in the denominator. This result is in accord with outcome of an examination of the actual physical situation that exists in the nuclei of radioactive atoms.</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Default="00796231" w:rsidP="00796231">
      <w:pPr>
        <w:pStyle w:val="Heading3"/>
        <w:keepNext w:val="0"/>
        <w:widowControl/>
        <w:numPr>
          <w:ilvl w:val="0"/>
          <w:numId w:val="66"/>
        </w:numPr>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Coupling Constants</w:t>
      </w:r>
    </w:p>
    <w:p w:rsidR="00796231" w:rsidRPr="007B001B" w:rsidRDefault="00796231" w:rsidP="00796231">
      <w:pPr>
        <w:pStyle w:val="ListParagraph"/>
        <w:rPr>
          <w:lang w:val="en-GB"/>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The coupling constant is the measure of the forces acting between any two quantities.  In radio decay, the quantity involved is called the “weak coupling constant,” as a reference to what is referred to as the ‘weak force’ in </w:t>
      </w:r>
      <w:r w:rsidRPr="007B001B">
        <w:rPr>
          <w:rFonts w:ascii="Book Antiqua" w:hAnsi="Book Antiqua"/>
          <w:sz w:val="20"/>
        </w:rPr>
        <w:lastRenderedPageBreak/>
        <w:t xml:space="preserve">physics.  It is this force which the standard model holds responsible for radioactive decay.  The weak force is in contrast to the “strong force” which is considered to be the force which holds the particles in the nucleus together. As noted above, this force comes from having two oppositely directed spin states for particles in each orbital. </w:t>
      </w:r>
    </w:p>
    <w:p w:rsidR="00796231" w:rsidRPr="007B001B"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The weak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which is involved in decay processes, is a dimensionless number (this is a number not having any unit of measurement) and so remains invariant with changes in the ZPE strength. In this case, Wesson defines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
          <w:iCs/>
        </w:rPr>
        <w:t xml:space="preserve"> </w:t>
      </w:r>
      <w:r w:rsidRPr="007B001B">
        <w:rPr>
          <w:rFonts w:ascii="Book Antiqua" w:hAnsi="Book Antiqua"/>
          <w:sz w:val="20"/>
        </w:rPr>
        <w:t xml:space="preserve">as follows </w:t>
      </w:r>
      <w:hyperlink r:id="rId976" w:anchor="4a183" w:history="1">
        <w:r w:rsidRPr="007B001B">
          <w:rPr>
            <w:rStyle w:val="Hyperlink"/>
            <w:rFonts w:ascii="Book Antiqua" w:hAnsi="Book Antiqua"/>
            <w:sz w:val="20"/>
          </w:rPr>
          <w:t>[8]</w:t>
        </w:r>
      </w:hyperlink>
      <w:r w:rsidRPr="007B001B">
        <w:rPr>
          <w:rFonts w:ascii="Book Antiqua" w:hAnsi="Book Antiqua"/>
          <w:sz w:val="20"/>
        </w:rPr>
        <w:t>:</w:t>
      </w:r>
    </w:p>
    <w:p w:rsidR="00796231" w:rsidRPr="003A1AA9" w:rsidRDefault="00796231" w:rsidP="00796231">
      <w:pPr>
        <w:pStyle w:val="NormalWeb"/>
        <w:jc w:val="right"/>
        <w:rPr>
          <w:rFonts w:ascii="Book Antiqua" w:hAnsi="Book Antiqua"/>
          <w:sz w:val="20"/>
          <w:szCs w:val="20"/>
        </w:rPr>
      </w:pPr>
      <m:oMath>
        <m:sSub>
          <m:sSubPr>
            <m:ctrlPr>
              <w:rPr>
                <w:rStyle w:val="Emphasis"/>
                <w:rFonts w:ascii="Cambria Math" w:hAnsi="Book Antiqua"/>
                <w:sz w:val="20"/>
                <w:szCs w:val="20"/>
              </w:rPr>
            </m:ctrlPr>
          </m:sSubPr>
          <m:e>
            <m:r>
              <w:rPr>
                <w:rStyle w:val="Emphasis"/>
                <w:rFonts w:ascii="Cambria Math" w:hAnsi="Cambria Math"/>
                <w:sz w:val="20"/>
                <w:szCs w:val="20"/>
              </w:rPr>
              <m:t>g</m:t>
            </m:r>
          </m:e>
          <m:sub>
            <m:r>
              <w:rPr>
                <w:rStyle w:val="Emphasis"/>
                <w:rFonts w:ascii="Cambria Math" w:hAnsi="Cambria Math"/>
                <w:sz w:val="20"/>
                <w:szCs w:val="20"/>
              </w:rPr>
              <m:t>w</m:t>
            </m:r>
          </m:sub>
        </m:sSub>
        <m:r>
          <m:rPr>
            <m:sty m:val="p"/>
          </m:rPr>
          <w:rPr>
            <w:rFonts w:ascii="Cambria Math" w:hAnsi="Book Antiqua"/>
            <w:sz w:val="20"/>
            <w:szCs w:val="20"/>
          </w:rPr>
          <m:t xml:space="preserve"> = </m:t>
        </m:r>
        <m:sSup>
          <m:sSupPr>
            <m:ctrlPr>
              <w:rPr>
                <w:rFonts w:ascii="Cambria Math" w:hAnsi="Book Antiqua"/>
                <w:sz w:val="20"/>
                <w:szCs w:val="20"/>
              </w:rPr>
            </m:ctrlPr>
          </m:sSupPr>
          <m:e>
            <m:r>
              <m:rPr>
                <m:sty m:val="p"/>
              </m:rPr>
              <w:rPr>
                <w:rFonts w:ascii="Cambria Math" w:hAnsi="Book Antiqua"/>
                <w:sz w:val="20"/>
                <w:szCs w:val="20"/>
              </w:rPr>
              <m:t>[</m:t>
            </m:r>
            <m:r>
              <w:rPr>
                <w:rFonts w:ascii="Cambria Math" w:hAnsi="Cambria Math"/>
                <w:sz w:val="20"/>
                <w:szCs w:val="20"/>
              </w:rPr>
              <m:t>g</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2</m:t>
                </m:r>
              </m:sup>
            </m:sSup>
            <m:r>
              <w:rPr>
                <w:rFonts w:ascii="Cambria Math" w:hAnsi="Cambria Math"/>
                <w:sz w:val="20"/>
                <w:szCs w:val="20"/>
              </w:rPr>
              <m:t>c</m:t>
            </m:r>
            <m:r>
              <w:rPr>
                <w:rFonts w:ascii="Cambria Math" w:hAnsi="Book Antiqua"/>
                <w:sz w:val="20"/>
                <w:szCs w:val="20"/>
              </w:rPr>
              <m:t>/</m:t>
            </m:r>
            <m:sSup>
              <m:sSupPr>
                <m:ctrlPr>
                  <w:rPr>
                    <w:rFonts w:ascii="Cambria Math" w:hAnsi="Book Antiqua"/>
                    <w:i/>
                    <w:sz w:val="20"/>
                    <w:szCs w:val="20"/>
                  </w:rPr>
                </m:ctrlPr>
              </m:sSupPr>
              <m:e>
                <m:r>
                  <w:rPr>
                    <w:rFonts w:ascii="Cambria Math" w:hAnsi="Book Antiqua"/>
                    <w:sz w:val="20"/>
                    <w:szCs w:val="20"/>
                  </w:rPr>
                  <m:t>(</m:t>
                </m:r>
                <m:r>
                  <w:rPr>
                    <w:rFonts w:ascii="Book Antiqua" w:hAnsi="Cambria Math"/>
                    <w:sz w:val="20"/>
                    <w:szCs w:val="20"/>
                  </w:rPr>
                  <m:t>h</m:t>
                </m:r>
                <m:r>
                  <w:rPr>
                    <w:rFonts w:ascii="Cambria Math" w:hAnsi="Book Antiqua"/>
                    <w:sz w:val="20"/>
                    <w:szCs w:val="20"/>
                  </w:rPr>
                  <m:t>/2</m:t>
                </m:r>
                <m:r>
                  <w:rPr>
                    <w:rFonts w:ascii="Cambria Math" w:hAnsi="Cambria Math"/>
                    <w:sz w:val="20"/>
                    <w:szCs w:val="20"/>
                  </w:rPr>
                  <m:t>π</m:t>
                </m:r>
                <m:r>
                  <w:rPr>
                    <w:rFonts w:ascii="Cambria Math" w:hAnsi="Book Antiqua"/>
                    <w:sz w:val="20"/>
                    <w:szCs w:val="20"/>
                  </w:rPr>
                  <m:t>)</m:t>
                </m:r>
              </m:e>
              <m:sup>
                <m:r>
                  <w:rPr>
                    <w:rFonts w:ascii="Cambria Math" w:hAnsi="Book Antiqua"/>
                    <w:sz w:val="20"/>
                    <w:szCs w:val="20"/>
                  </w:rPr>
                  <m:t>3</m:t>
                </m:r>
              </m:sup>
            </m:sSup>
            <m:r>
              <m:rPr>
                <m:sty m:val="p"/>
              </m:rPr>
              <w:rPr>
                <w:rFonts w:ascii="Cambria Math" w:hAnsi="Book Antiqua"/>
                <w:sz w:val="20"/>
                <w:szCs w:val="20"/>
              </w:rPr>
              <m:t>]</m:t>
            </m:r>
          </m:e>
          <m:sup>
            <m:r>
              <m:rPr>
                <m:sty m:val="p"/>
              </m:rPr>
              <w:rPr>
                <w:rFonts w:ascii="Cambria Math" w:hAnsi="Book Antiqua"/>
                <w:sz w:val="20"/>
                <w:szCs w:val="20"/>
              </w:rPr>
              <m:t>2</m:t>
            </m:r>
          </m:sup>
        </m:sSup>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(11)</w:t>
      </w: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Here, </w:t>
      </w:r>
      <m:oMath>
        <m:r>
          <w:rPr>
            <w:rStyle w:val="Emphasis"/>
            <w:rFonts w:ascii="Cambria Math" w:hAnsi="Cambria Math"/>
            <w:sz w:val="20"/>
          </w:rPr>
          <m:t>m</m:t>
        </m:r>
      </m:oMath>
      <w:r w:rsidRPr="007B001B">
        <w:rPr>
          <w:rStyle w:val="Emphasis"/>
          <w:rFonts w:ascii="Book Antiqua" w:hAnsi="Book Antiqua"/>
          <w:sz w:val="20"/>
        </w:rPr>
        <w:t xml:space="preserve"> </w:t>
      </w:r>
      <w:r w:rsidRPr="007B001B">
        <w:rPr>
          <w:rFonts w:ascii="Book Antiqua" w:hAnsi="Book Antiqua"/>
          <w:sz w:val="20"/>
        </w:rPr>
        <w:t xml:space="preserve">is the pion mass and </w:t>
      </w:r>
      <m:oMath>
        <m:r>
          <w:rPr>
            <w:rStyle w:val="Emphasis"/>
            <w:rFonts w:ascii="Cambria Math" w:hAnsi="Cambria Math"/>
            <w:sz w:val="20"/>
          </w:rPr>
          <m:t>g</m:t>
        </m:r>
      </m:oMath>
      <w:r w:rsidRPr="007B001B">
        <w:rPr>
          <w:rStyle w:val="Emphasis"/>
          <w:rFonts w:ascii="Book Antiqua" w:hAnsi="Book Antiqua"/>
          <w:sz w:val="20"/>
        </w:rPr>
        <w:t xml:space="preserve"> </w:t>
      </w:r>
      <w:r w:rsidRPr="007B001B">
        <w:rPr>
          <w:rFonts w:ascii="Book Antiqua" w:hAnsi="Book Antiqua"/>
          <w:sz w:val="20"/>
        </w:rPr>
        <w:t xml:space="preserve">is the constant that appears in (4) and (9) above, and is called the Fermi interaction constant.  It has units of energy density of a Coulomb field, and is thus constant. Because all the dimensions of the terms on the right hand side of equation (11) cancel out,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ends up as a </w:t>
      </w:r>
      <w:proofErr w:type="gramStart"/>
      <w:r w:rsidRPr="007B001B">
        <w:rPr>
          <w:rFonts w:ascii="Book Antiqua" w:hAnsi="Book Antiqua"/>
          <w:sz w:val="20"/>
        </w:rPr>
        <w:t>dimensionless  number</w:t>
      </w:r>
      <w:proofErr w:type="gramEnd"/>
      <w:r w:rsidRPr="007B001B">
        <w:rPr>
          <w:rFonts w:ascii="Book Antiqua" w:hAnsi="Book Antiqua"/>
          <w:sz w:val="20"/>
        </w:rPr>
        <w:t xml:space="preserve">.  If the proportionalities </w:t>
      </w:r>
      <w:proofErr w:type="gramStart"/>
      <w:r w:rsidRPr="007B001B">
        <w:rPr>
          <w:rFonts w:ascii="Book Antiqua" w:hAnsi="Book Antiqua"/>
          <w:sz w:val="20"/>
        </w:rPr>
        <w:t xml:space="preserve">of </w:t>
      </w:r>
      <m:oMath>
        <w:proofErr w:type="gramEnd"/>
        <m:r>
          <w:rPr>
            <w:rFonts w:ascii="Cambria Math" w:hAnsi="Cambria Math"/>
            <w:sz w:val="20"/>
          </w:rPr>
          <m:t>m</m:t>
        </m:r>
      </m:oMath>
      <w:r w:rsidRPr="007B001B">
        <w:rPr>
          <w:rFonts w:ascii="Book Antiqua" w:hAnsi="Book Antiqua"/>
          <w:sz w:val="20"/>
        </w:rPr>
        <w:t xml:space="preserve">, </w:t>
      </w:r>
      <m:oMath>
        <m:r>
          <w:rPr>
            <w:rFonts w:ascii="Cambria Math" w:hAnsi="Cambria Math"/>
            <w:sz w:val="20"/>
          </w:rPr>
          <m:t>c</m:t>
        </m:r>
      </m:oMath>
      <w:r w:rsidRPr="007B001B">
        <w:rPr>
          <w:rFonts w:ascii="Book Antiqua" w:hAnsi="Book Antiqua"/>
          <w:sz w:val="20"/>
        </w:rPr>
        <w:t xml:space="preserve">, and </w:t>
      </w:r>
      <m:oMath>
        <m:r>
          <w:rPr>
            <w:rFonts w:ascii="Cambria Math" w:hAnsi="Cambria Math"/>
            <w:sz w:val="20"/>
          </w:rPr>
          <m:t>h</m:t>
        </m:r>
        <m:r>
          <w:rPr>
            <w:rFonts w:ascii="Cambria Math" w:hAnsi="Book Antiqua"/>
            <w:sz w:val="20"/>
          </w:rPr>
          <m:t xml:space="preserve"> </m:t>
        </m:r>
      </m:oMath>
      <w:r w:rsidRPr="007B001B">
        <w:rPr>
          <w:rFonts w:ascii="Book Antiqua" w:hAnsi="Book Antiqua"/>
          <w:sz w:val="20"/>
        </w:rPr>
        <w:t xml:space="preserve">were different when the ZPE was changing, then the coupling constant,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would be varying; but because those proportionalities hold,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Style w:val="subscript1"/>
          <w:rFonts w:ascii="Book Antiqua" w:hAnsi="Book Antiqua"/>
          <w:iCs/>
        </w:rPr>
        <w:t xml:space="preserve"> is a constant. </w:t>
      </w:r>
      <w:r w:rsidRPr="007B001B">
        <w:rPr>
          <w:rFonts w:ascii="Book Antiqua" w:hAnsi="Book Antiqua"/>
          <w:sz w:val="20"/>
        </w:rPr>
        <w:t xml:space="preserve">This is verified by data since any variation in </w:t>
      </w:r>
      <m:oMath>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w</m:t>
            </m:r>
          </m:sub>
        </m:sSub>
      </m:oMath>
      <w:r w:rsidRPr="007B001B">
        <w:rPr>
          <w:rFonts w:ascii="Book Antiqua" w:hAnsi="Book Antiqua"/>
          <w:sz w:val="20"/>
        </w:rPr>
        <w:t xml:space="preserve"> results in a discrepancy between the radiometric ages for alpha and beta decay processes </w:t>
      </w:r>
      <w:hyperlink r:id="rId977" w:anchor="4a183" w:history="1">
        <w:r w:rsidRPr="007B001B">
          <w:rPr>
            <w:rStyle w:val="Hyperlink"/>
            <w:rFonts w:ascii="Book Antiqua" w:hAnsi="Book Antiqua"/>
            <w:sz w:val="20"/>
          </w:rPr>
          <w:t>[8]</w:t>
        </w:r>
      </w:hyperlink>
      <w:r w:rsidRPr="007B001B">
        <w:rPr>
          <w:rFonts w:ascii="Book Antiqua" w:hAnsi="Book Antiqua"/>
          <w:sz w:val="20"/>
        </w:rPr>
        <w:t>. This is not usually observed. Similar theoretical and experimental evidence also shows that the strong coupling constant</w:t>
      </w:r>
      <w:proofErr w:type="gramStart"/>
      <w:r w:rsidRPr="007B001B">
        <w:rPr>
          <w:rFonts w:ascii="Book Antiqua" w:hAnsi="Book Antiqua"/>
          <w:sz w:val="20"/>
        </w:rPr>
        <w:t xml:space="preserve">, </w:t>
      </w:r>
      <m:oMath>
        <w:proofErr w:type="gramEnd"/>
        <m:sSub>
          <m:sSubPr>
            <m:ctrlPr>
              <w:rPr>
                <w:rStyle w:val="Emphasis"/>
                <w:rFonts w:ascii="Cambria Math" w:hAnsi="Book Antiqua"/>
                <w:sz w:val="20"/>
              </w:rPr>
            </m:ctrlPr>
          </m:sSubPr>
          <m:e>
            <m:r>
              <w:rPr>
                <w:rStyle w:val="Emphasis"/>
                <w:rFonts w:ascii="Cambria Math" w:hAnsi="Cambria Math"/>
                <w:sz w:val="20"/>
              </w:rPr>
              <m:t>g</m:t>
            </m:r>
          </m:e>
          <m:sub>
            <m:r>
              <w:rPr>
                <w:rStyle w:val="Emphasis"/>
                <w:rFonts w:ascii="Cambria Math" w:hAnsi="Cambria Math"/>
                <w:sz w:val="20"/>
              </w:rPr>
              <m:t>s</m:t>
            </m:r>
          </m:sub>
        </m:sSub>
      </m:oMath>
      <w:r w:rsidRPr="007B001B">
        <w:rPr>
          <w:rFonts w:ascii="Book Antiqua" w:hAnsi="Book Antiqua"/>
          <w:sz w:val="20"/>
        </w:rPr>
        <w:t xml:space="preserve">, has been invariant over cosmic time </w:t>
      </w:r>
      <w:hyperlink r:id="rId978" w:anchor="4a183" w:history="1">
        <w:r w:rsidRPr="007B001B">
          <w:rPr>
            <w:rStyle w:val="Hyperlink"/>
            <w:rFonts w:ascii="Book Antiqua" w:hAnsi="Book Antiqua"/>
            <w:sz w:val="20"/>
          </w:rPr>
          <w:t>[8]</w:t>
        </w:r>
      </w:hyperlink>
      <w:r w:rsidRPr="007B001B">
        <w:rPr>
          <w:rFonts w:ascii="Book Antiqua" w:hAnsi="Book Antiqua"/>
          <w:sz w:val="20"/>
        </w:rPr>
        <w:t xml:space="preserve">. Therefore, radiometric clocks tick with the same dependence on the ZPE as other atomic clocks do. </w:t>
      </w:r>
    </w:p>
    <w:p w:rsidR="00796231" w:rsidRPr="007B001B" w:rsidRDefault="00796231" w:rsidP="00796231">
      <w:pPr>
        <w:pStyle w:val="NoSpacing"/>
        <w:jc w:val="both"/>
        <w:rPr>
          <w:rFonts w:ascii="Book Antiqua" w:hAnsi="Book Antiqua"/>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7.  Pleochroic Halos</w:t>
      </w:r>
    </w:p>
    <w:p w:rsidR="00796231" w:rsidRPr="003A1AA9" w:rsidRDefault="00796231" w:rsidP="00796231">
      <w:pPr>
        <w:pStyle w:val="NoSpacing"/>
        <w:rPr>
          <w:rFonts w:ascii="Book Antiqua" w:hAnsi="Book Antiqua"/>
          <w:sz w:val="20"/>
        </w:rPr>
      </w:pPr>
    </w:p>
    <w:p w:rsidR="00796231" w:rsidRPr="003A1AA9" w:rsidRDefault="00796231" w:rsidP="00796231">
      <w:pPr>
        <w:pStyle w:val="NoSpacing"/>
        <w:jc w:val="both"/>
        <w:rPr>
          <w:rFonts w:ascii="Book Antiqua" w:hAnsi="Book Antiqua"/>
          <w:sz w:val="20"/>
        </w:rPr>
      </w:pPr>
      <w:r w:rsidRPr="003A1AA9">
        <w:rPr>
          <w:rFonts w:ascii="Book Antiqua" w:hAnsi="Book Antiqua"/>
          <w:sz w:val="20"/>
        </w:rPr>
        <w:t xml:space="preserve"> </w:t>
      </w:r>
      <w:r w:rsidRPr="003A1AA9">
        <w:rPr>
          <w:rFonts w:ascii="Book Antiqua" w:hAnsi="Book Antiqua"/>
          <w:sz w:val="20"/>
        </w:rPr>
        <w:tab/>
        <w:t>Pleochroic haloes, the result of radioactive decay, form in mica and other minerals which contain minute quantities of uranium or other radioactive elements. Because of their positive charge, alpha particles emitted by the decaying elements interact with the electrons of the surrounding atoms.  This interaction slows them down and eventually stops them, producing a discoloration in the host material. The distance traveled depends on two things:  their initial kinetic energy, and the composition and number of atoms per unit volume of the host material. Some examples are given in Figure 6.</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At the moment of emission from the nucleus, the particle’s kinetic energy remains unchanged, regardless of ZPE strength, since the Coulomb energy of both the emitting nucleus and the alpha particle are constant with fixed nuclear distances (Chapters 2 and 4). However a lower ZPE strength does mean particle masses</w:t>
      </w:r>
      <w:proofErr w:type="gramStart"/>
      <w:r w:rsidRPr="003A1AA9">
        <w:rPr>
          <w:rFonts w:ascii="Book Antiqua" w:hAnsi="Book Antiqua"/>
          <w:sz w:val="20"/>
        </w:rPr>
        <w:t xml:space="preserve">, </w:t>
      </w:r>
      <m:oMath>
        <w:proofErr w:type="gramEnd"/>
        <m:r>
          <w:rPr>
            <w:rStyle w:val="Emphasis"/>
            <w:rFonts w:ascii="Cambria Math" w:hAnsi="Cambria Math"/>
            <w:sz w:val="20"/>
          </w:rPr>
          <m:t>m</m:t>
        </m:r>
      </m:oMath>
      <w:r w:rsidRPr="003A1AA9">
        <w:rPr>
          <w:rFonts w:ascii="Book Antiqua" w:hAnsi="Book Antiqua"/>
          <w:sz w:val="20"/>
        </w:rPr>
        <w:t xml:space="preserve">, are lower and have higher velocities, </w:t>
      </w:r>
      <m:oMath>
        <m:r>
          <w:rPr>
            <w:rStyle w:val="Emphasis"/>
            <w:rFonts w:ascii="Cambria Math" w:hAnsi="Cambria Math"/>
            <w:sz w:val="20"/>
          </w:rPr>
          <m:t>v</m:t>
        </m:r>
      </m:oMath>
      <w:r w:rsidRPr="003A1AA9">
        <w:rPr>
          <w:rFonts w:ascii="Book Antiqua" w:hAnsi="Book Antiqua"/>
          <w:sz w:val="20"/>
        </w:rPr>
        <w:t xml:space="preserve">.  This means the kinetic energies of the particles, </w:t>
      </w:r>
      <m:oMath>
        <m:r>
          <w:rPr>
            <w:rStyle w:val="Emphasis"/>
            <w:rFonts w:ascii="Book Antiqua" w:hAnsi="Book Antiqua"/>
            <w:sz w:val="20"/>
          </w:rPr>
          <m:t>½</m:t>
        </m:r>
        <m:r>
          <w:rPr>
            <w:rStyle w:val="Emphasis"/>
            <w:rFonts w:ascii="Cambria Math" w:hAnsi="Book Antiqua"/>
            <w:sz w:val="20"/>
          </w:rPr>
          <m:t xml:space="preserve"> </m:t>
        </m:r>
        <m:r>
          <w:rPr>
            <w:rStyle w:val="Emphasis"/>
            <w:rFonts w:ascii="Cambria Math" w:hAnsi="Cambria Math"/>
            <w:sz w:val="20"/>
          </w:rPr>
          <m:t>m</m:t>
        </m:r>
        <m:sSup>
          <m:sSupPr>
            <m:ctrlPr>
              <w:rPr>
                <w:rStyle w:val="Emphasis"/>
                <w:rFonts w:ascii="Cambria Math" w:hAnsi="Book Antiqua"/>
                <w:sz w:val="20"/>
              </w:rPr>
            </m:ctrlPr>
          </m:sSupPr>
          <m:e>
            <m:r>
              <w:rPr>
                <w:rStyle w:val="Emphasis"/>
                <w:rFonts w:ascii="Cambria Math" w:hAnsi="Cambria Math"/>
                <w:sz w:val="20"/>
              </w:rPr>
              <m:t>v</m:t>
            </m:r>
          </m:e>
          <m:sup>
            <m:r>
              <w:rPr>
                <w:rStyle w:val="Emphasis"/>
                <w:rFonts w:ascii="Cambria Math" w:hAnsi="Book Antiqua"/>
                <w:sz w:val="20"/>
              </w:rPr>
              <m:t>2</m:t>
            </m:r>
          </m:sup>
        </m:sSup>
      </m:oMath>
      <w:r w:rsidRPr="003A1AA9">
        <w:rPr>
          <w:rFonts w:ascii="Book Antiqua" w:hAnsi="Book Antiqua"/>
          <w:sz w:val="20"/>
        </w:rPr>
        <w:t xml:space="preserve"> inside the nucleus remain unchanged.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 interaction of the particle with its host material that diminishes its initial kinetic energy. As the particle moves through the host material’s atoms, it interacts with the same number of energy potential wells regardless of ZPE strength. In addition, the electrostatic energy of both the potential wells and the expelled particle remains unchanged at any given distance (Chapter 5). It is the electrostatic </w:t>
      </w:r>
      <w:proofErr w:type="gramStart"/>
      <w:r w:rsidRPr="003A1AA9">
        <w:rPr>
          <w:rFonts w:ascii="Book Antiqua" w:hAnsi="Book Antiqua"/>
          <w:sz w:val="20"/>
        </w:rPr>
        <w:t>interaction  of</w:t>
      </w:r>
      <w:proofErr w:type="gramEnd"/>
      <w:r w:rsidRPr="003A1AA9">
        <w:rPr>
          <w:rFonts w:ascii="Book Antiqua" w:hAnsi="Book Antiqua"/>
          <w:sz w:val="20"/>
        </w:rPr>
        <w:t xml:space="preserve"> these potential wells with the speeding particle that slows it down. When the ZPE strength is low, the </w:t>
      </w:r>
      <w:r>
        <w:rPr>
          <w:rFonts w:ascii="Book Antiqua" w:hAnsi="Book Antiqua"/>
          <w:sz w:val="20"/>
        </w:rPr>
        <w:t>pa</w:t>
      </w:r>
      <w:r w:rsidRPr="003A1AA9">
        <w:rPr>
          <w:rFonts w:ascii="Book Antiqua" w:hAnsi="Book Antiqua"/>
          <w:sz w:val="20"/>
        </w:rPr>
        <w:t>rticle mass is also low, but its velocity is higher. However, since its mass is lower, the velocity of the speeding particle will not carry it further since the electrostatic interaction of the same charge on a lower mass is correspondingly greater. As a result, the particle’s kinetic energy will carry it the same distance regardless of ZPE changes.</w:t>
      </w:r>
    </w:p>
    <w:p w:rsidR="00796231" w:rsidRPr="003A1AA9" w:rsidRDefault="00796231" w:rsidP="00796231">
      <w:pPr>
        <w:pStyle w:val="NoSpacing"/>
        <w:ind w:firstLine="720"/>
        <w:jc w:val="both"/>
        <w:rPr>
          <w:rFonts w:ascii="Book Antiqua" w:hAnsi="Book Antiqua"/>
          <w:sz w:val="20"/>
        </w:rPr>
      </w:pPr>
    </w:p>
    <w:tbl>
      <w:tblPr>
        <w:tblStyle w:val="TableGrid"/>
        <w:tblW w:w="0" w:type="auto"/>
        <w:jc w:val="center"/>
        <w:tblLayout w:type="fixed"/>
        <w:tblLook w:val="04A0"/>
      </w:tblPr>
      <w:tblGrid>
        <w:gridCol w:w="4518"/>
        <w:gridCol w:w="4500"/>
      </w:tblGrid>
      <w:tr w:rsidR="00796231" w:rsidRPr="003A1AA9" w:rsidTr="00C7282C">
        <w:trPr>
          <w:trHeight w:val="5597"/>
          <w:jc w:val="center"/>
        </w:trPr>
        <w:tc>
          <w:tcPr>
            <w:tcW w:w="4518" w:type="dxa"/>
          </w:tcPr>
          <w:p w:rsidR="00796231" w:rsidRPr="003A1AA9" w:rsidRDefault="00796231" w:rsidP="00C7282C">
            <w:pPr>
              <w:pStyle w:val="NormalWeb"/>
              <w:jc w:val="both"/>
              <w:rPr>
                <w:rFonts w:ascii="Book Antiqua" w:hAnsi="Book Antiqua"/>
                <w:sz w:val="20"/>
                <w:szCs w:val="20"/>
              </w:rPr>
            </w:pPr>
            <w:r w:rsidRPr="003A1AA9">
              <w:rPr>
                <w:rFonts w:ascii="Book Antiqua" w:hAnsi="Book Antiqua"/>
                <w:b/>
                <w:bCs/>
                <w:noProof/>
                <w:sz w:val="20"/>
                <w:szCs w:val="20"/>
              </w:rPr>
              <w:lastRenderedPageBreak/>
              <w:drawing>
                <wp:inline distT="0" distB="0" distL="0" distR="0">
                  <wp:extent cx="2379781" cy="2145027"/>
                  <wp:effectExtent l="0" t="114300" r="0" b="102873"/>
                  <wp:docPr id="181" name="Picture 118" descr="Sunburst.jpg (166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unburst.jpg (16639 bytes)"/>
                          <pic:cNvPicPr>
                            <a:picLocks noChangeAspect="1" noChangeArrowheads="1"/>
                          </pic:cNvPicPr>
                        </pic:nvPicPr>
                        <pic:blipFill>
                          <a:blip r:embed="rId979" cstate="print"/>
                          <a:srcRect/>
                          <a:stretch>
                            <a:fillRect/>
                          </a:stretch>
                        </pic:blipFill>
                        <pic:spPr bwMode="auto">
                          <a:xfrm rot="5400000">
                            <a:off x="0" y="0"/>
                            <a:ext cx="2396021" cy="2159665"/>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sz w:val="16"/>
                <w:szCs w:val="16"/>
              </w:rPr>
            </w:pPr>
            <w:r w:rsidRPr="003A1AA9">
              <w:rPr>
                <w:rFonts w:ascii="Book Antiqua" w:hAnsi="Book Antiqua"/>
                <w:i/>
                <w:sz w:val="16"/>
                <w:szCs w:val="16"/>
              </w:rPr>
              <w:t xml:space="preserve">A radioactive element emits particles and radiation in a spherical pattern which darkens the host material. For any given emitter, the stopping distance is the same, resulting in a spherical shell. A section through the spherical shell gives a ring with the emitter at the center. This is a radio-halo, or pleochroic halo, so named because each element in a decay series has its own halo with different coloring of the host material. </w:t>
            </w:r>
          </w:p>
        </w:tc>
        <w:tc>
          <w:tcPr>
            <w:tcW w:w="4500" w:type="dxa"/>
          </w:tcPr>
          <w:p w:rsidR="00796231" w:rsidRPr="003A1AA9" w:rsidRDefault="00796231" w:rsidP="00C7282C">
            <w:pPr>
              <w:pStyle w:val="NormalWeb"/>
              <w:rPr>
                <w:rFonts w:ascii="Book Antiqua" w:hAnsi="Book Antiqua"/>
                <w:i/>
                <w:sz w:val="16"/>
                <w:szCs w:val="16"/>
              </w:rPr>
            </w:pPr>
            <w:r w:rsidRPr="003A1AA9">
              <w:rPr>
                <w:rFonts w:ascii="Book Antiqua" w:hAnsi="Book Antiqua"/>
                <w:noProof/>
                <w:sz w:val="20"/>
                <w:szCs w:val="20"/>
              </w:rPr>
              <w:drawing>
                <wp:inline distT="0" distB="0" distL="0" distR="0">
                  <wp:extent cx="2150623" cy="2562225"/>
                  <wp:effectExtent l="19050" t="0" r="2027" b="0"/>
                  <wp:docPr id="182" name="il_fi" descr="http://www.ichthus.info/Creation-Evidence/Polonium-Halos/PICS/pol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chthus.info/Creation-Evidence/Polonium-Halos/PICS/polon1.gif"/>
                          <pic:cNvPicPr>
                            <a:picLocks noChangeAspect="1" noChangeArrowheads="1"/>
                          </pic:cNvPicPr>
                        </pic:nvPicPr>
                        <pic:blipFill>
                          <a:blip r:embed="rId980" cstate="print"/>
                          <a:srcRect l="35271"/>
                          <a:stretch>
                            <a:fillRect/>
                          </a:stretch>
                        </pic:blipFill>
                        <pic:spPr bwMode="auto">
                          <a:xfrm>
                            <a:off x="0" y="0"/>
                            <a:ext cx="2166437" cy="2581065"/>
                          </a:xfrm>
                          <a:prstGeom prst="rect">
                            <a:avLst/>
                          </a:prstGeom>
                          <a:noFill/>
                          <a:ln w="9525">
                            <a:noFill/>
                            <a:miter lim="800000"/>
                            <a:headEnd/>
                            <a:tailEnd/>
                          </a:ln>
                        </pic:spPr>
                      </pic:pic>
                    </a:graphicData>
                  </a:graphic>
                </wp:inline>
              </w:drawing>
            </w:r>
          </w:p>
          <w:p w:rsidR="00796231" w:rsidRPr="003A1AA9" w:rsidRDefault="00796231" w:rsidP="00C7282C">
            <w:pPr>
              <w:pStyle w:val="NormalWeb"/>
              <w:rPr>
                <w:rFonts w:ascii="Book Antiqua" w:hAnsi="Book Antiqua"/>
                <w:i/>
                <w:sz w:val="16"/>
                <w:szCs w:val="16"/>
              </w:rPr>
            </w:pPr>
            <w:r w:rsidRPr="003A1AA9">
              <w:rPr>
                <w:rFonts w:ascii="Book Antiqua" w:hAnsi="Book Antiqua"/>
                <w:i/>
                <w:sz w:val="16"/>
                <w:szCs w:val="16"/>
              </w:rPr>
              <w:t>As the emitting particle decays into a series of other radio-active elements, a series of rings form. This occurs because each element in the series has different energy for its emitted particles and radiation, and thus a different stopping distance. In the above example, three different forms of polonium have made three different rings</w:t>
            </w:r>
            <w:proofErr w:type="gramStart"/>
            <w:r w:rsidRPr="003A1AA9">
              <w:rPr>
                <w:rFonts w:ascii="Book Antiqua" w:hAnsi="Book Antiqua"/>
                <w:i/>
                <w:sz w:val="16"/>
                <w:szCs w:val="16"/>
              </w:rPr>
              <w:t>..</w:t>
            </w:r>
            <w:proofErr w:type="gramEnd"/>
          </w:p>
          <w:p w:rsidR="00796231" w:rsidRPr="003A1AA9" w:rsidRDefault="00796231" w:rsidP="00C7282C">
            <w:pPr>
              <w:pStyle w:val="NormalWeb"/>
              <w:rPr>
                <w:rFonts w:ascii="Book Antiqua" w:hAnsi="Book Antiqua"/>
                <w:i/>
                <w:sz w:val="16"/>
                <w:szCs w:val="16"/>
              </w:rPr>
            </w:pPr>
          </w:p>
        </w:tc>
      </w:tr>
      <w:tr w:rsidR="00796231" w:rsidRPr="003A1AA9" w:rsidTr="00C7282C">
        <w:trPr>
          <w:trHeight w:val="3590"/>
          <w:jc w:val="center"/>
        </w:trPr>
        <w:tc>
          <w:tcPr>
            <w:tcW w:w="4518" w:type="dxa"/>
          </w:tcPr>
          <w:p w:rsidR="00796231" w:rsidRPr="003A1AA9" w:rsidRDefault="00796231" w:rsidP="00C7282C">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20217" cy="2228850"/>
                  <wp:effectExtent l="19050" t="0" r="3933" b="0"/>
                  <wp:docPr id="183" name="il_fi" descr="http://www.0095.info/resources/index_thesesen_95onesentencethesesagainste_uraniumandpoloniumradiohalo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0095.info/resources/index_thesesen_95onesentencethesesagainste_uraniumandpoloniumradiohalos_1.jpg"/>
                          <pic:cNvPicPr>
                            <a:picLocks noChangeAspect="1" noChangeArrowheads="1"/>
                          </pic:cNvPicPr>
                        </pic:nvPicPr>
                        <pic:blipFill>
                          <a:blip r:embed="rId981" cstate="print"/>
                          <a:srcRect l="9531" t="7292" r="9777" b="6331"/>
                          <a:stretch>
                            <a:fillRect/>
                          </a:stretch>
                        </pic:blipFill>
                        <pic:spPr bwMode="auto">
                          <a:xfrm>
                            <a:off x="0" y="0"/>
                            <a:ext cx="2720217" cy="2228850"/>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noProof/>
                <w:sz w:val="20"/>
                <w:szCs w:val="20"/>
              </w:rPr>
            </w:pPr>
          </w:p>
        </w:tc>
        <w:tc>
          <w:tcPr>
            <w:tcW w:w="4500" w:type="dxa"/>
          </w:tcPr>
          <w:p w:rsidR="00796231" w:rsidRPr="003A1AA9" w:rsidRDefault="00796231" w:rsidP="00C7282C">
            <w:pPr>
              <w:pStyle w:val="NormalWeb"/>
              <w:jc w:val="both"/>
              <w:rPr>
                <w:rFonts w:ascii="Book Antiqua" w:hAnsi="Book Antiqua"/>
                <w:noProof/>
                <w:sz w:val="20"/>
                <w:szCs w:val="20"/>
              </w:rPr>
            </w:pPr>
            <w:r w:rsidRPr="003A1AA9">
              <w:rPr>
                <w:rFonts w:ascii="Book Antiqua" w:hAnsi="Book Antiqua"/>
                <w:noProof/>
                <w:sz w:val="20"/>
                <w:szCs w:val="20"/>
              </w:rPr>
              <w:drawing>
                <wp:inline distT="0" distB="0" distL="0" distR="0">
                  <wp:extent cx="2705100" cy="2228850"/>
                  <wp:effectExtent l="19050" t="0" r="0" b="0"/>
                  <wp:docPr id="184" name="Picture 122" descr="http://www.berthold-weber.de/w_halo_hpb.jpg"/>
                  <wp:cNvGraphicFramePr/>
                  <a:graphic xmlns:a="http://schemas.openxmlformats.org/drawingml/2006/main">
                    <a:graphicData uri="http://schemas.openxmlformats.org/drawingml/2006/picture">
                      <pic:pic xmlns:pic="http://schemas.openxmlformats.org/drawingml/2006/picture">
                        <pic:nvPicPr>
                          <pic:cNvPr id="4" name="Picture 3" descr="http://www.berthold-weber.de/w_halo_hpb.jpg"/>
                          <pic:cNvPicPr/>
                        </pic:nvPicPr>
                        <pic:blipFill>
                          <a:blip r:embed="rId982" cstate="print">
                            <a:lum contrast="40000"/>
                          </a:blip>
                          <a:srcRect l="16938" t="13150" r="14485" b="16560"/>
                          <a:stretch>
                            <a:fillRect/>
                          </a:stretch>
                        </pic:blipFill>
                        <pic:spPr bwMode="auto">
                          <a:xfrm>
                            <a:off x="0" y="0"/>
                            <a:ext cx="2705100" cy="2228850"/>
                          </a:xfrm>
                          <a:prstGeom prst="rect">
                            <a:avLst/>
                          </a:prstGeom>
                          <a:noFill/>
                          <a:ln w="9525">
                            <a:noFill/>
                            <a:miter lim="800000"/>
                            <a:headEnd/>
                            <a:tailEnd/>
                          </a:ln>
                        </pic:spPr>
                      </pic:pic>
                    </a:graphicData>
                  </a:graphic>
                </wp:inline>
              </w:drawing>
            </w:r>
          </w:p>
          <w:p w:rsidR="00796231" w:rsidRPr="003A1AA9" w:rsidRDefault="00796231" w:rsidP="00C7282C">
            <w:pPr>
              <w:pStyle w:val="NormalWeb"/>
              <w:jc w:val="center"/>
              <w:rPr>
                <w:rFonts w:ascii="Book Antiqua" w:hAnsi="Book Antiqua"/>
                <w:i/>
                <w:noProof/>
                <w:sz w:val="20"/>
                <w:szCs w:val="20"/>
              </w:rPr>
            </w:pPr>
          </w:p>
        </w:tc>
      </w:tr>
    </w:tbl>
    <w:p w:rsidR="00796231" w:rsidRPr="003A1AA9" w:rsidRDefault="00796231" w:rsidP="00796231">
      <w:pPr>
        <w:pStyle w:val="NoSpacing"/>
        <w:rPr>
          <w:rFonts w:ascii="Book Antiqua" w:hAnsi="Book Antiqua"/>
          <w:i/>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6:</w:t>
      </w:r>
      <w:r w:rsidRPr="0040460D">
        <w:rPr>
          <w:rFonts w:ascii="Book Antiqua" w:hAnsi="Book Antiqua"/>
          <w:i/>
          <w:sz w:val="18"/>
          <w:szCs w:val="18"/>
        </w:rPr>
        <w:t xml:space="preserve"> Pleochroic halos or radio-halos. The bottom left are typical examples. Bottom right is a U238 halo in fluorite.</w:t>
      </w:r>
    </w:p>
    <w:p w:rsidR="00796231" w:rsidRPr="003A1AA9" w:rsidRDefault="00796231" w:rsidP="00796231">
      <w:pPr>
        <w:ind w:firstLine="720"/>
        <w:jc w:val="both"/>
        <w:rPr>
          <w:rFonts w:ascii="Book Antiqua" w:hAnsi="Book Antiqua"/>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can be expressed mathematically. Let a force of electrosthatic attraction, </w:t>
      </w:r>
      <w:r w:rsidRPr="003A1AA9">
        <w:rPr>
          <w:rFonts w:ascii="Book Antiqua" w:hAnsi="Book Antiqua"/>
          <w:i/>
          <w:sz w:val="20"/>
        </w:rPr>
        <w:t>F</w:t>
      </w:r>
      <w:r w:rsidRPr="003A1AA9">
        <w:rPr>
          <w:rFonts w:ascii="Book Antiqua" w:hAnsi="Book Antiqua"/>
          <w:sz w:val="20"/>
        </w:rPr>
        <w:t xml:space="preserve">, produce a deceleration, </w:t>
      </w:r>
      <w:r w:rsidRPr="003A1AA9">
        <w:rPr>
          <w:rFonts w:ascii="Book Antiqua" w:hAnsi="Book Antiqua"/>
          <w:i/>
          <w:sz w:val="20"/>
        </w:rPr>
        <w:t>a</w:t>
      </w:r>
      <w:r w:rsidRPr="003A1AA9">
        <w:rPr>
          <w:rFonts w:ascii="Book Antiqua" w:hAnsi="Book Antiqua"/>
          <w:sz w:val="20"/>
        </w:rPr>
        <w:t>, on an alpha particle of mass</w:t>
      </w:r>
      <w:r w:rsidRPr="003A1AA9">
        <w:rPr>
          <w:rFonts w:ascii="Book Antiqua" w:hAnsi="Book Antiqua"/>
          <w:i/>
          <w:sz w:val="20"/>
        </w:rPr>
        <w:t>, m</w:t>
      </w:r>
      <w:r w:rsidRPr="003A1AA9">
        <w:rPr>
          <w:rFonts w:ascii="Book Antiqua" w:hAnsi="Book Antiqua"/>
          <w:sz w:val="20"/>
        </w:rPr>
        <w:t xml:space="preserve">. Let the force of electrostatic attraction between charges be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m:t>
        </m:r>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r>
          <w:rPr>
            <w:rStyle w:val="Emphasis"/>
            <w:rFonts w:ascii="Cambria Math" w:hAnsi="Book Antiqua"/>
            <w:sz w:val="20"/>
          </w:rPr>
          <m:t>/</m:t>
        </m:r>
        <m:r>
          <w:rPr>
            <w:rStyle w:val="Emphasis"/>
            <w:rFonts w:ascii="Cambria Math" w:hAnsi="Cambria Math"/>
            <w:sz w:val="20"/>
          </w:rPr>
          <m:t>ε</m:t>
        </m:r>
        <m:r>
          <w:rPr>
            <w:rStyle w:val="Emphasis"/>
            <w:rFonts w:ascii="Cambria Math" w:hAnsi="Book Antiqua"/>
            <w:sz w:val="20"/>
          </w:rPr>
          <m:t>)</m:t>
        </m:r>
      </m:oMath>
      <w:r w:rsidRPr="003A1AA9">
        <w:rPr>
          <w:rFonts w:ascii="Book Antiqua" w:hAnsi="Book Antiqua"/>
          <w:sz w:val="20"/>
        </w:rPr>
        <w:t xml:space="preserve">, where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1</m:t>
            </m:r>
          </m:sub>
        </m:sSub>
      </m:oMath>
      <w:r w:rsidRPr="003A1AA9">
        <w:rPr>
          <w:rFonts w:ascii="Book Antiqua" w:hAnsi="Book Antiqua"/>
          <w:sz w:val="20"/>
        </w:rPr>
        <w:t xml:space="preserve"> is the particle charge and </w:t>
      </w:r>
      <m:oMath>
        <m:sSub>
          <m:sSubPr>
            <m:ctrlPr>
              <w:rPr>
                <w:rStyle w:val="Emphasis"/>
                <w:rFonts w:ascii="Cambria Math" w:hAnsi="Book Antiqua"/>
                <w:sz w:val="20"/>
              </w:rPr>
            </m:ctrlPr>
          </m:sSubPr>
          <m:e>
            <m:r>
              <w:rPr>
                <w:rStyle w:val="Emphasis"/>
                <w:rFonts w:ascii="Cambria Math" w:hAnsi="Cambria Math"/>
                <w:sz w:val="20"/>
              </w:rPr>
              <m:t>e</m:t>
            </m:r>
          </m:e>
          <m:sub>
            <m:r>
              <w:rPr>
                <w:rStyle w:val="Emphasis"/>
                <w:rFonts w:ascii="Cambria Math" w:hAnsi="Book Antiqua"/>
                <w:sz w:val="20"/>
              </w:rPr>
              <m:t>2</m:t>
            </m:r>
          </m:sub>
        </m:sSub>
      </m:oMath>
      <w:r w:rsidRPr="003A1AA9">
        <w:rPr>
          <w:rFonts w:ascii="Book Antiqua" w:hAnsi="Book Antiqua"/>
          <w:sz w:val="20"/>
        </w:rPr>
        <w:t xml:space="preserve"> is an interacting host material charge </w:t>
      </w:r>
      <w:hyperlink r:id="rId983" w:anchor="4a184" w:history="1">
        <w:r w:rsidRPr="003A1AA9">
          <w:rPr>
            <w:rStyle w:val="Hyperlink"/>
            <w:rFonts w:ascii="Book Antiqua" w:hAnsi="Book Antiqua"/>
            <w:sz w:val="20"/>
          </w:rPr>
          <w:t>[9]</w:t>
        </w:r>
      </w:hyperlink>
      <w:r w:rsidRPr="003A1AA9">
        <w:rPr>
          <w:rFonts w:ascii="Book Antiqua" w:hAnsi="Book Antiqua"/>
          <w:sz w:val="20"/>
        </w:rPr>
        <w:t xml:space="preserve">. From Chapter 5, </w:t>
      </w:r>
      <m:oMath>
        <m:r>
          <w:rPr>
            <w:rStyle w:val="Emphasis"/>
            <w:rFonts w:ascii="Cambria Math" w:hAnsi="Cambria Math"/>
            <w:sz w:val="20"/>
          </w:rPr>
          <m:t>F</m:t>
        </m:r>
      </m:oMath>
      <w:r w:rsidRPr="003A1AA9">
        <w:rPr>
          <w:rFonts w:ascii="Book Antiqua" w:hAnsi="Book Antiqua"/>
          <w:sz w:val="20"/>
        </w:rPr>
        <w:t xml:space="preserve"> must remain unchanged at a given distance. But </w:t>
      </w:r>
      <m:oMath>
        <m:r>
          <w:rPr>
            <w:rStyle w:val="Emphasis"/>
            <w:rFonts w:ascii="Cambria Math" w:hAnsi="Cambria Math"/>
            <w:sz w:val="20"/>
          </w:rPr>
          <m:t>m</m:t>
        </m:r>
      </m:oMath>
      <w:r w:rsidRPr="003A1AA9">
        <w:rPr>
          <w:rFonts w:ascii="Book Antiqua" w:hAnsi="Book Antiqua"/>
          <w:sz w:val="20"/>
        </w:rPr>
        <w:t xml:space="preserve"> is proportional to </w:t>
      </w:r>
      <m:oMath>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deceleration</w:t>
      </w:r>
      <w:proofErr w:type="gramStart"/>
      <w:r w:rsidRPr="003A1AA9">
        <w:rPr>
          <w:rFonts w:ascii="Book Antiqua" w:hAnsi="Book Antiqua"/>
          <w:sz w:val="20"/>
        </w:rPr>
        <w:t xml:space="preserve">, </w:t>
      </w:r>
      <m:oMath>
        <w:proofErr w:type="gramEnd"/>
        <m:r>
          <w:rPr>
            <w:rStyle w:val="Emphasis"/>
            <w:rFonts w:ascii="Cambria Math" w:hAnsi="Cambria Math"/>
            <w:sz w:val="20"/>
          </w:rPr>
          <m:t>a</m:t>
        </m:r>
      </m:oMath>
      <w:r w:rsidRPr="003A1AA9">
        <w:rPr>
          <w:rFonts w:ascii="Book Antiqua" w:hAnsi="Book Antiqua"/>
          <w:sz w:val="20"/>
        </w:rPr>
        <w:t xml:space="preserve">, is proportional to </w:t>
      </w:r>
      <m:oMath>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So the same charge interaction per particle mass produces a deceleration increased by a factor </w:t>
      </w:r>
      <w:proofErr w:type="gramStart"/>
      <w:r w:rsidRPr="003A1AA9">
        <w:rPr>
          <w:rFonts w:ascii="Book Antiqua" w:hAnsi="Book Antiqua"/>
          <w:sz w:val="20"/>
        </w:rPr>
        <w:t xml:space="preserve">of </w:t>
      </w:r>
      <m:oMath>
        <w:proofErr w:type="gramEnd"/>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xml:space="preserve">. This exactly counteracts the effects of mass decrease, which is proportional </w:t>
      </w:r>
      <w:proofErr w:type="gramStart"/>
      <w:r w:rsidRPr="003A1AA9">
        <w:rPr>
          <w:rFonts w:ascii="Book Antiqua" w:hAnsi="Book Antiqua"/>
          <w:sz w:val="20"/>
        </w:rPr>
        <w:t xml:space="preserve">to </w:t>
      </w:r>
      <m:oMath>
        <w:proofErr w:type="gramEnd"/>
        <m:r>
          <w:rPr>
            <w:rStyle w:val="Emphasis"/>
            <w:rFonts w:ascii="Cambria Math" w:hAnsi="Book Antiqua"/>
            <w:sz w:val="20"/>
          </w:rPr>
          <m:t>1/</m:t>
        </m:r>
        <m:sSup>
          <m:sSupPr>
            <m:ctrlPr>
              <w:rPr>
                <w:rStyle w:val="Emphasis"/>
                <w:rFonts w:ascii="Cambria Math" w:hAnsi="Book Antiqua"/>
                <w:sz w:val="20"/>
              </w:rPr>
            </m:ctrlPr>
          </m:sSupPr>
          <m:e>
            <m:r>
              <w:rPr>
                <w:rStyle w:val="Emphasis"/>
                <w:rFonts w:ascii="Cambria Math" w:hAnsi="Cambria Math"/>
                <w:sz w:val="20"/>
              </w:rPr>
              <m:t>c</m:t>
            </m:r>
          </m:e>
          <m:sup>
            <m:r>
              <w:rPr>
                <w:rStyle w:val="Emphasis"/>
                <w:rFonts w:ascii="Cambria Math" w:hAnsi="Book Antiqua"/>
                <w:sz w:val="20"/>
              </w:rPr>
              <m:t>2</m:t>
            </m:r>
          </m:sup>
        </m:sSup>
      </m:oMath>
      <w:r w:rsidRPr="003A1AA9">
        <w:rPr>
          <w:rFonts w:ascii="Book Antiqua" w:hAnsi="Book Antiqua"/>
          <w:sz w:val="20"/>
        </w:rPr>
        <w:t>. This is why pleochroic halo radii will remain fixed with varying ZPE; fixed radio-halo radii do not mean that the ZPE strength has not changed</w:t>
      </w:r>
      <w:r w:rsidRPr="003A1AA9">
        <w:rPr>
          <w:rFonts w:ascii="Book Antiqua" w:hAnsi="Book Antiqua"/>
          <w:sz w:val="18"/>
          <w:szCs w:val="18"/>
        </w:rPr>
        <w:t>.</w:t>
      </w:r>
      <w:r w:rsidRPr="003A1AA9">
        <w:rPr>
          <w:rFonts w:ascii="Book Antiqua" w:hAnsi="Book Antiqua"/>
          <w:b/>
          <w:sz w:val="18"/>
          <w:szCs w:val="18"/>
        </w:rPr>
        <w:t xml:space="preserve"> </w:t>
      </w:r>
    </w:p>
    <w:p w:rsidR="00796231" w:rsidRDefault="00796231" w:rsidP="00796231">
      <w:pPr>
        <w:pStyle w:val="NoSpacing"/>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lastRenderedPageBreak/>
        <w:t>There is another way of looking at this. It is often stated that the speeding alpha particle is slowed by the process of ionization. In this, the electrons around atoms in the alpha particle’s path are either pulled out of their orbits or in some way are disturbed. It might be pointed out that, as noted in the second half of Chapter 5, electron orbits were further out from the nucleus in earlier times resulting in a redshift of light. This means that their orbits were less energetic and so the electron could be removed from its orbit more readily. In other words, the process of stripping electrons from atoms (ionization) was easier and required less energy. Therefore, if each interaction required less energy, it might be thought that the alpha particle would have to travel further before its kinetic energy was used up and it stopped. However, that is not the case, because, if ionization was easier, more ionization events would occur in the path of the alpha particle. Since the number of ionization events is determined by the ease of ionization, there are more events when the ionization is easier. So these factors exactly compensate. So, no matter how the question is examined, with a changing Zero Point Energy, the end result is always that the alpha particle slows to a stop at the same distance from the nucleus.</w:t>
      </w:r>
    </w:p>
    <w:p w:rsidR="00796231" w:rsidRDefault="00796231" w:rsidP="00796231">
      <w:pPr>
        <w:pStyle w:val="NoSpacing"/>
        <w:rPr>
          <w:rFonts w:ascii="Book Antiqua" w:hAnsi="Book Antiqua"/>
          <w:b/>
          <w:sz w:val="20"/>
        </w:rPr>
      </w:pPr>
    </w:p>
    <w:p w:rsidR="00796231" w:rsidRPr="003A1AA9" w:rsidRDefault="00796231" w:rsidP="00796231">
      <w:pPr>
        <w:pStyle w:val="NoSpacing"/>
        <w:rPr>
          <w:rFonts w:ascii="Book Antiqua" w:hAnsi="Book Antiqua"/>
          <w:b/>
          <w:sz w:val="20"/>
        </w:rPr>
      </w:pPr>
      <w:r w:rsidRPr="003A1AA9">
        <w:rPr>
          <w:rFonts w:ascii="Book Antiqua" w:hAnsi="Book Antiqua"/>
          <w:b/>
          <w:sz w:val="20"/>
        </w:rPr>
        <w:t>8.   Types of Fission and the Oklo Natural Reactor.</w:t>
      </w:r>
    </w:p>
    <w:p w:rsidR="00796231" w:rsidRPr="003A1AA9" w:rsidRDefault="00796231" w:rsidP="00796231">
      <w:pPr>
        <w:pStyle w:val="NoSpacing"/>
        <w:rPr>
          <w:rFonts w:ascii="Book Antiqua" w:hAnsi="Book Antiqua"/>
          <w:sz w:val="20"/>
        </w:rPr>
      </w:pPr>
    </w:p>
    <w:p w:rsidR="00796231" w:rsidRPr="007B001B" w:rsidRDefault="00796231" w:rsidP="00796231">
      <w:pPr>
        <w:pStyle w:val="NoSpacing"/>
        <w:jc w:val="both"/>
        <w:rPr>
          <w:rFonts w:ascii="Book Antiqua" w:hAnsi="Book Antiqua"/>
          <w:sz w:val="20"/>
        </w:rPr>
      </w:pPr>
      <w:r w:rsidRPr="00256786">
        <w:tab/>
      </w:r>
      <w:r w:rsidRPr="007B001B">
        <w:rPr>
          <w:rFonts w:ascii="Book Antiqua" w:hAnsi="Book Antiqua"/>
          <w:sz w:val="20"/>
        </w:rPr>
        <w:t xml:space="preserve"> </w:t>
      </w:r>
      <w:r w:rsidRPr="007B001B">
        <w:rPr>
          <w:rStyle w:val="style31"/>
          <w:rFonts w:ascii="Book Antiqua" w:hAnsi="Book Antiqua"/>
          <w:b w:val="0"/>
          <w:sz w:val="20"/>
        </w:rPr>
        <w:t>The</w:t>
      </w:r>
      <w:r w:rsidRPr="007B001B">
        <w:rPr>
          <w:rStyle w:val="style31"/>
          <w:rFonts w:ascii="Book Antiqua" w:hAnsi="Book Antiqua"/>
          <w:sz w:val="20"/>
        </w:rPr>
        <w:t xml:space="preserve"> </w:t>
      </w:r>
      <w:r w:rsidRPr="007B001B">
        <w:rPr>
          <w:rStyle w:val="style31"/>
          <w:rFonts w:ascii="Book Antiqua" w:hAnsi="Book Antiqua"/>
          <w:b w:val="0"/>
          <w:sz w:val="20"/>
        </w:rPr>
        <w:t>Oklo reactor, located in the Republic of Gabon, West Africa, is a natural uranium deposit in which nuclear</w:t>
      </w:r>
      <w:r w:rsidRPr="007B001B">
        <w:rPr>
          <w:rStyle w:val="style31"/>
          <w:rFonts w:ascii="Book Antiqua" w:hAnsi="Book Antiqua"/>
          <w:sz w:val="20"/>
        </w:rPr>
        <w:t xml:space="preserve"> </w:t>
      </w:r>
      <w:r w:rsidRPr="007B001B">
        <w:rPr>
          <w:rStyle w:val="style31"/>
          <w:rFonts w:ascii="Book Antiqua" w:hAnsi="Book Antiqua"/>
          <w:b w:val="0"/>
          <w:sz w:val="20"/>
        </w:rPr>
        <w:t>fission has occurred.</w:t>
      </w:r>
      <w:r w:rsidRPr="007B001B">
        <w:rPr>
          <w:rStyle w:val="style31"/>
          <w:rFonts w:ascii="Book Antiqua" w:hAnsi="Book Antiqua"/>
          <w:sz w:val="20"/>
        </w:rPr>
        <w:t xml:space="preserve"> </w:t>
      </w:r>
      <w:r w:rsidRPr="007B001B">
        <w:rPr>
          <w:rFonts w:ascii="Book Antiqua" w:hAnsi="Book Antiqua"/>
          <w:sz w:val="20"/>
        </w:rPr>
        <w:t xml:space="preserve">Geological conditions 1.8 billion atomic years ago allowed a chain reaction to cycle on and off repeatedly for some time in that uranium ore deposit. The cyclical nature of the process was revealed by isotopes left from reactions which were induced by the action of a geyser </w:t>
      </w:r>
      <w:hyperlink r:id="rId984" w:anchor="4a185" w:history="1">
        <w:r w:rsidRPr="007B001B">
          <w:rPr>
            <w:rStyle w:val="Hyperlink"/>
            <w:rFonts w:ascii="Book Antiqua" w:hAnsi="Book Antiqua"/>
            <w:sz w:val="20"/>
          </w:rPr>
          <w:t>[10]</w:t>
        </w:r>
      </w:hyperlink>
      <w:r w:rsidRPr="007B001B">
        <w:rPr>
          <w:rFonts w:ascii="Book Antiqua" w:hAnsi="Book Antiqua"/>
          <w:sz w:val="20"/>
        </w:rPr>
        <w:t xml:space="preserve">. The water slowed down neutrons that were produced by spontaneous fission of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nuclei. These slow neutrons were then absorbed by nearby uranium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nuclei and, in so doing, provided the activation energy needed to induce the fission of those nuclei. The reactor shut off when the water evaporated, either through radioactive heating by the daughter elements, or by drainage, because the emitted neutrons were no longer slow enough to be absorbed. The cycle repeated when the water returned. An initial study suggested that a complete cycle took about 3 hours, with 30 minutes of criticality followed by 2 hours 30 minutes of cooling before the next cycle started. However, these figures have been disputed [11]. </w:t>
      </w:r>
    </w:p>
    <w:p w:rsidR="00796231" w:rsidRDefault="00796231" w:rsidP="00796231">
      <w:pPr>
        <w:pStyle w:val="NoSpacing"/>
        <w:jc w:val="both"/>
        <w:rPr>
          <w:rFonts w:ascii="Book Antiqua" w:hAnsi="Book Antiqua"/>
          <w:sz w:val="20"/>
        </w:rPr>
      </w:pPr>
    </w:p>
    <w:p w:rsidR="00796231" w:rsidRDefault="00796231" w:rsidP="00796231">
      <w:pPr>
        <w:pStyle w:val="NoSpacing"/>
        <w:jc w:val="center"/>
        <w:rPr>
          <w:rFonts w:ascii="Book Antiqua" w:hAnsi="Book Antiqua"/>
          <w:sz w:val="20"/>
        </w:rPr>
      </w:pPr>
      <w:r w:rsidRPr="00833F02">
        <w:rPr>
          <w:rFonts w:ascii="Book Antiqua" w:hAnsi="Book Antiqua"/>
          <w:noProof/>
          <w:sz w:val="20"/>
        </w:rPr>
        <w:drawing>
          <wp:inline distT="0" distB="0" distL="0" distR="0">
            <wp:extent cx="5803354" cy="2638425"/>
            <wp:effectExtent l="19050" t="0" r="6896" b="0"/>
            <wp:docPr id="185" name="il_fi" descr="http://i.ytimg.com/vi/BgI5XYKmen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ytimg.com/vi/BgI5XYKmenc/0.jpg"/>
                    <pic:cNvPicPr>
                      <a:picLocks noChangeAspect="1" noChangeArrowheads="1"/>
                    </pic:cNvPicPr>
                  </pic:nvPicPr>
                  <pic:blipFill>
                    <a:blip r:embed="rId985" cstate="print"/>
                    <a:srcRect t="17237" r="1976" b="23522"/>
                    <a:stretch>
                      <a:fillRect/>
                    </a:stretch>
                  </pic:blipFill>
                  <pic:spPr bwMode="auto">
                    <a:xfrm>
                      <a:off x="0" y="0"/>
                      <a:ext cx="5823716" cy="2647683"/>
                    </a:xfrm>
                    <a:prstGeom prst="rect">
                      <a:avLst/>
                    </a:prstGeom>
                    <a:noFill/>
                    <a:ln w="9525">
                      <a:noFill/>
                      <a:miter lim="800000"/>
                      <a:headEnd/>
                      <a:tailEnd/>
                    </a:ln>
                  </pic:spPr>
                </pic:pic>
              </a:graphicData>
            </a:graphic>
          </wp:inline>
        </w:drawing>
      </w:r>
    </w:p>
    <w:p w:rsidR="00796231" w:rsidRPr="003A1AA9" w:rsidRDefault="00796231" w:rsidP="00796231">
      <w:pPr>
        <w:pStyle w:val="NoSpacing"/>
        <w:jc w:val="both"/>
        <w:rPr>
          <w:rFonts w:ascii="Book Antiqua" w:hAnsi="Book Antiqua"/>
          <w:sz w:val="20"/>
        </w:rPr>
      </w:pPr>
    </w:p>
    <w:p w:rsidR="00796231" w:rsidRPr="0040460D" w:rsidRDefault="00796231" w:rsidP="00796231">
      <w:pPr>
        <w:pStyle w:val="NormalWeb"/>
        <w:jc w:val="center"/>
        <w:rPr>
          <w:rFonts w:ascii="Book Antiqua" w:hAnsi="Book Antiqua"/>
          <w:i/>
          <w:sz w:val="18"/>
          <w:szCs w:val="18"/>
        </w:rPr>
      </w:pPr>
      <w:r w:rsidRPr="0040460D">
        <w:rPr>
          <w:rFonts w:ascii="Book Antiqua" w:hAnsi="Book Antiqua"/>
          <w:b/>
          <w:i/>
          <w:sz w:val="18"/>
          <w:szCs w:val="18"/>
        </w:rPr>
        <w:t>Figure 7:</w:t>
      </w:r>
      <w:r w:rsidRPr="0040460D">
        <w:rPr>
          <w:rFonts w:ascii="Book Antiqua" w:hAnsi="Book Antiqua"/>
          <w:i/>
          <w:sz w:val="18"/>
          <w:szCs w:val="18"/>
        </w:rPr>
        <w:t xml:space="preserve"> The site of the Oklo natural nuclear reactor in Gabon, W</w:t>
      </w:r>
      <w:r>
        <w:rPr>
          <w:rFonts w:ascii="Book Antiqua" w:hAnsi="Book Antiqua"/>
          <w:i/>
          <w:sz w:val="18"/>
          <w:szCs w:val="18"/>
        </w:rPr>
        <w:t>est</w:t>
      </w:r>
      <w:r w:rsidRPr="0040460D">
        <w:rPr>
          <w:rFonts w:ascii="Book Antiqua" w:hAnsi="Book Antiqua"/>
          <w:i/>
          <w:sz w:val="18"/>
          <w:szCs w:val="18"/>
        </w:rPr>
        <w:t xml:space="preserve"> Africa.</w:t>
      </w:r>
    </w:p>
    <w:p w:rsidR="00796231" w:rsidRDefault="00796231" w:rsidP="00796231">
      <w:pPr>
        <w:pStyle w:val="NoSpacing"/>
        <w:ind w:firstLine="720"/>
        <w:jc w:val="both"/>
        <w:rPr>
          <w:rFonts w:ascii="Book Antiqua" w:hAnsi="Book Antiqua"/>
          <w:sz w:val="20"/>
        </w:rPr>
      </w:pPr>
      <w:r w:rsidRPr="005723B9">
        <w:rPr>
          <w:rFonts w:ascii="Book Antiqua" w:hAnsi="Book Antiqua"/>
          <w:sz w:val="20"/>
        </w:rPr>
        <w:t xml:space="preserve">The picture that emerges of the Oklo site is that of </w:t>
      </w:r>
      <w:r>
        <w:rPr>
          <w:rFonts w:ascii="Book Antiqua" w:hAnsi="Book Antiqua"/>
          <w:sz w:val="20"/>
        </w:rPr>
        <w:t xml:space="preserve">large </w:t>
      </w:r>
      <w:r w:rsidRPr="005723B9">
        <w:rPr>
          <w:rFonts w:ascii="Book Antiqua" w:hAnsi="Book Antiqua"/>
          <w:sz w:val="20"/>
        </w:rPr>
        <w:t>pulsing geyser</w:t>
      </w:r>
      <w:r>
        <w:rPr>
          <w:rFonts w:ascii="Book Antiqua" w:hAnsi="Book Antiqua"/>
          <w:sz w:val="20"/>
        </w:rPr>
        <w:t>s.  Their</w:t>
      </w:r>
      <w:r w:rsidRPr="005723B9">
        <w:rPr>
          <w:rFonts w:ascii="Book Antiqua" w:hAnsi="Book Antiqua"/>
          <w:sz w:val="20"/>
        </w:rPr>
        <w:t xml:space="preserve"> water was </w:t>
      </w:r>
      <w:r>
        <w:rPr>
          <w:rFonts w:ascii="Book Antiqua" w:hAnsi="Book Antiqua"/>
          <w:sz w:val="20"/>
        </w:rPr>
        <w:t xml:space="preserve">evidently </w:t>
      </w:r>
      <w:r w:rsidRPr="005723B9">
        <w:rPr>
          <w:rFonts w:ascii="Book Antiqua" w:hAnsi="Book Antiqua"/>
          <w:sz w:val="20"/>
        </w:rPr>
        <w:t>being acted on by algae</w:t>
      </w:r>
      <w:r>
        <w:rPr>
          <w:rFonts w:ascii="Book Antiqua" w:hAnsi="Book Antiqua"/>
          <w:sz w:val="20"/>
        </w:rPr>
        <w:t>, since</w:t>
      </w:r>
      <w:r w:rsidRPr="005723B9">
        <w:rPr>
          <w:rFonts w:ascii="Book Antiqua" w:hAnsi="Book Antiqua"/>
          <w:sz w:val="20"/>
        </w:rPr>
        <w:t xml:space="preserve"> algae act to concentrate the uranium </w:t>
      </w:r>
      <w:r>
        <w:rPr>
          <w:rFonts w:ascii="Book Antiqua" w:hAnsi="Book Antiqua"/>
          <w:sz w:val="20"/>
        </w:rPr>
        <w:t>dissolved in</w:t>
      </w:r>
      <w:r w:rsidRPr="005723B9">
        <w:rPr>
          <w:rFonts w:ascii="Book Antiqua" w:hAnsi="Book Antiqua"/>
          <w:sz w:val="20"/>
        </w:rPr>
        <w:t xml:space="preserve"> the water welling up from the interior of the earth.</w:t>
      </w:r>
      <w:r>
        <w:rPr>
          <w:rFonts w:ascii="Book Antiqua" w:hAnsi="Book Antiqua"/>
          <w:sz w:val="20"/>
        </w:rPr>
        <w:t xml:space="preserve"> </w:t>
      </w:r>
      <w:r w:rsidRPr="005723B9">
        <w:rPr>
          <w:rFonts w:ascii="Book Antiqua" w:hAnsi="Book Antiqua"/>
          <w:sz w:val="20"/>
        </w:rPr>
        <w:t xml:space="preserve"> </w:t>
      </w:r>
      <w:r>
        <w:rPr>
          <w:rFonts w:ascii="Book Antiqua" w:hAnsi="Book Antiqua"/>
          <w:sz w:val="20"/>
        </w:rPr>
        <w:t>(</w:t>
      </w:r>
      <w:r w:rsidRPr="005723B9">
        <w:rPr>
          <w:rFonts w:ascii="Book Antiqua" w:hAnsi="Book Antiqua"/>
          <w:sz w:val="20"/>
        </w:rPr>
        <w:t>This is discussed further in Chapter 10.</w:t>
      </w:r>
      <w:r>
        <w:rPr>
          <w:rFonts w:ascii="Book Antiqua" w:hAnsi="Book Antiqua"/>
          <w:sz w:val="20"/>
        </w:rPr>
        <w:t>)</w:t>
      </w:r>
      <w:r w:rsidRPr="005723B9">
        <w:rPr>
          <w:rFonts w:ascii="Book Antiqua" w:hAnsi="Book Antiqua"/>
          <w:sz w:val="20"/>
        </w:rPr>
        <w:t xml:space="preserve"> Since there are 16 separate reaction sites in the region, it is possible that there may have been </w:t>
      </w:r>
      <w:r>
        <w:rPr>
          <w:rFonts w:ascii="Book Antiqua" w:hAnsi="Book Antiqua"/>
          <w:sz w:val="20"/>
        </w:rPr>
        <w:t>a number of</w:t>
      </w:r>
      <w:r w:rsidRPr="005723B9">
        <w:rPr>
          <w:rFonts w:ascii="Book Antiqua" w:hAnsi="Book Antiqua"/>
          <w:sz w:val="20"/>
        </w:rPr>
        <w:t xml:space="preserve"> separate geysers in the area. There was also a high concentration of clay particles suspended </w:t>
      </w:r>
      <w:r w:rsidRPr="005723B9">
        <w:rPr>
          <w:rFonts w:ascii="Book Antiqua" w:hAnsi="Book Antiqua"/>
          <w:sz w:val="20"/>
        </w:rPr>
        <w:lastRenderedPageBreak/>
        <w:t xml:space="preserve">in the water which </w:t>
      </w:r>
      <w:r>
        <w:rPr>
          <w:rFonts w:ascii="Book Antiqua" w:hAnsi="Book Antiqua"/>
          <w:sz w:val="20"/>
        </w:rPr>
        <w:t xml:space="preserve">had </w:t>
      </w:r>
      <w:r w:rsidRPr="005723B9">
        <w:rPr>
          <w:rFonts w:ascii="Book Antiqua" w:hAnsi="Book Antiqua"/>
          <w:sz w:val="20"/>
        </w:rPr>
        <w:t xml:space="preserve">saturated the deposit. </w:t>
      </w:r>
      <w:r>
        <w:rPr>
          <w:rFonts w:ascii="Book Antiqua" w:hAnsi="Book Antiqua"/>
          <w:sz w:val="20"/>
        </w:rPr>
        <w:t>There is a possibility</w:t>
      </w:r>
      <w:r w:rsidRPr="005723B9">
        <w:rPr>
          <w:rFonts w:ascii="Book Antiqua" w:hAnsi="Book Antiqua"/>
          <w:sz w:val="20"/>
        </w:rPr>
        <w:t xml:space="preserve"> that there was convective movement in the mixture of uranium, clay and water. </w:t>
      </w:r>
      <w:r>
        <w:rPr>
          <w:rFonts w:ascii="Book Antiqua" w:hAnsi="Book Antiqua"/>
          <w:sz w:val="20"/>
        </w:rPr>
        <w:t>A chain reaction can only take place if neutrons expelled from the decaying uranium are slowed enough to be absorbed by other uranium atoms.  This requires a moderating substance.  C</w:t>
      </w:r>
      <w:r w:rsidRPr="005723B9">
        <w:rPr>
          <w:rFonts w:ascii="Book Antiqua" w:hAnsi="Book Antiqua"/>
          <w:sz w:val="20"/>
        </w:rPr>
        <w:t>lay and water are both good moderators of neutron velocity</w:t>
      </w:r>
      <w:r>
        <w:rPr>
          <w:rFonts w:ascii="Book Antiqua" w:hAnsi="Book Antiqua"/>
          <w:sz w:val="20"/>
        </w:rPr>
        <w:t xml:space="preserve">; </w:t>
      </w:r>
      <w:r w:rsidRPr="005723B9">
        <w:rPr>
          <w:rFonts w:ascii="Book Antiqua" w:hAnsi="Book Antiqua"/>
          <w:sz w:val="20"/>
        </w:rPr>
        <w:t xml:space="preserve">the reaction rate depends on the moderator to fuel ratio. </w:t>
      </w:r>
      <w:r>
        <w:rPr>
          <w:rFonts w:ascii="Book Antiqua" w:hAnsi="Book Antiqua"/>
          <w:sz w:val="20"/>
        </w:rPr>
        <w:t xml:space="preserve">The more </w:t>
      </w:r>
      <w:proofErr w:type="gramStart"/>
      <w:r>
        <w:rPr>
          <w:rFonts w:ascii="Book Antiqua" w:hAnsi="Book Antiqua"/>
          <w:sz w:val="20"/>
        </w:rPr>
        <w:t>moderator</w:t>
      </w:r>
      <w:proofErr w:type="gramEnd"/>
      <w:r>
        <w:rPr>
          <w:rFonts w:ascii="Book Antiqua" w:hAnsi="Book Antiqua"/>
          <w:sz w:val="20"/>
        </w:rPr>
        <w:t xml:space="preserve"> there is, the more slow neutrons will be in the mix, increasing the likelihood of a chain reaction. This means that</w:t>
      </w:r>
      <w:r w:rsidRPr="005723B9">
        <w:rPr>
          <w:rFonts w:ascii="Book Antiqua" w:hAnsi="Book Antiqua"/>
          <w:sz w:val="20"/>
        </w:rPr>
        <w:t xml:space="preserve"> the number of slow neutrons depend</w:t>
      </w:r>
      <w:r>
        <w:rPr>
          <w:rFonts w:ascii="Book Antiqua" w:hAnsi="Book Antiqua"/>
          <w:sz w:val="20"/>
        </w:rPr>
        <w:t>s</w:t>
      </w:r>
      <w:r w:rsidRPr="005723B9">
        <w:rPr>
          <w:rFonts w:ascii="Book Antiqua" w:hAnsi="Book Antiqua"/>
          <w:sz w:val="20"/>
        </w:rPr>
        <w:t xml:space="preserve"> significantly on the percentage of clay and water atoms compared with that of the uranium atoms, quite apart from ZPE conditions. </w:t>
      </w:r>
    </w:p>
    <w:p w:rsidR="00796231" w:rsidRPr="005723B9"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At Oklo, there were two types of fission reactions. First a spontaneous fission reaction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r>
          <w:rPr>
            <w:rFonts w:ascii="Cambria Math" w:hAnsi="Book Antiqua"/>
            <w:sz w:val="20"/>
          </w:rPr>
          <m:t xml:space="preserve"> </m:t>
        </m:r>
      </m:oMath>
      <w:r w:rsidRPr="007B001B">
        <w:rPr>
          <w:rFonts w:ascii="Book Antiqua" w:hAnsi="Book Antiqua"/>
          <w:sz w:val="20"/>
        </w:rPr>
        <w:t xml:space="preserve"> isotope, which has a current half-life of 4.46 billion years </w:t>
      </w:r>
      <w:hyperlink r:id="rId986" w:anchor="4a188" w:history="1">
        <w:r w:rsidRPr="007B001B">
          <w:rPr>
            <w:rStyle w:val="Hyperlink"/>
            <w:rFonts w:ascii="Book Antiqua" w:eastAsiaTheme="majorEastAsia" w:hAnsi="Book Antiqua"/>
            <w:sz w:val="20"/>
          </w:rPr>
          <w:t>[12]</w:t>
        </w:r>
      </w:hyperlink>
      <w:r w:rsidRPr="007B001B">
        <w:rPr>
          <w:rFonts w:ascii="Book Antiqua" w:hAnsi="Book Antiqua"/>
          <w:sz w:val="20"/>
        </w:rPr>
        <w:t xml:space="preserve">. This reaction’s fission tracks acting over geological time are used for atomic dating of the deposit. Second, there was an induced fission reaction which occurred with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 xml:space="preserve">isotope due to neutrons from the first reaction which had been slowed down. But for this second reaction to occur, it was essential that a supply of slow, not fast, neutrons was available. These neutrons came primarily from the first reaction, namely the spontaneous fission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7B001B">
        <w:rPr>
          <w:rFonts w:ascii="Book Antiqua" w:hAnsi="Book Antiqua"/>
          <w:sz w:val="20"/>
        </w:rPr>
        <w:t xml:space="preserve">  isotope. The general idea is that the second, or</w:t>
      </w:r>
      <w:r w:rsidRPr="007B001B">
        <w:rPr>
          <w:rStyle w:val="style31"/>
          <w:rFonts w:ascii="Book Antiqua" w:hAnsi="Book Antiqua"/>
          <w:sz w:val="20"/>
        </w:rPr>
        <w:t xml:space="preserv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reaction, proves that fission rates are fixed. It is true that the strong, weak and electromagnetic forces were unchanged in this fission process. But let us examine these processes for a moment.</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In examining the first reaction due to spontaneous fission, it has been noted that, when the ZPE strength was lower, sub-atomic particle masses were also lower. The velocity of particles in the nucleus was thereby higher, just as for alpha particles. So for spontaneous fission, the important stable configurations of nucleons formed more quickly, and the nucleus split more rapidly. Thus spontaneous fission half-lives are proportional to the strength of the Zero Point Energy</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U</m:t>
        </m:r>
      </m:oMath>
      <w:r w:rsidRPr="007B001B">
        <w:rPr>
          <w:rFonts w:ascii="Book Antiqua" w:hAnsi="Book Antiqua"/>
          <w:sz w:val="20"/>
        </w:rPr>
        <w:t xml:space="preserve">, and Planck’s Constant, </w:t>
      </w:r>
      <m:oMath>
        <m:r>
          <w:rPr>
            <w:rStyle w:val="Emphasis"/>
            <w:rFonts w:ascii="Book Antiqua" w:eastAsia="SimSun" w:hAnsi="Cambria Math"/>
            <w:sz w:val="20"/>
          </w:rPr>
          <m:t>h</m:t>
        </m:r>
      </m:oMath>
      <w:r w:rsidRPr="007B001B">
        <w:rPr>
          <w:rFonts w:ascii="Book Antiqua" w:hAnsi="Book Antiqua"/>
          <w:sz w:val="20"/>
        </w:rPr>
        <w:t>, and were longer when the ZPE strength is greater.</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As far as the second fission reaction is concerned, the shorter spontaneous fission half-lives from the first reaction means there was a greater flux of neutrons in the past than there is now. But in the second reaction, neutron capture by a nucleus to form an activated complex only occurs if a neutron is near a nucleus for a relatively long time (requiring the slower neutrons). Short-range nuclear attractive forces then have a better chance to take effect. Such nuclei are called </w:t>
      </w:r>
      <m:oMath>
        <m:r>
          <w:rPr>
            <w:rStyle w:val="Emphasis"/>
            <w:rFonts w:ascii="Cambria Math" w:eastAsia="SimSun" w:hAnsi="Book Antiqua"/>
            <w:sz w:val="20"/>
          </w:rPr>
          <m:t>1/</m:t>
        </m:r>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absorbers, with </w:t>
      </w:r>
      <m:oMath>
        <m:r>
          <w:rPr>
            <w:rStyle w:val="Emphasis"/>
            <w:rFonts w:ascii="Cambria Math" w:eastAsia="SimSun" w:hAnsi="Cambria Math"/>
            <w:sz w:val="20"/>
          </w:rPr>
          <m:t>v</m:t>
        </m:r>
      </m:oMath>
      <w:r w:rsidRPr="007B001B">
        <w:rPr>
          <w:rStyle w:val="Emphasis"/>
          <w:rFonts w:ascii="Book Antiqua" w:eastAsia="SimSun" w:hAnsi="Book Antiqua"/>
          <w:sz w:val="20"/>
        </w:rPr>
        <w:t xml:space="preserve"> </w:t>
      </w:r>
      <w:r w:rsidRPr="007B001B">
        <w:rPr>
          <w:rFonts w:ascii="Book Antiqua" w:hAnsi="Book Antiqua"/>
          <w:sz w:val="20"/>
        </w:rPr>
        <w:t xml:space="preserve">the neutron velocity </w:t>
      </w:r>
      <w:hyperlink r:id="rId987" w:anchor="4a189" w:history="1">
        <w:r w:rsidRPr="007B001B">
          <w:rPr>
            <w:rStyle w:val="Hyperlink"/>
            <w:rFonts w:ascii="Book Antiqua" w:eastAsiaTheme="majorEastAsia" w:hAnsi="Book Antiqua"/>
            <w:sz w:val="20"/>
          </w:rPr>
          <w:t>[13]</w:t>
        </w:r>
      </w:hyperlink>
      <w:r w:rsidRPr="007B001B">
        <w:rPr>
          <w:rFonts w:ascii="Book Antiqua" w:hAnsi="Book Antiqua"/>
          <w:sz w:val="20"/>
        </w:rPr>
        <w:t xml:space="preserve">.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To model the effects of a neutron flux in the second reaction, we note from the equations in Chapter 4 that the number of approaches per second by neutrons to a nucleus is proportional to the speed of light</w:t>
      </w:r>
      <w:proofErr w:type="gramStart"/>
      <w:r w:rsidRPr="007B001B">
        <w:rPr>
          <w:rFonts w:ascii="Book Antiqua" w:hAnsi="Book Antiqua"/>
          <w:sz w:val="20"/>
        </w:rPr>
        <w:t xml:space="preserve">, </w:t>
      </w:r>
      <m:oMath>
        <w:proofErr w:type="gramEnd"/>
        <m:r>
          <w:rPr>
            <w:rStyle w:val="Emphasis"/>
            <w:rFonts w:ascii="Cambria Math" w:eastAsia="SimSun" w:hAnsi="Cambria Math"/>
            <w:sz w:val="20"/>
          </w:rPr>
          <m:t>c</m:t>
        </m:r>
      </m:oMath>
      <w:r w:rsidRPr="007B001B">
        <w:rPr>
          <w:rFonts w:ascii="Book Antiqua" w:hAnsi="Book Antiqua"/>
          <w:sz w:val="20"/>
        </w:rPr>
        <w:t xml:space="preserve">. Because the velocity of neutrons is faster when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is higher, the time each one is in the vicinity of a nucleus is then proportional to</w:t>
      </w:r>
      <m:oMath>
        <m:r>
          <w:rPr>
            <w:rFonts w:ascii="Cambria Math" w:hAnsi="Book Antiqua"/>
            <w:sz w:val="20"/>
          </w:rPr>
          <m:t xml:space="preserve"> </m:t>
        </m:r>
        <m:r>
          <w:rPr>
            <w:rStyle w:val="Emphasis"/>
            <w:rFonts w:ascii="Cambria Math" w:eastAsia="SimSun" w:hAnsi="Book Antiqua"/>
            <w:sz w:val="20"/>
          </w:rPr>
          <m:t>1</m:t>
        </m:r>
        <m:r>
          <m:rPr>
            <m:sty m:val="bi"/>
          </m:rPr>
          <w:rPr>
            <w:rStyle w:val="Strong"/>
            <w:rFonts w:ascii="Cambria Math" w:eastAsia="Calibri" w:hAnsi="Book Antiqua"/>
            <w:sz w:val="20"/>
          </w:rPr>
          <m:t>/</m:t>
        </m:r>
        <m:r>
          <w:rPr>
            <w:rStyle w:val="Emphasis"/>
            <w:rFonts w:ascii="Cambria Math" w:eastAsia="SimSun" w:hAnsi="Cambria Math"/>
            <w:sz w:val="20"/>
          </w:rPr>
          <m:t>c</m:t>
        </m:r>
      </m:oMath>
      <w:r w:rsidRPr="007B001B">
        <w:rPr>
          <w:rFonts w:ascii="Book Antiqua" w:hAnsi="Book Antiqua"/>
          <w:sz w:val="20"/>
        </w:rPr>
        <w:t xml:space="preserve">. This results in the number of neutrons approaching the nucleus per second multiplied by the time they spend near the nucleus being unchanged for </w:t>
      </w:r>
      <w:proofErr w:type="gramStart"/>
      <w:r w:rsidRPr="007B001B">
        <w:rPr>
          <w:rFonts w:ascii="Book Antiqua" w:hAnsi="Book Antiqua"/>
          <w:sz w:val="20"/>
        </w:rPr>
        <w:t xml:space="preserve">all </w:t>
      </w:r>
      <m:oMath>
        <w:proofErr w:type="gramEnd"/>
        <m:r>
          <w:rPr>
            <w:rStyle w:val="Emphasis"/>
            <w:rFonts w:ascii="Cambria Math" w:eastAsia="SimSun" w:hAnsi="Cambria Math"/>
            <w:sz w:val="20"/>
          </w:rPr>
          <m:t>U</m:t>
        </m:r>
      </m:oMath>
      <w:r w:rsidRPr="007B001B">
        <w:rPr>
          <w:rFonts w:ascii="Book Antiqua" w:hAnsi="Book Antiqua"/>
          <w:sz w:val="20"/>
        </w:rPr>
        <w:t xml:space="preserve">, </w:t>
      </w:r>
      <m:oMath>
        <m:r>
          <w:rPr>
            <w:rStyle w:val="Emphasis"/>
            <w:rFonts w:ascii="Book Antiqua" w:eastAsia="SimSun" w:hAnsi="Cambria Math"/>
            <w:sz w:val="20"/>
          </w:rPr>
          <m:t>h</m:t>
        </m:r>
      </m:oMath>
      <w:r w:rsidRPr="007B001B">
        <w:rPr>
          <w:rFonts w:ascii="Book Antiqua" w:hAnsi="Book Antiqua"/>
          <w:sz w:val="20"/>
        </w:rPr>
        <w:t xml:space="preserve">, and </w:t>
      </w:r>
      <m:oMath>
        <m:r>
          <w:rPr>
            <w:rStyle w:val="Emphasis"/>
            <w:rFonts w:ascii="Cambria Math" w:eastAsia="SimSun" w:hAnsi="Cambria Math"/>
            <w:sz w:val="20"/>
          </w:rPr>
          <m:t>c</m:t>
        </m:r>
      </m:oMath>
      <w:r w:rsidRPr="007B001B">
        <w:rPr>
          <w:rFonts w:ascii="Book Antiqua" w:hAnsi="Book Antiqua"/>
          <w:sz w:val="20"/>
        </w:rPr>
        <w:t>.  Mathematically, the situation is as follows:</w:t>
      </w:r>
    </w:p>
    <w:p w:rsidR="00796231" w:rsidRPr="003A1AA9" w:rsidRDefault="00796231" w:rsidP="00796231">
      <w:pPr>
        <w:pStyle w:val="NormalWeb"/>
        <w:jc w:val="right"/>
        <w:rPr>
          <w:rFonts w:ascii="Book Antiqua" w:hAnsi="Book Antiqua"/>
          <w:sz w:val="20"/>
          <w:szCs w:val="20"/>
        </w:rPr>
      </w:pPr>
      <m:oMath>
        <m:r>
          <w:rPr>
            <w:rFonts w:ascii="Cambria Math" w:hAnsi="Cambria Math"/>
            <w:sz w:val="20"/>
            <w:szCs w:val="20"/>
          </w:rPr>
          <m:t>A</m:t>
        </m:r>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Y</m:t>
            </m:r>
          </m:e>
          <m:sup>
            <m:r>
              <w:rPr>
                <w:rFonts w:ascii="Book Antiqua" w:hAnsi="Cambria Math"/>
                <w:sz w:val="20"/>
                <w:szCs w:val="20"/>
              </w:rPr>
              <m:t>*</m:t>
            </m:r>
          </m:sup>
        </m:sSup>
        <m:sSup>
          <m:sSupPr>
            <m:ctrlPr>
              <w:rPr>
                <w:rFonts w:ascii="Cambria Math" w:hAnsi="Book Antiqua"/>
                <w:i/>
                <w:sz w:val="20"/>
                <w:szCs w:val="20"/>
              </w:rPr>
            </m:ctrlPr>
          </m:sSupPr>
          <m:e>
            <m:r>
              <w:rPr>
                <w:rFonts w:ascii="Cambria Math" w:hAnsi="Cambria Math"/>
                <w:sz w:val="20"/>
                <w:szCs w:val="20"/>
              </w:rPr>
              <m:t>X</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c</m:t>
        </m:r>
        <m:r>
          <w:rPr>
            <w:rFonts w:ascii="Cambria Math" w:hAnsi="Book Antiqua"/>
            <w:sz w:val="20"/>
            <w:szCs w:val="20"/>
          </w:rPr>
          <m:t>(1/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constant</m:t>
        </m:r>
        <m:r>
          <w:rPr>
            <w:rFonts w:ascii="Cambria Math" w:hAnsi="Book Antiqua"/>
            <w:sz w:val="20"/>
            <w:szCs w:val="20"/>
          </w:rPr>
          <m:t xml:space="preserve"> </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(12)</w:t>
      </w:r>
    </w:p>
    <w:p w:rsidR="00796231" w:rsidRPr="003A1AA9" w:rsidRDefault="00796231" w:rsidP="00796231">
      <w:pPr>
        <w:pStyle w:val="NormalWeb"/>
        <w:ind w:firstLine="720"/>
        <w:jc w:val="both"/>
        <w:rPr>
          <w:rFonts w:ascii="Book Antiqua" w:hAnsi="Book Antiqua"/>
          <w:sz w:val="20"/>
          <w:szCs w:val="20"/>
        </w:rPr>
      </w:pPr>
      <w:r w:rsidRPr="003A1AA9">
        <w:rPr>
          <w:rFonts w:ascii="Book Antiqua" w:hAnsi="Book Antiqua"/>
          <w:sz w:val="20"/>
          <w:szCs w:val="20"/>
        </w:rPr>
        <w:t>In (12),</w:t>
      </w:r>
      <w:r w:rsidRPr="003A1AA9">
        <w:rPr>
          <w:rFonts w:ascii="Book Antiqua" w:hAnsi="Book Antiqua"/>
          <w:i/>
          <w:sz w:val="20"/>
          <w:szCs w:val="20"/>
        </w:rPr>
        <w:t xml:space="preserve"> </w:t>
      </w:r>
      <m:oMath>
        <m:r>
          <w:rPr>
            <w:rFonts w:ascii="Cambria Math" w:hAnsi="Cambria Math"/>
            <w:sz w:val="20"/>
            <w:szCs w:val="20"/>
          </w:rPr>
          <m:t>A</m:t>
        </m:r>
      </m:oMath>
      <w:r w:rsidRPr="003A1AA9">
        <w:rPr>
          <w:rFonts w:ascii="Book Antiqua" w:hAnsi="Book Antiqua"/>
          <w:sz w:val="20"/>
          <w:szCs w:val="20"/>
        </w:rPr>
        <w:t xml:space="preserve"> is the chance of forming the activated complex, </w:t>
      </w:r>
      <m:oMath>
        <m:sSup>
          <m:sSupPr>
            <m:ctrlPr>
              <w:rPr>
                <w:rFonts w:ascii="Cambria Math" w:hAnsi="Book Antiqua"/>
                <w:i/>
                <w:sz w:val="20"/>
                <w:szCs w:val="20"/>
              </w:rPr>
            </m:ctrlPr>
          </m:sSupPr>
          <m:e>
            <m:r>
              <w:rPr>
                <w:rFonts w:ascii="Cambria Math" w:hAnsi="Cambria Math"/>
                <w:sz w:val="20"/>
                <w:szCs w:val="20"/>
              </w:rPr>
              <m:t>Y</m:t>
            </m:r>
          </m:e>
          <m:sup>
            <m:r>
              <w:rPr>
                <w:rFonts w:ascii="Cambria Math" w:hAnsi="Cambria Math"/>
                <w:sz w:val="20"/>
                <w:szCs w:val="20"/>
              </w:rPr>
              <m:t>*</m:t>
            </m:r>
          </m:sup>
        </m:sSup>
      </m:oMath>
      <w:r w:rsidRPr="003A1AA9">
        <w:rPr>
          <w:rFonts w:ascii="Book Antiqua" w:hAnsi="Book Antiqua"/>
          <w:sz w:val="20"/>
          <w:szCs w:val="20"/>
        </w:rPr>
        <w:t xml:space="preserve"> is the number of approaches per second to a nucleus by neutrons (proportional </w:t>
      </w:r>
      <w:proofErr w:type="gramStart"/>
      <w:r w:rsidRPr="003A1AA9">
        <w:rPr>
          <w:rFonts w:ascii="Book Antiqua" w:hAnsi="Book Antiqua"/>
          <w:sz w:val="20"/>
          <w:szCs w:val="20"/>
        </w:rPr>
        <w:t xml:space="preserve">to </w:t>
      </w:r>
      <m:oMath>
        <w:proofErr w:type="gramEnd"/>
        <m:r>
          <w:rPr>
            <w:rFonts w:ascii="Cambria Math" w:hAnsi="Cambria Math"/>
            <w:sz w:val="20"/>
            <w:szCs w:val="20"/>
          </w:rPr>
          <m:t>c</m:t>
        </m:r>
      </m:oMath>
      <w:r w:rsidRPr="003A1AA9">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X</m:t>
            </m:r>
          </m:e>
          <m:sup>
            <m:r>
              <w:rPr>
                <w:rFonts w:ascii="Cambria Math" w:hAnsi="Cambria Math"/>
                <w:sz w:val="20"/>
                <w:szCs w:val="20"/>
              </w:rPr>
              <m:t>*</m:t>
            </m:r>
          </m:sup>
        </m:sSup>
      </m:oMath>
      <w:r w:rsidRPr="003A1AA9">
        <w:rPr>
          <w:rFonts w:ascii="Book Antiqua" w:hAnsi="Book Antiqua"/>
          <w:sz w:val="20"/>
          <w:szCs w:val="20"/>
        </w:rPr>
        <w:t xml:space="preserve"> is the time spent in the vicinity of the nucleus (proportional to </w:t>
      </w:r>
      <m:oMath>
        <m:r>
          <w:rPr>
            <w:rFonts w:ascii="Cambria Math" w:hAnsi="Book Antiqua"/>
            <w:sz w:val="20"/>
            <w:szCs w:val="20"/>
          </w:rPr>
          <m:t>1/</m:t>
        </m:r>
        <m:r>
          <w:rPr>
            <w:rFonts w:ascii="Cambria Math" w:hAnsi="Cambria Math"/>
            <w:sz w:val="20"/>
            <w:szCs w:val="20"/>
          </w:rPr>
          <m:t>c</m:t>
        </m:r>
      </m:oMath>
      <w:r w:rsidRPr="003A1AA9">
        <w:rPr>
          <w:rFonts w:ascii="Book Antiqua" w:hAnsi="Book Antiqua"/>
          <w:sz w:val="20"/>
          <w:szCs w:val="20"/>
        </w:rPr>
        <w:t xml:space="preserve">). Thus, the number of interactions to form the activated complex at any instant and initiate a reaction will also remain unchanged. As a consequence, the rate of the induced fission reactions in </w:t>
      </w:r>
      <m:oMath>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235</m:t>
            </m:r>
          </m:sup>
        </m:sSup>
        <m:r>
          <w:rPr>
            <w:rFonts w:ascii="Cambria Math" w:hAnsi="Book Antiqua"/>
            <w:sz w:val="20"/>
            <w:szCs w:val="20"/>
          </w:rPr>
          <m:t xml:space="preserve"> </m:t>
        </m:r>
      </m:oMath>
      <w:r w:rsidRPr="003A1AA9">
        <w:rPr>
          <w:rFonts w:ascii="Book Antiqua" w:hAnsi="Book Antiqua"/>
          <w:sz w:val="20"/>
          <w:szCs w:val="20"/>
        </w:rPr>
        <w:t xml:space="preserve">at Oklo will be unaltered as the ZPE varies. </w:t>
      </w: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There is one thing which would change in the second</w:t>
      </w:r>
      <w:proofErr w:type="gramStart"/>
      <w:r w:rsidRPr="007B001B">
        <w:rPr>
          <w:rFonts w:ascii="Book Antiqua" w:hAnsi="Book Antiqua"/>
          <w:sz w:val="20"/>
        </w:rPr>
        <w:t xml:space="preserve">,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7B001B">
        <w:rPr>
          <w:rFonts w:ascii="Book Antiqua" w:hAnsi="Book Antiqua"/>
          <w:sz w:val="20"/>
        </w:rPr>
        <w:t xml:space="preserve">, reaction: the decay rate of the fission products themselves. As with all radioactive decay, their decay rate is inversely proportional to the ZPE strength. Thus, the radioactive isotopes generated by the induced fission reaction of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r>
          <w:rPr>
            <w:rFonts w:ascii="Cambria Math" w:hAnsi="Book Antiqua"/>
            <w:sz w:val="20"/>
          </w:rPr>
          <m:t xml:space="preserve"> </m:t>
        </m:r>
      </m:oMath>
      <w:r w:rsidRPr="007B001B">
        <w:rPr>
          <w:rFonts w:ascii="Book Antiqua" w:hAnsi="Book Antiqua"/>
          <w:sz w:val="20"/>
        </w:rPr>
        <w:t>will decay more rapidly and give off heat accordingly. It was this rate of decay of these isotopes that was a determining factor in arriving at 3 hours as the total length of the cycle. Therefore, considering the lower ZPE strength at that time, it is possible that this cycle time of 3 hours could be significantly shorter than was initially determined [11].</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John Barrow and other scientists have looked at the Oklo reactor to see if there has been any change in the fine structure constant through time.  Since isotopes from this reaction placed limits on any fine structure constant variability </w:t>
      </w:r>
      <w:hyperlink r:id="rId988" w:anchor="4a186" w:history="1">
        <w:r w:rsidRPr="007B001B">
          <w:rPr>
            <w:rStyle w:val="Hyperlink"/>
            <w:rFonts w:ascii="Book Antiqua" w:eastAsiaTheme="majorEastAsia" w:hAnsi="Book Antiqua"/>
            <w:sz w:val="20"/>
          </w:rPr>
          <w:t>[14</w:t>
        </w:r>
      </w:hyperlink>
      <w:r w:rsidRPr="007B001B">
        <w:rPr>
          <w:rFonts w:ascii="Book Antiqua" w:hAnsi="Book Antiqua"/>
          <w:sz w:val="20"/>
        </w:rPr>
        <w:t xml:space="preserve">], these men then claimed </w:t>
      </w:r>
      <m:oMath>
        <m:r>
          <w:rPr>
            <w:rStyle w:val="Emphasis"/>
            <w:rFonts w:ascii="Cambria Math" w:eastAsia="SimSun" w:hAnsi="Cambria Math"/>
            <w:sz w:val="20"/>
          </w:rPr>
          <m:t>c</m:t>
        </m:r>
      </m:oMath>
      <w:r w:rsidRPr="007B001B">
        <w:rPr>
          <w:rStyle w:val="Emphasis"/>
          <w:rFonts w:ascii="Book Antiqua" w:eastAsia="SimSun" w:hAnsi="Book Antiqua"/>
          <w:sz w:val="20"/>
        </w:rPr>
        <w:t xml:space="preserve"> </w:t>
      </w:r>
      <w:r w:rsidRPr="007B001B">
        <w:rPr>
          <w:rFonts w:ascii="Book Antiqua" w:hAnsi="Book Antiqua"/>
          <w:sz w:val="20"/>
        </w:rPr>
        <w:t xml:space="preserve">could not have differed from today’s value by more than one part in ten million </w:t>
      </w:r>
      <w:hyperlink r:id="rId989" w:anchor="4a187" w:history="1">
        <w:r w:rsidRPr="007B001B">
          <w:rPr>
            <w:rStyle w:val="Hyperlink"/>
            <w:rFonts w:ascii="Book Antiqua" w:eastAsiaTheme="majorEastAsia" w:hAnsi="Book Antiqua"/>
            <w:sz w:val="20"/>
          </w:rPr>
          <w:t>[15]</w:t>
        </w:r>
      </w:hyperlink>
      <w:r w:rsidRPr="007B001B">
        <w:rPr>
          <w:rFonts w:ascii="Book Antiqua" w:hAnsi="Book Antiqua"/>
          <w:sz w:val="20"/>
        </w:rPr>
        <w:t xml:space="preserve">. Barrow’s statement, which used the relationship usually attributed to Einstein that </w:t>
      </w:r>
      <m:oMath>
        <m:r>
          <w:rPr>
            <w:rStyle w:val="Emphasis"/>
            <w:rFonts w:ascii="Cambria Math" w:eastAsia="SimSun" w:hAnsi="Cambria Math"/>
            <w:sz w:val="20"/>
          </w:rPr>
          <m:t>E</m:t>
        </m:r>
        <m:r>
          <w:rPr>
            <w:rStyle w:val="Emphasis"/>
            <w:rFonts w:ascii="Cambria Math" w:eastAsia="SimSun" w:hAnsi="Book Antiqua"/>
            <w:sz w:val="20"/>
          </w:rPr>
          <m:t xml:space="preserve"> = </m:t>
        </m:r>
        <m:r>
          <w:rPr>
            <w:rStyle w:val="Emphasis"/>
            <w:rFonts w:ascii="Cambria Math" w:eastAsia="SimSun" w:hAnsi="Cambria Math"/>
            <w:sz w:val="20"/>
          </w:rPr>
          <m:t>m</m:t>
        </m:r>
        <m:sSup>
          <m:sSupPr>
            <m:ctrlPr>
              <w:rPr>
                <w:rStyle w:val="Emphasis"/>
                <w:rFonts w:ascii="Cambria Math" w:eastAsia="SimSun" w:hAnsi="Book Antiqua"/>
                <w:i w:val="0"/>
                <w:iCs w:val="0"/>
                <w:sz w:val="20"/>
              </w:rPr>
            </m:ctrlPr>
          </m:sSupPr>
          <m:e>
            <m:r>
              <w:rPr>
                <w:rStyle w:val="Emphasis"/>
                <w:rFonts w:ascii="Cambria Math" w:eastAsia="SimSun" w:hAnsi="Cambria Math"/>
                <w:sz w:val="20"/>
              </w:rPr>
              <m:t>c</m:t>
            </m:r>
          </m:e>
          <m:sup>
            <m:r>
              <w:rPr>
                <w:rStyle w:val="Emphasis"/>
                <w:rFonts w:ascii="Cambria Math" w:eastAsia="SimSun" w:hAnsi="Book Antiqua"/>
                <w:sz w:val="20"/>
              </w:rPr>
              <m:t>2</m:t>
            </m:r>
          </m:sup>
        </m:sSup>
        <m:r>
          <m:rPr>
            <m:sty m:val="p"/>
          </m:rPr>
          <w:rPr>
            <w:rFonts w:ascii="Cambria Math" w:hAnsi="Book Antiqua"/>
            <w:sz w:val="20"/>
          </w:rPr>
          <m:t xml:space="preserve"> </m:t>
        </m:r>
      </m:oMath>
      <w:r w:rsidRPr="007B001B">
        <w:rPr>
          <w:rFonts w:ascii="Book Antiqua" w:hAnsi="Book Antiqua"/>
          <w:sz w:val="20"/>
        </w:rPr>
        <w:t>as its basis</w:t>
      </w:r>
      <w:proofErr w:type="gramStart"/>
      <w:r w:rsidRPr="007B001B">
        <w:rPr>
          <w:rFonts w:ascii="Book Antiqua" w:hAnsi="Book Antiqua"/>
          <w:sz w:val="20"/>
        </w:rPr>
        <w:t>,  is</w:t>
      </w:r>
      <w:proofErr w:type="gramEnd"/>
      <w:r w:rsidRPr="007B001B">
        <w:rPr>
          <w:rFonts w:ascii="Book Antiqua" w:hAnsi="Book Antiqua"/>
          <w:sz w:val="20"/>
        </w:rPr>
        <w:t xml:space="preserve"> correct only if </w:t>
      </w:r>
      <m:oMath>
        <m:r>
          <w:rPr>
            <w:rStyle w:val="Emphasis"/>
            <w:rFonts w:ascii="Cambria Math" w:eastAsia="SimSun" w:hAnsi="Cambria Math"/>
            <w:sz w:val="20"/>
          </w:rPr>
          <m:t>c</m:t>
        </m:r>
      </m:oMath>
      <w:r w:rsidRPr="007B001B">
        <w:rPr>
          <w:rFonts w:ascii="Book Antiqua" w:hAnsi="Book Antiqua"/>
          <w:sz w:val="20"/>
        </w:rPr>
        <w:t xml:space="preserve"> alone has varied. But Barrow's problem disappears if other physical quantities, such as</w:t>
      </w:r>
      <m:oMath>
        <m:r>
          <w:rPr>
            <w:rFonts w:ascii="Cambria Math" w:hAnsi="Book Antiqua"/>
            <w:sz w:val="20"/>
          </w:rPr>
          <m:t xml:space="preserve">  </m:t>
        </m:r>
        <m:r>
          <w:rPr>
            <w:rStyle w:val="Emphasis"/>
            <w:rFonts w:ascii="Cambria Math" w:eastAsia="SimSun" w:hAnsi="Cambria Math"/>
            <w:sz w:val="20"/>
          </w:rPr>
          <m:t>m</m:t>
        </m:r>
      </m:oMath>
      <w:r w:rsidRPr="007B001B">
        <w:rPr>
          <w:rFonts w:ascii="Book Antiqua" w:hAnsi="Book Antiqua"/>
          <w:sz w:val="20"/>
        </w:rPr>
        <w:t xml:space="preserve">, </w:t>
      </w:r>
      <w:proofErr w:type="gramStart"/>
      <w:r w:rsidRPr="007B001B">
        <w:rPr>
          <w:rFonts w:ascii="Book Antiqua" w:hAnsi="Book Antiqua"/>
          <w:sz w:val="20"/>
        </w:rPr>
        <w:t xml:space="preserve">or </w:t>
      </w:r>
      <m:oMath>
        <w:proofErr w:type="gramEnd"/>
        <m:r>
          <w:rPr>
            <w:rFonts w:ascii="Cambria Math" w:hAnsi="Cambria Math"/>
            <w:sz w:val="20"/>
          </w:rPr>
          <m:t>h</m:t>
        </m:r>
      </m:oMath>
      <w:r w:rsidRPr="007B001B">
        <w:rPr>
          <w:rFonts w:ascii="Book Antiqua" w:hAnsi="Book Antiqua"/>
          <w:sz w:val="20"/>
        </w:rPr>
        <w:t>, have synchronously varied so energy has been conserved.  This is exactly what we find with a varying Zero Point Energy.</w:t>
      </w:r>
    </w:p>
    <w:p w:rsidR="00796231" w:rsidRPr="007B001B" w:rsidRDefault="00796231" w:rsidP="00796231">
      <w:pPr>
        <w:pStyle w:val="NoSpacing"/>
        <w:ind w:firstLine="720"/>
        <w:jc w:val="both"/>
        <w:rPr>
          <w:rFonts w:ascii="Book Antiqua" w:hAnsi="Book Antiqua"/>
          <w:sz w:val="20"/>
        </w:rPr>
      </w:pPr>
    </w:p>
    <w:p w:rsidR="00796231" w:rsidRPr="0013785B" w:rsidRDefault="00796231" w:rsidP="00796231">
      <w:pPr>
        <w:pStyle w:val="NoSpacing"/>
        <w:jc w:val="both"/>
        <w:rPr>
          <w:rFonts w:ascii="Book Antiqua" w:hAnsi="Book Antiqua"/>
          <w:b/>
          <w:sz w:val="20"/>
        </w:rPr>
      </w:pPr>
      <w:r w:rsidRPr="0013785B">
        <w:rPr>
          <w:rFonts w:ascii="Book Antiqua" w:hAnsi="Book Antiqua"/>
          <w:b/>
          <w:sz w:val="20"/>
        </w:rPr>
        <w:t>9.  Radioactive Heating</w:t>
      </w:r>
    </w:p>
    <w:p w:rsidR="00796231" w:rsidRPr="007B001B"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7B001B">
        <w:rPr>
          <w:rFonts w:ascii="Book Antiqua" w:hAnsi="Book Antiqua"/>
          <w:sz w:val="20"/>
        </w:rPr>
        <w:t xml:space="preserve">Radioactive decay produces heat.  But, contrary to what is often thought, the heat produced by earlier, faster radio decay processes was not greater than that produced now.  It is true that with lower ZPE, and higher decay rates, came a greater number of gamma and X-rays, which may be produced by all forms of radio decay. But this was moderated by the lower vacuum permittivity and permeability.  The lower permittivity and permeability resulted in lower amplitudes for all electromagnetic radiation. Thus the intensity of every individual electromagnetic wave or photon was lower.  Working this out mathematically, we find that more waves or more photons each with a lower intensity would result in the total radiation intensity being the same as today. </w:t>
      </w:r>
    </w:p>
    <w:p w:rsidR="00796231" w:rsidRPr="007B001B" w:rsidRDefault="00796231" w:rsidP="00796231">
      <w:pPr>
        <w:pStyle w:val="NoSpacing"/>
        <w:ind w:firstLine="720"/>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As previously mentioned, there are two basic types of radiation which come from radio decay:  particles (Alpha and Beta) and pure energy (Gamma or X-rays).    “High energy” and “low energy” forms of radiation refer to the kinetic energy attached to the ejection of an alpha or beta particle. It is high energy if the mass times the square of the velocity is high; it is low energy if the product is low.  </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When a high energy alpha or beta particle passes through another atom, it can strip an electron off the atom, ionizing it.  Gamma radiation can also do this.  The excitation caused by this interaction can also result in an electron being forced into a higher energy orbit in its atom.  When the electron returns to its proper orbit, the energy is released as a low energy photon, or heat.  This can happen in steps, or as a cascade, and heat will be released with each step until the atom is again in its ‘normal’ or ground state.</w:t>
      </w:r>
    </w:p>
    <w:p w:rsidR="00796231" w:rsidRDefault="00796231" w:rsidP="00796231">
      <w:pPr>
        <w:pStyle w:val="NoSpacing"/>
        <w:jc w:val="both"/>
        <w:rPr>
          <w:rFonts w:ascii="Book Antiqua" w:hAnsi="Book Antiqua"/>
          <w:sz w:val="20"/>
        </w:rPr>
      </w:pPr>
    </w:p>
    <w:p w:rsidR="00796231" w:rsidRPr="007B001B" w:rsidRDefault="00796231" w:rsidP="00796231">
      <w:pPr>
        <w:pStyle w:val="NoSpacing"/>
        <w:ind w:firstLine="720"/>
        <w:jc w:val="both"/>
        <w:rPr>
          <w:rFonts w:ascii="Book Antiqua" w:hAnsi="Book Antiqua"/>
          <w:sz w:val="20"/>
        </w:rPr>
      </w:pPr>
      <w:r w:rsidRPr="007B001B">
        <w:rPr>
          <w:rFonts w:ascii="Book Antiqua" w:hAnsi="Book Antiqua"/>
          <w:sz w:val="20"/>
        </w:rPr>
        <w:t xml:space="preserve">In the case of ionization, where the electrons are stripped off, these electrons will cause the secondary excitation of other atoms with which they interact. The process continues until all the kinetic energy originally imparted to these electrons is used up by the excitation process. As the excited atoms return to their ground state, they all emit low energy photons that again result in heat. Gamma radiation produces ionization and the excitation of atoms over a relatively large distance, while alpha and beta particles produce results over shorter distances. </w:t>
      </w:r>
    </w:p>
    <w:p w:rsidR="00796231" w:rsidRDefault="00796231" w:rsidP="00796231">
      <w:pPr>
        <w:pStyle w:val="NoSpacing"/>
        <w:jc w:val="both"/>
        <w:rPr>
          <w:rFonts w:ascii="Book Antiqua" w:hAnsi="Book Antiqua"/>
          <w:sz w:val="20"/>
        </w:rPr>
      </w:pPr>
    </w:p>
    <w:p w:rsidR="00796231" w:rsidRPr="0013785B" w:rsidRDefault="00796231" w:rsidP="00796231">
      <w:pPr>
        <w:pStyle w:val="NoSpacing"/>
        <w:ind w:firstLine="720"/>
        <w:jc w:val="both"/>
        <w:rPr>
          <w:rFonts w:ascii="Book Antiqua" w:hAnsi="Book Antiqua"/>
          <w:sz w:val="20"/>
        </w:rPr>
      </w:pPr>
      <w:r w:rsidRPr="0013785B">
        <w:rPr>
          <w:rFonts w:ascii="Book Antiqua" w:hAnsi="Book Antiqua"/>
          <w:sz w:val="20"/>
        </w:rPr>
        <w:t xml:space="preserve">The majority of heat from radioactive decay is generated by these lower energy photons. Since they are electromagnetic in character, they are subject to the moderating effects of the permittivity and permeability of space. This moderation means that the amplitudes of all radiation will be lower when the ZPE strength is lower (see Chapter 2 equations </w:t>
      </w:r>
      <w:proofErr w:type="gramStart"/>
      <w:r w:rsidRPr="0013785B">
        <w:rPr>
          <w:rFonts w:ascii="Book Antiqua" w:hAnsi="Book Antiqua"/>
          <w:sz w:val="20"/>
        </w:rPr>
        <w:t>18-22,</w:t>
      </w:r>
      <w:proofErr w:type="gramEnd"/>
      <w:r w:rsidRPr="0013785B">
        <w:rPr>
          <w:rFonts w:ascii="Book Antiqua" w:hAnsi="Book Antiqua"/>
          <w:sz w:val="20"/>
        </w:rPr>
        <w:t xml:space="preserve"> and Appendix B equations 1 to 4).  Thus, even though a given radioactive source may have emitted more high and low energy photons per unit time in the past, their overall intensity would be the same as the fewer number of photons emitted by that same source today.</w:t>
      </w:r>
    </w:p>
    <w:p w:rsidR="00796231" w:rsidRPr="003A1AA9" w:rsidRDefault="00796231" w:rsidP="00796231">
      <w:pPr>
        <w:pStyle w:val="NormalWeb"/>
        <w:jc w:val="both"/>
        <w:rPr>
          <w:rFonts w:ascii="Book Antiqua" w:hAnsi="Book Antiqua"/>
        </w:rPr>
      </w:pPr>
      <w:r w:rsidRPr="003A1AA9">
        <w:rPr>
          <w:rFonts w:ascii="Book Antiqua" w:hAnsi="Book Antiqua"/>
          <w:b/>
          <w:sz w:val="20"/>
          <w:szCs w:val="20"/>
        </w:rPr>
        <w:t>10.   Heat and Radiation Intensities</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From our earlier work with radiation intensities, we note that radiant intensity remains constant from a given source even though the number of photons being emitted per second is higher when the ZPE strength is lower. The units of radiant intensity are Watts, and so the number of Watts remains unchanged when the ZPE is lower. And a Watt</w:t>
      </w:r>
      <w:proofErr w:type="gramStart"/>
      <w:r w:rsidRPr="00FD17B0">
        <w:rPr>
          <w:rFonts w:ascii="Book Antiqua" w:hAnsi="Book Antiqua"/>
          <w:sz w:val="20"/>
        </w:rPr>
        <w:t xml:space="preserve">, </w:t>
      </w:r>
      <m:oMath>
        <w:proofErr w:type="gramEnd"/>
        <m:r>
          <w:rPr>
            <w:rFonts w:ascii="Cambria Math" w:hAnsi="Cambria Math"/>
            <w:sz w:val="20"/>
          </w:rPr>
          <m:t>W</m:t>
        </m:r>
      </m:oMath>
      <w:r w:rsidRPr="00FD17B0">
        <w:rPr>
          <w:rFonts w:ascii="Book Antiqua" w:hAnsi="Book Antiqua"/>
          <w:sz w:val="20"/>
        </w:rPr>
        <w:t xml:space="preserve">, is equal to a Joule per second or </w:t>
      </w:r>
      <m:oMath>
        <m:r>
          <w:rPr>
            <w:rFonts w:ascii="Cambria Math" w:hAnsi="Cambria Math"/>
            <w:sz w:val="20"/>
          </w:rPr>
          <m:t>J</m:t>
        </m:r>
        <m:r>
          <w:rPr>
            <w:rFonts w:ascii="Cambria Math" w:hAnsi="Book Antiqua"/>
            <w:sz w:val="20"/>
          </w:rPr>
          <m:t>/</m:t>
        </m:r>
        <m:r>
          <w:rPr>
            <w:rFonts w:ascii="Cambria Math" w:hAnsi="Cambria Math"/>
            <w:sz w:val="20"/>
          </w:rPr>
          <m:t>s</m:t>
        </m:r>
      </m:oMath>
      <w:r w:rsidRPr="00FD17B0">
        <w:rPr>
          <w:rFonts w:ascii="Book Antiqua" w:hAnsi="Book Antiqua"/>
          <w:sz w:val="20"/>
        </w:rPr>
        <w:t>. So we have</w:t>
      </w:r>
    </w:p>
    <w:p w:rsidR="00796231" w:rsidRPr="003A1AA9" w:rsidRDefault="00796231" w:rsidP="00796231">
      <w:pPr>
        <w:ind w:firstLine="720"/>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W</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s</m:t>
        </m:r>
        <m:r>
          <w:rPr>
            <w:rFonts w:ascii="Cambria Math" w:hAnsi="Book Antiqua"/>
          </w:rPr>
          <m:t xml:space="preserve">  = </m:t>
        </m:r>
        <m:r>
          <w:rPr>
            <w:rFonts w:ascii="Cambria Math" w:hAnsi="Cambria Math"/>
          </w:rPr>
          <m:t>constant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 xml:space="preserve"> (13)</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lastRenderedPageBreak/>
        <w:t>We also have the units of Joules as kg (meters/s</w:t>
      </w:r>
      <w:proofErr w:type="gramStart"/>
      <w:r w:rsidRPr="00FD17B0">
        <w:rPr>
          <w:rFonts w:ascii="Book Antiqua" w:hAnsi="Book Antiqua"/>
          <w:sz w:val="20"/>
        </w:rPr>
        <w:t>)</w:t>
      </w:r>
      <w:r w:rsidRPr="00FD17B0">
        <w:rPr>
          <w:rFonts w:ascii="Book Antiqua" w:hAnsi="Book Antiqua"/>
          <w:sz w:val="20"/>
          <w:vertAlign w:val="superscript"/>
        </w:rPr>
        <w:t>2</w:t>
      </w:r>
      <w:proofErr w:type="gramEnd"/>
      <w:r w:rsidRPr="00FD17B0">
        <w:rPr>
          <w:rFonts w:ascii="Book Antiqua" w:hAnsi="Book Antiqua"/>
          <w:sz w:val="20"/>
        </w:rPr>
        <w:t xml:space="preserve"> or mass multiplied by velocity squared. This comes from the definition of energy as the famous formula</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E</m:t>
        </m:r>
        <m:r>
          <w:rPr>
            <w:rFonts w:ascii="Cambria Math" w:hAnsi="Book Antiqua"/>
          </w:rPr>
          <m:t xml:space="preserve"> = </m:t>
        </m:r>
        <m:r>
          <w:rPr>
            <w:rFonts w:ascii="Cambria Math" w:hAnsi="Cambria Math"/>
          </w:rPr>
          <m:t>m</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 </m:t>
        </m:r>
        <m:r>
          <w:rPr>
            <w:rFonts w:ascii="Cambria Math" w:hAnsi="Cambria Math"/>
          </w:rPr>
          <m:t>co</m:t>
        </m:r>
        <m:r>
          <w:rPr>
            <w:rFonts w:ascii="Cambria Math" w:hAnsi="Cambria Math"/>
          </w:rPr>
          <m:t>nstant</m:t>
        </m:r>
      </m:oMath>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(14)</w:t>
      </w:r>
    </w:p>
    <w:p w:rsidR="00796231" w:rsidRPr="003A1AA9" w:rsidRDefault="00796231" w:rsidP="00796231">
      <w:pPr>
        <w:jc w:val="both"/>
        <w:rPr>
          <w:rFonts w:ascii="Book Antiqua" w:hAnsi="Book Antiqua"/>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Now heat capacity (the old thermal capacity)</w:t>
      </w:r>
      <w:proofErr w:type="gramStart"/>
      <w:r w:rsidRPr="00FD17B0">
        <w:rPr>
          <w:rFonts w:ascii="Book Antiqua" w:hAnsi="Book Antiqua"/>
          <w:sz w:val="20"/>
        </w:rPr>
        <w:t xml:space="preserve">, </w:t>
      </w:r>
      <m:oMath>
        <w:proofErr w:type="gramEnd"/>
        <m:r>
          <w:rPr>
            <w:rFonts w:ascii="Cambria Math" w:hAnsi="Cambria Math"/>
            <w:sz w:val="20"/>
          </w:rPr>
          <m:t>Q</m:t>
        </m:r>
      </m:oMath>
      <w:r w:rsidRPr="00FD17B0">
        <w:rPr>
          <w:rFonts w:ascii="Book Antiqua" w:hAnsi="Book Antiqua"/>
          <w:sz w:val="20"/>
        </w:rPr>
        <w:t xml:space="preserve">, has units of Joules/(degree </w:t>
      </w:r>
      <m:oMath>
        <m:r>
          <w:rPr>
            <w:rFonts w:ascii="Cambria Math" w:hAnsi="Cambria Math"/>
            <w:sz w:val="20"/>
          </w:rPr>
          <m:t>K</m:t>
        </m:r>
      </m:oMath>
      <w:r w:rsidRPr="00FD17B0">
        <w:rPr>
          <w:rFonts w:ascii="Book Antiqua" w:hAnsi="Book Antiqua"/>
          <w:sz w:val="20"/>
        </w:rPr>
        <w:t>). Since degrees are fixed and Joules remain unchanged with ZPE variation then we write:</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J</m:t>
        </m:r>
        <m:r>
          <w:rPr>
            <w:rFonts w:ascii="Cambria Math" w:hAnsi="Book Antiqua"/>
          </w:rPr>
          <m:t>/(</m:t>
        </m:r>
        <m:r>
          <w:rPr>
            <w:rFonts w:ascii="Cambria Math" w:hAnsi="Cambria Math"/>
          </w:rPr>
          <m:t>degrees</m:t>
        </m:r>
        <m:r>
          <w:rPr>
            <w:rFonts w:ascii="Cambria Math" w:hAnsi="Book Antiqua"/>
          </w:rPr>
          <m:t xml:space="preserve"> </m:t>
        </m:r>
        <m:r>
          <w:rPr>
            <w:rFonts w:ascii="Cambria Math" w:hAnsi="Cambria Math"/>
          </w:rPr>
          <m:t>K</m:t>
        </m:r>
        <m:r>
          <w:rPr>
            <w:rFonts w:ascii="Cambria Math" w:hAnsi="Book Antiqua"/>
          </w:rPr>
          <m:t xml:space="preserve">) = </m:t>
        </m:r>
        <m:r>
          <w:rPr>
            <w:rFonts w:ascii="Cambria Math" w:hAnsi="Cambria Math"/>
          </w:rPr>
          <m:t>constant</m:t>
        </m:r>
      </m:oMath>
      <w:r w:rsidRPr="003A1AA9">
        <w:rPr>
          <w:rFonts w:ascii="Book Antiqua" w:hAnsi="Book Antiqua"/>
          <w:i/>
        </w:rPr>
        <w:t xml:space="preserve"> </w:t>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(15)</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The definition of heat capacity,</w:t>
      </w:r>
      <m:oMath>
        <m:r>
          <w:rPr>
            <w:rFonts w:ascii="Cambria Math" w:hAnsi="Book Antiqua"/>
            <w:sz w:val="20"/>
          </w:rPr>
          <m:t xml:space="preserve"> </m:t>
        </m:r>
        <m:r>
          <w:rPr>
            <w:rFonts w:ascii="Cambria Math" w:hAnsi="Cambria Math"/>
            <w:sz w:val="20"/>
          </w:rPr>
          <m:t>Q</m:t>
        </m:r>
      </m:oMath>
      <w:proofErr w:type="gramStart"/>
      <w:r w:rsidRPr="00FD17B0">
        <w:rPr>
          <w:rFonts w:ascii="Book Antiqua" w:hAnsi="Book Antiqua"/>
          <w:sz w:val="20"/>
        </w:rPr>
        <w:t>,</w:t>
      </w:r>
      <w:proofErr w:type="gramEnd"/>
      <w:r w:rsidRPr="00FD17B0">
        <w:rPr>
          <w:rFonts w:ascii="Book Antiqua" w:hAnsi="Book Antiqua"/>
          <w:sz w:val="20"/>
        </w:rPr>
        <w:t xml:space="preserve"> of a body, is the quantity of heat required to raise its temperature one degree. The basic formula is usually given as:</w:t>
      </w:r>
    </w:p>
    <w:p w:rsidR="00796231" w:rsidRPr="003A1AA9" w:rsidRDefault="00796231" w:rsidP="00796231">
      <w:pPr>
        <w:jc w:val="both"/>
        <w:rPr>
          <w:oMath/>
          <w:rFonts w:ascii="Cambria Math" w:hAnsi="Book Antiqua"/>
        </w:rPr>
      </w:pPr>
    </w:p>
    <w:p w:rsidR="00796231" w:rsidRPr="003A1AA9" w:rsidRDefault="00796231" w:rsidP="00796231">
      <w:pPr>
        <w:jc w:val="right"/>
        <w:rPr>
          <w:rFonts w:ascii="Book Antiqua" w:hAnsi="Book Antiqua"/>
          <w:i/>
        </w:rPr>
      </w:pPr>
      <m:oMath>
        <m:r>
          <w:rPr>
            <w:rFonts w:ascii="Cambria Math" w:hAnsi="Cambria Math"/>
          </w:rPr>
          <m:t>Q</m:t>
        </m:r>
        <m:r>
          <w:rPr>
            <w:rFonts w:ascii="Cambria Math" w:hAnsi="Book Antiqua"/>
          </w:rPr>
          <m:t xml:space="preserve">  =  </m:t>
        </m:r>
        <m:r>
          <w:rPr>
            <w:rFonts w:ascii="Cambria Math" w:hAnsi="Cambria Math"/>
          </w:rPr>
          <m:t>m</m:t>
        </m:r>
        <m:r>
          <w:rPr>
            <w:rFonts w:ascii="Cambria Math" w:hAnsi="Book Antiqua"/>
          </w:rPr>
          <m:t xml:space="preserve">. </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m:t>
        </m:r>
        <m:r>
          <w:rPr>
            <w:rFonts w:ascii="Cambria Math" w:hAnsi="Cambria Math"/>
          </w:rPr>
          <m:t>Δt</m:t>
        </m:r>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(16)</w:t>
      </w:r>
    </w:p>
    <w:p w:rsidR="00796231" w:rsidRPr="003A1AA9" w:rsidRDefault="00796231" w:rsidP="00796231">
      <w:pPr>
        <w:jc w:val="both"/>
        <w:rPr>
          <w:rFonts w:ascii="Book Antiqua" w:hAnsi="Book Antiqua"/>
        </w:rPr>
      </w:pP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In (16), </w:t>
      </w:r>
      <m:oMath>
        <m:r>
          <w:rPr>
            <w:rFonts w:ascii="Cambria Math" w:hAnsi="Cambria Math"/>
            <w:sz w:val="20"/>
          </w:rPr>
          <m:t>m</m:t>
        </m:r>
      </m:oMath>
      <w:r w:rsidRPr="00FD17B0">
        <w:rPr>
          <w:rFonts w:ascii="Book Antiqua" w:hAnsi="Book Antiqua"/>
          <w:sz w:val="20"/>
        </w:rPr>
        <w:t xml:space="preserve"> is atomic mass, </w:t>
      </w:r>
      <m:oMath>
        <m:r>
          <w:rPr>
            <w:rFonts w:ascii="Cambria Math" w:hAnsi="Cambria Math"/>
            <w:sz w:val="20"/>
          </w:rPr>
          <m:t>Δt</m:t>
        </m:r>
      </m:oMath>
      <w:r w:rsidRPr="00FD17B0">
        <w:rPr>
          <w:rFonts w:ascii="Book Antiqua" w:hAnsi="Book Antiqua"/>
          <w:sz w:val="20"/>
        </w:rPr>
        <w:t xml:space="preserve"> is temperature change in degrees</w:t>
      </w:r>
      <m:oMath>
        <m:r>
          <w:rPr>
            <w:rFonts w:ascii="Cambria Math" w:hAnsi="Book Antiqua"/>
            <w:sz w:val="20"/>
          </w:rPr>
          <m:t xml:space="preserve">, </m:t>
        </m:r>
        <m:r>
          <w:rPr>
            <w:rFonts w:ascii="Cambria Math" w:hAnsi="Cambria Math"/>
            <w:sz w:val="20"/>
          </w:rPr>
          <m:t>Q</m:t>
        </m:r>
      </m:oMath>
      <w:r w:rsidRPr="00FD17B0">
        <w:rPr>
          <w:rFonts w:ascii="Book Antiqua" w:hAnsi="Book Antiqua"/>
          <w:sz w:val="20"/>
        </w:rPr>
        <w:t xml:space="preserve"> is the heat capacity, and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is the specific heat of the substance involved. Since for our purposes here </w:t>
      </w:r>
      <m:oMath>
        <m:r>
          <w:rPr>
            <w:rFonts w:ascii="Cambria Math" w:hAnsi="Cambria Math"/>
            <w:sz w:val="20"/>
          </w:rPr>
          <m:t>Δt</m:t>
        </m:r>
      </m:oMath>
      <w:r w:rsidRPr="00FD17B0">
        <w:rPr>
          <w:rFonts w:ascii="Book Antiqua" w:hAnsi="Book Antiqua"/>
          <w:sz w:val="20"/>
        </w:rPr>
        <w:t xml:space="preserve"> is fixed at one degree, and mass</w:t>
      </w:r>
      <w:proofErr w:type="gramStart"/>
      <w:r w:rsidRPr="00FD17B0">
        <w:rPr>
          <w:rFonts w:ascii="Book Antiqua" w:hAnsi="Book Antiqua"/>
          <w:sz w:val="20"/>
        </w:rPr>
        <w:t xml:space="preserve">, </w:t>
      </w:r>
      <m:oMath>
        <w:proofErr w:type="gramEnd"/>
        <m:r>
          <w:rPr>
            <w:rFonts w:ascii="Cambria Math" w:hAnsi="Cambria Math"/>
            <w:sz w:val="20"/>
          </w:rPr>
          <m:t>m</m:t>
        </m:r>
      </m:oMath>
      <w:r w:rsidRPr="00FD17B0">
        <w:rPr>
          <w:rFonts w:ascii="Book Antiqua" w:hAnsi="Book Antiqua"/>
          <w:sz w:val="20"/>
        </w:rPr>
        <w:t xml:space="preserve">, is proportional to </w:t>
      </w:r>
      <m:oMath>
        <m:r>
          <w:rPr>
            <w:rFonts w:ascii="Cambria Math" w:hAnsi="Book Antiqua"/>
            <w:sz w:val="20"/>
          </w:rPr>
          <m:t>1/</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FD17B0">
        <w:rPr>
          <w:rFonts w:ascii="Book Antiqua" w:hAnsi="Book Antiqua"/>
          <w:sz w:val="20"/>
        </w:rPr>
        <w:t>, then it follows that</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sSup>
          <m:sSupPr>
            <m:ctrlPr>
              <w:rPr>
                <w:rFonts w:ascii="Cambria Math" w:hAnsi="Book Antiqua"/>
                <w:i/>
              </w:rPr>
            </m:ctrlPr>
          </m:sSupPr>
          <m:e>
            <m:r>
              <w:rPr>
                <w:rFonts w:ascii="Cambria Math" w:hAnsi="Cambria Math"/>
              </w:rPr>
              <m:t>c</m:t>
            </m:r>
          </m:e>
          <m:sup>
            <m:r>
              <w:rPr>
                <w:rFonts w:ascii="Cambria Math" w:hAnsi="Book Antiqua"/>
              </w:rPr>
              <m:t>2</m:t>
            </m:r>
          </m:sup>
        </m:sSup>
        <m:r>
          <w:rPr>
            <w:rFonts w:ascii="Cambria Math" w:hAnsi="Book Antiqua"/>
          </w:rPr>
          <m:t xml:space="preserve"> </m:t>
        </m:r>
      </m:oMath>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r>
      <w:r w:rsidRPr="003A1AA9">
        <w:rPr>
          <w:rFonts w:ascii="Book Antiqua" w:hAnsi="Book Antiqua"/>
          <w:i/>
        </w:rPr>
        <w:tab/>
        <w:t>(17)</w:t>
      </w:r>
    </w:p>
    <w:p w:rsidR="00796231" w:rsidRPr="003A1AA9" w:rsidRDefault="00796231" w:rsidP="00796231">
      <w:pPr>
        <w:jc w:val="both"/>
        <w:rPr>
          <w:rFonts w:ascii="Book Antiqua" w:hAnsi="Book Antiqua"/>
        </w:rPr>
      </w:pPr>
    </w:p>
    <w:p w:rsidR="00796231" w:rsidRPr="009F29CB" w:rsidRDefault="00796231" w:rsidP="00796231">
      <w:pPr>
        <w:jc w:val="both"/>
        <w:rPr>
          <w:rFonts w:ascii="Book Antiqua" w:hAnsi="Book Antiqua"/>
        </w:rPr>
      </w:pPr>
      <w:r w:rsidRPr="009F29CB">
        <w:rPr>
          <w:rFonts w:ascii="Book Antiqua" w:hAnsi="Book Antiqua"/>
        </w:rPr>
        <w:t>So that</w:t>
      </w:r>
    </w:p>
    <w:p w:rsidR="00796231" w:rsidRPr="003A1AA9" w:rsidRDefault="00796231" w:rsidP="00796231">
      <w:pPr>
        <w:jc w:val="both"/>
        <w:rPr>
          <w:rFonts w:ascii="Book Antiqua" w:hAnsi="Book Antiqua"/>
        </w:rPr>
      </w:pPr>
    </w:p>
    <w:p w:rsidR="00796231" w:rsidRPr="003A1AA9" w:rsidRDefault="00796231" w:rsidP="00796231">
      <w:pPr>
        <w:jc w:val="right"/>
        <w:rPr>
          <w:rFonts w:ascii="Book Antiqua" w:hAnsi="Book Antiqua"/>
          <w:i/>
        </w:rPr>
      </w:pPr>
      <m:oMath>
        <m:r>
          <w:rPr>
            <w:rFonts w:ascii="Cambria Math" w:hAnsi="Cambria Math"/>
          </w:rPr>
          <m:t>m</m:t>
        </m:r>
        <m:sSup>
          <m:sSupPr>
            <m:ctrlPr>
              <w:rPr>
                <w:rFonts w:ascii="Cambria Math" w:hAnsi="Book Antiqua"/>
                <w:i/>
              </w:rPr>
            </m:ctrlPr>
          </m:sSupPr>
          <m:e>
            <m:r>
              <w:rPr>
                <w:rFonts w:ascii="Cambria Math" w:hAnsi="Cambria Math"/>
              </w:rPr>
              <m:t>C</m:t>
            </m:r>
          </m:e>
          <m:sup>
            <m:r>
              <w:rPr>
                <w:rFonts w:ascii="Book Antiqua" w:hAnsi="Cambria Math"/>
              </w:rPr>
              <m:t>*</m:t>
            </m:r>
          </m:sup>
        </m:sSup>
        <m:r>
          <w:rPr>
            <w:rFonts w:ascii="Cambria Math" w:hAnsi="Book Antiqua"/>
          </w:rPr>
          <m:t xml:space="preserve"> = </m:t>
        </m:r>
        <m:r>
          <w:rPr>
            <w:rFonts w:ascii="Cambria Math" w:hAnsi="Cambria Math"/>
          </w:rPr>
          <m:t>constant</m:t>
        </m:r>
      </m:oMath>
      <w:r w:rsidRPr="003A1AA9">
        <w:rPr>
          <w:rFonts w:ascii="Book Antiqua" w:hAnsi="Book Antiqua"/>
          <w:i/>
        </w:rPr>
        <w:tab/>
      </w:r>
      <w:r w:rsidRPr="003A1AA9">
        <w:rPr>
          <w:rFonts w:ascii="Book Antiqua" w:hAnsi="Book Antiqua"/>
          <w:i/>
        </w:rPr>
        <w:tab/>
      </w:r>
      <w:r w:rsidRPr="003A1AA9">
        <w:rPr>
          <w:rFonts w:ascii="Book Antiqua" w:hAnsi="Book Antiqua"/>
          <w:i/>
        </w:rPr>
        <w:tab/>
      </w:r>
      <w:r>
        <w:rPr>
          <w:rFonts w:ascii="Book Antiqua" w:hAnsi="Book Antiqua"/>
          <w:i/>
        </w:rPr>
        <w:tab/>
      </w:r>
      <w:r w:rsidRPr="003A1AA9">
        <w:rPr>
          <w:rFonts w:ascii="Book Antiqua" w:hAnsi="Book Antiqua"/>
          <w:i/>
        </w:rPr>
        <w:tab/>
      </w:r>
      <w:r w:rsidRPr="003A1AA9">
        <w:rPr>
          <w:rFonts w:ascii="Book Antiqua" w:hAnsi="Book Antiqua"/>
          <w:i/>
        </w:rPr>
        <w:tab/>
        <w:t xml:space="preserve"> (18)</w:t>
      </w:r>
    </w:p>
    <w:p w:rsidR="00796231" w:rsidRPr="003A1AA9" w:rsidRDefault="00796231" w:rsidP="00796231">
      <w:pPr>
        <w:jc w:val="both"/>
        <w:rPr>
          <w:rFonts w:ascii="Book Antiqua" w:hAnsi="Book Antiqua"/>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Equation (18) follows since </w:t>
      </w:r>
      <m:oMath>
        <m:sSup>
          <m:sSupPr>
            <m:ctrlPr>
              <w:rPr>
                <w:rFonts w:ascii="Cambria Math" w:hAnsi="Book Antiqua"/>
                <w:i/>
                <w:sz w:val="20"/>
              </w:rPr>
            </m:ctrlPr>
          </m:sSupPr>
          <m:e>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bears the units of Joules</w:t>
      </w:r>
      <w:proofErr w:type="gramStart"/>
      <w:r w:rsidRPr="00FD17B0">
        <w:rPr>
          <w:rFonts w:ascii="Book Antiqua" w:hAnsi="Book Antiqua"/>
          <w:sz w:val="20"/>
        </w:rPr>
        <w:t>/(</w:t>
      </w:r>
      <w:proofErr w:type="gramEnd"/>
      <w:r w:rsidRPr="00FD17B0">
        <w:rPr>
          <w:rFonts w:ascii="Book Antiqua" w:hAnsi="Book Antiqua"/>
          <w:sz w:val="20"/>
        </w:rPr>
        <w:t xml:space="preserve">kg degree </w:t>
      </w:r>
      <m:oMath>
        <m:r>
          <w:rPr>
            <w:rFonts w:ascii="Cambria Math" w:hAnsi="Cambria Math"/>
            <w:sz w:val="20"/>
          </w:rPr>
          <m:t>K</m:t>
        </m:r>
      </m:oMath>
      <w:r w:rsidRPr="00FD17B0">
        <w:rPr>
          <w:rFonts w:ascii="Book Antiqua" w:hAnsi="Book Antiqua"/>
          <w:sz w:val="20"/>
        </w:rPr>
        <w:t xml:space="preserve">). Joules is unchanged as is </w:t>
      </w:r>
      <m:oMath>
        <m:r>
          <w:rPr>
            <w:rFonts w:ascii="Cambria Math" w:hAnsi="Cambria Math"/>
            <w:sz w:val="20"/>
          </w:rPr>
          <m:t>Δt</m:t>
        </m:r>
      </m:oMath>
      <w:r w:rsidRPr="00FD17B0">
        <w:rPr>
          <w:rFonts w:ascii="Book Antiqua" w:hAnsi="Book Antiqua"/>
          <w:sz w:val="20"/>
        </w:rPr>
        <w:t xml:space="preserve"> so the kilograms give the result that we have for</w:t>
      </w:r>
      <m:oMath>
        <m:sSup>
          <m:sSupPr>
            <m:ctrlPr>
              <w:rPr>
                <w:rFonts w:ascii="Cambria Math" w:hAnsi="Book Antiqua"/>
                <w:i/>
                <w:sz w:val="20"/>
              </w:rPr>
            </m:ctrlPr>
          </m:sSupPr>
          <m:e>
            <m:r>
              <w:rPr>
                <w:rFonts w:ascii="Cambria Math" w:hAnsi="Book Antiqua"/>
                <w:sz w:val="20"/>
              </w:rPr>
              <m:t xml:space="preserve"> </m:t>
            </m:r>
            <m:r>
              <w:rPr>
                <w:rFonts w:ascii="Cambria Math" w:hAnsi="Cambria Math"/>
                <w:sz w:val="20"/>
              </w:rPr>
              <m:t>C</m:t>
            </m:r>
          </m:e>
          <m:sup>
            <m:r>
              <w:rPr>
                <w:rFonts w:ascii="Cambria Math" w:hAnsi="Cambria Math"/>
                <w:sz w:val="20"/>
              </w:rPr>
              <m:t>*</m:t>
            </m:r>
          </m:sup>
        </m:sSup>
      </m:oMath>
      <w:r w:rsidRPr="00FD17B0">
        <w:rPr>
          <w:rFonts w:ascii="Book Antiqua" w:hAnsi="Book Antiqua"/>
          <w:sz w:val="20"/>
        </w:rPr>
        <w:t xml:space="preserve"> in (17).</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outcome is that with more rapid radioactive decay, temperatures will be unaffected by the greater flux of photons, gamma rays etc.</w:t>
      </w:r>
    </w:p>
    <w:p w:rsidR="00796231" w:rsidRPr="003A1AA9" w:rsidRDefault="00796231" w:rsidP="00796231">
      <w:pPr>
        <w:pStyle w:val="NormalWeb"/>
        <w:jc w:val="both"/>
        <w:rPr>
          <w:rFonts w:ascii="Book Antiqua" w:hAnsi="Book Antiqua"/>
          <w:sz w:val="20"/>
          <w:szCs w:val="20"/>
        </w:rPr>
      </w:pPr>
      <w:r w:rsidRPr="003A1AA9">
        <w:rPr>
          <w:rFonts w:ascii="Book Antiqua" w:hAnsi="Book Antiqua"/>
          <w:b/>
          <w:sz w:val="20"/>
          <w:szCs w:val="20"/>
        </w:rPr>
        <w:t xml:space="preserve">11.   Radiometric Dates and Carbon 14 Data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Radiometric decay processes are affected by variations in the Zero Point Energy strength (see equations 1 to 8 in this chapter).  What this means is that the radiometric “clock” ticks at a rate inversely proportional to </w:t>
      </w:r>
      <m:oMath>
        <m:r>
          <w:rPr>
            <w:rFonts w:ascii="Cambria Math" w:hAnsi="Cambria Math"/>
            <w:sz w:val="20"/>
          </w:rPr>
          <m:t>U</m:t>
        </m:r>
      </m:oMath>
      <w:r w:rsidRPr="00FD17B0">
        <w:rPr>
          <w:rFonts w:ascii="Book Antiqua" w:hAnsi="Book Antiqua"/>
          <w:i/>
          <w:sz w:val="20"/>
        </w:rPr>
        <w:t xml:space="preserve"> – </w:t>
      </w:r>
      <w:r w:rsidRPr="00FD17B0">
        <w:rPr>
          <w:rFonts w:ascii="Book Antiqua" w:hAnsi="Book Antiqua"/>
          <w:sz w:val="20"/>
        </w:rPr>
        <w:t>the stronger the ZPE became, the slower the atomic processes progressed.  In other words, atomic time intervals were shorter when the speed of light was higher and the strength of the ZPE was less.  If we go back to Chapter 4 and the equations in Chapter 5, it was shown that the basic equation which connects atomic or radiometric dates with orbital dates is as follows:</w:t>
      </w:r>
    </w:p>
    <w:p w:rsidR="00796231" w:rsidRPr="003A1AA9" w:rsidRDefault="00796231" w:rsidP="00796231">
      <w:pPr>
        <w:pStyle w:val="NormalWeb"/>
        <w:jc w:val="right"/>
        <w:rPr>
          <w:rFonts w:ascii="Book Antiqua" w:hAnsi="Book Antiqua"/>
          <w:i/>
          <w:sz w:val="20"/>
          <w:szCs w:val="20"/>
        </w:rPr>
      </w:pPr>
      <m:oMath>
        <m:r>
          <w:rPr>
            <w:rFonts w:ascii="Book Antiqua" w:hAnsi="Cambria Math"/>
            <w:sz w:val="20"/>
            <w:szCs w:val="20"/>
          </w:rPr>
          <m:t>ʃ</m:t>
        </m:r>
        <m:r>
          <w:rPr>
            <w:rFonts w:ascii="Cambria Math" w:hAnsi="Book Antiqua"/>
            <w:sz w:val="20"/>
            <w:szCs w:val="20"/>
          </w:rPr>
          <m:t xml:space="preserve"> </m:t>
        </m:r>
        <m:r>
          <w:rPr>
            <w:rFonts w:ascii="Cambria Math" w:hAnsi="Cambria Math"/>
            <w:sz w:val="20"/>
            <w:szCs w:val="20"/>
          </w:rPr>
          <m:t>f</m:t>
        </m:r>
        <m:r>
          <w:rPr>
            <w:rFonts w:ascii="Cambria Math" w:hAnsi="Book Antiqua"/>
            <w:sz w:val="20"/>
            <w:szCs w:val="20"/>
          </w:rPr>
          <m:t>(</m:t>
        </m:r>
        <m:r>
          <w:rPr>
            <w:rFonts w:ascii="Cambria Math" w:hAnsi="Cambria Math"/>
            <w:sz w:val="20"/>
            <w:szCs w:val="20"/>
          </w:rPr>
          <m:t>T</m:t>
        </m:r>
        <m:r>
          <w:rPr>
            <w:rFonts w:ascii="Cambria Math" w:hAnsi="Book Antiqua"/>
            <w:sz w:val="20"/>
            <w:szCs w:val="20"/>
          </w:rPr>
          <m:t xml:space="preserve">) </m:t>
        </m:r>
        <m:r>
          <w:rPr>
            <w:rFonts w:ascii="Cambria Math" w:hAnsi="Cambria Math"/>
            <w:sz w:val="20"/>
            <w:szCs w:val="20"/>
          </w:rPr>
          <m:t>dt</m:t>
        </m:r>
        <m:r>
          <w:rPr>
            <w:rFonts w:ascii="Cambria Math" w:hAnsi="Book Antiqua"/>
            <w:sz w:val="20"/>
            <w:szCs w:val="20"/>
          </w:rPr>
          <m:t xml:space="preserve">  =  </m:t>
        </m:r>
        <m:r>
          <w:rPr>
            <w:rFonts w:ascii="Cambria Math" w:hAnsi="Cambria Math"/>
            <w:sz w:val="20"/>
            <w:szCs w:val="20"/>
          </w:rPr>
          <m:t>K</m:t>
        </m:r>
        <m:r>
          <w:rPr>
            <w:rFonts w:ascii="Cambria Math" w:hAnsi="Book Antiqua"/>
            <w:sz w:val="20"/>
            <w:szCs w:val="20"/>
          </w:rPr>
          <m:t>[</m:t>
        </m:r>
        <m:r>
          <w:rPr>
            <w:rFonts w:ascii="Cambria Math" w:hAnsi="Cambria Math"/>
            <w:sz w:val="20"/>
            <w:szCs w:val="20"/>
          </w:rPr>
          <m:t>Arcsin</m:t>
        </m:r>
        <m:r>
          <w:rPr>
            <w:rFonts w:ascii="Cambria Math" w:hAnsi="Book Antiqua"/>
            <w:sz w:val="20"/>
            <w:szCs w:val="20"/>
          </w:rPr>
          <m:t xml:space="preserve"> </m:t>
        </m:r>
        <m:r>
          <w:rPr>
            <w:rFonts w:ascii="Cambria Math" w:hAnsi="Cambria Math"/>
            <w:sz w:val="20"/>
            <w:szCs w:val="20"/>
          </w:rPr>
          <m:t>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(1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2</m:t>
            </m:r>
          </m:sup>
        </m:sSup>
        <m:r>
          <w:rPr>
            <w:rFonts w:ascii="Cambria Math" w:hAnsi="Book Antiqua"/>
            <w:sz w:val="20"/>
            <w:szCs w:val="20"/>
          </w:rPr>
          <m:t>) + 1]</m:t>
        </m:r>
      </m:oMath>
      <w:r w:rsidRPr="003A1AA9">
        <w:rPr>
          <w:rFonts w:ascii="Book Antiqua" w:hAnsi="Book Antiqua"/>
          <w:sz w:val="20"/>
          <w:szCs w:val="20"/>
        </w:rPr>
        <w:t xml:space="preserve"> .</w:t>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sz w:val="20"/>
          <w:szCs w:val="20"/>
        </w:rPr>
        <w:tab/>
      </w:r>
      <w:r w:rsidRPr="003A1AA9">
        <w:rPr>
          <w:rFonts w:ascii="Book Antiqua" w:hAnsi="Book Antiqua"/>
          <w:i/>
          <w:sz w:val="20"/>
          <w:szCs w:val="20"/>
        </w:rPr>
        <w:t xml:space="preserve"> (19)</w:t>
      </w: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In (19) the quantity K is equal to </w:t>
      </w:r>
      <m:oMath>
        <m:r>
          <w:rPr>
            <w:rFonts w:ascii="Cambria Math" w:hAnsi="Book Antiqua"/>
            <w:sz w:val="20"/>
          </w:rPr>
          <m:t xml:space="preserve">4.745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FD17B0">
        <w:rPr>
          <w:rFonts w:ascii="Book Antiqua" w:hAnsi="Book Antiqua"/>
          <w:sz w:val="20"/>
        </w:rPr>
        <w:t xml:space="preserve"> as shown in Chapter 5 equation (61). This process can also be used in reverse to determine the behavior of the ZPE in the past by comparing radiometric dates obtained for objects of known or approximately known orbital dates. The difference between the two dates for the same object reveals the disparity for that particular point in time. When a number of these objects of known dates are used, a curve begins to emerge which shows us how fast or slow the atomic clock was ticking at that time compared to our normal, orbital clock. This then gives a direct measure of how the speed of light was behaving (or an inverse measure of the ZPE behavior).</w:t>
      </w: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NormalWeb"/>
        <w:jc w:val="center"/>
        <w:rPr>
          <w:rFonts w:ascii="Book Antiqua" w:hAnsi="Book Antiqua"/>
          <w:sz w:val="20"/>
          <w:szCs w:val="20"/>
        </w:rPr>
      </w:pPr>
      <w:r w:rsidRPr="003A1AA9">
        <w:rPr>
          <w:rFonts w:ascii="Book Antiqua" w:hAnsi="Book Antiqua"/>
          <w:noProof/>
          <w:sz w:val="20"/>
          <w:szCs w:val="20"/>
        </w:rPr>
        <w:lastRenderedPageBreak/>
        <w:drawing>
          <wp:inline distT="0" distB="0" distL="0" distR="0">
            <wp:extent cx="5076825" cy="3228975"/>
            <wp:effectExtent l="19050" t="0" r="9525" b="0"/>
            <wp:docPr id="186" name="Picture 67" descr="Behavior of Carbon 14 -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havior of Carbon 14 - Graph"/>
                    <pic:cNvPicPr>
                      <a:picLocks noChangeAspect="1" noChangeArrowheads="1"/>
                    </pic:cNvPicPr>
                  </pic:nvPicPr>
                  <pic:blipFill>
                    <a:blip r:embed="rId990" cstate="print">
                      <a:lum bright="-20000" contrast="60000"/>
                    </a:blip>
                    <a:srcRect l="13094" t="12958" r="17253" b="9334"/>
                    <a:stretch>
                      <a:fillRect/>
                    </a:stretch>
                  </pic:blipFill>
                  <pic:spPr bwMode="auto">
                    <a:xfrm>
                      <a:off x="0" y="0"/>
                      <a:ext cx="5083447" cy="3233187"/>
                    </a:xfrm>
                    <a:prstGeom prst="rect">
                      <a:avLst/>
                    </a:prstGeom>
                    <a:noFill/>
                    <a:ln w="9525">
                      <a:noFill/>
                      <a:miter lim="800000"/>
                      <a:headEnd/>
                      <a:tailEnd/>
                    </a:ln>
                  </pic:spPr>
                </pic:pic>
              </a:graphicData>
            </a:graphic>
          </wp:inline>
        </w:drawing>
      </w:r>
    </w:p>
    <w:p w:rsidR="00796231" w:rsidRPr="0040460D" w:rsidRDefault="00796231" w:rsidP="00796231">
      <w:pPr>
        <w:pStyle w:val="NormalWeb"/>
        <w:rPr>
          <w:rStyle w:val="Strong"/>
          <w:rFonts w:ascii="Book Antiqua" w:eastAsia="Calibri" w:hAnsi="Book Antiqua"/>
          <w:b w:val="0"/>
          <w:i/>
          <w:sz w:val="18"/>
          <w:szCs w:val="18"/>
        </w:rPr>
      </w:pPr>
      <w:r w:rsidRPr="0040460D">
        <w:rPr>
          <w:rStyle w:val="Strong"/>
          <w:rFonts w:ascii="Book Antiqua" w:eastAsia="Calibri" w:hAnsi="Book Antiqua"/>
          <w:i/>
          <w:sz w:val="18"/>
          <w:szCs w:val="18"/>
        </w:rPr>
        <w:t xml:space="preserve">Figure 8: Graph of rate of ticking of an atomic clock, Carbon 14, (vertically) compared with orbital time (horizontally). Positive is a faster atomic clock, negative is slower. These C-14 data have a </w:t>
      </w:r>
      <m:oMath>
        <m:sSup>
          <m:sSupPr>
            <m:ctrlPr>
              <w:rPr>
                <w:rStyle w:val="Strong"/>
                <w:rFonts w:ascii="Cambria Math" w:eastAsia="Calibri" w:hAnsi="Book Antiqua"/>
                <w:b w:val="0"/>
                <w:i/>
                <w:sz w:val="18"/>
                <w:szCs w:val="18"/>
              </w:rPr>
            </m:ctrlPr>
          </m:sSupPr>
          <m:e>
            <m:r>
              <m:rPr>
                <m:sty m:val="bi"/>
              </m:rPr>
              <w:rPr>
                <w:rStyle w:val="Strong"/>
                <w:rFonts w:ascii="Cambria Math" w:eastAsia="Calibri" w:hAnsi="Cambria Math"/>
                <w:sz w:val="18"/>
                <w:szCs w:val="18"/>
              </w:rPr>
              <m:t>c</m:t>
            </m:r>
          </m:e>
          <m:sup>
            <m:r>
              <m:rPr>
                <m:sty m:val="bi"/>
              </m:rPr>
              <w:rPr>
                <w:rStyle w:val="Strong"/>
                <w:rFonts w:ascii="Cambria Math" w:eastAsia="Calibri" w:hAnsi="Cambria Math"/>
                <w:sz w:val="18"/>
                <w:szCs w:val="18"/>
              </w:rPr>
              <m:t>3</m:t>
            </m:r>
            <m:r>
              <m:rPr>
                <m:sty m:val="bi"/>
              </m:rPr>
              <w:rPr>
                <w:rStyle w:val="Strong"/>
                <w:rFonts w:ascii="Cambria Math" w:eastAsia="Calibri" w:hAnsi="Book Antiqua"/>
                <w:sz w:val="18"/>
                <w:szCs w:val="18"/>
              </w:rPr>
              <m:t>/</m:t>
            </m:r>
            <m:r>
              <m:rPr>
                <m:sty m:val="bi"/>
              </m:rPr>
              <w:rPr>
                <w:rStyle w:val="Strong"/>
                <w:rFonts w:ascii="Cambria Math" w:eastAsia="Calibri" w:hAnsi="Cambria Math"/>
                <w:sz w:val="18"/>
                <w:szCs w:val="18"/>
              </w:rPr>
              <m:t>2</m:t>
            </m:r>
          </m:sup>
        </m:sSup>
      </m:oMath>
      <w:r w:rsidRPr="0040460D">
        <w:rPr>
          <w:rStyle w:val="Strong"/>
          <w:rFonts w:ascii="Book Antiqua" w:eastAsia="Calibri" w:hAnsi="Book Antiqua"/>
          <w:i/>
          <w:sz w:val="18"/>
          <w:szCs w:val="18"/>
        </w:rPr>
        <w:t xml:space="preserve"> dependency. This oscillation is probably part of the oscillation of the cosmos indicated by the work of Narlikar and Arp [37] which affects the strength of the ZPE cosmologically.</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Figure 8 graphs the results of just such a comparison between orbital and/or historical dates and the resultant Carbon 14 dates from Reimer et al., which were published in the journal </w:t>
      </w:r>
      <w:r w:rsidRPr="00FD17B0">
        <w:rPr>
          <w:rStyle w:val="Emphasis"/>
          <w:rFonts w:ascii="Book Antiqua" w:hAnsi="Book Antiqua"/>
          <w:sz w:val="20"/>
        </w:rPr>
        <w:t>Radiocarbon</w:t>
      </w:r>
      <w:r w:rsidRPr="00FD17B0">
        <w:rPr>
          <w:rFonts w:ascii="Book Antiqua" w:hAnsi="Book Antiqua"/>
          <w:sz w:val="20"/>
        </w:rPr>
        <w:t xml:space="preserve"> [16].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Carbon 14 forms as a result of the collision of cosmic rays with atoms in our atmosphere. This collision produces free neutrons unattached to any nucleus. When such a neutron is absorbed by a Nitrogen nucleus, it ejects a proton, and thus becomes a Carbon 14.  However, unlike other radioactive decay forms, Carbon 14 formation is also dependent on the strength of the earth’s magnetic field. When the magnetic moment of that dipole field was stronger, fewer cosmic rays entered our atmosphere and so the production rate of C-14 dropped. It was shown in Chapter 6 (near Table 1 and Figure 5), that the earth’s magnetic moment is inversely proportional to the square root of the ZPE strength, or directly proportional to the square root of light-speed. Therefore, C-14 decay rates have a two-fold dependence; the first being inversely on the ZPE strength, the second on the magnetic moment of the Earth’s geo-magnetic field. Now the second has </w:t>
      </w:r>
      <w:proofErr w:type="gramStart"/>
      <w:r w:rsidRPr="00FD17B0">
        <w:rPr>
          <w:rFonts w:ascii="Book Antiqua" w:hAnsi="Book Antiqua"/>
          <w:sz w:val="20"/>
        </w:rPr>
        <w:t xml:space="preserve">a </w:t>
      </w:r>
      <m:oMath>
        <m:r>
          <w:rPr>
            <w:rFonts w:ascii="Cambria Math" w:hAnsi="Book Antiqua"/>
            <w:sz w:val="20"/>
          </w:rPr>
          <m:t>√</m:t>
        </m:r>
        <m:r>
          <w:rPr>
            <w:rFonts w:ascii="Cambria Math" w:hAnsi="Cambria Math"/>
            <w:sz w:val="20"/>
          </w:rPr>
          <m:t>c</m:t>
        </m:r>
      </m:oMath>
      <w:r w:rsidRPr="00FD17B0">
        <w:rPr>
          <w:rFonts w:ascii="Book Antiqua" w:hAnsi="Book Antiqua"/>
          <w:sz w:val="20"/>
        </w:rPr>
        <w:t xml:space="preserve"> dependence</w:t>
      </w:r>
      <w:proofErr w:type="gramEnd"/>
      <w:r w:rsidRPr="00FD17B0">
        <w:rPr>
          <w:rFonts w:ascii="Book Antiqua" w:hAnsi="Book Antiqua"/>
          <w:sz w:val="20"/>
        </w:rPr>
        <w:t xml:space="preserve">, and the first has a direct </w:t>
      </w:r>
      <m:oMath>
        <m:r>
          <w:rPr>
            <w:rFonts w:ascii="Cambria Math" w:hAnsi="Cambria Math"/>
            <w:sz w:val="20"/>
          </w:rPr>
          <m:t>c</m:t>
        </m:r>
      </m:oMath>
      <w:r w:rsidRPr="00FD17B0">
        <w:rPr>
          <w:rFonts w:ascii="Book Antiqua" w:hAnsi="Book Antiqua"/>
          <w:sz w:val="20"/>
        </w:rPr>
        <w:t xml:space="preserve"> dependence, like other radioactive decay processes. Therefore, the final outcome is that any graph of the rate of ticking of the C-14 clock against the orbital clock, such as that in Figure 8, will actually show a </w:t>
      </w:r>
      <m:oMath>
        <m:sSup>
          <m:sSupPr>
            <m:ctrlPr>
              <w:rPr>
                <w:rFonts w:ascii="Cambria Math" w:hAnsi="Book Antiqua"/>
                <w:i/>
                <w:sz w:val="20"/>
              </w:rPr>
            </m:ctrlPr>
          </m:sSupPr>
          <m:e>
            <m:r>
              <w:rPr>
                <w:rFonts w:ascii="Cambria Math" w:hAnsi="Cambria Math"/>
                <w:sz w:val="20"/>
              </w:rPr>
              <m:t>c</m:t>
            </m:r>
          </m:e>
          <m:sup>
            <m:r>
              <w:rPr>
                <w:rFonts w:ascii="Cambria Math" w:hAnsi="Book Antiqua"/>
                <w:sz w:val="20"/>
              </w:rPr>
              <m:t>3/2</m:t>
            </m:r>
          </m:sup>
        </m:sSup>
      </m:oMath>
      <w:r w:rsidRPr="00FD17B0">
        <w:rPr>
          <w:rFonts w:ascii="Book Antiqua" w:hAnsi="Book Antiqua"/>
          <w:sz w:val="20"/>
        </w:rPr>
        <w:t xml:space="preserve"> dependency. This atomic clock will therefore be more sensitive to ZPE changes than some others. </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This graph in Figure 8 illustrates an oscillation which shows up as part of the measurements of many atomic processes.   This is an indication that the ZPE strength is also oscillating, but in an inverse function. The oscillation appears to have begun about 2600 BC.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As an aside, Figure 8 also illustrates the effect of the rampant industrialization that occurred in the 20th century, as the burning of fossil fuels put large amounts of extra carbon into the atmosphere. This is why the final data points on that graph from 1910 to 1950 are extremely high, even though the general trend of the graph at that point is downwards. </w:t>
      </w:r>
    </w:p>
    <w:p w:rsidR="00796231" w:rsidRDefault="00796231" w:rsidP="00796231">
      <w:pPr>
        <w:pStyle w:val="NoSpacing"/>
        <w:jc w:val="both"/>
        <w:rPr>
          <w:rFonts w:ascii="Book Antiqua" w:hAnsi="Book Antiqua"/>
          <w:sz w:val="20"/>
        </w:rPr>
      </w:pPr>
      <w:r w:rsidRPr="00FD17B0">
        <w:rPr>
          <w:rFonts w:ascii="Book Antiqua" w:hAnsi="Book Antiqua"/>
          <w:sz w:val="20"/>
        </w:rPr>
        <w:t xml:space="preserve">If these data points are ignored, then the zero deviation line is in the position shown for 1950. As we go back from 1950 AD we see a general rise in the trend of the graph which peaks between 500 and 800 AD. From that point there is a </w:t>
      </w:r>
      <w:r w:rsidRPr="00FD17B0">
        <w:rPr>
          <w:rFonts w:ascii="Book Antiqua" w:hAnsi="Book Antiqua"/>
          <w:sz w:val="20"/>
        </w:rPr>
        <w:lastRenderedPageBreak/>
        <w:t>steady, general decline as we continue going back in time. By 500 BC it is again on the zero deviation line and continues dropping.</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  </w:t>
      </w: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As indicated by the graph, radiocarbon or C-14 dates require standardized and known corrections in order for them to be converted to orbital or historical dates.  This actually implies an understanding that C-14 dating does not correspond accurately with known historical dates.  The reasons most commonly given for this discrepancy are changes in solar activity or the earth’s magnetic field.  While it is true that the Sun has cycles of 11 years, 22 years, and about 440 years, this is already apparent in the C-14 data and its short-term variations. However, the long-term overall trend appears to have some other overarching cause, as there is no really satisfying solar or geomagnetic explanation for this need to consistently correct radiocarbon dates.</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In 2004 a list was published from the Radiocarbon Institute showing all C-14 date corrections needed back several thousand years.  Back to 1550 BC the date corrections are in basic agreement with R.H. Brown who considered dates back to 3500 BP to be valid [17]. </w:t>
      </w:r>
      <w:proofErr w:type="gramStart"/>
      <w:r w:rsidRPr="00FD17B0">
        <w:rPr>
          <w:rFonts w:ascii="Book Antiqua" w:hAnsi="Book Antiqua"/>
          <w:sz w:val="20"/>
        </w:rPr>
        <w:t>(The designation BP means Before Present where 1950 AD marks the zero, so that 3500 BP corresponds with 1550 BC).</w:t>
      </w:r>
      <w:proofErr w:type="gramEnd"/>
      <w:r w:rsidRPr="00FD17B0">
        <w:rPr>
          <w:rFonts w:ascii="Book Antiqua" w:hAnsi="Book Antiqua"/>
          <w:sz w:val="20"/>
        </w:rPr>
        <w:t xml:space="preserve">  More recent developments reported in </w:t>
      </w:r>
      <w:r w:rsidRPr="00FD17B0">
        <w:rPr>
          <w:rStyle w:val="Emphasis"/>
          <w:rFonts w:ascii="Book Antiqua" w:hAnsi="Book Antiqua"/>
          <w:sz w:val="20"/>
        </w:rPr>
        <w:t xml:space="preserve">Science, </w:t>
      </w:r>
      <w:r w:rsidRPr="00FD17B0">
        <w:rPr>
          <w:rFonts w:ascii="Book Antiqua" w:hAnsi="Book Antiqua"/>
          <w:sz w:val="20"/>
        </w:rPr>
        <w:t xml:space="preserve">indicated that this method of C-14 dating, with the standard corrections, yields dates for the Santorini (Thera) eruption between 1627 and 1600 BC [18]. But the closing sentence by Friedrich et al. in their Abstract indicates a long-standing problem with the standard correction procedure. They say </w:t>
      </w:r>
      <w:r w:rsidRPr="00FD17B0">
        <w:rPr>
          <w:rStyle w:val="Emphasis"/>
          <w:rFonts w:ascii="Book Antiqua" w:hAnsi="Book Antiqua"/>
          <w:sz w:val="20"/>
        </w:rPr>
        <w:t>"Our result is in the range of previous, less precise, and less direct results of several scientific dating methods, but it is a century earlier than the date derived from traditional Egyptian chronologies."</w:t>
      </w:r>
      <w:r w:rsidRPr="00FD17B0">
        <w:rPr>
          <w:rFonts w:ascii="Book Antiqua" w:hAnsi="Book Antiqua"/>
          <w:sz w:val="20"/>
        </w:rPr>
        <w:t xml:space="preserve"> [18]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 conclusion is, therefore, that earlier than about 1650 BC discrepancies appear in the correction applied to the data that are the cause for some concern. An example of this can be found in an article entitled “How Old are the Pyramids?” by the Ancient Egypt Research Associates (AERA) in January 2007 [19].  Another relevant article is entitled “Dating the Pyramids,</w:t>
      </w:r>
      <w:proofErr w:type="gramStart"/>
      <w:r w:rsidRPr="00FD17B0">
        <w:rPr>
          <w:rFonts w:ascii="Book Antiqua" w:hAnsi="Book Antiqua"/>
          <w:sz w:val="20"/>
        </w:rPr>
        <w:t>”[</w:t>
      </w:r>
      <w:proofErr w:type="gramEnd"/>
      <w:r w:rsidRPr="00FD17B0">
        <w:rPr>
          <w:rFonts w:ascii="Book Antiqua" w:hAnsi="Book Antiqua"/>
          <w:sz w:val="20"/>
        </w:rPr>
        <w:t>20], or  another by Bonani et al., in Radiocarbon [21].</w:t>
      </w:r>
    </w:p>
    <w:p w:rsidR="00796231"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 xml:space="preserve">12.   Tracing Back the ZPE Oscillation </w:t>
      </w:r>
    </w:p>
    <w:p w:rsidR="00796231" w:rsidRDefault="00796231" w:rsidP="00796231">
      <w:pPr>
        <w:pStyle w:val="NoSpacing"/>
        <w:jc w:val="both"/>
        <w:rPr>
          <w:rFonts w:ascii="Book Antiqua" w:hAnsi="Book Antiqua"/>
          <w:sz w:val="20"/>
        </w:rPr>
      </w:pPr>
      <w:r w:rsidRPr="00FD17B0">
        <w:rPr>
          <w:rFonts w:ascii="Book Antiqua" w:hAnsi="Book Antiqua"/>
          <w:sz w:val="20"/>
        </w:rPr>
        <w:t>Dendrochronology is the process whereby a tree’s rings are counted to determine the age of the tree.  It is considered normal for a tree to form one ring per year.  Because of this, dendrochronology is often used to correct radiocarbon dating.  The oldest living tree, a bristlecone pine dubbed the “Methuselah Tree,” began growing in 2766 BC.  It is nearly 1000 years older than the next living specimen. This second oldest tree thus began growing around 1700 BC or a little earlier [22].</w:t>
      </w:r>
    </w:p>
    <w:p w:rsidR="00796231" w:rsidRPr="00FD17B0"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These two living trees provide the absolute maximum to which any reliable dendrochronology correction can be applied to C-14 dates. Yet even here, the longest continuous tree-ring sequence, starting from near the present, that the Methuselah Tree has produced only goes back as far as 1203 BC. This is given in the sample labelled MWK975. The extension of the record from this important tree back into the past beyond 1203 BC is itself dependent upon the cross-matching of rings from other, older, parts of the tree. Since a similar situation may apply to the second oldest tree, the actual date at which these two trees really began growing may be open to question. The raw data itself in 10 year intervals for the Methuselah Tree is available at reference [23].</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These tree-ring sequences need to be anchored by historical events. Indeed, Brown, op. cit., has stated that </w:t>
      </w:r>
      <w:r w:rsidRPr="00FD17B0">
        <w:rPr>
          <w:rStyle w:val="Emphasis"/>
          <w:rFonts w:ascii="Book Antiqua" w:hAnsi="Book Antiqua"/>
          <w:sz w:val="20"/>
        </w:rPr>
        <w:t xml:space="preserve">“The validity of tree-ring master sequences on which the data is based is controlled by the availability of material which can be C-14 dated and also has an unquestioned historical age. The time range from which such samples are available extends to the vicinity of 3500 BP (about 1500 BC).” </w:t>
      </w:r>
      <w:r w:rsidRPr="00FD17B0">
        <w:rPr>
          <w:rStyle w:val="Emphasis"/>
          <w:rFonts w:ascii="Book Antiqua" w:hAnsi="Book Antiqua"/>
          <w:i w:val="0"/>
          <w:sz w:val="20"/>
        </w:rPr>
        <w:t xml:space="preserve">[17] </w:t>
      </w:r>
      <w:r w:rsidRPr="00FD17B0">
        <w:rPr>
          <w:rFonts w:ascii="Book Antiqua" w:hAnsi="Book Antiqua"/>
          <w:sz w:val="20"/>
        </w:rPr>
        <w:t xml:space="preserve">It therefore becomes apparent why this system of correction breaks down for dates earlier than about 1650 BC. The Santorini explosion is the last historical event that shows up in the tree-ring sequences. Baillie and Munro have pointed out that it does so as frost-rings in Irish (bog) oaks [24].  </w:t>
      </w:r>
      <w:proofErr w:type="gramStart"/>
      <w:r w:rsidRPr="00FD17B0">
        <w:rPr>
          <w:rFonts w:ascii="Book Antiqua" w:hAnsi="Book Antiqua"/>
          <w:sz w:val="20"/>
        </w:rPr>
        <w:t>[</w:t>
      </w:r>
      <w:r w:rsidRPr="00FD17B0">
        <w:rPr>
          <w:rStyle w:val="Emphasis"/>
          <w:rFonts w:ascii="Book Antiqua" w:hAnsi="Book Antiqua"/>
          <w:sz w:val="20"/>
        </w:rPr>
        <w:t>Nature</w:t>
      </w:r>
      <w:r w:rsidRPr="00FD17B0">
        <w:rPr>
          <w:rFonts w:ascii="Book Antiqua" w:hAnsi="Book Antiqua"/>
          <w:sz w:val="20"/>
        </w:rPr>
        <w:t xml:space="preserve">, </w:t>
      </w:r>
      <w:r w:rsidRPr="00FD17B0">
        <w:rPr>
          <w:rStyle w:val="Strong"/>
          <w:rFonts w:ascii="Book Antiqua" w:eastAsia="Calibri" w:hAnsi="Book Antiqua"/>
          <w:sz w:val="20"/>
        </w:rPr>
        <w:t>332</w:t>
      </w:r>
      <w:r w:rsidRPr="00FD17B0">
        <w:rPr>
          <w:rFonts w:ascii="Book Antiqua" w:hAnsi="Book Antiqua"/>
          <w:sz w:val="20"/>
        </w:rPr>
        <w:t xml:space="preserve"> (1988), pp.344-346].</w:t>
      </w:r>
      <w:proofErr w:type="gramEnd"/>
      <w:r w:rsidRPr="00FD17B0">
        <w:rPr>
          <w:rFonts w:ascii="Book Antiqua" w:hAnsi="Book Antiqua"/>
          <w:sz w:val="20"/>
        </w:rPr>
        <w:t xml:space="preserve"> The bristlecone pine data also have a significant frost-ring event near 1626 BC [25]. </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prior to 1650 BC the correction supplied by dendrochronology gives results that do not accord with archaeological data. Even as late as 1626 BC, C-14 results seem to show divergence from historical dates, and, as mentioned above, the problem appears to get worse the further back we go. Therefore 1650 BC </w:t>
      </w:r>
      <w:proofErr w:type="gramStart"/>
      <w:r w:rsidRPr="00FD17B0">
        <w:rPr>
          <w:rFonts w:ascii="Book Antiqua" w:hAnsi="Book Antiqua"/>
          <w:sz w:val="20"/>
        </w:rPr>
        <w:t>is</w:t>
      </w:r>
      <w:proofErr w:type="gramEnd"/>
      <w:r w:rsidRPr="00FD17B0">
        <w:rPr>
          <w:rFonts w:ascii="Book Antiqua" w:hAnsi="Book Antiqua"/>
          <w:sz w:val="20"/>
        </w:rPr>
        <w:t xml:space="preserve"> taken as the limit to </w:t>
      </w:r>
      <w:r w:rsidRPr="00FD17B0">
        <w:rPr>
          <w:rFonts w:ascii="Book Antiqua" w:hAnsi="Book Antiqua"/>
          <w:sz w:val="20"/>
        </w:rPr>
        <w:lastRenderedPageBreak/>
        <w:t>which reliable corrections can be applied. The ‘wiggle matching’ techniques used to extend the tree-ring chronology further back into the past can only do so after the sample has first been C-14 dated. This is an extension based on a seemingly circular argument and the results obtained from this must therefore be viewed with extreme caution.</w:t>
      </w:r>
    </w:p>
    <w:p w:rsidR="00796231" w:rsidRPr="00FD17B0" w:rsidRDefault="00796231" w:rsidP="00796231">
      <w:pPr>
        <w:pStyle w:val="NoSpacing"/>
        <w:jc w:val="both"/>
        <w:rPr>
          <w:rFonts w:ascii="Book Antiqua" w:hAnsi="Book Antiqua"/>
          <w:sz w:val="20"/>
        </w:rPr>
      </w:pPr>
      <w:r w:rsidRPr="00FD17B0">
        <w:rPr>
          <w:rFonts w:ascii="Book Antiqua" w:hAnsi="Book Antiqua"/>
          <w:sz w:val="20"/>
        </w:rPr>
        <w:t xml:space="preserve">This is emphasized by the comments of D.K. Yamaguchi, who, when trying to match a single tree to the whole sequence of rings, found 113 matches that were false. Yet each of these matches had a high t-statistic score [26]. Nor is this a problem of the past. Grissino-Mayer </w:t>
      </w:r>
      <w:proofErr w:type="gramStart"/>
      <w:r w:rsidRPr="00FD17B0">
        <w:rPr>
          <w:rFonts w:ascii="Book Antiqua" w:hAnsi="Book Antiqua"/>
          <w:sz w:val="20"/>
        </w:rPr>
        <w:t>et</w:t>
      </w:r>
      <w:proofErr w:type="gramEnd"/>
      <w:r w:rsidRPr="00FD17B0">
        <w:rPr>
          <w:rFonts w:ascii="Book Antiqua" w:hAnsi="Book Antiqua"/>
          <w:sz w:val="20"/>
        </w:rPr>
        <w:t xml:space="preserve">. </w:t>
      </w:r>
      <w:proofErr w:type="gramStart"/>
      <w:r w:rsidRPr="00FD17B0">
        <w:rPr>
          <w:rFonts w:ascii="Book Antiqua" w:hAnsi="Book Antiqua"/>
          <w:sz w:val="20"/>
        </w:rPr>
        <w:t>al</w:t>
      </w:r>
      <w:proofErr w:type="gramEnd"/>
      <w:r w:rsidRPr="00FD17B0">
        <w:rPr>
          <w:rFonts w:ascii="Book Antiqua" w:hAnsi="Book Antiqua"/>
          <w:sz w:val="20"/>
        </w:rPr>
        <w:t>. have stated in 2004 that "</w:t>
      </w:r>
      <w:r w:rsidRPr="00FD17B0">
        <w:rPr>
          <w:rStyle w:val="Emphasis"/>
          <w:rFonts w:ascii="Book Antiqua" w:hAnsi="Book Antiqua"/>
          <w:sz w:val="20"/>
        </w:rPr>
        <w:t>crossdating autocorrelated tree-ring series against a reference chronology can result in many 'false positives,' i.e., a placement may be found for the chronology being dated that is temporally [time] incorrect.</w:t>
      </w:r>
      <w:r w:rsidRPr="00FD17B0">
        <w:rPr>
          <w:rFonts w:ascii="Book Antiqua" w:hAnsi="Book Antiqua"/>
          <w:sz w:val="20"/>
        </w:rPr>
        <w:t>" [27]. As a result, the statistical techniques used for tree-ring matching have produced some degree of embarrassment. On three occasions the published matches were found to be in error, each time after strong assertions of reliability [28, 29]. These factors indicate that 1650 BC is the reliable limit to which C-14 corrections, based on dendrochronology, can be taken.</w:t>
      </w:r>
    </w:p>
    <w:p w:rsidR="00796231" w:rsidRDefault="00796231" w:rsidP="00796231">
      <w:pPr>
        <w:pStyle w:val="NoSpacing"/>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r w:rsidRPr="00FD17B0">
        <w:rPr>
          <w:rFonts w:ascii="Book Antiqua" w:hAnsi="Book Antiqua"/>
          <w:sz w:val="20"/>
        </w:rPr>
        <w:t xml:space="preserve">However, we do have a comparison with historical objects of closely known orbital age and C-14 data in one period prior to 1650 BC. Dynasty 4 in Egypt produced pyramids over a span of 85 years centering on 2550 BC. The standardized tree-ring correction to C-14 dates around 2550 BC requires the </w:t>
      </w:r>
      <w:r w:rsidRPr="00FD17B0">
        <w:rPr>
          <w:rFonts w:ascii="Book Antiqua" w:hAnsi="Book Antiqua"/>
          <w:b/>
          <w:sz w:val="20"/>
        </w:rPr>
        <w:t>addition</w:t>
      </w:r>
      <w:r w:rsidRPr="00FD17B0">
        <w:rPr>
          <w:rFonts w:ascii="Book Antiqua" w:hAnsi="Book Antiqua"/>
          <w:sz w:val="20"/>
        </w:rPr>
        <w:t xml:space="preserve"> of about 300 years to get what is considered to be the true historical date. In 1984 and 1995 the members of the David H. Koch Pyramids Radiocarbon Project took many C-14 samples and published the Abstract containing their results in reference [20]. Their 1984 results gave the corrected carbon 14 age, which had the recommended 300 years added. However those corrected C-14 dates gave results that averaged 374 years </w:t>
      </w:r>
      <w:r w:rsidRPr="00FD17B0">
        <w:rPr>
          <w:rStyle w:val="Strong"/>
          <w:rFonts w:ascii="Book Antiqua" w:eastAsia="Calibri" w:hAnsi="Book Antiqua"/>
          <w:sz w:val="20"/>
        </w:rPr>
        <w:t>older</w:t>
      </w:r>
      <w:r w:rsidRPr="00FD17B0">
        <w:rPr>
          <w:rFonts w:ascii="Book Antiqua" w:hAnsi="Book Antiqua"/>
          <w:sz w:val="20"/>
        </w:rPr>
        <w:t xml:space="preserve"> than the recommended </w:t>
      </w:r>
      <w:r w:rsidRPr="00FD17B0">
        <w:rPr>
          <w:rStyle w:val="Emphasis"/>
          <w:rFonts w:ascii="Book Antiqua" w:hAnsi="Book Antiqua"/>
          <w:sz w:val="20"/>
        </w:rPr>
        <w:t>Cambridge Ancient History</w:t>
      </w:r>
      <w:r w:rsidRPr="00FD17B0">
        <w:rPr>
          <w:rFonts w:ascii="Book Antiqua" w:hAnsi="Book Antiqua"/>
          <w:sz w:val="20"/>
        </w:rPr>
        <w:t xml:space="preserve"> historical dates. The 1995 corrected C-14 results ranged from 100 to 350 years </w:t>
      </w:r>
      <w:r w:rsidRPr="00FD17B0">
        <w:rPr>
          <w:rStyle w:val="Strong"/>
          <w:rFonts w:ascii="Book Antiqua" w:eastAsia="Calibri" w:hAnsi="Book Antiqua"/>
          <w:sz w:val="20"/>
        </w:rPr>
        <w:t>older</w:t>
      </w:r>
      <w:r w:rsidRPr="00FD17B0">
        <w:rPr>
          <w:rFonts w:ascii="Book Antiqua" w:hAnsi="Book Antiqua"/>
          <w:sz w:val="20"/>
        </w:rPr>
        <w:t xml:space="preserve"> than the historical data. Data from Bonani et al. [21</w:t>
      </w:r>
      <w:proofErr w:type="gramStart"/>
      <w:r w:rsidRPr="00FD17B0">
        <w:rPr>
          <w:rFonts w:ascii="Book Antiqua" w:hAnsi="Book Antiqua"/>
          <w:sz w:val="20"/>
        </w:rPr>
        <w:t>],</w:t>
      </w:r>
      <w:proofErr w:type="gramEnd"/>
      <w:r w:rsidRPr="00FD17B0">
        <w:rPr>
          <w:rFonts w:ascii="Book Antiqua" w:hAnsi="Book Antiqua"/>
          <w:sz w:val="20"/>
        </w:rPr>
        <w:t xml:space="preserve"> support this contention throughout most of the period covered by the Old Kingdom. These two discrepancies are shown as the two points on the far left of Figure 8. </w:t>
      </w:r>
    </w:p>
    <w:p w:rsidR="00796231" w:rsidRDefault="00796231" w:rsidP="00796231">
      <w:pPr>
        <w:pStyle w:val="NoSpacing"/>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FD17B0">
        <w:rPr>
          <w:rFonts w:ascii="Book Antiqua" w:hAnsi="Book Antiqua"/>
          <w:sz w:val="20"/>
        </w:rPr>
        <w:t xml:space="preserve">Here we find approximately 300 years had been </w:t>
      </w:r>
      <w:r w:rsidRPr="00FD17B0">
        <w:rPr>
          <w:rStyle w:val="Strong"/>
          <w:rFonts w:ascii="Book Antiqua" w:eastAsia="Calibri" w:hAnsi="Book Antiqua"/>
          <w:sz w:val="20"/>
        </w:rPr>
        <w:t>added</w:t>
      </w:r>
      <w:r w:rsidRPr="00FD17B0">
        <w:rPr>
          <w:rFonts w:ascii="Book Antiqua" w:hAnsi="Book Antiqua"/>
          <w:sz w:val="20"/>
        </w:rPr>
        <w:t xml:space="preserve"> to get the corrected C-14 date for a suggested historical date. But the suggested date then averages about 300 years </w:t>
      </w:r>
      <w:r w:rsidRPr="00FD17B0">
        <w:rPr>
          <w:rStyle w:val="Strong"/>
          <w:rFonts w:ascii="Book Antiqua" w:eastAsia="Calibri" w:hAnsi="Book Antiqua"/>
          <w:sz w:val="20"/>
        </w:rPr>
        <w:t>too old</w:t>
      </w:r>
      <w:r w:rsidRPr="00FD17B0">
        <w:rPr>
          <w:rFonts w:ascii="Book Antiqua" w:hAnsi="Book Antiqua"/>
          <w:sz w:val="20"/>
        </w:rPr>
        <w:t>. This means that the uncorrected C-14 date and the historical date were the same and the dendro-correction from wiggle-matching was inaccurate. In other words, a zero correction applies as the C-14 clock is, at that point, ticking at the same rate as it is today. Thus, going backwards in time, the actual curve prior to 1650 BC rose from near a minimum then to reach a near-zero-correction level again near 2550 BC. If we allow for about 50 years of error in the data, then 2600 BC is the point at which the C-14 clock was again ticking at the same rate as today. Going back in time from there means an increased rate of ticking of atomic clocks compared with today’s values.</w:t>
      </w:r>
    </w:p>
    <w:p w:rsidR="00796231" w:rsidRDefault="00796231" w:rsidP="00796231">
      <w:pPr>
        <w:pStyle w:val="NoSpacing"/>
        <w:ind w:firstLine="720"/>
        <w:jc w:val="both"/>
        <w:rPr>
          <w:rFonts w:ascii="Book Antiqua" w:hAnsi="Book Antiqua"/>
          <w:sz w:val="20"/>
        </w:rPr>
      </w:pPr>
    </w:p>
    <w:p w:rsidR="00796231" w:rsidRPr="00FD17B0" w:rsidRDefault="00796231" w:rsidP="00796231">
      <w:pPr>
        <w:pStyle w:val="NoSpacing"/>
        <w:ind w:firstLine="720"/>
        <w:jc w:val="both"/>
        <w:rPr>
          <w:rFonts w:ascii="Book Antiqua" w:hAnsi="Book Antiqua"/>
          <w:sz w:val="20"/>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13.    C-14 Content in Ancient Coal and Diamonds.</w:t>
      </w:r>
    </w:p>
    <w:p w:rsidR="00796231" w:rsidRPr="0006366B" w:rsidRDefault="00796231" w:rsidP="00796231">
      <w:pPr>
        <w:pStyle w:val="NoSpacing"/>
        <w:jc w:val="both"/>
        <w:rPr>
          <w:rFonts w:ascii="Book Antiqua" w:hAnsi="Book Antiqua"/>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In dealing with Carbon 14, there is the question about a significant C-14 content in ancient substances such as coal and diamonds. In the case of diamonds, most date from the Archaeozoic about 3 billion atomic years ago or thereabouts. Nevertheless the measurable C-14 present would normally indicate a young age. In looking at the composition of inclusions in diamonds, there is a minimum value of about 1.7% by volume of nitrogen. This can be as high as 31% of the volume on occasion in some stones from Africa [30].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other component in this, apart from the high nitrogen content, is the supply of neutrons or cosmic rays. When the ZPE was lower, inevitably the neutron flux from a radioactive source was higher, and so was the cosmic ray flux from the sun and galaxy. If we consider just the neutrons for a moment, they would interact with the nitrogen to form C-14. If the neutrons came from a radioactive source, the timing of the formation of the C-14 would be dependent upon when the radioactive source was intruded nearby. </w:t>
      </w:r>
    </w:p>
    <w:p w:rsidR="00796231" w:rsidRPr="0006366B" w:rsidRDefault="00796231" w:rsidP="00796231">
      <w:pPr>
        <w:pStyle w:val="NoSpacing"/>
        <w:jc w:val="both"/>
        <w:rPr>
          <w:rFonts w:ascii="Book Antiqua" w:hAnsi="Book Antiqua"/>
          <w:sz w:val="20"/>
        </w:rPr>
      </w:pPr>
    </w:p>
    <w:p w:rsidR="00796231" w:rsidRPr="0006366B" w:rsidRDefault="00796231" w:rsidP="00796231">
      <w:pPr>
        <w:pStyle w:val="NoSpacing"/>
        <w:jc w:val="both"/>
        <w:rPr>
          <w:rFonts w:ascii="Book Antiqua" w:hAnsi="Book Antiqua"/>
          <w:sz w:val="20"/>
        </w:rPr>
      </w:pPr>
      <w:r w:rsidRPr="0006366B">
        <w:rPr>
          <w:rFonts w:ascii="Book Antiqua" w:hAnsi="Book Antiqua"/>
          <w:sz w:val="20"/>
        </w:rPr>
        <w:t xml:space="preserve">The flux of cosmic rays, as we have noted, was higher when the ZPE was lower. But even though their flux was greater with lower ZPE, the deflection by our magnetic field would also be greater as the field strength was greater (see Chapter </w:t>
      </w:r>
      <w:r w:rsidRPr="0006366B">
        <w:rPr>
          <w:rFonts w:ascii="Book Antiqua" w:hAnsi="Book Antiqua"/>
          <w:sz w:val="20"/>
        </w:rPr>
        <w:lastRenderedPageBreak/>
        <w:t xml:space="preserve">6).   It might be expected that these cosmic rays might only have a maximum effect once the magnetic field had tapered somewhat. If so, then the conversion of nitrogen to C-14 might be a relatively recent geological event in these samples. In addition, the diamonds, or whatever is being considered, would only have this conversion occur from cosmic rays once they came near the surface, and hence accessible to human activity. Of course, if they were near a radioactive source deeper inside the earth then that would obviously mean the conversion could occur at any depth. </w:t>
      </w:r>
    </w:p>
    <w:p w:rsidR="00796231" w:rsidRPr="0006366B" w:rsidRDefault="00796231" w:rsidP="00796231">
      <w:pPr>
        <w:pStyle w:val="NoSpacing"/>
        <w:jc w:val="both"/>
        <w:rPr>
          <w:rFonts w:ascii="Book Antiqua" w:hAnsi="Book Antiqua"/>
        </w:rPr>
      </w:pPr>
    </w:p>
    <w:p w:rsidR="00796231" w:rsidRPr="003A1AA9" w:rsidRDefault="00796231" w:rsidP="00796231">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3A1AA9">
        <w:rPr>
          <w:rFonts w:ascii="Book Antiqua" w:hAnsi="Book Antiqua"/>
          <w:sz w:val="20"/>
          <w:szCs w:val="20"/>
        </w:rPr>
        <w:t>14.   The ZPE and Accelerated Decay Rates.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 parent element of any radioactive decay will only have about 3.1% of its original number of atoms left after 5 half-lives have elapsed. After 6 half-lives have elapsed only about 1.5% of the parent product will remain. After 7 half-lives, only 0.7% (or 1/128</w:t>
      </w:r>
      <w:r w:rsidRPr="003A1AA9">
        <w:rPr>
          <w:rFonts w:ascii="Book Antiqua" w:hAnsi="Book Antiqua"/>
          <w:sz w:val="20"/>
          <w:vertAlign w:val="superscript"/>
        </w:rPr>
        <w:t>th</w:t>
      </w:r>
      <w:r w:rsidRPr="003A1AA9">
        <w:rPr>
          <w:rFonts w:ascii="Book Antiqua" w:hAnsi="Book Antiqua"/>
          <w:sz w:val="20"/>
        </w:rPr>
        <w:t>) remains. By the time 8 or 9 half-lives have elapsed, virtually nothing is left of the parent; only the daughter products remain. Therefore, if we only find the daughter products occurring naturally while the parent is absent, the logical conclusion is that the parent element has gone through 7 or more half-lives. This conclusion can be cross-checked by the relative concentrations of the daughter products.</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It is then a simple matter to draw up a list of naturally occurring radioactive isotopes and their half-lives. When this is done, it can be seen that, at the current rate of decay, there are no naturally occurring radioactive isotopes with half-lives less than 710 million years. The isotope with that half-life </w:t>
      </w:r>
      <w:proofErr w:type="gramStart"/>
      <w:r w:rsidRPr="003A1AA9">
        <w:rPr>
          <w:rFonts w:ascii="Book Antiqua" w:hAnsi="Book Antiqua"/>
          <w:sz w:val="20"/>
        </w:rPr>
        <w:t xml:space="preserve">is </w:t>
      </w:r>
      <m:oMath>
        <w:proofErr w:type="gramEnd"/>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However, there are 46 radioactive isotopes with half-lives greater than 650 years and less than 710 million years which are no longer in their original form, but whose daughter elements are all that we find today.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This seems to indicate that these isotopes have already gone through 8 or 9 half-lives since the earth was formed. This conclusion is reinforced by the fact that all of the other 20 radioactive isotopes with half-lives greater than 710 million years do occur naturally, along with their relevant daughter products. The conclusion from these data is that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must have gone through about 6 half-lives for the observed concentration of parent and daughter products to exist on earth, and all the longer half-life isotopes something less.  It is because of the observed concentration of parent and daughter products of various radioactive elements, as compared to their currently known half-lives that the earth is thought to be 4.5 billion years old, or about six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235</m:t>
            </m:r>
          </m:sup>
        </m:sSup>
      </m:oMath>
      <w:r w:rsidRPr="003A1AA9">
        <w:rPr>
          <w:rFonts w:ascii="Book Antiqua" w:hAnsi="Book Antiqua"/>
          <w:sz w:val="20"/>
        </w:rPr>
        <w:t xml:space="preserve">  half-lives of 710 million years.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When these radiometric data first came in during the early part of the 20</w:t>
      </w:r>
      <w:r w:rsidRPr="003A1AA9">
        <w:rPr>
          <w:rFonts w:ascii="Book Antiqua" w:hAnsi="Book Antiqua"/>
          <w:sz w:val="20"/>
          <w:vertAlign w:val="superscript"/>
        </w:rPr>
        <w:t>th</w:t>
      </w:r>
      <w:r w:rsidRPr="003A1AA9">
        <w:rPr>
          <w:rFonts w:ascii="Book Antiqua" w:hAnsi="Book Antiqua"/>
          <w:sz w:val="20"/>
        </w:rPr>
        <w:t xml:space="preserve"> century, no-one had any idea as to precisely how old the earth was going to be when dated radiometrically. Consequently, the researchers at that time were not under any ideological pressure to conform to a specific timescale. </w:t>
      </w:r>
      <w:r>
        <w:rPr>
          <w:rFonts w:ascii="Book Antiqua" w:hAnsi="Book Antiqua"/>
          <w:sz w:val="20"/>
        </w:rPr>
        <w:t>As a result,</w:t>
      </w:r>
      <w:r w:rsidRPr="003A1AA9">
        <w:rPr>
          <w:rFonts w:ascii="Book Antiqua" w:hAnsi="Book Antiqua"/>
          <w:sz w:val="20"/>
        </w:rPr>
        <w:t xml:space="preserve"> the timescale we now have emerged freely from a genuine scientific consensus, and it testifies to the consistency of the data trend. Even though the measurements of the data have been refined somewhat since then, the trend remains basically intact. The fact that there are no naturally occurring short half-life radioactive elements means that all 46 isotopes whose half-lives are currently shorter than about </w:t>
      </w:r>
      <w:r w:rsidRPr="00F26BF5">
        <w:rPr>
          <w:rFonts w:ascii="Book Antiqua" w:hAnsi="Book Antiqua"/>
          <w:sz w:val="20"/>
        </w:rPr>
        <w:t xml:space="preserve">700 million </w:t>
      </w:r>
      <w:r>
        <w:rPr>
          <w:rFonts w:ascii="Book Antiqua" w:hAnsi="Book Antiqua"/>
          <w:sz w:val="20"/>
        </w:rPr>
        <w:t xml:space="preserve">atomic </w:t>
      </w:r>
      <w:r w:rsidRPr="00F26BF5">
        <w:rPr>
          <w:rFonts w:ascii="Book Antiqua" w:hAnsi="Book Antiqua"/>
          <w:sz w:val="20"/>
        </w:rPr>
        <w:t>years</w:t>
      </w:r>
      <w:r w:rsidRPr="003A1AA9">
        <w:rPr>
          <w:rFonts w:ascii="Book Antiqua" w:hAnsi="Book Antiqua"/>
          <w:sz w:val="20"/>
        </w:rPr>
        <w:t xml:space="preserve"> have gone through at least 6 or more half-lives in their decay sequence. This is the necessary conclusion forced on us from the data. This conclusion is reinforced by three additional lines of evidence.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first line of evidence consists of the presence on earth of all the daughter elements in the decay chain of these long half-life isotopes in their correct abundances. This is emphasized on a microscopic scale by the ion microprobe analysis of zircon crystals containing </w:t>
      </w:r>
      <w:r w:rsidRPr="00436421">
        <w:rPr>
          <w:rFonts w:ascii="Book Antiqua" w:hAnsi="Book Antiqua"/>
          <w:i/>
          <w:sz w:val="20"/>
        </w:rPr>
        <w:t>U</w:t>
      </w:r>
      <m:oMath>
        <m:sSup>
          <m:sSupPr>
            <m:ctrlPr>
              <w:rPr>
                <w:rFonts w:ascii="Book Antiqua" w:hAnsi="Book Antiqua"/>
                <w:i/>
                <w:sz w:val="20"/>
              </w:rPr>
            </m:ctrlPr>
          </m:sSupPr>
          <m:e>
            <m:r>
              <w:rPr>
                <w:rFonts w:ascii="Book Antiqua" w:hAnsi="Cambria Math"/>
                <w:sz w:val="20"/>
              </w:rPr>
              <m:t>U</m:t>
            </m:r>
          </m:e>
          <m:sup>
            <m:r>
              <w:rPr>
                <w:rFonts w:ascii="Book Antiqua" w:hAnsi="Book Antiqua"/>
                <w:sz w:val="20"/>
              </w:rPr>
              <m:t>238</m:t>
            </m:r>
          </m:sup>
        </m:sSup>
      </m:oMath>
      <w:r w:rsidRPr="003A1AA9">
        <w:rPr>
          <w:rFonts w:ascii="Book Antiqua" w:hAnsi="Book Antiqua"/>
          <w:sz w:val="20"/>
        </w:rPr>
        <w:t xml:space="preserve">. This uranium isotope has a half-life today of 4.47 </w:t>
      </w:r>
      <w:r w:rsidRPr="00F26BF5">
        <w:rPr>
          <w:rFonts w:ascii="Book Antiqua" w:hAnsi="Book Antiqua"/>
          <w:sz w:val="20"/>
        </w:rPr>
        <w:t>billion</w:t>
      </w:r>
      <w:r>
        <w:rPr>
          <w:rFonts w:ascii="Book Antiqua" w:hAnsi="Book Antiqua"/>
          <w:sz w:val="20"/>
        </w:rPr>
        <w:t xml:space="preserve"> atomic</w:t>
      </w:r>
      <w:r w:rsidRPr="00F26BF5">
        <w:rPr>
          <w:rFonts w:ascii="Book Antiqua" w:hAnsi="Book Antiqua"/>
          <w:sz w:val="20"/>
        </w:rPr>
        <w:t xml:space="preserve"> years.</w:t>
      </w:r>
      <w:r w:rsidRPr="003A1AA9">
        <w:rPr>
          <w:rFonts w:ascii="Book Antiqua" w:hAnsi="Book Antiqua"/>
          <w:sz w:val="20"/>
        </w:rPr>
        <w:t xml:space="preserve"> It has been found that the zircons in which </w:t>
      </w:r>
      <w:proofErr w:type="gramStart"/>
      <w:r w:rsidRPr="003A1AA9">
        <w:rPr>
          <w:rFonts w:ascii="Book Antiqua" w:hAnsi="Book Antiqua"/>
          <w:sz w:val="20"/>
        </w:rPr>
        <w:t xml:space="preserve">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occurs</w:t>
      </w:r>
      <w:proofErr w:type="gramEnd"/>
      <w:r w:rsidRPr="003A1AA9">
        <w:rPr>
          <w:rFonts w:ascii="Book Antiqua" w:hAnsi="Book Antiqua"/>
          <w:sz w:val="20"/>
        </w:rPr>
        <w:t xml:space="preserve"> usually have all 15 daughter elements from the decay chain trapped within them, and in their right abundances [31]. In addition, the alpha particles emitted during the decay have also been retained in the zircons in about the right quantities as helium atoms. In other words genuine decay has occurred with the correct number of half-lives having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second line of evidence consists of the concentric rings of discoloration, called pleochroic or radio-halos, in mica and other minerals from the decay of radioactive isotopes. Discoloration is produced by both the alpha particles emitted from the decaying isotope and the decaying daughter products at the center of the concentric rings. </w:t>
      </w:r>
      <w:proofErr w:type="gramStart"/>
      <w:r w:rsidRPr="003A1AA9">
        <w:rPr>
          <w:rFonts w:ascii="Book Antiqua" w:hAnsi="Book Antiqua"/>
          <w:sz w:val="20"/>
        </w:rPr>
        <w:t>Gentry has</w:t>
      </w:r>
      <w:proofErr w:type="gramEnd"/>
      <w:r w:rsidRPr="003A1AA9">
        <w:rPr>
          <w:rFonts w:ascii="Book Antiqua" w:hAnsi="Book Antiqua"/>
          <w:sz w:val="20"/>
        </w:rPr>
        <w:t xml:space="preserve"> pointed out that if each ring is fully formed, then there must have been at least 50 million alpha decays [32]. Gentry then </w:t>
      </w:r>
      <w:r>
        <w:rPr>
          <w:rFonts w:ascii="Book Antiqua" w:hAnsi="Book Antiqua"/>
          <w:sz w:val="20"/>
        </w:rPr>
        <w:t>sta</w:t>
      </w:r>
      <w:r w:rsidRPr="003A1AA9">
        <w:rPr>
          <w:rFonts w:ascii="Book Antiqua" w:hAnsi="Book Antiqua"/>
          <w:sz w:val="20"/>
        </w:rPr>
        <w:t xml:space="preserve">tes that a typical one-micron radio-center for these rings must contain at least 5 billion members of the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decay </w:t>
      </w:r>
      <w:r w:rsidRPr="003A1AA9">
        <w:rPr>
          <w:rFonts w:ascii="Book Antiqua" w:hAnsi="Book Antiqua"/>
          <w:sz w:val="20"/>
        </w:rPr>
        <w:lastRenderedPageBreak/>
        <w:t xml:space="preserve">chain [33]. Given these facts, </w:t>
      </w:r>
      <w:proofErr w:type="gramStart"/>
      <w:r w:rsidRPr="003A1AA9">
        <w:rPr>
          <w:rFonts w:ascii="Book Antiqua" w:hAnsi="Book Antiqua"/>
          <w:sz w:val="20"/>
        </w:rPr>
        <w:t>Humphreys</w:t>
      </w:r>
      <w:proofErr w:type="gramEnd"/>
      <w:r w:rsidRPr="003A1AA9">
        <w:rPr>
          <w:rFonts w:ascii="Book Antiqua" w:hAnsi="Book Antiqua"/>
          <w:sz w:val="20"/>
        </w:rPr>
        <w:t xml:space="preserve"> points out that </w:t>
      </w:r>
      <w:r w:rsidRPr="003A1AA9">
        <w:rPr>
          <w:rFonts w:ascii="Book Antiqua" w:hAnsi="Book Antiqua"/>
          <w:i/>
          <w:sz w:val="20"/>
        </w:rPr>
        <w:t>“For five billion of those [U</w:t>
      </w:r>
      <w:r w:rsidRPr="003A1AA9">
        <w:rPr>
          <w:rFonts w:ascii="Book Antiqua" w:hAnsi="Book Antiqua"/>
          <w:i/>
          <w:sz w:val="20"/>
          <w:vertAlign w:val="superscript"/>
        </w:rPr>
        <w:t>238</w:t>
      </w:r>
      <w:r w:rsidRPr="003A1AA9">
        <w:rPr>
          <w:rFonts w:ascii="Book Antiqua" w:hAnsi="Book Antiqua"/>
          <w:i/>
          <w:sz w:val="20"/>
        </w:rPr>
        <w:t xml:space="preserve">] nuclei to undergo fifty million alpha-decays would require, at the present rate of decay, over 150 million years. Thus these halos are visible marks of decay, [and] direct evidence for at least ‘hundreds of millions’ of </w:t>
      </w:r>
      <w:proofErr w:type="gramStart"/>
      <w:r w:rsidRPr="003A1AA9">
        <w:rPr>
          <w:rFonts w:ascii="Book Antiqua" w:hAnsi="Book Antiqua"/>
          <w:i/>
          <w:sz w:val="20"/>
        </w:rPr>
        <w:t>years</w:t>
      </w:r>
      <w:proofErr w:type="gramEnd"/>
      <w:r w:rsidRPr="003A1AA9">
        <w:rPr>
          <w:rFonts w:ascii="Book Antiqua" w:hAnsi="Book Antiqua"/>
          <w:i/>
          <w:sz w:val="20"/>
        </w:rPr>
        <w:t xml:space="preserve"> worth of nuclear decay.”</w:t>
      </w:r>
      <w:r w:rsidRPr="003A1AA9">
        <w:rPr>
          <w:rFonts w:ascii="Book Antiqua" w:hAnsi="Book Antiqua"/>
          <w:sz w:val="20"/>
        </w:rPr>
        <w:t xml:space="preserve"> [34]. If there has been a steady rate of decay, the conclusion is inevitable that long periods of time must have elapsed.</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The third line of evidence comes from the tracks left in crystals by radioactive nuclei which split in two. Such spontaneous fission of nuclei, like that </w:t>
      </w:r>
      <w:proofErr w:type="gramStart"/>
      <w:r w:rsidRPr="003A1AA9">
        <w:rPr>
          <w:rFonts w:ascii="Book Antiqua" w:hAnsi="Book Antiqua"/>
          <w:sz w:val="20"/>
        </w:rPr>
        <w:t>of</w:t>
      </w:r>
      <w:r>
        <w:rPr>
          <w:rFonts w:ascii="Book Antiqua" w:hAnsi="Book Antiqua"/>
          <w:sz w:val="20"/>
        </w:rPr>
        <w:t xml:space="preserve"> </w:t>
      </w:r>
      <m:oMath>
        <m:sSup>
          <m:sSupPr>
            <m:ctrlPr>
              <w:rPr>
                <w:rFonts w:ascii="Cambria Math" w:hAnsi="Book Antiqua"/>
                <w:i/>
                <w:sz w:val="20"/>
              </w:rPr>
            </m:ctrlPr>
          </m:sSupPr>
          <m:e>
            <w:proofErr w:type="gramEnd"/>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 then leaves fission tracks in the host crystal, which has been damaged by these two large nuclei violently moving away from each other. Some isotopes have a slow rate of fission, such as </w:t>
      </w:r>
      <m:oMath>
        <m:sSup>
          <m:sSupPr>
            <m:ctrlPr>
              <w:rPr>
                <w:rFonts w:ascii="Cambria Math" w:hAnsi="Book Antiqua"/>
                <w:i/>
                <w:sz w:val="20"/>
              </w:rPr>
            </m:ctrlPr>
          </m:sSupPr>
          <m:e>
            <m:r>
              <w:rPr>
                <w:rFonts w:ascii="Cambria Math" w:hAnsi="Cambria Math"/>
                <w:sz w:val="20"/>
              </w:rPr>
              <m:t>U</m:t>
            </m:r>
          </m:e>
          <m:sup>
            <m:r>
              <w:rPr>
                <w:rFonts w:ascii="Cambria Math" w:hAnsi="Book Antiqua"/>
                <w:sz w:val="20"/>
              </w:rPr>
              <m:t>238</m:t>
            </m:r>
          </m:sup>
        </m:sSup>
      </m:oMath>
      <w:r w:rsidRPr="003A1AA9">
        <w:rPr>
          <w:rFonts w:ascii="Book Antiqua" w:hAnsi="Book Antiqua"/>
          <w:sz w:val="20"/>
        </w:rPr>
        <w:t xml:space="preserve">   when it is not triggered by a neutron flux. Nevertheless such isotopes have produced large numbers of tracks. For example, a study of Miocene volcanic glass revealed thousands of times more fission tracks than would be possible in only a few thousand years of fission at today’s rates [35]. Therefore, fission tracks are also evidence that extremely long periods of time must have elapsed if radioactive decay rates have been constant. These tracks suggest that the Miocene epoch really did last from about 23 million atomic years down to about 5 million atomic years ago, as other radiometric dates also indicate.</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summary there </w:t>
      </w:r>
      <w:r>
        <w:rPr>
          <w:rFonts w:ascii="Book Antiqua" w:hAnsi="Book Antiqua"/>
          <w:sz w:val="20"/>
        </w:rPr>
        <w:t>is a wealth of evidence from 1)</w:t>
      </w:r>
      <w:r w:rsidRPr="003A1AA9">
        <w:rPr>
          <w:rFonts w:ascii="Book Antiqua" w:hAnsi="Book Antiqua"/>
          <w:sz w:val="20"/>
        </w:rPr>
        <w:t xml:space="preserve"> the relative abundance of naturally occurring radioactive isotopes and the daughter elements a</w:t>
      </w:r>
      <w:r>
        <w:rPr>
          <w:rFonts w:ascii="Book Antiqua" w:hAnsi="Book Antiqua"/>
          <w:sz w:val="20"/>
        </w:rPr>
        <w:t>long the whole decay chain</w:t>
      </w:r>
      <w:proofErr w:type="gramStart"/>
      <w:r>
        <w:rPr>
          <w:rFonts w:ascii="Book Antiqua" w:hAnsi="Book Antiqua"/>
          <w:sz w:val="20"/>
        </w:rPr>
        <w:t>;  2</w:t>
      </w:r>
      <w:proofErr w:type="gramEnd"/>
      <w:r>
        <w:rPr>
          <w:rFonts w:ascii="Book Antiqua" w:hAnsi="Book Antiqua"/>
          <w:sz w:val="20"/>
        </w:rPr>
        <w:t>)</w:t>
      </w:r>
      <w:r w:rsidRPr="003A1AA9">
        <w:rPr>
          <w:rFonts w:ascii="Book Antiqua" w:hAnsi="Book Antiqua"/>
          <w:sz w:val="20"/>
        </w:rPr>
        <w:t xml:space="preserve"> the rings making up radio-halos and the required number of atoms of the original isotope and daughter elements that are needed to produ</w:t>
      </w:r>
      <w:r>
        <w:rPr>
          <w:rFonts w:ascii="Book Antiqua" w:hAnsi="Book Antiqua"/>
          <w:sz w:val="20"/>
        </w:rPr>
        <w:t>ce the visible results; and  3)</w:t>
      </w:r>
      <w:r w:rsidRPr="003A1AA9">
        <w:rPr>
          <w:rFonts w:ascii="Book Antiqua" w:hAnsi="Book Antiqua"/>
          <w:sz w:val="20"/>
        </w:rPr>
        <w:t xml:space="preserve"> fission tracks in crystals and the number involved. In each case these data all point to the fact that millions of years worth of radioactive decay must have occurred if decay rates have remained approximately constant.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Pr>
          <w:rFonts w:ascii="Book Antiqua" w:hAnsi="Book Antiqua"/>
          <w:sz w:val="20"/>
        </w:rPr>
        <w:t>If decay rates have remained approximately constant, a problem emerges.</w:t>
      </w:r>
      <w:r w:rsidRPr="003A1AA9">
        <w:rPr>
          <w:rFonts w:ascii="Book Antiqua" w:hAnsi="Book Antiqua"/>
          <w:sz w:val="20"/>
        </w:rPr>
        <w:t xml:space="preserve">  As things stand today, it is assumed by mainstream science that a constancy of decay rates means that we can measure orbital (calendar) years by the same measure that we use for radiometric dating.  However, as has been shown, any variation in the strength of the Zero Point Energy (ZPE) will affect the rate of ticking of atomic clocks –   including radiometric clocks. The ZPE controls the electric and magnetic properties of the vacuum, and a variety of data suggest that the ZPE strength was much lower in the past. A lower ZPE means a proportionally lower value for Planck’s constant</w:t>
      </w:r>
      <w:proofErr w:type="gramStart"/>
      <w:r w:rsidRPr="003A1AA9">
        <w:rPr>
          <w:rFonts w:ascii="Book Antiqua" w:hAnsi="Book Antiqua"/>
          <w:sz w:val="20"/>
        </w:rPr>
        <w:t xml:space="preserve">, </w:t>
      </w:r>
      <m:oMath>
        <w:proofErr w:type="gramEnd"/>
        <m:r>
          <w:rPr>
            <w:rFonts w:ascii="Book Antiqua" w:hAnsi="Cambria Math"/>
            <w:sz w:val="20"/>
          </w:rPr>
          <m:t>h</m:t>
        </m:r>
      </m:oMath>
      <w:r w:rsidRPr="003A1AA9">
        <w:rPr>
          <w:rFonts w:ascii="Book Antiqua" w:hAnsi="Book Antiqua"/>
          <w:sz w:val="20"/>
        </w:rPr>
        <w:t xml:space="preserve">, and a higher value for the speed of light, </w:t>
      </w:r>
      <m:oMath>
        <m:r>
          <w:rPr>
            <w:rFonts w:ascii="Book Antiqua" w:hAnsi="Cambria Math"/>
            <w:sz w:val="20"/>
          </w:rPr>
          <m:t>c</m:t>
        </m:r>
      </m:oMath>
      <w:r w:rsidRPr="003A1AA9">
        <w:rPr>
          <w:rFonts w:ascii="Book Antiqua" w:hAnsi="Book Antiqua"/>
          <w:sz w:val="20"/>
        </w:rPr>
        <w:t>, in inverse proportion to ZPE strength. A lower ZPE strength also means that atomic masses</w:t>
      </w:r>
      <w:proofErr w:type="gramStart"/>
      <w:r w:rsidRPr="003A1AA9">
        <w:rPr>
          <w:rFonts w:ascii="Book Antiqua" w:hAnsi="Book Antiqua"/>
          <w:sz w:val="20"/>
        </w:rPr>
        <w:t xml:space="preserve">, </w:t>
      </w:r>
      <m:oMath>
        <w:proofErr w:type="gramEnd"/>
        <m:r>
          <w:rPr>
            <w:rFonts w:ascii="Cambria Math" w:hAnsi="Cambria Math"/>
            <w:sz w:val="20"/>
          </w:rPr>
          <m:t>m</m:t>
        </m:r>
        <m:r>
          <w:rPr>
            <w:rFonts w:ascii="Book Antiqua" w:hAnsi="Cambria Math"/>
            <w:sz w:val="20"/>
          </w:rPr>
          <m:t>m</m:t>
        </m:r>
      </m:oMath>
      <w:r w:rsidRPr="003A1AA9">
        <w:rPr>
          <w:rFonts w:ascii="Book Antiqua" w:hAnsi="Book Antiqua"/>
          <w:sz w:val="20"/>
        </w:rPr>
        <w:t xml:space="preserve">, were lower in proportion to </w:t>
      </w:r>
      <m:oMath>
        <m:sSup>
          <m:sSupPr>
            <m:ctrlPr>
              <w:rPr>
                <w:rFonts w:ascii="Book Antiqua" w:hAnsi="Book Antiqua"/>
                <w:i/>
                <w:sz w:val="20"/>
              </w:rPr>
            </m:ctrlPr>
          </m:sSupPr>
          <m:e>
            <m:r>
              <w:rPr>
                <w:rFonts w:ascii="Book Antiqua" w:hAnsi="Cambria Math"/>
                <w:sz w:val="20"/>
              </w:rPr>
              <m:t>h</m:t>
            </m:r>
          </m:e>
          <m:sup>
            <m:r>
              <w:rPr>
                <w:rFonts w:ascii="Book Antiqua" w:hAnsi="Book Antiqua"/>
                <w:sz w:val="20"/>
              </w:rPr>
              <m:t>2</m:t>
            </m:r>
          </m:sup>
        </m:sSup>
      </m:oMath>
      <w:r w:rsidRPr="003A1AA9">
        <w:rPr>
          <w:rFonts w:ascii="Book Antiqua" w:hAnsi="Book Antiqua"/>
          <w:sz w:val="20"/>
        </w:rPr>
        <w:t xml:space="preserve"> or to </w:t>
      </w:r>
      <m:oMath>
        <m:r>
          <w:rPr>
            <w:rFonts w:ascii="Book Antiqua" w:hAnsi="Book Antiqua"/>
            <w:sz w:val="20"/>
          </w:rPr>
          <m:t>1/</m:t>
        </m:r>
        <m:sSup>
          <m:sSupPr>
            <m:ctrlPr>
              <w:rPr>
                <w:rFonts w:ascii="Book Antiqua" w:hAnsi="Book Antiqua"/>
                <w:i/>
                <w:sz w:val="20"/>
              </w:rPr>
            </m:ctrlPr>
          </m:sSupPr>
          <m:e>
            <m:r>
              <w:rPr>
                <w:rFonts w:ascii="Book Antiqua" w:hAnsi="Cambria Math"/>
                <w:sz w:val="20"/>
              </w:rPr>
              <m:t>c</m:t>
            </m:r>
            <m:r>
              <w:rPr>
                <w:rFonts w:ascii="Cambria Math" w:hAnsi="Cambria Math"/>
                <w:sz w:val="20"/>
              </w:rPr>
              <m:t>c</m:t>
            </m:r>
          </m:e>
          <m:sup>
            <m:r>
              <w:rPr>
                <w:rFonts w:ascii="Book Antiqua" w:hAnsi="Book Antiqua"/>
                <w:sz w:val="20"/>
              </w:rPr>
              <m:t>2</m:t>
            </m:r>
          </m:sup>
        </m:sSup>
      </m:oMath>
      <w:r w:rsidRPr="003A1AA9">
        <w:rPr>
          <w:rFonts w:ascii="Book Antiqua" w:hAnsi="Book Antiqua"/>
          <w:sz w:val="20"/>
        </w:rPr>
        <w:t xml:space="preserve">, so energy is conserved in atomic interactions. When these changes are factored into the equations describing the various types of radio-decay, these equations indicate that the rate of decay of all radioactive isotopes is directly proportional to </w:t>
      </w:r>
      <w:r w:rsidRPr="00E436CC">
        <w:rPr>
          <w:rFonts w:ascii="Book Antiqua" w:hAnsi="Book Antiqua"/>
          <w:i/>
          <w:sz w:val="20"/>
        </w:rPr>
        <w:t>c</w:t>
      </w:r>
      <m:oMath>
        <m:r>
          <w:rPr>
            <w:rFonts w:ascii="Book Antiqua" w:hAnsi="Cambria Math"/>
            <w:sz w:val="20"/>
          </w:rPr>
          <m:t>c</m:t>
        </m:r>
      </m:oMath>
      <w:r w:rsidRPr="003A1AA9">
        <w:rPr>
          <w:rFonts w:ascii="Book Antiqua" w:hAnsi="Book Antiqua"/>
          <w:sz w:val="20"/>
        </w:rPr>
        <w:t xml:space="preserve">, or inversely proportional to </w:t>
      </w:r>
      <m:oMath>
        <m:r>
          <w:rPr>
            <w:rFonts w:ascii="Book Antiqua" w:hAnsi="Cambria Math"/>
            <w:sz w:val="20"/>
          </w:rPr>
          <m:t>h</m:t>
        </m:r>
      </m:oMath>
      <w:r w:rsidRPr="003A1AA9">
        <w:rPr>
          <w:rFonts w:ascii="Book Antiqua" w:hAnsi="Book Antiqua"/>
          <w:sz w:val="20"/>
        </w:rPr>
        <w:t xml:space="preserve"> and</w:t>
      </w:r>
      <w:r>
        <w:rPr>
          <w:rFonts w:ascii="Book Antiqua" w:hAnsi="Book Antiqua"/>
          <w:sz w:val="20"/>
        </w:rPr>
        <w:t xml:space="preserve"> </w:t>
      </w:r>
      <w:r w:rsidRPr="00E436CC">
        <w:rPr>
          <w:rFonts w:ascii="Book Antiqua" w:hAnsi="Book Antiqua"/>
          <w:i/>
          <w:sz w:val="20"/>
        </w:rPr>
        <w:t>U</w:t>
      </w:r>
      <w:r w:rsidRPr="003A1AA9">
        <w:rPr>
          <w:rFonts w:ascii="Book Antiqua" w:hAnsi="Book Antiqua"/>
          <w:sz w:val="20"/>
        </w:rPr>
        <w:t xml:space="preserve"> </w:t>
      </w:r>
      <m:oMath>
        <m:r>
          <w:rPr>
            <w:rFonts w:ascii="Book Antiqua" w:hAnsi="Cambria Math"/>
            <w:sz w:val="20"/>
          </w:rPr>
          <m:t>U</m:t>
        </m:r>
      </m:oMath>
      <w:r w:rsidRPr="003A1AA9">
        <w:rPr>
          <w:rFonts w:ascii="Book Antiqua" w:hAnsi="Book Antiqua"/>
          <w:sz w:val="20"/>
        </w:rPr>
        <w:t xml:space="preserve"> as shown above. That is to say, the greater the strength of the ZPE, then the slower will be decay rates. Conversely, the weaker the ZPE strength, the faster will be the decay rates.  The physical reason behind this behavior is that the increasing energy density of the vacuum ZPE means an increasing density of virtual particle pairs. This effectively makes space a “thicker” medium for atoms to be immersed in and changes the electric and magnetic properties of the vacuum. Since many atomic processes are electric and magnetic in character, a thicker electro-magnetic medium will slow all them in proportion.  As a result, and in contrast to many of the creationist attempts to reconcile atomic dating with their models, the majority of dates given by radiometric dating will be in concordance.  The major exceptions to these concordant dates would </w:t>
      </w:r>
      <w:r>
        <w:rPr>
          <w:rFonts w:ascii="Book Antiqua" w:hAnsi="Book Antiqua"/>
          <w:sz w:val="20"/>
        </w:rPr>
        <w:t>be</w:t>
      </w:r>
      <w:r w:rsidRPr="003A1AA9">
        <w:rPr>
          <w:rFonts w:ascii="Book Antiqua" w:hAnsi="Book Antiqua"/>
          <w:sz w:val="20"/>
        </w:rPr>
        <w:t xml:space="preserve"> carbon dating, as mentioned above, because of its severe time limitations, and dating methods relying on argon, which migrates through other materials very easily.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In a private conversation with the manager of a dating laboratory, I was told that from 15% to 20% </w:t>
      </w:r>
      <w:r w:rsidRPr="002B6251">
        <w:rPr>
          <w:rFonts w:ascii="Book Antiqua" w:hAnsi="Book Antiqua"/>
          <w:sz w:val="20"/>
        </w:rPr>
        <w:t>of radiometric</w:t>
      </w:r>
      <w:r w:rsidRPr="003A1AA9">
        <w:rPr>
          <w:rFonts w:ascii="Book Antiqua" w:hAnsi="Book Antiqua"/>
          <w:sz w:val="20"/>
        </w:rPr>
        <w:t xml:space="preserve"> dates can be discrepant. That leaves a solid core of 80% to 85% reliable dates.  But it is important to look at the discrepant data as well.  This is what critics of radiometric dating concentrate on. However, instead of concluding (as some critics do) that all radiometric dates are unreliable because of this, there may be an explanation related to the increase in Zero Point Energy through time. Here are two examples:</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1:</w:t>
      </w:r>
      <w:r w:rsidRPr="003A1AA9">
        <w:rPr>
          <w:rFonts w:ascii="Book Antiqua" w:hAnsi="Book Antiqua"/>
          <w:sz w:val="20"/>
        </w:rPr>
        <w:t xml:space="preserve"> In all geological eras, many intrusions of molten rock, called plutons, were emplaced in the surrounding strata. These intrusions take time to cool. The cooling starts first at the edge where the molten material is in contact with the surrounding rock and chills rapidly. The interior takes much longer to cool.  In cooled magma the </w:t>
      </w:r>
      <w:r w:rsidRPr="003A1AA9">
        <w:rPr>
          <w:rFonts w:ascii="Book Antiqua" w:hAnsi="Book Antiqua"/>
          <w:sz w:val="20"/>
        </w:rPr>
        <w:lastRenderedPageBreak/>
        <w:t>radioactive isotopes are locked in position and can no longer migrate. It is at this point that the radiometric clock (an atomic clock) is reset and starts “ticking.”  However, the radioactive isotopes in the still molten center of the pluton may continue to migrate for a number of years before they become locked into position. Their atomic or radiometric clock will only start ticking at that point.</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 xml:space="preserve">Let us postulate that the cooling process took up to 100 years in the Archaeozoic. At that time, the astronomical data indicate that the ZPE strength was so low that radiometric clocks were ticking very fast compared with today’s rate. So if, for the sake of this example, we assume that atomic and radiometric clocks were ticking something like a million times faster than now, then analysis of the atomic dates gotten from this intrusion could show a spread of a hundred million years or more.  The time of actual emplacement of the pluton would be given by the isotopes gathered near the edge of the structure. However, laboratories testing for an atomic age for the pluton would indicate that dates from nearer the center of the pluton were discrepant.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b/>
          <w:i/>
          <w:sz w:val="20"/>
        </w:rPr>
        <w:t>Example 2:</w:t>
      </w:r>
      <w:r w:rsidRPr="003A1AA9">
        <w:rPr>
          <w:rFonts w:ascii="Book Antiqua" w:hAnsi="Book Antiqua"/>
          <w:sz w:val="20"/>
        </w:rPr>
        <w:t xml:space="preserve"> The Mesozoic Era ended with a number of massive asteroid impacts. Because of the pressure pulse they sent through the earth, and the subsequent rarefaction (area of lower pressure behind the pulse), there erupted a plume of magma bursting through the surface to form the Deccan Traps in India. These events, associated with the extinction of the dinosaurs, are dated at 65.5 million atomic years ago. The problem which has surfaced as a result of a careful analysis of atomic dates for these strata is that it seems the last of the dinosaurs did not die out until some 2 million years or more afterward. This is why some paleontologists are searching for other mechanisms for the demise of the dinosaurs.</w:t>
      </w:r>
      <w:r>
        <w:rPr>
          <w:rFonts w:ascii="Book Antiqua" w:hAnsi="Book Antiqua"/>
          <w:sz w:val="20"/>
        </w:rPr>
        <w:t xml:space="preserve"> </w:t>
      </w:r>
      <w:r w:rsidRPr="003A1AA9">
        <w:rPr>
          <w:rFonts w:ascii="Book Antiqua" w:hAnsi="Book Antiqua"/>
          <w:sz w:val="20"/>
        </w:rPr>
        <w:t>However, if, for the sake of this example, we assume that atomic and radiometric clocks were ticking over a quarter of a million times faster at the end of the Mesozoic, then the 2 million atomic years translates into eight years of actual orbital time. This suggests that the dinosaurs were indeed wiped out by the catastrophic events ending the</w:t>
      </w:r>
      <w:r>
        <w:rPr>
          <w:rFonts w:ascii="Book Antiqua" w:hAnsi="Book Antiqua"/>
          <w:sz w:val="20"/>
        </w:rPr>
        <w:t xml:space="preserve"> Era.</w:t>
      </w:r>
    </w:p>
    <w:p w:rsidR="00796231" w:rsidRPr="003A1AA9" w:rsidRDefault="00796231" w:rsidP="00796231">
      <w:pPr>
        <w:pStyle w:val="NoSpacing"/>
        <w:jc w:val="both"/>
        <w:rPr>
          <w:rFonts w:ascii="Book Antiqua" w:hAnsi="Book Antiqua"/>
          <w:sz w:val="20"/>
        </w:rPr>
      </w:pPr>
    </w:p>
    <w:p w:rsidR="00796231" w:rsidRPr="003A1AA9" w:rsidRDefault="00796231" w:rsidP="00796231">
      <w:pPr>
        <w:pStyle w:val="NoSpacing"/>
        <w:ind w:firstLine="720"/>
        <w:jc w:val="both"/>
        <w:rPr>
          <w:rFonts w:ascii="Book Antiqua" w:hAnsi="Book Antiqua"/>
          <w:sz w:val="20"/>
        </w:rPr>
      </w:pPr>
      <w:r w:rsidRPr="003A1AA9">
        <w:rPr>
          <w:rFonts w:ascii="Book Antiqua" w:hAnsi="Book Antiqua"/>
          <w:sz w:val="20"/>
        </w:rPr>
        <w:t>These examples not only illustrate the reality of discrepant dating, but they offer a clue as to why that occurs.  The fact that 80% of the dates are in agreement with one another shows the general trend of successively older and older dates the further back into the past we go.  The fact that 20% of the dates are discordant shows that something else is happening.  The greater the accelerated decay, the larger the discrepancy is likely to be. These discrepant dates are themselves an indication that radioactive decay rates (and the rate of ticking of all atomic clocks) were faster in the past.  The Zero Point Energy explains why that is so.  Fig</w:t>
      </w:r>
      <w:r>
        <w:rPr>
          <w:rFonts w:ascii="Book Antiqua" w:hAnsi="Book Antiqua"/>
          <w:sz w:val="20"/>
        </w:rPr>
        <w:t xml:space="preserve">. </w:t>
      </w:r>
      <w:r w:rsidRPr="003A1AA9">
        <w:rPr>
          <w:rFonts w:ascii="Book Antiqua" w:hAnsi="Book Antiqua"/>
          <w:sz w:val="20"/>
        </w:rPr>
        <w:t xml:space="preserve">9 illustrates the scatter of discrepant dates around the basic trend. </w:t>
      </w:r>
    </w:p>
    <w:p w:rsidR="00796231" w:rsidRPr="003A1AA9" w:rsidRDefault="00796231" w:rsidP="00796231">
      <w:pPr>
        <w:pStyle w:val="NoSpacing"/>
        <w:ind w:firstLine="720"/>
        <w:jc w:val="both"/>
        <w:rPr>
          <w:rFonts w:ascii="Book Antiqua" w:hAnsi="Book Antiqua"/>
          <w:sz w:val="20"/>
        </w:rPr>
      </w:pPr>
    </w:p>
    <w:p w:rsidR="00796231" w:rsidRPr="003A1AA9" w:rsidRDefault="00796231" w:rsidP="00796231">
      <w:pPr>
        <w:pStyle w:val="NoSpacing"/>
        <w:jc w:val="center"/>
        <w:rPr>
          <w:rFonts w:ascii="Book Antiqua" w:hAnsi="Book Antiqua"/>
          <w:sz w:val="20"/>
        </w:rPr>
      </w:pPr>
      <w:r w:rsidRPr="003A1AA9">
        <w:rPr>
          <w:rFonts w:ascii="Book Antiqua" w:hAnsi="Book Antiqua"/>
          <w:noProof/>
          <w:sz w:val="20"/>
        </w:rPr>
        <w:drawing>
          <wp:inline distT="0" distB="0" distL="0" distR="0">
            <wp:extent cx="4095750" cy="2419350"/>
            <wp:effectExtent l="19050" t="0" r="0" b="0"/>
            <wp:docPr id="187" name="il_fi" descr="rad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radchart"/>
                    <pic:cNvPicPr>
                      <a:picLocks noChangeAspect="1" noChangeArrowheads="1"/>
                    </pic:cNvPicPr>
                  </pic:nvPicPr>
                  <pic:blipFill>
                    <a:blip r:embed="rId991" cstate="print"/>
                    <a:srcRect l="11142" r="4898" b="9111"/>
                    <a:stretch>
                      <a:fillRect/>
                    </a:stretch>
                  </pic:blipFill>
                  <pic:spPr bwMode="auto">
                    <a:xfrm>
                      <a:off x="0" y="0"/>
                      <a:ext cx="4095874" cy="2419423"/>
                    </a:xfrm>
                    <a:prstGeom prst="rect">
                      <a:avLst/>
                    </a:prstGeom>
                    <a:noFill/>
                    <a:ln w="9525">
                      <a:noFill/>
                      <a:miter lim="800000"/>
                      <a:headEnd/>
                      <a:tailEnd/>
                    </a:ln>
                  </pic:spPr>
                </pic:pic>
              </a:graphicData>
            </a:graphic>
          </wp:inline>
        </w:drawing>
      </w:r>
    </w:p>
    <w:p w:rsidR="00796231" w:rsidRPr="003A1AA9" w:rsidRDefault="00796231" w:rsidP="00796231">
      <w:pPr>
        <w:pStyle w:val="NoSpacing"/>
        <w:ind w:firstLine="720"/>
        <w:jc w:val="both"/>
        <w:rPr>
          <w:rFonts w:ascii="Book Antiqua" w:hAnsi="Book Antiqua"/>
          <w:sz w:val="20"/>
        </w:rPr>
      </w:pPr>
    </w:p>
    <w:p w:rsidR="00796231" w:rsidRPr="0040460D" w:rsidRDefault="00796231" w:rsidP="00796231">
      <w:pPr>
        <w:pStyle w:val="NoSpacing"/>
        <w:jc w:val="center"/>
        <w:rPr>
          <w:rFonts w:ascii="Book Antiqua" w:hAnsi="Book Antiqua"/>
          <w:i/>
          <w:sz w:val="18"/>
          <w:szCs w:val="18"/>
        </w:rPr>
      </w:pPr>
      <w:r w:rsidRPr="0040460D">
        <w:rPr>
          <w:rFonts w:ascii="Book Antiqua" w:hAnsi="Book Antiqua"/>
          <w:b/>
          <w:i/>
          <w:sz w:val="18"/>
          <w:szCs w:val="18"/>
        </w:rPr>
        <w:t>Figure 9:</w:t>
      </w:r>
      <w:r w:rsidRPr="0040460D">
        <w:rPr>
          <w:rFonts w:ascii="Book Antiqua" w:hAnsi="Book Antiqua"/>
          <w:i/>
          <w:sz w:val="18"/>
          <w:szCs w:val="18"/>
        </w:rPr>
        <w:t xml:space="preserve"> A plot of published discrepant radiometric data [36].</w:t>
      </w:r>
    </w:p>
    <w:p w:rsidR="00796231" w:rsidRDefault="00796231" w:rsidP="00796231">
      <w:pPr>
        <w:pStyle w:val="NoSpacing"/>
        <w:ind w:firstLine="720"/>
        <w:jc w:val="both"/>
        <w:rPr>
          <w:rFonts w:ascii="Book Antiqua" w:hAnsi="Book Antiqua"/>
          <w:sz w:val="20"/>
        </w:rPr>
      </w:pPr>
    </w:p>
    <w:p w:rsidR="00796231" w:rsidRDefault="00796231" w:rsidP="00796231">
      <w:pPr>
        <w:pStyle w:val="NoSpacing"/>
        <w:ind w:firstLine="720"/>
        <w:jc w:val="both"/>
        <w:rPr>
          <w:rFonts w:ascii="Book Antiqua" w:hAnsi="Book Antiqua"/>
          <w:sz w:val="20"/>
        </w:rPr>
      </w:pPr>
      <w:r w:rsidRPr="003A1AA9">
        <w:rPr>
          <w:rFonts w:ascii="Book Antiqua" w:hAnsi="Book Antiqua"/>
          <w:sz w:val="20"/>
        </w:rPr>
        <w:t>In Fig</w:t>
      </w:r>
      <w:r>
        <w:rPr>
          <w:rFonts w:ascii="Book Antiqua" w:hAnsi="Book Antiqua"/>
          <w:sz w:val="20"/>
        </w:rPr>
        <w:t xml:space="preserve">. </w:t>
      </w:r>
      <w:r w:rsidRPr="003A1AA9">
        <w:rPr>
          <w:rFonts w:ascii="Book Antiqua" w:hAnsi="Book Antiqua"/>
          <w:sz w:val="20"/>
        </w:rPr>
        <w:t>9, the horizontal axis is the expected atomic age in millions of years. The vertical axis is the age by the</w:t>
      </w:r>
      <w:r>
        <w:rPr>
          <w:rFonts w:ascii="Book Antiqua" w:hAnsi="Book Antiqua"/>
          <w:sz w:val="20"/>
        </w:rPr>
        <w:t xml:space="preserve"> </w:t>
      </w:r>
      <w:r w:rsidRPr="003A1AA9">
        <w:rPr>
          <w:rFonts w:ascii="Book Antiqua" w:hAnsi="Book Antiqua"/>
          <w:sz w:val="20"/>
        </w:rPr>
        <w:t>radiometric clock. The scatter of points illustrates the published discrepant dates obtained by radiometric dating lab</w:t>
      </w:r>
      <w:r>
        <w:rPr>
          <w:rFonts w:ascii="Book Antiqua" w:hAnsi="Book Antiqua"/>
          <w:sz w:val="20"/>
        </w:rPr>
        <w:t xml:space="preserve">s. </w:t>
      </w:r>
      <w:r w:rsidRPr="003A1AA9">
        <w:rPr>
          <w:rFonts w:ascii="Book Antiqua" w:hAnsi="Book Antiqua"/>
          <w:sz w:val="20"/>
        </w:rPr>
        <w:t>Uniformly accelerated decay rates do hold the potential to resolve what would otherwise be anomalous geological data.</w:t>
      </w:r>
    </w:p>
    <w:p w:rsidR="00796231" w:rsidRPr="003A1AA9" w:rsidRDefault="00796231" w:rsidP="00796231">
      <w:pPr>
        <w:pStyle w:val="NormalWeb"/>
        <w:jc w:val="both"/>
        <w:rPr>
          <w:rStyle w:val="Strong"/>
          <w:rFonts w:ascii="Book Antiqua" w:eastAsia="Calibri" w:hAnsi="Book Antiqua"/>
          <w:sz w:val="20"/>
          <w:szCs w:val="20"/>
        </w:rPr>
      </w:pPr>
      <w:r w:rsidRPr="003A1AA9">
        <w:rPr>
          <w:rStyle w:val="Strong"/>
          <w:rFonts w:ascii="Book Antiqua" w:eastAsia="Calibri" w:hAnsi="Book Antiqua"/>
          <w:sz w:val="20"/>
          <w:szCs w:val="20"/>
        </w:rPr>
        <w:lastRenderedPageBreak/>
        <w:t xml:space="preserve">References </w:t>
      </w:r>
      <w:r w:rsidRPr="003A1AA9">
        <w:rPr>
          <w:rStyle w:val="Strong"/>
          <w:rFonts w:ascii="Book Antiqua" w:eastAsia="Calibri" w:hAnsi="Book Antiqua"/>
          <w:i/>
          <w:sz w:val="20"/>
          <w:szCs w:val="20"/>
        </w:rPr>
        <w:t>– All URL’s retrieved 9/13/12</w:t>
      </w:r>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[1] A. P. French, </w:t>
      </w:r>
      <w:r w:rsidRPr="003A1AA9">
        <w:rPr>
          <w:rFonts w:ascii="Book Antiqua" w:hAnsi="Book Antiqua"/>
          <w:i/>
          <w:sz w:val="16"/>
          <w:szCs w:val="16"/>
        </w:rPr>
        <w:t>Principles of Modern Physics</w:t>
      </w:r>
      <w:r w:rsidRPr="003A1AA9">
        <w:rPr>
          <w:rFonts w:ascii="Book Antiqua" w:hAnsi="Book Antiqua"/>
          <w:sz w:val="16"/>
          <w:szCs w:val="16"/>
        </w:rPr>
        <w:t xml:space="preserve">, p. 298 (Wiley, New York, 1959) </w:t>
      </w:r>
      <w:r w:rsidRPr="003A1AA9">
        <w:rPr>
          <w:rFonts w:ascii="Book Antiqua" w:hAnsi="Book Antiqua"/>
          <w:sz w:val="16"/>
          <w:szCs w:val="16"/>
        </w:rPr>
        <w:br/>
        <w:t xml:space="preserve">[2] S. Glasstone, </w:t>
      </w:r>
      <w:r w:rsidRPr="003A1AA9">
        <w:rPr>
          <w:rStyle w:val="Emphasis"/>
          <w:rFonts w:ascii="Book Antiqua" w:hAnsi="Book Antiqua"/>
          <w:iCs w:val="0"/>
          <w:sz w:val="16"/>
          <w:szCs w:val="16"/>
        </w:rPr>
        <w:t>Sourcebook on Atomic Energy</w:t>
      </w:r>
      <w:r w:rsidRPr="003A1AA9">
        <w:rPr>
          <w:rFonts w:ascii="Book Antiqua" w:hAnsi="Book Antiqua"/>
          <w:sz w:val="16"/>
          <w:szCs w:val="16"/>
        </w:rPr>
        <w:t>, 1st Edition, p. 158 (Macmillan, London, 1950).</w:t>
      </w:r>
      <w:proofErr w:type="gramEnd"/>
      <w:r w:rsidRPr="003A1AA9">
        <w:rPr>
          <w:rFonts w:ascii="Book Antiqua" w:hAnsi="Book Antiqua"/>
          <w:sz w:val="16"/>
          <w:szCs w:val="16"/>
        </w:rPr>
        <w:br/>
        <w:t xml:space="preserve">[3] H. Von Buttlar, </w:t>
      </w:r>
      <w:r w:rsidRPr="003A1AA9">
        <w:rPr>
          <w:rStyle w:val="Emphasis"/>
          <w:rFonts w:ascii="Book Antiqua" w:hAnsi="Book Antiqua"/>
          <w:iCs w:val="0"/>
          <w:sz w:val="16"/>
          <w:szCs w:val="16"/>
        </w:rPr>
        <w:t>Nuclear Physics</w:t>
      </w:r>
      <w:r w:rsidRPr="003A1AA9">
        <w:rPr>
          <w:rStyle w:val="Emphasis"/>
          <w:rFonts w:ascii="Book Antiqua" w:hAnsi="Book Antiqua"/>
          <w:b/>
          <w:i w:val="0"/>
          <w:iCs w:val="0"/>
          <w:sz w:val="16"/>
          <w:szCs w:val="16"/>
        </w:rPr>
        <w:t>,</w:t>
      </w:r>
      <w:r w:rsidRPr="003A1AA9">
        <w:rPr>
          <w:rStyle w:val="Emphasis"/>
          <w:rFonts w:ascii="Book Antiqua" w:hAnsi="Book Antiqua"/>
          <w:i w:val="0"/>
          <w:iCs w:val="0"/>
          <w:sz w:val="16"/>
          <w:szCs w:val="16"/>
        </w:rPr>
        <w:t xml:space="preserve"> pp. </w:t>
      </w:r>
      <w:r w:rsidRPr="003A1AA9">
        <w:rPr>
          <w:rFonts w:ascii="Book Antiqua" w:hAnsi="Book Antiqua"/>
          <w:sz w:val="16"/>
          <w:szCs w:val="16"/>
        </w:rPr>
        <w:t>448-449 (Academic Press, New York, 1968).</w:t>
      </w:r>
      <w:r w:rsidRPr="003A1AA9">
        <w:rPr>
          <w:rFonts w:ascii="Book Antiqua" w:hAnsi="Book Antiqua"/>
          <w:sz w:val="16"/>
          <w:szCs w:val="16"/>
        </w:rPr>
        <w:br/>
        <w:t>[4] Ibid, pp. 485, 492.</w:t>
      </w:r>
      <w:r w:rsidRPr="003A1AA9">
        <w:rPr>
          <w:rFonts w:ascii="Book Antiqua" w:hAnsi="Book Antiqua"/>
          <w:sz w:val="16"/>
          <w:szCs w:val="16"/>
        </w:rPr>
        <w:br/>
        <w:t xml:space="preserve">[5] W. E. Burcham, </w:t>
      </w:r>
      <w:r w:rsidRPr="003A1AA9">
        <w:rPr>
          <w:rStyle w:val="Emphasis"/>
          <w:rFonts w:ascii="Book Antiqua" w:hAnsi="Book Antiqua"/>
          <w:iCs w:val="0"/>
          <w:sz w:val="16"/>
          <w:szCs w:val="16"/>
        </w:rPr>
        <w:t>Nuclear Physics</w:t>
      </w:r>
      <w:r w:rsidRPr="003A1AA9">
        <w:rPr>
          <w:rFonts w:ascii="Book Antiqua" w:hAnsi="Book Antiqua"/>
          <w:sz w:val="16"/>
          <w:szCs w:val="16"/>
        </w:rPr>
        <w:t>, p. 606 (McGraw-Hill, New York, 1963).</w:t>
      </w:r>
      <w:r w:rsidRPr="003A1AA9">
        <w:rPr>
          <w:rFonts w:ascii="Book Antiqua" w:hAnsi="Book Antiqua"/>
          <w:sz w:val="16"/>
          <w:szCs w:val="16"/>
        </w:rPr>
        <w:br/>
        <w:t>[6] Ibid, p.609.</w:t>
      </w:r>
      <w:r w:rsidRPr="003A1AA9">
        <w:rPr>
          <w:rFonts w:ascii="Book Antiqua" w:hAnsi="Book Antiqua"/>
          <w:sz w:val="16"/>
          <w:szCs w:val="16"/>
        </w:rPr>
        <w:br/>
        <w:t>[7] Ibid, p.604.</w:t>
      </w:r>
      <w:r w:rsidRPr="003A1AA9">
        <w:rPr>
          <w:rFonts w:ascii="Book Antiqua" w:hAnsi="Book Antiqua"/>
          <w:sz w:val="16"/>
          <w:szCs w:val="16"/>
        </w:rPr>
        <w:br/>
        <w:t xml:space="preserve">[8] P. S. Wesson, </w:t>
      </w:r>
      <w:r w:rsidRPr="003A1AA9">
        <w:rPr>
          <w:rFonts w:ascii="Book Antiqua" w:hAnsi="Book Antiqua"/>
          <w:i/>
          <w:sz w:val="16"/>
          <w:szCs w:val="16"/>
        </w:rPr>
        <w:t>Cosmology and Geophysics</w:t>
      </w:r>
      <w:r w:rsidRPr="003A1AA9">
        <w:rPr>
          <w:rFonts w:ascii="Book Antiqua" w:hAnsi="Book Antiqua"/>
          <w:sz w:val="16"/>
          <w:szCs w:val="16"/>
        </w:rPr>
        <w:t xml:space="preserve">, Monographs on Astronomical Subjects, pp. 65-66, (Adam Hilger Ltd, Bristol, 1978). </w:t>
      </w:r>
      <w:hyperlink r:id="rId992" w:history="1">
        <w:r w:rsidRPr="003A1AA9">
          <w:rPr>
            <w:rStyle w:val="Hyperlink"/>
            <w:rFonts w:ascii="Book Antiqua" w:hAnsi="Book Antiqua"/>
            <w:szCs w:val="16"/>
          </w:rPr>
          <w:t xml:space="preserve"> </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[9] A. P. French, </w:t>
      </w:r>
      <w:proofErr w:type="gramStart"/>
      <w:r w:rsidRPr="003A1AA9">
        <w:rPr>
          <w:rFonts w:ascii="Book Antiqua" w:hAnsi="Book Antiqua"/>
          <w:sz w:val="16"/>
          <w:szCs w:val="16"/>
        </w:rPr>
        <w:t>op.cit.,</w:t>
      </w:r>
      <w:proofErr w:type="gramEnd"/>
      <w:r w:rsidRPr="003A1AA9">
        <w:rPr>
          <w:rFonts w:ascii="Book Antiqua" w:hAnsi="Book Antiqua"/>
          <w:sz w:val="16"/>
          <w:szCs w:val="16"/>
        </w:rPr>
        <w:t xml:space="preserve"> p.31.  </w:t>
      </w:r>
      <w:r w:rsidRPr="003A1AA9">
        <w:rPr>
          <w:rFonts w:ascii="Book Antiqua" w:hAnsi="Book Antiqua"/>
          <w:sz w:val="16"/>
          <w:szCs w:val="16"/>
        </w:rPr>
        <w:br/>
        <w:t xml:space="preserve">[10] A. P. Meshik, C.M. Hohenberg, O.V. Pravdivtseva, </w:t>
      </w:r>
      <w:r w:rsidRPr="003A1AA9">
        <w:rPr>
          <w:rStyle w:val="Emphasis"/>
          <w:rFonts w:ascii="Book Antiqua" w:hAnsi="Book Antiqua"/>
          <w:iCs w:val="0"/>
          <w:sz w:val="16"/>
          <w:szCs w:val="16"/>
        </w:rPr>
        <w:t>Phys. Rev. Lett</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proofErr w:type="gramStart"/>
      <w:r w:rsidRPr="003A1AA9">
        <w:rPr>
          <w:rStyle w:val="Strong"/>
          <w:rFonts w:ascii="Book Antiqua" w:eastAsia="Calibri" w:hAnsi="Book Antiqua"/>
          <w:sz w:val="16"/>
          <w:szCs w:val="16"/>
        </w:rPr>
        <w:t>93</w:t>
      </w:r>
      <w:r w:rsidRPr="003A1AA9">
        <w:rPr>
          <w:rFonts w:ascii="Book Antiqua" w:hAnsi="Book Antiqua"/>
          <w:sz w:val="16"/>
          <w:szCs w:val="16"/>
        </w:rPr>
        <w:t>, p. 182302 (2004).</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[11] A. P. Meshik et al., </w:t>
      </w:r>
      <w:r w:rsidRPr="00A76FD3">
        <w:rPr>
          <w:rStyle w:val="citation"/>
          <w:rFonts w:ascii="Book Antiqua" w:hAnsi="Book Antiqua"/>
          <w:sz w:val="16"/>
          <w:szCs w:val="16"/>
        </w:rPr>
        <w:t xml:space="preserve">"Record of Cycling Operation of the Natural Nuclear Reactor in the Oklo/Okelobondo Area in Gabon". </w:t>
      </w:r>
      <w:hyperlink r:id="rId993" w:tooltip="Physical Review Letters" w:history="1">
        <w:r w:rsidRPr="00A76FD3">
          <w:rPr>
            <w:rStyle w:val="Hyperlink"/>
            <w:rFonts w:ascii="Book Antiqua" w:hAnsi="Book Antiqua"/>
            <w:i/>
            <w:iCs/>
            <w:szCs w:val="16"/>
          </w:rPr>
          <w:t>Physical Review Letters</w:t>
        </w:r>
      </w:hyperlink>
      <w:r w:rsidRPr="00A76FD3">
        <w:rPr>
          <w:rStyle w:val="citation"/>
          <w:rFonts w:ascii="Book Antiqua" w:hAnsi="Book Antiqua"/>
          <w:sz w:val="16"/>
          <w:szCs w:val="16"/>
        </w:rPr>
        <w:t xml:space="preserve"> </w:t>
      </w:r>
      <w:r w:rsidRPr="00A76FD3">
        <w:rPr>
          <w:rStyle w:val="citation"/>
          <w:rFonts w:ascii="Book Antiqua" w:hAnsi="Book Antiqua"/>
          <w:b/>
          <w:bCs/>
          <w:sz w:val="16"/>
          <w:szCs w:val="16"/>
        </w:rPr>
        <w:t>93</w:t>
      </w:r>
      <w:r w:rsidRPr="00A76FD3">
        <w:rPr>
          <w:rStyle w:val="citation"/>
          <w:rFonts w:ascii="Book Antiqua" w:hAnsi="Book Antiqua"/>
          <w:sz w:val="16"/>
          <w:szCs w:val="16"/>
        </w:rPr>
        <w:t xml:space="preserve"> (18): 182302 (2004) and references therein. The length of the geyser cycle has been disputed, however.</w:t>
      </w:r>
      <w:r w:rsidRPr="003A1AA9">
        <w:rPr>
          <w:rStyle w:val="citation"/>
          <w:rFonts w:ascii="Book Antiqua" w:hAnsi="Book Antiqua"/>
        </w:rPr>
        <w:t xml:space="preserve"> </w:t>
      </w:r>
      <w:r w:rsidRPr="003A1AA9">
        <w:rPr>
          <w:rFonts w:ascii="Book Antiqua" w:hAnsi="Book Antiqua"/>
          <w:sz w:val="16"/>
          <w:szCs w:val="16"/>
        </w:rPr>
        <w:t xml:space="preserve">The researchers themselves suggest it was only an estimate. Marc Caffee of Purdue University, West Lafayette, Indiana, USA, states that the timing and other details remain less certain than the fact that a cyclical reaction did occur. See </w:t>
      </w:r>
      <w:r w:rsidRPr="003A1AA9">
        <w:rPr>
          <w:rFonts w:ascii="Book Antiqua" w:hAnsi="Book Antiqua"/>
          <w:i/>
          <w:sz w:val="16"/>
          <w:szCs w:val="16"/>
        </w:rPr>
        <w:t>Physical Review Focus</w:t>
      </w:r>
      <w:r w:rsidRPr="003A1AA9">
        <w:rPr>
          <w:rFonts w:ascii="Book Antiqua" w:hAnsi="Book Antiqua"/>
          <w:sz w:val="16"/>
          <w:szCs w:val="16"/>
        </w:rPr>
        <w:t xml:space="preserve"> </w:t>
      </w:r>
      <w:r w:rsidRPr="003A1AA9">
        <w:rPr>
          <w:rFonts w:ascii="Book Antiqua" w:hAnsi="Book Antiqua"/>
          <w:b/>
          <w:sz w:val="16"/>
          <w:szCs w:val="16"/>
        </w:rPr>
        <w:t>14</w:t>
      </w:r>
      <w:r w:rsidRPr="003A1AA9">
        <w:rPr>
          <w:rFonts w:ascii="Book Antiqua" w:hAnsi="Book Antiqua"/>
          <w:sz w:val="16"/>
          <w:szCs w:val="16"/>
        </w:rPr>
        <w:t xml:space="preserve">, p.18 (2004) 3 November 2004 </w:t>
      </w:r>
      <w:proofErr w:type="gramStart"/>
      <w:r w:rsidRPr="003A1AA9">
        <w:rPr>
          <w:rFonts w:ascii="Book Antiqua" w:hAnsi="Book Antiqua"/>
          <w:sz w:val="16"/>
          <w:szCs w:val="16"/>
        </w:rPr>
        <w:t xml:space="preserve">or  </w:t>
      </w:r>
      <w:proofErr w:type="gramEnd"/>
      <w:r>
        <w:fldChar w:fldCharType="begin"/>
      </w:r>
      <w:r>
        <w:instrText>HYPERLINK "http://physics.aps.org/story/v14/st18" \t "_blank"</w:instrText>
      </w:r>
      <w:r>
        <w:fldChar w:fldCharType="separate"/>
      </w:r>
      <w:r w:rsidRPr="003A1AA9">
        <w:rPr>
          <w:rStyle w:val="yshortcuts"/>
          <w:rFonts w:ascii="Book Antiqua" w:hAnsi="Book Antiqua"/>
          <w:i/>
          <w:sz w:val="16"/>
          <w:szCs w:val="16"/>
        </w:rPr>
        <w:t>http://physics.aps.org/story/v14/st18</w:t>
      </w:r>
      <w:r>
        <w:fldChar w:fldCharType="end"/>
      </w:r>
      <w:r w:rsidRPr="003A1AA9">
        <w:rPr>
          <w:rFonts w:ascii="Book Antiqua" w:hAnsi="Book Antiqua"/>
          <w:sz w:val="16"/>
          <w:szCs w:val="16"/>
        </w:rPr>
        <w:t xml:space="preserve"> .</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[12] M. R. Wehr, J. A. Richards, </w:t>
      </w:r>
      <w:r w:rsidRPr="003A1AA9">
        <w:rPr>
          <w:rStyle w:val="Emphasis"/>
          <w:rFonts w:ascii="Book Antiqua" w:hAnsi="Book Antiqua"/>
          <w:iCs w:val="0"/>
          <w:sz w:val="16"/>
          <w:szCs w:val="16"/>
        </w:rPr>
        <w:t>Physics of the Atom,</w:t>
      </w:r>
      <w:r w:rsidRPr="003A1AA9">
        <w:rPr>
          <w:rFonts w:ascii="Book Antiqua" w:hAnsi="Book Antiqua"/>
          <w:sz w:val="16"/>
          <w:szCs w:val="16"/>
        </w:rPr>
        <w:t xml:space="preserve"> p. 311, (Addison-Wesley, 1960).</w:t>
      </w:r>
    </w:p>
    <w:p w:rsidR="00796231" w:rsidRPr="003A1AA9" w:rsidRDefault="00796231" w:rsidP="00796231">
      <w:pPr>
        <w:pStyle w:val="NoSpacing"/>
        <w:rPr>
          <w:rStyle w:val="citation"/>
          <w:rFonts w:ascii="Book Antiqua" w:hAnsi="Book Antiqua"/>
        </w:rPr>
      </w:pPr>
      <w:r w:rsidRPr="003A1AA9">
        <w:rPr>
          <w:rFonts w:ascii="Book Antiqua" w:hAnsi="Book Antiqua"/>
          <w:sz w:val="16"/>
          <w:szCs w:val="16"/>
        </w:rPr>
        <w:t>[13] Ibid, pp. 321-323.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[14] F. Dyson, T. Damour, </w:t>
      </w:r>
      <w:r w:rsidRPr="003A1AA9">
        <w:rPr>
          <w:rStyle w:val="Emphasis"/>
          <w:rFonts w:ascii="Book Antiqua" w:hAnsi="Book Antiqua"/>
          <w:iCs w:val="0"/>
          <w:sz w:val="16"/>
          <w:szCs w:val="16"/>
        </w:rPr>
        <w:t>Nuclear Physics B</w:t>
      </w:r>
      <w:r w:rsidRPr="003A1AA9">
        <w:rPr>
          <w:rStyle w:val="Emphasis"/>
          <w:rFonts w:ascii="Book Antiqua" w:hAnsi="Book Antiqua"/>
          <w:i w:val="0"/>
          <w:iCs w:val="0"/>
          <w:sz w:val="16"/>
          <w:szCs w:val="16"/>
        </w:rPr>
        <w:t>,</w:t>
      </w:r>
      <w:r w:rsidRPr="003A1AA9">
        <w:rPr>
          <w:rFonts w:ascii="Book Antiqua" w:hAnsi="Book Antiqua"/>
          <w:sz w:val="16"/>
          <w:szCs w:val="16"/>
        </w:rPr>
        <w:t xml:space="preserve"> </w:t>
      </w:r>
      <w:r w:rsidRPr="003A1AA9">
        <w:rPr>
          <w:rStyle w:val="Strong"/>
          <w:rFonts w:ascii="Book Antiqua" w:eastAsia="Calibri" w:hAnsi="Book Antiqua"/>
          <w:sz w:val="16"/>
          <w:szCs w:val="16"/>
        </w:rPr>
        <w:t>480</w:t>
      </w:r>
      <w:r w:rsidRPr="003A1AA9">
        <w:rPr>
          <w:rFonts w:ascii="Book Antiqua" w:hAnsi="Book Antiqua"/>
          <w:sz w:val="16"/>
          <w:szCs w:val="16"/>
        </w:rPr>
        <w:t>, p. 37 (1997).</w:t>
      </w:r>
      <w:r w:rsidRPr="003A1AA9">
        <w:rPr>
          <w:rFonts w:ascii="Book Antiqua" w:hAnsi="Book Antiqua"/>
          <w:sz w:val="16"/>
          <w:szCs w:val="16"/>
        </w:rPr>
        <w:br/>
        <w:t xml:space="preserve">[15] J. D. Barrow, </w:t>
      </w:r>
      <w:r w:rsidRPr="003A1AA9">
        <w:rPr>
          <w:rStyle w:val="Emphasis"/>
          <w:rFonts w:ascii="Book Antiqua" w:hAnsi="Book Antiqua"/>
          <w:iCs w:val="0"/>
          <w:sz w:val="16"/>
          <w:szCs w:val="16"/>
        </w:rPr>
        <w:t>Impossibility: the limits of science and the science of limits</w:t>
      </w:r>
      <w:r w:rsidRPr="003A1AA9">
        <w:rPr>
          <w:rStyle w:val="Emphasis"/>
          <w:rFonts w:ascii="Book Antiqua" w:hAnsi="Book Antiqua"/>
          <w:i w:val="0"/>
          <w:iCs w:val="0"/>
          <w:sz w:val="16"/>
          <w:szCs w:val="16"/>
        </w:rPr>
        <w:t>,</w:t>
      </w:r>
      <w:r w:rsidRPr="003A1AA9">
        <w:rPr>
          <w:rFonts w:ascii="Book Antiqua" w:hAnsi="Book Antiqua"/>
          <w:sz w:val="16"/>
          <w:szCs w:val="16"/>
        </w:rPr>
        <w:t xml:space="preserve"> pp.186-187 (Oxford University Press,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[16] P. J. Reimer et al.,</w:t>
      </w:r>
      <w:r w:rsidRPr="003A1AA9">
        <w:rPr>
          <w:rStyle w:val="Emphasis"/>
          <w:rFonts w:ascii="Book Antiqua" w:hAnsi="Book Antiqua"/>
          <w:sz w:val="16"/>
          <w:szCs w:val="16"/>
        </w:rPr>
        <w:t xml:space="preserve"> “</w:t>
      </w:r>
      <w:r w:rsidRPr="003A1AA9">
        <w:rPr>
          <w:rFonts w:ascii="Book Antiqua" w:hAnsi="Book Antiqua"/>
          <w:sz w:val="16"/>
          <w:szCs w:val="16"/>
        </w:rPr>
        <w:t>IntCal04 Terrestrial radiocarbon age calibration,”</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xml:space="preserve"> (3), pp. 1029-1058,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[17] R.H. Brown, </w:t>
      </w:r>
      <w:r w:rsidRPr="003A1AA9">
        <w:rPr>
          <w:rStyle w:val="Emphasis"/>
          <w:rFonts w:ascii="Book Antiqua" w:hAnsi="Book Antiqua"/>
          <w:sz w:val="16"/>
          <w:szCs w:val="16"/>
        </w:rPr>
        <w:t>Origins</w:t>
      </w:r>
      <w:r w:rsidRPr="003A1AA9">
        <w:rPr>
          <w:rFonts w:ascii="Book Antiqua" w:hAnsi="Book Antiqua"/>
          <w:sz w:val="16"/>
          <w:szCs w:val="16"/>
        </w:rPr>
        <w:t xml:space="preserve"> </w:t>
      </w:r>
      <w:r w:rsidRPr="003A1AA9">
        <w:rPr>
          <w:rStyle w:val="Strong"/>
          <w:rFonts w:ascii="Book Antiqua" w:eastAsia="Calibri" w:hAnsi="Book Antiqua"/>
          <w:sz w:val="16"/>
          <w:szCs w:val="16"/>
        </w:rPr>
        <w:t>21</w:t>
      </w:r>
      <w:r w:rsidRPr="003A1AA9">
        <w:rPr>
          <w:rFonts w:ascii="Book Antiqua" w:hAnsi="Book Antiqua"/>
          <w:sz w:val="16"/>
          <w:szCs w:val="16"/>
        </w:rPr>
        <w:t xml:space="preserve"> (2):66-79, Figure 1 (1994).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[18] W. L. Friedrich et al., “</w:t>
      </w:r>
      <w:r w:rsidRPr="003A1AA9">
        <w:rPr>
          <w:rFonts w:ascii="Book Antiqua" w:hAnsi="Book Antiqua"/>
          <w:bCs/>
          <w:kern w:val="36"/>
          <w:sz w:val="16"/>
          <w:szCs w:val="16"/>
        </w:rPr>
        <w:t>Santorini Eruption Radiocarbon Dated to 1627-1600 B.C”</w:t>
      </w:r>
      <w:r w:rsidRPr="003A1AA9">
        <w:rPr>
          <w:rStyle w:val="Emphasis"/>
          <w:rFonts w:ascii="Book Antiqua" w:hAnsi="Book Antiqua"/>
          <w:sz w:val="16"/>
          <w:szCs w:val="16"/>
        </w:rPr>
        <w:t xml:space="preserve"> Science, </w:t>
      </w:r>
      <w:r w:rsidRPr="003A1AA9">
        <w:rPr>
          <w:rStyle w:val="Strong"/>
          <w:rFonts w:ascii="Book Antiqua" w:eastAsia="Calibri" w:hAnsi="Book Antiqua"/>
          <w:sz w:val="16"/>
          <w:szCs w:val="16"/>
        </w:rPr>
        <w:t>312</w:t>
      </w:r>
      <w:r w:rsidRPr="003A1AA9">
        <w:rPr>
          <w:rFonts w:ascii="Book Antiqua" w:hAnsi="Book Antiqua"/>
          <w:sz w:val="16"/>
          <w:szCs w:val="16"/>
        </w:rPr>
        <w:t>, p. 548 (28th April 2006).</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[19] AERA, “How Old are the Pyramids,” (January 2007) at: </w:t>
      </w:r>
      <w:hyperlink r:id="rId994" w:history="1">
        <w:r w:rsidRPr="003A1AA9">
          <w:rPr>
            <w:rStyle w:val="Hyperlink"/>
            <w:rFonts w:ascii="Book Antiqua" w:hAnsi="Book Antiqua"/>
            <w:i/>
            <w:szCs w:val="16"/>
          </w:rPr>
          <w:t>http://www.aeraweb.org/projects/how-old-are-the-pyramids/</w:t>
        </w:r>
      </w:hyperlink>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[20] D. H. Koch Radiocarbon Project</w:t>
      </w:r>
      <w:proofErr w:type="gramStart"/>
      <w:r w:rsidRPr="003A1AA9">
        <w:rPr>
          <w:rFonts w:ascii="Book Antiqua" w:hAnsi="Book Antiqua"/>
          <w:sz w:val="16"/>
          <w:szCs w:val="16"/>
        </w:rPr>
        <w:t>, ”</w:t>
      </w:r>
      <w:proofErr w:type="gramEnd"/>
      <w:r w:rsidRPr="003A1AA9">
        <w:rPr>
          <w:rFonts w:ascii="Book Antiqua" w:hAnsi="Book Antiqua"/>
          <w:sz w:val="16"/>
          <w:szCs w:val="16"/>
        </w:rPr>
        <w:t xml:space="preserve">Dating the Pyramids,” in </w:t>
      </w:r>
      <w:r w:rsidRPr="003A1AA9">
        <w:rPr>
          <w:rStyle w:val="Emphasis"/>
          <w:rFonts w:ascii="Book Antiqua" w:hAnsi="Book Antiqua"/>
          <w:sz w:val="16"/>
          <w:szCs w:val="16"/>
        </w:rPr>
        <w:t>Archaeology Abstracts</w:t>
      </w:r>
      <w:r w:rsidRPr="003A1AA9">
        <w:rPr>
          <w:rFonts w:ascii="Book Antiqua" w:hAnsi="Book Antiqua"/>
          <w:sz w:val="16"/>
          <w:szCs w:val="16"/>
        </w:rPr>
        <w:t xml:space="preserve"> </w:t>
      </w:r>
      <w:r w:rsidRPr="003A1AA9">
        <w:rPr>
          <w:rFonts w:ascii="Book Antiqua" w:hAnsi="Book Antiqua"/>
          <w:b/>
          <w:sz w:val="16"/>
          <w:szCs w:val="16"/>
        </w:rPr>
        <w:t xml:space="preserve">52 </w:t>
      </w:r>
      <w:r w:rsidRPr="003A1AA9">
        <w:rPr>
          <w:rFonts w:ascii="Book Antiqua" w:hAnsi="Book Antiqua"/>
          <w:sz w:val="16"/>
          <w:szCs w:val="16"/>
        </w:rPr>
        <w:t xml:space="preserve">(5) (September/October 1999), available at: </w:t>
      </w:r>
      <w:hyperlink r:id="rId995" w:history="1">
        <w:r w:rsidRPr="003A1AA9">
          <w:rPr>
            <w:rStyle w:val="Hyperlink"/>
            <w:rFonts w:ascii="Book Antiqua" w:hAnsi="Book Antiqua"/>
            <w:i/>
            <w:szCs w:val="16"/>
          </w:rPr>
          <w:t>http://www.archaeology.org/9909/abstracts/pyramids.html</w:t>
        </w:r>
      </w:hyperlink>
    </w:p>
    <w:p w:rsidR="00796231" w:rsidRPr="003A1AA9" w:rsidRDefault="00796231" w:rsidP="00796231">
      <w:pPr>
        <w:pStyle w:val="NoSpacing"/>
        <w:rPr>
          <w:rFonts w:ascii="Book Antiqua" w:hAnsi="Book Antiqua"/>
          <w:sz w:val="16"/>
          <w:szCs w:val="16"/>
        </w:rPr>
      </w:pPr>
      <w:proofErr w:type="gramStart"/>
      <w:r w:rsidRPr="003A1AA9">
        <w:rPr>
          <w:rFonts w:ascii="Book Antiqua" w:hAnsi="Book Antiqua"/>
          <w:sz w:val="16"/>
          <w:szCs w:val="16"/>
        </w:rPr>
        <w:t xml:space="preserve">[21] G. Bonani et al., </w:t>
      </w:r>
      <w:r w:rsidRPr="003A1AA9">
        <w:rPr>
          <w:rFonts w:ascii="Book Antiqua" w:hAnsi="Book Antiqua"/>
          <w:i/>
          <w:sz w:val="16"/>
          <w:szCs w:val="16"/>
        </w:rPr>
        <w:t>Radiocarbon</w:t>
      </w:r>
      <w:r w:rsidRPr="003A1AA9">
        <w:rPr>
          <w:rFonts w:ascii="Book Antiqua" w:hAnsi="Book Antiqua"/>
          <w:sz w:val="16"/>
          <w:szCs w:val="16"/>
        </w:rPr>
        <w:t xml:space="preserve"> </w:t>
      </w:r>
      <w:r w:rsidRPr="003A1AA9">
        <w:rPr>
          <w:rFonts w:ascii="Book Antiqua" w:hAnsi="Book Antiqua"/>
          <w:b/>
          <w:sz w:val="16"/>
          <w:szCs w:val="16"/>
        </w:rPr>
        <w:t>43</w:t>
      </w:r>
      <w:r w:rsidRPr="003A1AA9">
        <w:rPr>
          <w:rFonts w:ascii="Book Antiqua" w:hAnsi="Book Antiqua"/>
          <w:sz w:val="16"/>
          <w:szCs w:val="16"/>
        </w:rPr>
        <w:t xml:space="preserve"> (3) pp.1297 ff. (May 2001).</w:t>
      </w:r>
      <w:proofErr w:type="gramEnd"/>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[22] See US National Parks Service comments at: </w:t>
      </w:r>
      <w:hyperlink r:id="rId996" w:history="1">
        <w:r w:rsidRPr="003A1AA9">
          <w:rPr>
            <w:rStyle w:val="Hyperlink"/>
            <w:rFonts w:ascii="Book Antiqua" w:hAnsi="Book Antiqua"/>
            <w:i/>
            <w:szCs w:val="16"/>
          </w:rPr>
          <w:t>http://www.nps.gov/brca/naturescience/bristleconepine.htm</w:t>
        </w:r>
      </w:hyperlink>
      <w:r w:rsidRPr="003A1AA9">
        <w:rPr>
          <w:rFonts w:ascii="Book Antiqua" w:hAnsi="Book Antiqua"/>
          <w:sz w:val="16"/>
          <w:szCs w:val="16"/>
        </w:rPr>
        <w:t>.</w:t>
      </w:r>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 xml:space="preserve">[23] Data available at: </w:t>
      </w:r>
      <w:hyperlink r:id="rId997" w:history="1">
        <w:r w:rsidRPr="003A1AA9">
          <w:rPr>
            <w:rStyle w:val="Hyperlink"/>
            <w:rFonts w:ascii="Book Antiqua" w:hAnsi="Book Antiqua"/>
            <w:i/>
            <w:szCs w:val="16"/>
          </w:rPr>
          <w:t>http://www1.ncdc.noaa.gov/pub/data/paleo/treering/measurements/northamerica/usa/ca535.rwl</w:t>
        </w:r>
      </w:hyperlink>
    </w:p>
    <w:p w:rsidR="00796231" w:rsidRPr="003A1AA9" w:rsidRDefault="00796231" w:rsidP="00796231">
      <w:pPr>
        <w:pStyle w:val="NoSpacing"/>
        <w:rPr>
          <w:rFonts w:ascii="Book Antiqua" w:hAnsi="Book Antiqua"/>
          <w:i/>
          <w:sz w:val="16"/>
          <w:szCs w:val="16"/>
        </w:rPr>
      </w:pPr>
      <w:r w:rsidRPr="003A1AA9">
        <w:rPr>
          <w:rFonts w:ascii="Book Antiqua" w:hAnsi="Book Antiqua"/>
          <w:sz w:val="16"/>
          <w:szCs w:val="16"/>
        </w:rPr>
        <w:t>[24] M. G. L. Baillie, M. A. R. Munro, “</w:t>
      </w:r>
      <w:r w:rsidRPr="003A1AA9">
        <w:rPr>
          <w:rFonts w:ascii="Book Antiqua" w:hAnsi="Book Antiqua"/>
          <w:bCs/>
          <w:sz w:val="16"/>
          <w:szCs w:val="16"/>
        </w:rPr>
        <w:t>Irish tree rings, Santorini and volcanic dust veils,”</w:t>
      </w:r>
      <w:r w:rsidRPr="003A1AA9">
        <w:rPr>
          <w:rFonts w:ascii="Book Antiqua" w:hAnsi="Book Antiqua"/>
          <w:sz w:val="16"/>
          <w:szCs w:val="16"/>
        </w:rPr>
        <w:t xml:space="preserve">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332</w:t>
      </w:r>
      <w:r w:rsidRPr="003A1AA9">
        <w:rPr>
          <w:rFonts w:ascii="Book Antiqua" w:hAnsi="Book Antiqua"/>
          <w:sz w:val="16"/>
          <w:szCs w:val="16"/>
        </w:rPr>
        <w:t xml:space="preserve">, pp.344-346, (24 March 1988) at: </w:t>
      </w:r>
      <w:hyperlink r:id="rId998" w:history="1">
        <w:r w:rsidRPr="003A1AA9">
          <w:rPr>
            <w:rStyle w:val="Hyperlink"/>
            <w:rFonts w:ascii="Book Antiqua" w:hAnsi="Book Antiqua"/>
            <w:i/>
            <w:szCs w:val="16"/>
          </w:rPr>
          <w:t>http://www.nature.com/nature/journal/v332/n6162/abs/332344a0.html</w:t>
        </w:r>
      </w:hyperlink>
      <w:r w:rsidRPr="003A1AA9">
        <w:rPr>
          <w:rFonts w:ascii="Book Antiqua" w:hAnsi="Book Antiqua"/>
          <w:i/>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[25] V.C. LaMarche, K.K. Hirschboeck, </w:t>
      </w:r>
      <w:r w:rsidRPr="003A1AA9">
        <w:rPr>
          <w:rStyle w:val="Emphasis"/>
          <w:rFonts w:ascii="Book Antiqua" w:hAnsi="Book Antiqua"/>
          <w:sz w:val="16"/>
          <w:szCs w:val="16"/>
        </w:rPr>
        <w:t>Nature</w:t>
      </w:r>
      <w:r w:rsidRPr="003A1AA9">
        <w:rPr>
          <w:rFonts w:ascii="Book Antiqua" w:hAnsi="Book Antiqua"/>
          <w:sz w:val="16"/>
          <w:szCs w:val="16"/>
        </w:rPr>
        <w:t xml:space="preserve">, </w:t>
      </w:r>
      <w:r w:rsidRPr="003A1AA9">
        <w:rPr>
          <w:rStyle w:val="Strong"/>
          <w:rFonts w:ascii="Book Antiqua" w:eastAsia="Calibri" w:hAnsi="Book Antiqua"/>
          <w:sz w:val="16"/>
          <w:szCs w:val="16"/>
        </w:rPr>
        <w:t>307</w:t>
      </w:r>
      <w:r w:rsidRPr="003A1AA9">
        <w:rPr>
          <w:rFonts w:ascii="Book Antiqua" w:hAnsi="Book Antiqua"/>
          <w:sz w:val="16"/>
          <w:szCs w:val="16"/>
        </w:rPr>
        <w:t>, pp. 121-126, (1984).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[26] D.K. Yamaguchi, </w:t>
      </w:r>
      <w:r w:rsidRPr="003A1AA9">
        <w:rPr>
          <w:rStyle w:val="Emphasis"/>
          <w:rFonts w:ascii="Book Antiqua" w:hAnsi="Book Antiqua"/>
          <w:sz w:val="16"/>
          <w:szCs w:val="16"/>
        </w:rPr>
        <w:t>Tree Ring Bulletin</w:t>
      </w:r>
      <w:r w:rsidRPr="003A1AA9">
        <w:rPr>
          <w:rFonts w:ascii="Book Antiqua" w:hAnsi="Book Antiqua"/>
          <w:sz w:val="16"/>
          <w:szCs w:val="16"/>
        </w:rPr>
        <w:t xml:space="preserve"> </w:t>
      </w:r>
      <w:r w:rsidRPr="003A1AA9">
        <w:rPr>
          <w:rStyle w:val="Strong"/>
          <w:rFonts w:ascii="Book Antiqua" w:eastAsia="Calibri" w:hAnsi="Book Antiqua"/>
          <w:sz w:val="16"/>
          <w:szCs w:val="16"/>
        </w:rPr>
        <w:t>46</w:t>
      </w:r>
      <w:r w:rsidRPr="003A1AA9">
        <w:rPr>
          <w:rFonts w:ascii="Book Antiqua" w:hAnsi="Book Antiqua"/>
          <w:sz w:val="16"/>
          <w:szCs w:val="16"/>
        </w:rPr>
        <w:t>: 47-54 (1986).</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[27] H. D. Grissino-Mayer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Journal of Archaeological Science</w:t>
      </w:r>
      <w:r w:rsidRPr="003A1AA9">
        <w:rPr>
          <w:rFonts w:ascii="Book Antiqua" w:hAnsi="Book Antiqua"/>
          <w:sz w:val="16"/>
          <w:szCs w:val="16"/>
        </w:rPr>
        <w:t xml:space="preserve">, </w:t>
      </w:r>
      <w:r w:rsidRPr="003A1AA9">
        <w:rPr>
          <w:rStyle w:val="Strong"/>
          <w:rFonts w:ascii="Book Antiqua" w:eastAsia="Calibri" w:hAnsi="Book Antiqua"/>
          <w:sz w:val="16"/>
          <w:szCs w:val="16"/>
        </w:rPr>
        <w:t>31</w:t>
      </w:r>
      <w:r w:rsidRPr="003A1AA9">
        <w:rPr>
          <w:rFonts w:ascii="Book Antiqua" w:hAnsi="Book Antiqua"/>
          <w:sz w:val="16"/>
          <w:szCs w:val="16"/>
        </w:rPr>
        <w:t>: 167-174, (2004).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[28] M. G. L. Baillie, </w:t>
      </w:r>
      <w:r w:rsidRPr="003A1AA9">
        <w:rPr>
          <w:rStyle w:val="Emphasis"/>
          <w:rFonts w:ascii="Book Antiqua" w:hAnsi="Book Antiqua"/>
          <w:sz w:val="16"/>
          <w:szCs w:val="16"/>
        </w:rPr>
        <w:t>A Slice Through Time: dendrochronology and precision dating</w:t>
      </w:r>
      <w:r w:rsidRPr="003A1AA9">
        <w:rPr>
          <w:rStyle w:val="Emphasis"/>
          <w:rFonts w:ascii="Book Antiqua" w:hAnsi="Book Antiqua"/>
          <w:b/>
          <w:i w:val="0"/>
          <w:sz w:val="16"/>
          <w:szCs w:val="16"/>
        </w:rPr>
        <w:t>,</w:t>
      </w:r>
      <w:r w:rsidRPr="003A1AA9">
        <w:rPr>
          <w:rFonts w:ascii="Book Antiqua" w:hAnsi="Book Antiqua"/>
          <w:sz w:val="16"/>
          <w:szCs w:val="16"/>
        </w:rPr>
        <w:t xml:space="preserve"> Chapter 2, (London: Batsford</w:t>
      </w:r>
      <w:proofErr w:type="gramStart"/>
      <w:r w:rsidRPr="003A1AA9">
        <w:rPr>
          <w:rFonts w:ascii="Book Antiqua" w:hAnsi="Book Antiqua"/>
          <w:sz w:val="16"/>
          <w:szCs w:val="16"/>
        </w:rPr>
        <w:t>,1995</w:t>
      </w:r>
      <w:proofErr w:type="gramEnd"/>
      <w:r w:rsidRPr="003A1AA9">
        <w:rPr>
          <w:rFonts w:ascii="Book Antiqua" w:hAnsi="Book Antiqua"/>
          <w:sz w:val="16"/>
          <w:szCs w:val="16"/>
        </w:rPr>
        <w:t>).</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[29] M. Spurk </w:t>
      </w:r>
      <w:proofErr w:type="gramStart"/>
      <w:r w:rsidRPr="003A1AA9">
        <w:rPr>
          <w:rFonts w:ascii="Book Antiqua" w:hAnsi="Book Antiqua"/>
          <w:sz w:val="16"/>
          <w:szCs w:val="16"/>
        </w:rPr>
        <w:t>et</w:t>
      </w:r>
      <w:proofErr w:type="gramEnd"/>
      <w:r w:rsidRPr="003A1AA9">
        <w:rPr>
          <w:rFonts w:ascii="Book Antiqua" w:hAnsi="Book Antiqua"/>
          <w:sz w:val="16"/>
          <w:szCs w:val="16"/>
        </w:rPr>
        <w:t xml:space="preserve">. al., </w:t>
      </w:r>
      <w:r w:rsidRPr="003A1AA9">
        <w:rPr>
          <w:rStyle w:val="Emphasis"/>
          <w:rFonts w:ascii="Book Antiqua" w:hAnsi="Book Antiqua"/>
          <w:sz w:val="16"/>
          <w:szCs w:val="16"/>
        </w:rPr>
        <w:t>Radiocarbon</w:t>
      </w:r>
      <w:r w:rsidRPr="003A1AA9">
        <w:rPr>
          <w:rFonts w:ascii="Book Antiqua" w:hAnsi="Book Antiqua"/>
          <w:sz w:val="16"/>
          <w:szCs w:val="16"/>
        </w:rPr>
        <w:t xml:space="preserve"> </w:t>
      </w:r>
      <w:r w:rsidRPr="003A1AA9">
        <w:rPr>
          <w:rStyle w:val="Strong"/>
          <w:rFonts w:ascii="Book Antiqua" w:eastAsia="Calibri" w:hAnsi="Book Antiqua"/>
          <w:sz w:val="16"/>
          <w:szCs w:val="16"/>
        </w:rPr>
        <w:t>40</w:t>
      </w:r>
      <w:r w:rsidRPr="003A1AA9">
        <w:rPr>
          <w:rFonts w:ascii="Book Antiqua" w:hAnsi="Book Antiqua"/>
          <w:sz w:val="16"/>
          <w:szCs w:val="16"/>
        </w:rPr>
        <w:t>: 1107-1116 (1998).</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[30] C. E. Melton, </w:t>
      </w:r>
      <w:r w:rsidRPr="003A1AA9">
        <w:rPr>
          <w:rFonts w:ascii="Book Antiqua" w:hAnsi="Book Antiqua"/>
          <w:i/>
          <w:sz w:val="16"/>
          <w:szCs w:val="16"/>
        </w:rPr>
        <w:t>Ancient Diamond Time Capsules</w:t>
      </w:r>
      <w:r w:rsidRPr="003A1AA9">
        <w:rPr>
          <w:rFonts w:ascii="Book Antiqua" w:hAnsi="Book Antiqua"/>
          <w:sz w:val="16"/>
          <w:szCs w:val="16"/>
        </w:rPr>
        <w:t>, p.16, Table 2.1 (Melton-Giardini Book Company, Hull, Georgia, 1985).</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[31] R. V. Gentry et al., </w:t>
      </w:r>
      <w:r w:rsidRPr="003A1AA9">
        <w:rPr>
          <w:rFonts w:ascii="Book Antiqua" w:hAnsi="Book Antiqua"/>
          <w:i/>
          <w:sz w:val="16"/>
          <w:szCs w:val="16"/>
        </w:rPr>
        <w:t>Nature</w:t>
      </w:r>
      <w:r w:rsidRPr="003A1AA9">
        <w:rPr>
          <w:rFonts w:ascii="Book Antiqua" w:hAnsi="Book Antiqua"/>
          <w:sz w:val="16"/>
          <w:szCs w:val="16"/>
        </w:rPr>
        <w:t xml:space="preserve"> </w:t>
      </w:r>
      <w:r w:rsidRPr="003A1AA9">
        <w:rPr>
          <w:rFonts w:ascii="Book Antiqua" w:hAnsi="Book Antiqua"/>
          <w:b/>
          <w:sz w:val="16"/>
          <w:szCs w:val="16"/>
        </w:rPr>
        <w:t>244</w:t>
      </w:r>
      <w:r w:rsidRPr="003A1AA9">
        <w:rPr>
          <w:rFonts w:ascii="Book Antiqua" w:hAnsi="Book Antiqua"/>
          <w:sz w:val="16"/>
          <w:szCs w:val="16"/>
        </w:rPr>
        <w:t xml:space="preserve"> (1973), pp.282-283.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[32] R.V. Gentry, </w:t>
      </w:r>
      <w:r w:rsidRPr="003A1AA9">
        <w:rPr>
          <w:rFonts w:ascii="Book Antiqua" w:hAnsi="Book Antiqua"/>
          <w:i/>
          <w:sz w:val="16"/>
          <w:szCs w:val="16"/>
        </w:rPr>
        <w:t>Annual Review of Nuclear Science</w:t>
      </w:r>
      <w:r w:rsidRPr="003A1AA9">
        <w:rPr>
          <w:rFonts w:ascii="Book Antiqua" w:hAnsi="Book Antiqua"/>
          <w:sz w:val="16"/>
          <w:szCs w:val="16"/>
        </w:rPr>
        <w:t xml:space="preserve">, </w:t>
      </w:r>
      <w:r w:rsidRPr="003A1AA9">
        <w:rPr>
          <w:rFonts w:ascii="Book Antiqua" w:hAnsi="Book Antiqua"/>
          <w:b/>
          <w:sz w:val="16"/>
          <w:szCs w:val="16"/>
        </w:rPr>
        <w:t>23</w:t>
      </w:r>
      <w:r w:rsidRPr="003A1AA9">
        <w:rPr>
          <w:rFonts w:ascii="Book Antiqua" w:hAnsi="Book Antiqua"/>
          <w:sz w:val="16"/>
          <w:szCs w:val="16"/>
        </w:rPr>
        <w:t>, pp. 350, 360, (1973).</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[33] R.V. Gentry, </w:t>
      </w:r>
      <w:r w:rsidRPr="003A1AA9">
        <w:rPr>
          <w:rFonts w:ascii="Book Antiqua" w:hAnsi="Book Antiqua"/>
          <w:i/>
          <w:sz w:val="16"/>
          <w:szCs w:val="16"/>
        </w:rPr>
        <w:t>Science,</w:t>
      </w:r>
      <w:r w:rsidRPr="003A1AA9">
        <w:rPr>
          <w:rFonts w:ascii="Book Antiqua" w:hAnsi="Book Antiqua"/>
          <w:sz w:val="16"/>
          <w:szCs w:val="16"/>
        </w:rPr>
        <w:t xml:space="preserve"> </w:t>
      </w:r>
      <w:r w:rsidRPr="003A1AA9">
        <w:rPr>
          <w:rFonts w:ascii="Book Antiqua" w:hAnsi="Book Antiqua"/>
          <w:b/>
          <w:sz w:val="16"/>
          <w:szCs w:val="16"/>
        </w:rPr>
        <w:t>184</w:t>
      </w:r>
      <w:r w:rsidRPr="003A1AA9">
        <w:rPr>
          <w:rFonts w:ascii="Book Antiqua" w:hAnsi="Book Antiqua"/>
          <w:sz w:val="16"/>
          <w:szCs w:val="16"/>
        </w:rPr>
        <w:t>, pp. 62-66, (1974).</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 xml:space="preserve">[34] D. R. Humphreys in </w:t>
      </w:r>
      <w:r w:rsidRPr="003A1AA9">
        <w:rPr>
          <w:rFonts w:ascii="Book Antiqua" w:hAnsi="Book Antiqua"/>
          <w:i/>
          <w:sz w:val="16"/>
          <w:szCs w:val="16"/>
        </w:rPr>
        <w:t>Radioisotopes and the age of the earth</w:t>
      </w:r>
      <w:r w:rsidRPr="003A1AA9">
        <w:rPr>
          <w:rFonts w:ascii="Book Antiqua" w:hAnsi="Book Antiqua"/>
          <w:sz w:val="16"/>
          <w:szCs w:val="16"/>
        </w:rPr>
        <w:t>, Chapter 7, L. Vardiman et al., Editors, ICR-CRS, 2000].</w:t>
      </w:r>
    </w:p>
    <w:p w:rsidR="00796231" w:rsidRPr="003A1AA9" w:rsidRDefault="00796231" w:rsidP="00796231">
      <w:pPr>
        <w:pStyle w:val="NoSpacing"/>
        <w:rPr>
          <w:rFonts w:ascii="Book Antiqua" w:hAnsi="Book Antiqua"/>
          <w:sz w:val="16"/>
          <w:szCs w:val="16"/>
        </w:rPr>
      </w:pPr>
      <w:r w:rsidRPr="003A1AA9">
        <w:rPr>
          <w:rFonts w:ascii="Book Antiqua" w:hAnsi="Book Antiqua"/>
          <w:sz w:val="16"/>
          <w:szCs w:val="16"/>
        </w:rPr>
        <w:t>[35] J.W. Bielecki, Masters Thesis, ICR, Santee, CA, 1994, quoted in reference [33].</w:t>
      </w:r>
    </w:p>
    <w:p w:rsidR="00796231" w:rsidRDefault="00796231" w:rsidP="00796231">
      <w:pPr>
        <w:pStyle w:val="NoSpacing"/>
        <w:rPr>
          <w:rFonts w:ascii="Book Antiqua" w:hAnsi="Book Antiqua"/>
          <w:sz w:val="16"/>
          <w:szCs w:val="16"/>
        </w:rPr>
      </w:pPr>
      <w:r w:rsidRPr="003A1AA9">
        <w:rPr>
          <w:rFonts w:ascii="Book Antiqua" w:hAnsi="Book Antiqua"/>
          <w:sz w:val="16"/>
          <w:szCs w:val="16"/>
        </w:rPr>
        <w:t xml:space="preserve">[36] After J. Woodmorappe, </w:t>
      </w:r>
      <w:r w:rsidRPr="003A1AA9">
        <w:rPr>
          <w:rFonts w:ascii="Book Antiqua" w:hAnsi="Book Antiqua"/>
          <w:i/>
          <w:sz w:val="16"/>
          <w:szCs w:val="16"/>
        </w:rPr>
        <w:t>CRSQ</w:t>
      </w:r>
      <w:r w:rsidRPr="003A1AA9">
        <w:rPr>
          <w:rFonts w:ascii="Book Antiqua" w:hAnsi="Book Antiqua"/>
          <w:sz w:val="16"/>
          <w:szCs w:val="16"/>
        </w:rPr>
        <w:t xml:space="preserve"> </w:t>
      </w:r>
      <w:r w:rsidRPr="003A1AA9">
        <w:rPr>
          <w:rFonts w:ascii="Book Antiqua" w:hAnsi="Book Antiqua"/>
          <w:b/>
          <w:sz w:val="16"/>
          <w:szCs w:val="16"/>
        </w:rPr>
        <w:t>16</w:t>
      </w:r>
      <w:r w:rsidRPr="003A1AA9">
        <w:rPr>
          <w:rFonts w:ascii="Book Antiqua" w:hAnsi="Book Antiqua"/>
          <w:sz w:val="16"/>
          <w:szCs w:val="16"/>
        </w:rPr>
        <w:t xml:space="preserve">, pp. 102-129; 147-148 (1979). </w:t>
      </w:r>
    </w:p>
    <w:p w:rsidR="00796231" w:rsidRPr="003A1AA9" w:rsidRDefault="00796231" w:rsidP="00796231">
      <w:pPr>
        <w:pStyle w:val="NoSpacing"/>
        <w:rPr>
          <w:rFonts w:ascii="Book Antiqua" w:hAnsi="Book Antiqua"/>
          <w:sz w:val="16"/>
          <w:szCs w:val="16"/>
        </w:rPr>
      </w:pPr>
      <w:r>
        <w:rPr>
          <w:rFonts w:ascii="Book Antiqua" w:hAnsi="Book Antiqua"/>
          <w:sz w:val="16"/>
          <w:szCs w:val="16"/>
        </w:rPr>
        <w:t xml:space="preserve">[37] </w:t>
      </w:r>
      <w:r w:rsidRPr="005627CB">
        <w:rPr>
          <w:rFonts w:ascii="Book Antiqua" w:hAnsi="Book Antiqua"/>
          <w:sz w:val="16"/>
          <w:szCs w:val="16"/>
        </w:rPr>
        <w:t>J</w:t>
      </w:r>
      <w:r>
        <w:rPr>
          <w:rFonts w:ascii="Book Antiqua" w:hAnsi="Book Antiqua"/>
          <w:sz w:val="16"/>
          <w:szCs w:val="16"/>
        </w:rPr>
        <w:t>.</w:t>
      </w:r>
      <w:r w:rsidRPr="005627CB">
        <w:rPr>
          <w:rFonts w:ascii="Book Antiqua" w:hAnsi="Book Antiqua"/>
          <w:sz w:val="16"/>
          <w:szCs w:val="16"/>
        </w:rPr>
        <w:t xml:space="preserve"> Narlikar &amp; H</w:t>
      </w:r>
      <w:r>
        <w:rPr>
          <w:rFonts w:ascii="Book Antiqua" w:hAnsi="Book Antiqua"/>
          <w:sz w:val="16"/>
          <w:szCs w:val="16"/>
        </w:rPr>
        <w:t>.</w:t>
      </w:r>
      <w:r w:rsidRPr="005627CB">
        <w:rPr>
          <w:rFonts w:ascii="Book Antiqua" w:hAnsi="Book Antiqua"/>
          <w:sz w:val="16"/>
          <w:szCs w:val="16"/>
        </w:rPr>
        <w:t xml:space="preserve"> Arp, </w:t>
      </w:r>
      <w:r>
        <w:rPr>
          <w:rFonts w:ascii="Book Antiqua" w:hAnsi="Book Antiqua"/>
          <w:sz w:val="16"/>
          <w:szCs w:val="16"/>
        </w:rPr>
        <w:t>“Flat Spacetime Cosmology: A Unified Framework for Extragalactic Redshifts”</w:t>
      </w:r>
      <w:r w:rsidRPr="005627CB">
        <w:rPr>
          <w:rFonts w:ascii="Book Antiqua" w:hAnsi="Book Antiqua"/>
          <w:i/>
          <w:iCs/>
          <w:sz w:val="16"/>
          <w:szCs w:val="16"/>
        </w:rPr>
        <w:t xml:space="preserve">Astrophysical Journal </w:t>
      </w:r>
      <w:r w:rsidRPr="005627CB">
        <w:rPr>
          <w:rFonts w:ascii="Book Antiqua" w:hAnsi="Book Antiqua"/>
          <w:b/>
          <w:bCs/>
          <w:sz w:val="16"/>
          <w:szCs w:val="16"/>
        </w:rPr>
        <w:t>405</w:t>
      </w:r>
      <w:r w:rsidRPr="005627CB">
        <w:rPr>
          <w:rFonts w:ascii="Book Antiqua" w:hAnsi="Book Antiqua"/>
          <w:sz w:val="16"/>
          <w:szCs w:val="16"/>
        </w:rPr>
        <w:t>:</w:t>
      </w:r>
      <w:r>
        <w:rPr>
          <w:rFonts w:ascii="Book Antiqua" w:hAnsi="Book Antiqua"/>
          <w:sz w:val="16"/>
          <w:szCs w:val="16"/>
        </w:rPr>
        <w:t>1, pp.</w:t>
      </w:r>
      <w:r w:rsidRPr="005627CB">
        <w:rPr>
          <w:rFonts w:ascii="Book Antiqua" w:hAnsi="Book Antiqua"/>
          <w:sz w:val="16"/>
          <w:szCs w:val="16"/>
        </w:rPr>
        <w:t>51</w:t>
      </w:r>
      <w:r>
        <w:rPr>
          <w:rFonts w:ascii="Book Antiqua" w:hAnsi="Book Antiqua"/>
          <w:sz w:val="16"/>
          <w:szCs w:val="16"/>
        </w:rPr>
        <w:t>-56, (</w:t>
      </w:r>
      <w:r w:rsidRPr="005627CB">
        <w:rPr>
          <w:rFonts w:ascii="Book Antiqua" w:hAnsi="Book Antiqua"/>
          <w:sz w:val="16"/>
          <w:szCs w:val="16"/>
        </w:rPr>
        <w:t>1993).</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b/>
          <w:color w:val="auto"/>
          <w:sz w:val="20"/>
          <w:szCs w:val="20"/>
        </w:rPr>
      </w:pPr>
      <w:r w:rsidRPr="003A1AA9">
        <w:rPr>
          <w:rFonts w:ascii="Book Antiqua" w:hAnsi="Book Antiqua"/>
          <w:b/>
          <w:color w:val="auto"/>
          <w:sz w:val="20"/>
          <w:szCs w:val="20"/>
        </w:rPr>
        <w:t xml:space="preserve">Figure References </w:t>
      </w:r>
      <w:r w:rsidRPr="003A1AA9">
        <w:rPr>
          <w:rFonts w:ascii="Book Antiqua" w:hAnsi="Book Antiqua"/>
          <w:i/>
          <w:color w:val="auto"/>
          <w:sz w:val="20"/>
          <w:szCs w:val="20"/>
        </w:rPr>
        <w:t>– All URL’s retrieved 9/13/12</w:t>
      </w:r>
    </w:p>
    <w:p w:rsidR="00796231" w:rsidRPr="003A1AA9" w:rsidRDefault="00796231" w:rsidP="00796231">
      <w:pPr>
        <w:pStyle w:val="Default"/>
        <w:rPr>
          <w:rFonts w:ascii="Book Antiqua" w:hAnsi="Book Antiqua"/>
          <w:color w:val="auto"/>
          <w:sz w:val="16"/>
          <w:szCs w:val="16"/>
        </w:rPr>
      </w:pPr>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 xml:space="preserve">Figure 1: Potential energy wells in an atomic nucleus. </w:t>
      </w:r>
      <w:hyperlink r:id="rId999" w:history="1">
        <w:r w:rsidRPr="003A1AA9">
          <w:rPr>
            <w:rStyle w:val="Hyperlink"/>
            <w:rFonts w:ascii="Book Antiqua" w:hAnsi="Book Antiqua"/>
            <w:i/>
            <w:szCs w:val="16"/>
          </w:rPr>
          <w:t>http://electron6.phys.utk.edu/phys250/modules/module%205/nuclear_models.htm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2: Alpha decay process.</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0"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3: Beta decay process</w:t>
      </w:r>
      <w:r>
        <w:rPr>
          <w:rFonts w:ascii="Book Antiqua" w:hAnsi="Book Antiqua"/>
          <w:color w:val="auto"/>
          <w:sz w:val="16"/>
          <w:szCs w:val="16"/>
        </w:rPr>
        <w:t xml:space="preserve">.  </w:t>
      </w:r>
      <w:hyperlink r:id="rId1001" w:history="1">
        <w:r w:rsidRPr="003A1AA9">
          <w:rPr>
            <w:rStyle w:val="Hyperlink"/>
            <w:rFonts w:ascii="Book Antiqua" w:hAnsi="Book Antiqua"/>
            <w:i/>
            <w:szCs w:val="16"/>
          </w:rPr>
          <w:t>http://kgortney.pbworks.com/w/page/28715420/Class%20Notes</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4: Electron capture illustrated (1).</w:t>
      </w:r>
      <w:r>
        <w:rPr>
          <w:rFonts w:ascii="Book Antiqua" w:hAnsi="Book Antiqua"/>
          <w:color w:val="auto"/>
          <w:sz w:val="16"/>
          <w:szCs w:val="16"/>
        </w:rPr>
        <w:t xml:space="preserve"> </w:t>
      </w:r>
      <w:hyperlink r:id="rId1002" w:history="1">
        <w:r w:rsidRPr="003A1AA9">
          <w:rPr>
            <w:rStyle w:val="Hyperlink"/>
            <w:rFonts w:ascii="Book Antiqua" w:hAnsi="Book Antiqua"/>
            <w:i/>
            <w:szCs w:val="16"/>
          </w:rPr>
          <w:t>http://mail.rdcrd.ab.ca/~smolesky/Physics30/5Matter/day_8%20objective.htm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5: Electron capture illustrated (2).</w:t>
      </w:r>
      <w:r>
        <w:rPr>
          <w:rFonts w:ascii="Book Antiqua" w:hAnsi="Book Antiqua"/>
          <w:color w:val="auto"/>
          <w:sz w:val="16"/>
          <w:szCs w:val="16"/>
        </w:rPr>
        <w:t xml:space="preserve"> </w:t>
      </w:r>
      <w:hyperlink r:id="rId1003" w:history="1">
        <w:r w:rsidRPr="00AE01FC">
          <w:rPr>
            <w:rStyle w:val="Hyperlink"/>
            <w:rFonts w:ascii="Book Antiqua" w:hAnsi="Book Antiqua"/>
            <w:i/>
            <w:szCs w:val="16"/>
          </w:rPr>
          <w:t>http://nuclearpowertraining.tpub.com/h1019v1/css/h1019v1_49.htm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 Pleochroic halos or radio halos – top left.</w:t>
      </w:r>
      <w:r>
        <w:rPr>
          <w:rFonts w:ascii="Book Antiqua" w:hAnsi="Book Antiqua"/>
          <w:color w:val="auto"/>
          <w:sz w:val="16"/>
          <w:szCs w:val="16"/>
        </w:rPr>
        <w:t xml:space="preserve"> </w:t>
      </w:r>
      <w:hyperlink r:id="rId1004" w:history="1">
        <w:r w:rsidRPr="003A1AA9">
          <w:rPr>
            <w:rStyle w:val="Hyperlink"/>
            <w:rFonts w:ascii="Book Antiqua" w:hAnsi="Book Antiqua"/>
            <w:i/>
            <w:szCs w:val="16"/>
          </w:rPr>
          <w:t>http://www.creationinthecrossfire.com/documents/pohalos/polonium_pleochroic_halos.htm</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6:</w:t>
      </w:r>
      <w:r>
        <w:rPr>
          <w:rFonts w:ascii="Book Antiqua" w:hAnsi="Book Antiqua"/>
          <w:color w:val="auto"/>
          <w:sz w:val="16"/>
          <w:szCs w:val="16"/>
        </w:rPr>
        <w:t xml:space="preserve"> R</w:t>
      </w:r>
      <w:r w:rsidRPr="003A1AA9">
        <w:rPr>
          <w:rFonts w:ascii="Book Antiqua" w:hAnsi="Book Antiqua"/>
          <w:color w:val="auto"/>
          <w:sz w:val="16"/>
          <w:szCs w:val="16"/>
        </w:rPr>
        <w:t>ings from radioactive emitter - top right</w:t>
      </w:r>
      <w:r>
        <w:rPr>
          <w:rFonts w:ascii="Book Antiqua" w:hAnsi="Book Antiqua"/>
          <w:color w:val="auto"/>
          <w:sz w:val="16"/>
          <w:szCs w:val="16"/>
        </w:rPr>
        <w:t xml:space="preserve"> </w:t>
      </w:r>
      <w:hyperlink r:id="rId1005" w:history="1">
        <w:r w:rsidRPr="003A1AA9">
          <w:rPr>
            <w:rStyle w:val="Hyperlink"/>
            <w:rFonts w:ascii="Book Antiqua" w:hAnsi="Book Antiqua"/>
            <w:i/>
            <w:szCs w:val="16"/>
          </w:rPr>
          <w:t>http://www.religiousforums.com/forum/science-religion/74134-how-does-yec-explain-trees-50-a-9.html</w:t>
        </w:r>
      </w:hyperlink>
    </w:p>
    <w:p w:rsidR="00796231" w:rsidRPr="003A1AA9" w:rsidRDefault="00796231" w:rsidP="00796231">
      <w:pPr>
        <w:pStyle w:val="Default"/>
        <w:rPr>
          <w:rFonts w:ascii="Book Antiqua" w:hAnsi="Book Antiqua"/>
          <w:i/>
          <w:color w:val="auto"/>
          <w:sz w:val="16"/>
          <w:szCs w:val="16"/>
        </w:rPr>
      </w:pPr>
      <w:r w:rsidRPr="003A1AA9">
        <w:rPr>
          <w:rFonts w:ascii="Book Antiqua" w:hAnsi="Book Antiqua"/>
          <w:color w:val="auto"/>
          <w:sz w:val="16"/>
          <w:szCs w:val="16"/>
        </w:rPr>
        <w:t>Figure 7: Site of the Oklo natural reactor in Gabon, W. Africa.</w:t>
      </w:r>
      <w:r>
        <w:rPr>
          <w:rFonts w:ascii="Book Antiqua" w:hAnsi="Book Antiqua"/>
          <w:color w:val="auto"/>
          <w:sz w:val="16"/>
          <w:szCs w:val="16"/>
        </w:rPr>
        <w:t xml:space="preserve"> </w:t>
      </w:r>
      <w:r w:rsidRPr="003A1AA9">
        <w:rPr>
          <w:rFonts w:ascii="Book Antiqua" w:hAnsi="Book Antiqua"/>
          <w:color w:val="auto"/>
          <w:sz w:val="16"/>
          <w:szCs w:val="16"/>
        </w:rPr>
        <w:t xml:space="preserve"> </w:t>
      </w:r>
      <w:hyperlink r:id="rId1006" w:history="1">
        <w:r w:rsidRPr="003A1AA9">
          <w:rPr>
            <w:rStyle w:val="Hyperlink"/>
            <w:rFonts w:ascii="Book Antiqua" w:hAnsi="Book Antiqua"/>
            <w:i/>
            <w:szCs w:val="16"/>
          </w:rPr>
          <w:t>http://article.wn.com/view/2010/07/09/The_Oklo_natural_reactor/</w:t>
        </w:r>
      </w:hyperlink>
    </w:p>
    <w:p w:rsidR="00796231" w:rsidRPr="003A1AA9" w:rsidRDefault="00796231" w:rsidP="00796231">
      <w:pPr>
        <w:pStyle w:val="Default"/>
        <w:rPr>
          <w:rFonts w:ascii="Book Antiqua" w:hAnsi="Book Antiqua"/>
          <w:color w:val="auto"/>
          <w:sz w:val="16"/>
          <w:szCs w:val="16"/>
        </w:rPr>
      </w:pPr>
    </w:p>
    <w:p w:rsidR="00796231" w:rsidRDefault="00796231" w:rsidP="00796231">
      <w:pPr>
        <w:pStyle w:val="Default"/>
        <w:jc w:val="center"/>
        <w:rPr>
          <w:rFonts w:ascii="Book Antiqua" w:hAnsi="Book Antiqua"/>
          <w:b/>
          <w:color w:val="auto"/>
          <w:sz w:val="28"/>
          <w:szCs w:val="28"/>
        </w:rPr>
      </w:pPr>
      <w:r w:rsidRPr="00E62572">
        <w:rPr>
          <w:rFonts w:ascii="Book Antiqua" w:hAnsi="Book Antiqua"/>
          <w:b/>
          <w:color w:val="auto"/>
          <w:sz w:val="28"/>
          <w:szCs w:val="28"/>
        </w:rPr>
        <w:t>*  *  *  *  *  *  *</w:t>
      </w:r>
    </w:p>
    <w:p w:rsidR="00796231" w:rsidRDefault="00796231">
      <w:pPr>
        <w:widowControl/>
        <w:spacing w:after="200" w:line="276" w:lineRule="auto"/>
        <w:rPr>
          <w:rFonts w:ascii="Book Antiqua" w:eastAsia="Calibri" w:hAnsi="Book Antiqua"/>
          <w:b/>
          <w:sz w:val="28"/>
          <w:szCs w:val="28"/>
          <w:lang w:val="en-US"/>
        </w:rPr>
      </w:pPr>
      <w:r>
        <w:rPr>
          <w:rFonts w:ascii="Book Antiqua" w:hAnsi="Book Antiqua"/>
          <w:b/>
          <w:sz w:val="28"/>
          <w:szCs w:val="28"/>
        </w:rPr>
        <w:br w:type="page"/>
      </w:r>
    </w:p>
    <w:p w:rsidR="00700009" w:rsidRPr="00BD541D" w:rsidRDefault="00700009" w:rsidP="00700009">
      <w:pPr>
        <w:jc w:val="center"/>
        <w:rPr>
          <w:rFonts w:ascii="Book Antiqua" w:hAnsi="Book Antiqua"/>
          <w:b/>
        </w:rPr>
      </w:pPr>
      <w:r w:rsidRPr="00F32EE9">
        <w:rPr>
          <w:rFonts w:ascii="Book Antiqua" w:hAnsi="Book Antiqua"/>
          <w:b/>
        </w:rPr>
        <w:lastRenderedPageBreak/>
        <w:t>Ch</w:t>
      </w:r>
      <w:r w:rsidRPr="00BD541D">
        <w:rPr>
          <w:rFonts w:ascii="Book Antiqua" w:hAnsi="Book Antiqua"/>
          <w:b/>
        </w:rPr>
        <w:t xml:space="preserve">apter 9: </w:t>
      </w:r>
      <w:r w:rsidRPr="007F223B">
        <w:rPr>
          <w:rFonts w:ascii="Book Antiqua" w:hAnsi="Book Antiqua"/>
          <w:b/>
          <w:i/>
        </w:rPr>
        <w:t>The ZPE, Cosmic Ray Exposure Ages and Solar System History</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  Cosmic Ray Exposure (CRE) and Meteorite Ages.</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Various types of meteorites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Many craters exist on all the inner planets, their moons, and the moons of the outer planets.  It is usually assumed that these craters are the result of meteorite bombardment, although the option of Electrical Discharge Machining (EDM) has received attent</w:t>
      </w:r>
      <w:r>
        <w:rPr>
          <w:rFonts w:ascii="Book Antiqua" w:hAnsi="Book Antiqua"/>
          <w:sz w:val="20"/>
        </w:rPr>
        <w:t>ion recently</w:t>
      </w:r>
      <w:r w:rsidRPr="00BD541D">
        <w:rPr>
          <w:rFonts w:ascii="Book Antiqua" w:hAnsi="Book Antiqua"/>
          <w:sz w:val="20"/>
        </w:rPr>
        <w:t xml:space="preserve"> </w:t>
      </w:r>
      <w:r>
        <w:rPr>
          <w:rFonts w:ascii="Book Antiqua" w:hAnsi="Book Antiqua"/>
          <w:sz w:val="20"/>
        </w:rPr>
        <w:t xml:space="preserve">(see Appendix E for more detail). </w:t>
      </w:r>
      <w:r w:rsidRPr="00BD541D">
        <w:rPr>
          <w:rFonts w:ascii="Book Antiqua" w:hAnsi="Book Antiqua"/>
          <w:sz w:val="20"/>
        </w:rPr>
        <w:t xml:space="preserve"> Meteorites are generally considered to be fragments of larger bodies that originally populated the solar system. If so, they may give data from processes that operated in the early solar system.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There are three main classes of meteorites: 94% are stony meteorites (86% are chondrites and 7% are achondrites); 5% are iron meteorites or siderites; and about 1% are litho-siderites or stony-irons.  Chondrites get their name from chondrules, their spherically shaped, millimeter-sized inclusions of glassy rock and metals.  In </w:t>
      </w:r>
      <w:hyperlink r:id="rId1007" w:history="1">
        <w:r w:rsidRPr="00BD541D">
          <w:rPr>
            <w:rStyle w:val="Hyperlink"/>
            <w:rFonts w:ascii="Book Antiqua" w:hAnsi="Book Antiqua"/>
            <w:sz w:val="20"/>
          </w:rPr>
          <w:t xml:space="preserve">some cases </w:t>
        </w:r>
      </w:hyperlink>
      <w:r w:rsidRPr="00BD541D">
        <w:rPr>
          <w:rFonts w:ascii="Book Antiqua" w:hAnsi="Book Antiqua"/>
          <w:sz w:val="20"/>
        </w:rPr>
        <w:t>at least, they are considered to have been the “building blocks” of our solar system and some of the oldest material in it.  In contrast, the achondrites lack these spherical inclusions.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One form of chondrite that makes up 6% of all meteorites is the carbonaceous chondrite.  They may contain up to 20% water, which is found in minerals such as serpentine, which is often present within them.  This type of chondrite also contains 15% iron sulphide and around 3% carbon.    These carbonaceous chondrites are classified on the abundance of these components.  They are also considered to represent the chemical composition of the material from which the solar system was formed. This is because, apart from hydrogen, their relative abundance of elements (not minerals or compounds)</w:t>
      </w:r>
      <w:hyperlink r:id="rId1008" w:history="1">
        <w:r w:rsidRPr="00BD541D">
          <w:rPr>
            <w:rStyle w:val="Hyperlink"/>
            <w:rFonts w:ascii="Book Antiqua" w:hAnsi="Book Antiqua"/>
            <w:sz w:val="20"/>
          </w:rPr>
          <w:t xml:space="preserve"> closely corresponds to those in the solar atmosphere.</w:t>
        </w:r>
      </w:hyperlink>
      <w:r w:rsidRPr="00BD541D">
        <w:rPr>
          <w:rFonts w:ascii="Book Antiqua" w:hAnsi="Book Antiqua"/>
          <w:sz w:val="20"/>
        </w:rPr>
        <w:t xml:space="preserve">  In addition, carbonaceous chondrites have not been submitted to temperatures high enough to alter the main minerals. Instead, they are a heterogeneous agglomeration of minerals in a very fine carbon-rich matrix. They are the only type of meteorite where sheets of mica occur, usually in the hydrated form.</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By contrast, ordinary chondrites, which are classified according to their iron content and their 'chondrules,' have undergone phase changes due to heating.  Achondrites, siderites, and litho-siderites also give evidence of heating effects which resulted in a re-crystallization process. </w:t>
      </w:r>
      <w:r>
        <w:rPr>
          <w:rFonts w:ascii="Book Antiqua" w:hAnsi="Book Antiqua"/>
          <w:sz w:val="20"/>
        </w:rPr>
        <w:t xml:space="preserve"> </w:t>
      </w:r>
      <w:r w:rsidRPr="00BD541D">
        <w:rPr>
          <w:rFonts w:ascii="Book Antiqua" w:hAnsi="Book Antiqua"/>
          <w:sz w:val="20"/>
        </w:rPr>
        <w:t xml:space="preserve">Almost half the meteorites are breccias, which are classified by composition.  Monomict breccias are compressed fragments of the same materials and polymict breccias are compressed fragments of differing materials.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1.2 Cosmic Ray Exposure (CRE) Ages and Meteorites </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Although radiometric dating has been discussed in detail in Chapter 8, Cosmic Ray Exposure is another form of atomic dating relating to events in our solar system which are important to understand. Cosmic rays come both from the sun and from our galaxy. They are high energy elementary particles. The most energetic particles come from sources in our galaxy. These protons and other atomic nuclei have been accelerated to high energies by the shock acceleration mechanisms which operate in supernova processes [1, 2] and the various electric and magnetic fields within our galaxy. Cosmic rays from our galaxy were recognized as early as 1912. [3] The solar cosmic rays come from energetic solar flare particles and the solar wind. This source was first recognized in 1942. [3]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Cosmic Ray Exposure age of a meteorite is a measure of how long it has been exposed to cosmic rays, free from a larger body (perhaps a planet, a dwarf planet or large asteroid) and circling in interplanetary space.  As these cosmic rays hit a meteorite, they interact with the isotopes in the meteorite and produce new isotopes of the elements already existing there. These nuclear interactions often involve the capture of a cosmic-ray produced neutron. The new isotopes may be either stable, or radioactive. The stable isotopes are usually the noble gases like helium 3 and 4, neon 20, 21 and 22, argon 36 and 38, krypton 78, 80, 82 and 83, and xenon 124-132.  In addition potassium 39 and 41 isotopes, as well as samarium 150 and gandolinium 156 and 158, are all stable products of radio decay found in these meteorites.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longer a meteorite is in orbit away from the shielding of its parent, the longer it is exposed to cosmic rays and so the more of these new isotopes are present in the meteorite. The radioactive isotopes produced by cosmic-ray induced neutron capture, all decay in a characteristic way forming daughter products whose time-dependent concentrations can be measured. These radioactive isotopes include potassium 40, calcium 41, nickel 59, and cobalt 60. There is also lattice damage in the crystal structures which results when the particles are brought to a stop in the meteorite. These damage trails are called “nuclear tracks” and are readily observed.</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1.3 Break-up Times for the Parent Body</w:t>
      </w:r>
    </w:p>
    <w:p w:rsidR="00700009" w:rsidRDefault="00700009" w:rsidP="00700009">
      <w:pPr>
        <w:pStyle w:val="NormalWeb"/>
        <w:ind w:firstLine="720"/>
        <w:jc w:val="both"/>
        <w:rPr>
          <w:rFonts w:ascii="Book Antiqua" w:hAnsi="Book Antiqua"/>
          <w:sz w:val="20"/>
          <w:szCs w:val="20"/>
        </w:rPr>
      </w:pPr>
      <w:r w:rsidRPr="00BD541D">
        <w:rPr>
          <w:rFonts w:ascii="Book Antiqua" w:hAnsi="Book Antiqua"/>
          <w:sz w:val="20"/>
          <w:szCs w:val="20"/>
        </w:rPr>
        <w:t xml:space="preserve">The Cosmic Ray Exposure (CRE) age of a meteorite is thus relatively easy to establish from the relationship between the quantity of stable isotopes compared with radioactive isotopes and the various types of nuclear tracks which are present. The earliest CRE date is considered to be the one associated with the initial breakup of the parent body. This is because of the limited penetration of cosmic rays into solid objects. Once the initial breakup occurs, other lesser breakup events may follow fragmenting some of the pieces. O. Eugster et al. have discussed this fully in  </w:t>
      </w:r>
      <w:r w:rsidRPr="00BD541D">
        <w:rPr>
          <w:rFonts w:ascii="Book Antiqua" w:hAnsi="Book Antiqua"/>
          <w:i/>
          <w:sz w:val="20"/>
          <w:szCs w:val="20"/>
        </w:rPr>
        <w:t>“Irradiation Records, Cosmic Ray Exposure Ages, and Transfer Times of Meteorites”</w:t>
      </w:r>
      <w:r w:rsidRPr="00BD541D">
        <w:rPr>
          <w:rFonts w:ascii="Book Antiqua" w:hAnsi="Book Antiqua"/>
          <w:sz w:val="20"/>
          <w:szCs w:val="20"/>
        </w:rPr>
        <w:t xml:space="preserve"> [3]. </w:t>
      </w:r>
      <w:r>
        <w:rPr>
          <w:rFonts w:ascii="Book Antiqua" w:hAnsi="Book Antiqua"/>
          <w:sz w:val="20"/>
          <w:szCs w:val="20"/>
        </w:rPr>
        <w:t>That</w:t>
      </w:r>
      <w:r w:rsidRPr="00BD541D">
        <w:rPr>
          <w:rFonts w:ascii="Book Antiqua" w:hAnsi="Book Antiqua"/>
          <w:sz w:val="20"/>
          <w:szCs w:val="20"/>
        </w:rPr>
        <w:t xml:space="preserve"> paper has all the data from the 18,000 or so meteorites which have been collected. When the histograms of CRE ages of the various meteorite types are looked at in this way, the following data and conclusions emerge as displayed in Tables 1 to 3.</w:t>
      </w:r>
    </w:p>
    <w:p w:rsidR="008E78C0" w:rsidRPr="00BD541D" w:rsidRDefault="008E78C0" w:rsidP="00700009">
      <w:pPr>
        <w:pStyle w:val="NormalWeb"/>
        <w:ind w:firstLine="720"/>
        <w:jc w:val="both"/>
        <w:rPr>
          <w:rFonts w:ascii="Book Antiqua" w:hAnsi="Book Antiqua"/>
          <w:sz w:val="20"/>
          <w:szCs w:val="20"/>
        </w:rPr>
      </w:pP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t>TABLE 1:</w:t>
      </w:r>
      <w:r w:rsidRPr="00FB1A27">
        <w:rPr>
          <w:rFonts w:ascii="Book Antiqua" w:hAnsi="Book Antiqua"/>
          <w:b/>
          <w:i/>
          <w:sz w:val="18"/>
          <w:szCs w:val="18"/>
        </w:rPr>
        <w:t xml:space="preserve"> Breakup times of the 3 types of stony meteorite.</w:t>
      </w:r>
    </w:p>
    <w:p w:rsidR="00700009" w:rsidRPr="00BD541D" w:rsidRDefault="00700009" w:rsidP="00700009">
      <w:pPr>
        <w:pStyle w:val="NoSpacing"/>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12"/>
        <w:gridCol w:w="3012"/>
      </w:tblGrid>
      <w:tr w:rsidR="00700009" w:rsidRPr="00BD541D" w:rsidTr="008E78C0">
        <w:trPr>
          <w:trHeight w:val="782"/>
          <w:jc w:val="center"/>
        </w:trPr>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Type of stony meteorite</w:t>
            </w:r>
          </w:p>
          <w:p w:rsidR="00700009" w:rsidRPr="00FB1A27" w:rsidRDefault="00700009" w:rsidP="003442EA">
            <w:pPr>
              <w:pStyle w:val="NoSpacing"/>
              <w:rPr>
                <w:rFonts w:ascii="Book Antiqua" w:hAnsi="Book Antiqua"/>
                <w:b/>
                <w:i/>
                <w:sz w:val="18"/>
                <w:szCs w:val="18"/>
              </w:rPr>
            </w:pPr>
          </w:p>
        </w:tc>
        <w:tc>
          <w:tcPr>
            <w:tcW w:w="3012" w:type="dxa"/>
          </w:tcPr>
          <w:p w:rsidR="00700009" w:rsidRPr="00FB1A27" w:rsidRDefault="00700009" w:rsidP="003442EA">
            <w:pPr>
              <w:pStyle w:val="NoSpacing"/>
              <w:rPr>
                <w:rFonts w:ascii="Book Antiqua" w:hAnsi="Book Antiqua"/>
                <w:b/>
                <w:i/>
                <w:sz w:val="18"/>
                <w:szCs w:val="18"/>
              </w:rPr>
            </w:pPr>
          </w:p>
          <w:p w:rsidR="00700009" w:rsidRPr="00FB1A27" w:rsidRDefault="00700009" w:rsidP="003442EA">
            <w:pPr>
              <w:pStyle w:val="NoSpacing"/>
              <w:rPr>
                <w:rFonts w:ascii="Book Antiqua" w:hAnsi="Book Antiqua"/>
                <w:b/>
                <w:i/>
                <w:sz w:val="18"/>
                <w:szCs w:val="18"/>
              </w:rPr>
            </w:pPr>
            <w:r w:rsidRPr="00FB1A27">
              <w:rPr>
                <w:rFonts w:ascii="Book Antiqua" w:hAnsi="Book Antiqua"/>
                <w:b/>
                <w:i/>
                <w:sz w:val="18"/>
                <w:szCs w:val="18"/>
              </w:rPr>
              <w:t xml:space="preserve">CRE breakup age. </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LL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R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45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CK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55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CO Chondrites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Eucrites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80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Diogenites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50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Howardites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73"/>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Aubrites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70 million atomic years</w:t>
            </w:r>
          </w:p>
        </w:tc>
      </w:tr>
      <w:tr w:rsidR="00700009" w:rsidRPr="00BD541D" w:rsidTr="008E78C0">
        <w:trPr>
          <w:trHeight w:val="255"/>
          <w:jc w:val="center"/>
        </w:trPr>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Angrites</w:t>
            </w:r>
          </w:p>
        </w:tc>
        <w:tc>
          <w:tcPr>
            <w:tcW w:w="3012" w:type="dxa"/>
          </w:tcPr>
          <w:p w:rsidR="00700009" w:rsidRPr="00FB1A27" w:rsidRDefault="00700009" w:rsidP="003442EA">
            <w:pPr>
              <w:pStyle w:val="NoSpacing"/>
              <w:rPr>
                <w:rFonts w:ascii="Book Antiqua" w:hAnsi="Book Antiqua"/>
                <w:b/>
                <w:sz w:val="18"/>
                <w:szCs w:val="18"/>
              </w:rPr>
            </w:pPr>
            <w:r w:rsidRPr="00FB1A27">
              <w:rPr>
                <w:rFonts w:ascii="Book Antiqua" w:hAnsi="Book Antiqua"/>
                <w:b/>
                <w:sz w:val="18"/>
                <w:szCs w:val="18"/>
              </w:rPr>
              <w:t>65 million atomic years</w:t>
            </w:r>
          </w:p>
        </w:tc>
      </w:tr>
      <w:tr w:rsidR="00700009" w:rsidRPr="00BD541D" w:rsidTr="008E78C0">
        <w:trPr>
          <w:trHeight w:val="917"/>
          <w:jc w:val="center"/>
        </w:trPr>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Chondrites, carbonaceous chondrites and achondrites are included here.</w:t>
            </w:r>
          </w:p>
          <w:p w:rsidR="00700009" w:rsidRPr="00FB1A27" w:rsidRDefault="00700009" w:rsidP="003442EA">
            <w:pPr>
              <w:pStyle w:val="NoSpacing"/>
              <w:rPr>
                <w:rFonts w:ascii="Book Antiqua" w:hAnsi="Book Antiqua"/>
                <w:i/>
                <w:sz w:val="18"/>
                <w:szCs w:val="18"/>
              </w:rPr>
            </w:pPr>
          </w:p>
        </w:tc>
        <w:tc>
          <w:tcPr>
            <w:tcW w:w="3012" w:type="dxa"/>
          </w:tcPr>
          <w:p w:rsidR="00700009"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p>
          <w:p w:rsidR="00700009" w:rsidRPr="00FB1A27" w:rsidRDefault="00700009" w:rsidP="003442EA">
            <w:pPr>
              <w:pStyle w:val="NoSpacing"/>
              <w:rPr>
                <w:rFonts w:ascii="Book Antiqua" w:hAnsi="Book Antiqua"/>
                <w:i/>
                <w:sz w:val="18"/>
                <w:szCs w:val="18"/>
              </w:rPr>
            </w:pPr>
            <w:r w:rsidRPr="00FB1A27">
              <w:rPr>
                <w:rFonts w:ascii="Book Antiqua" w:hAnsi="Book Antiqua"/>
                <w:i/>
                <w:sz w:val="18"/>
                <w:szCs w:val="18"/>
              </w:rPr>
              <w:t>Average breakup age for these types is 65.8 million atomic years.</w:t>
            </w:r>
          </w:p>
        </w:tc>
      </w:tr>
    </w:tbl>
    <w:p w:rsidR="00700009" w:rsidRDefault="00700009" w:rsidP="00700009">
      <w:pPr>
        <w:pStyle w:val="NoSpacing"/>
        <w:ind w:firstLine="720"/>
        <w:jc w:val="both"/>
        <w:rPr>
          <w:rFonts w:ascii="Book Antiqua" w:hAnsi="Book Antiqua"/>
          <w:sz w:val="20"/>
        </w:rPr>
      </w:pPr>
    </w:p>
    <w:p w:rsidR="008E78C0" w:rsidRDefault="008E78C0"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Three inliers were omitted from this count as it appeared they came from a secondary breakup: the CV Chondrites (30 million), the Acapulcoites (15 million) and Ureilites (30 million atomic years). Taking that into </w:t>
      </w:r>
      <w:r w:rsidRPr="00BD541D">
        <w:rPr>
          <w:rFonts w:ascii="Book Antiqua" w:hAnsi="Book Antiqua"/>
          <w:sz w:val="20"/>
        </w:rPr>
        <w:lastRenderedPageBreak/>
        <w:t>consideration, the majority of stony meteorites give a consistent testimony that the breakup of the parent body occurred about 65.8 million atomic years ago.</w:t>
      </w:r>
    </w:p>
    <w:p w:rsidR="00700009" w:rsidRDefault="00700009" w:rsidP="00700009">
      <w:pPr>
        <w:pStyle w:val="NoSpacing"/>
        <w:ind w:firstLine="720"/>
        <w:jc w:val="both"/>
        <w:rPr>
          <w:rFonts w:ascii="Book Antiqua" w:hAnsi="Book Antiqua"/>
          <w:sz w:val="20"/>
        </w:rPr>
      </w:pPr>
    </w:p>
    <w:p w:rsidR="00397D22" w:rsidRPr="00BD541D" w:rsidRDefault="00397D22" w:rsidP="00700009">
      <w:pPr>
        <w:pStyle w:val="NoSpacing"/>
        <w:ind w:firstLine="720"/>
        <w:jc w:val="both"/>
        <w:rPr>
          <w:rFonts w:ascii="Book Antiqua" w:hAnsi="Book Antiqua"/>
          <w:sz w:val="20"/>
        </w:rPr>
      </w:pPr>
    </w:p>
    <w:p w:rsidR="00700009" w:rsidRPr="00FB1A27" w:rsidRDefault="00700009" w:rsidP="008E78C0">
      <w:pPr>
        <w:pStyle w:val="NoSpacing"/>
        <w:jc w:val="center"/>
        <w:rPr>
          <w:rFonts w:ascii="Book Antiqua" w:hAnsi="Book Antiqua"/>
          <w:b/>
          <w:i/>
          <w:sz w:val="18"/>
          <w:szCs w:val="18"/>
        </w:rPr>
      </w:pPr>
      <w:r w:rsidRPr="00FB1A27">
        <w:rPr>
          <w:rFonts w:ascii="Book Antiqua" w:hAnsi="Book Antiqua"/>
          <w:b/>
          <w:sz w:val="18"/>
          <w:szCs w:val="18"/>
        </w:rPr>
        <w:t>TABLE 2:</w:t>
      </w:r>
      <w:r w:rsidRPr="00FB1A27">
        <w:rPr>
          <w:rFonts w:ascii="Book Antiqua" w:hAnsi="Book Antiqua"/>
          <w:b/>
          <w:i/>
          <w:sz w:val="18"/>
          <w:szCs w:val="18"/>
        </w:rPr>
        <w:t xml:space="preserve"> Breakup times of the 5 types of iron meteorite.</w:t>
      </w:r>
    </w:p>
    <w:p w:rsidR="00700009" w:rsidRPr="00BD541D" w:rsidRDefault="00700009" w:rsidP="00700009">
      <w:pPr>
        <w:pStyle w:val="NoSpacing"/>
        <w:rPr>
          <w:rFonts w:ascii="Book Antiqua" w:hAnsi="Book Antiqu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7"/>
        <w:gridCol w:w="2997"/>
      </w:tblGrid>
      <w:tr w:rsidR="00700009" w:rsidRPr="00BD541D" w:rsidTr="008E78C0">
        <w:trPr>
          <w:trHeight w:val="935"/>
          <w:jc w:val="center"/>
        </w:trPr>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Type of iron meteorite</w:t>
            </w:r>
          </w:p>
          <w:p w:rsidR="00700009" w:rsidRPr="00FB1A27" w:rsidRDefault="00700009" w:rsidP="003442EA">
            <w:pPr>
              <w:pStyle w:val="NoSpacing"/>
              <w:rPr>
                <w:rStyle w:val="Strong"/>
                <w:rFonts w:ascii="Book Antiqua" w:eastAsia="Calibri" w:hAnsi="Book Antiqua"/>
                <w:bCs w:val="0"/>
                <w:i/>
                <w:sz w:val="18"/>
                <w:szCs w:val="18"/>
              </w:rPr>
            </w:pPr>
          </w:p>
        </w:tc>
        <w:tc>
          <w:tcPr>
            <w:tcW w:w="2997" w:type="dxa"/>
          </w:tcPr>
          <w:p w:rsidR="00700009" w:rsidRPr="00FB1A27" w:rsidRDefault="00700009" w:rsidP="003442EA">
            <w:pPr>
              <w:pStyle w:val="NoSpacing"/>
              <w:rPr>
                <w:rStyle w:val="Strong"/>
                <w:rFonts w:ascii="Book Antiqua" w:eastAsia="Calibri" w:hAnsi="Book Antiqua"/>
                <w:bCs w:val="0"/>
                <w:i/>
                <w:sz w:val="18"/>
                <w:szCs w:val="18"/>
              </w:rPr>
            </w:pPr>
          </w:p>
          <w:p w:rsidR="00700009" w:rsidRPr="00FB1A27" w:rsidRDefault="00700009" w:rsidP="003442EA">
            <w:pPr>
              <w:pStyle w:val="NoSpacing"/>
              <w:rPr>
                <w:rStyle w:val="Strong"/>
                <w:rFonts w:ascii="Book Antiqua" w:eastAsia="Calibri" w:hAnsi="Book Antiqua"/>
                <w:bCs w:val="0"/>
                <w:i/>
                <w:sz w:val="18"/>
                <w:szCs w:val="18"/>
              </w:rPr>
            </w:pPr>
            <w:r w:rsidRPr="00FB1A27">
              <w:rPr>
                <w:rStyle w:val="Strong"/>
                <w:rFonts w:ascii="Book Antiqua" w:eastAsia="Calibri" w:hAnsi="Book Antiqua"/>
                <w:i/>
                <w:sz w:val="18"/>
                <w:szCs w:val="18"/>
              </w:rPr>
              <w:t>CRE breakup age</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700 million atomic years</w:t>
            </w:r>
          </w:p>
        </w:tc>
      </w:tr>
      <w:tr w:rsidR="00700009" w:rsidRPr="00BD541D" w:rsidTr="008E78C0">
        <w:trPr>
          <w:trHeight w:val="326"/>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III</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800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Group IV</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900 million atomic years</w:t>
            </w:r>
          </w:p>
        </w:tc>
      </w:tr>
      <w:tr w:rsidR="00700009" w:rsidRPr="00BD541D" w:rsidTr="008E78C0">
        <w:trPr>
          <w:trHeight w:val="304"/>
          <w:jc w:val="center"/>
        </w:trPr>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Ungrouped</w:t>
            </w:r>
          </w:p>
        </w:tc>
        <w:tc>
          <w:tcPr>
            <w:tcW w:w="2997" w:type="dxa"/>
          </w:tcPr>
          <w:p w:rsidR="00700009" w:rsidRPr="00FB1A27" w:rsidRDefault="00700009" w:rsidP="003442EA">
            <w:pPr>
              <w:pStyle w:val="NoSpacing"/>
              <w:rPr>
                <w:rStyle w:val="Strong"/>
                <w:rFonts w:ascii="Book Antiqua" w:eastAsia="Calibri" w:hAnsi="Book Antiqua"/>
                <w:sz w:val="18"/>
                <w:szCs w:val="18"/>
              </w:rPr>
            </w:pPr>
            <w:r w:rsidRPr="00FB1A27">
              <w:rPr>
                <w:rStyle w:val="Strong"/>
                <w:rFonts w:ascii="Book Antiqua" w:eastAsia="Calibri" w:hAnsi="Book Antiqua"/>
                <w:sz w:val="18"/>
                <w:szCs w:val="18"/>
              </w:rPr>
              <w:t>750 million atomic years</w:t>
            </w:r>
          </w:p>
        </w:tc>
      </w:tr>
      <w:tr w:rsidR="00700009" w:rsidRPr="00BD541D" w:rsidTr="008E78C0">
        <w:trPr>
          <w:trHeight w:val="1115"/>
          <w:jc w:val="center"/>
        </w:trPr>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All iron meteorites included in this list.</w:t>
            </w:r>
          </w:p>
          <w:p w:rsidR="00700009" w:rsidRPr="00FB1A27" w:rsidRDefault="00700009" w:rsidP="003442EA">
            <w:pPr>
              <w:pStyle w:val="NoSpacing"/>
              <w:rPr>
                <w:rStyle w:val="Strong"/>
                <w:rFonts w:ascii="Book Antiqua" w:eastAsia="Calibri" w:hAnsi="Book Antiqua"/>
                <w:b w:val="0"/>
                <w:i/>
                <w:sz w:val="18"/>
                <w:szCs w:val="18"/>
              </w:rPr>
            </w:pPr>
          </w:p>
        </w:tc>
        <w:tc>
          <w:tcPr>
            <w:tcW w:w="2997" w:type="dxa"/>
          </w:tcPr>
          <w:p w:rsidR="00700009"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p>
          <w:p w:rsidR="00700009" w:rsidRPr="00FB1A27" w:rsidRDefault="00700009" w:rsidP="003442EA">
            <w:pPr>
              <w:pStyle w:val="NoSpacing"/>
              <w:rPr>
                <w:rStyle w:val="Strong"/>
                <w:rFonts w:ascii="Book Antiqua" w:eastAsia="Calibri" w:hAnsi="Book Antiqua"/>
                <w:b w:val="0"/>
                <w:i/>
                <w:sz w:val="18"/>
                <w:szCs w:val="18"/>
              </w:rPr>
            </w:pPr>
            <w:r w:rsidRPr="00FB1A27">
              <w:rPr>
                <w:rStyle w:val="Strong"/>
                <w:rFonts w:ascii="Book Antiqua" w:eastAsia="Calibri" w:hAnsi="Book Antiqua"/>
                <w:i/>
                <w:sz w:val="18"/>
                <w:szCs w:val="18"/>
              </w:rPr>
              <w:t>Average age for these meteorites is 810 million atomic years.</w:t>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Iron meteorites, however, all give CRE ages with peak representation about 650 million atomic years regardless of the method used. [3] Interestingly, this appears to be sometime after the initial breakup. This breakup time of the iron meteorite parent body is consistent if the method of noble gas analysis is used. Table 2 reveals the earliest CRE ages by this method for the various types of iron meteorite or siderites.</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8E78C0" w:rsidRDefault="00700009" w:rsidP="00700009">
      <w:pPr>
        <w:pStyle w:val="NoSpacing"/>
        <w:ind w:firstLine="720"/>
        <w:jc w:val="both"/>
        <w:rPr>
          <w:rStyle w:val="Strong"/>
          <w:rFonts w:ascii="Book Antiqua" w:eastAsia="Calibri" w:hAnsi="Book Antiqua"/>
          <w:b w:val="0"/>
          <w:bCs w:val="0"/>
          <w:sz w:val="20"/>
        </w:rPr>
      </w:pPr>
      <w:r w:rsidRPr="008E78C0">
        <w:rPr>
          <w:rStyle w:val="Strong"/>
          <w:rFonts w:ascii="Book Antiqua" w:eastAsia="Calibri" w:hAnsi="Book Antiqua"/>
          <w:b w:val="0"/>
          <w:sz w:val="20"/>
        </w:rPr>
        <w:t xml:space="preserve">The conclusion is that the iron meteorite parent body first broke up about 810 million atomic years ago with subsequent fragmentation events peaking about 650 million atomic years ago. The third main type of meteorite is the stony-iron or litho-siderite. We link them together with the IVA subgroup of the irons with the following results: </w:t>
      </w:r>
    </w:p>
    <w:p w:rsidR="00700009" w:rsidRPr="00BD541D" w:rsidRDefault="00700009" w:rsidP="00700009">
      <w:pPr>
        <w:pStyle w:val="NoSpacing"/>
        <w:rPr>
          <w:rFonts w:ascii="Book Antiqua" w:hAnsi="Book Antiqua"/>
          <w:sz w:val="20"/>
        </w:rPr>
      </w:pPr>
    </w:p>
    <w:p w:rsidR="00700009" w:rsidRPr="0061515E" w:rsidRDefault="00700009" w:rsidP="008E78C0">
      <w:pPr>
        <w:pStyle w:val="NoSpacing"/>
        <w:jc w:val="center"/>
        <w:rPr>
          <w:rFonts w:ascii="Book Antiqua" w:hAnsi="Book Antiqua"/>
          <w:b/>
          <w:i/>
          <w:sz w:val="18"/>
          <w:szCs w:val="18"/>
        </w:rPr>
      </w:pPr>
      <w:r w:rsidRPr="0061515E">
        <w:rPr>
          <w:rFonts w:ascii="Book Antiqua" w:hAnsi="Book Antiqua"/>
          <w:b/>
          <w:sz w:val="18"/>
          <w:szCs w:val="18"/>
        </w:rPr>
        <w:t>TABLE 3:</w:t>
      </w:r>
      <w:r w:rsidRPr="0061515E">
        <w:rPr>
          <w:rFonts w:ascii="Book Antiqua" w:hAnsi="Book Antiqua"/>
          <w:b/>
          <w:i/>
          <w:sz w:val="18"/>
          <w:szCs w:val="18"/>
        </w:rPr>
        <w:t xml:space="preserve">  Breakup times of the stony-iron meteorites</w:t>
      </w:r>
    </w:p>
    <w:p w:rsidR="00700009" w:rsidRPr="0061515E" w:rsidRDefault="00700009" w:rsidP="00700009">
      <w:pPr>
        <w:pStyle w:val="NoSpacing"/>
        <w:rPr>
          <w:rStyle w:val="Strong"/>
          <w:rFonts w:ascii="Book Antiqua" w:eastAsia="Calibri" w:hAnsi="Book Antiqua"/>
          <w:b w:val="0"/>
          <w:i/>
          <w:sz w:val="18"/>
          <w:szCs w:val="18"/>
        </w:rPr>
      </w:pPr>
      <w:r w:rsidRPr="0061515E">
        <w:rPr>
          <w:rFonts w:ascii="Book Antiqua" w:hAnsi="Book Antiqua"/>
          <w:b/>
          <w:i/>
          <w:sz w:val="18"/>
          <w:szCs w:val="1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4"/>
        <w:gridCol w:w="2884"/>
      </w:tblGrid>
      <w:tr w:rsidR="00700009" w:rsidRPr="00BD541D" w:rsidTr="008E78C0">
        <w:trPr>
          <w:trHeight w:val="989"/>
          <w:jc w:val="center"/>
        </w:trPr>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Type of stony-iron</w:t>
            </w:r>
          </w:p>
          <w:p w:rsidR="00700009" w:rsidRPr="0061515E" w:rsidRDefault="00700009" w:rsidP="003442EA">
            <w:pPr>
              <w:pStyle w:val="NoSpacing"/>
              <w:rPr>
                <w:rStyle w:val="Strong"/>
                <w:rFonts w:ascii="Book Antiqua" w:eastAsia="Calibri" w:hAnsi="Book Antiqua"/>
                <w:i/>
                <w:sz w:val="18"/>
                <w:szCs w:val="18"/>
              </w:rPr>
            </w:pPr>
          </w:p>
        </w:tc>
        <w:tc>
          <w:tcPr>
            <w:tcW w:w="2884" w:type="dxa"/>
          </w:tcPr>
          <w:p w:rsidR="00700009" w:rsidRPr="0061515E" w:rsidRDefault="00700009" w:rsidP="003442EA">
            <w:pPr>
              <w:pStyle w:val="NoSpacing"/>
              <w:rPr>
                <w:rStyle w:val="Strong"/>
                <w:rFonts w:ascii="Book Antiqua" w:eastAsia="Calibri" w:hAnsi="Book Antiqua"/>
                <w:i/>
                <w:sz w:val="18"/>
                <w:szCs w:val="18"/>
              </w:rPr>
            </w:pPr>
          </w:p>
          <w:p w:rsidR="00700009" w:rsidRPr="0061515E" w:rsidRDefault="00700009" w:rsidP="003442EA">
            <w:pPr>
              <w:pStyle w:val="NoSpacing"/>
              <w:rPr>
                <w:rStyle w:val="Strong"/>
                <w:rFonts w:ascii="Book Antiqua" w:eastAsia="Calibri" w:hAnsi="Book Antiqua"/>
                <w:i/>
                <w:sz w:val="18"/>
                <w:szCs w:val="18"/>
              </w:rPr>
            </w:pPr>
            <w:r w:rsidRPr="0061515E">
              <w:rPr>
                <w:rStyle w:val="Strong"/>
                <w:rFonts w:ascii="Book Antiqua" w:eastAsia="Calibri" w:hAnsi="Book Antiqua"/>
                <w:i/>
                <w:sz w:val="18"/>
                <w:szCs w:val="18"/>
              </w:rPr>
              <w:t>CRE breakup age.</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Meso-siderites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330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Pallasites</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230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(a)</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255 million atomic years</w:t>
            </w:r>
          </w:p>
        </w:tc>
      </w:tr>
      <w:tr w:rsidR="00700009" w:rsidRPr="00BD541D" w:rsidTr="008E78C0">
        <w:trPr>
          <w:trHeight w:val="322"/>
          <w:jc w:val="center"/>
        </w:trPr>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Group IVA irons (b)</w:t>
            </w:r>
          </w:p>
        </w:tc>
        <w:tc>
          <w:tcPr>
            <w:tcW w:w="2884" w:type="dxa"/>
          </w:tcPr>
          <w:p w:rsidR="00700009" w:rsidRPr="0061515E" w:rsidRDefault="00700009" w:rsidP="003442EA">
            <w:pPr>
              <w:pStyle w:val="NoSpacing"/>
              <w:rPr>
                <w:rStyle w:val="Strong"/>
                <w:rFonts w:ascii="Book Antiqua" w:eastAsia="Calibri" w:hAnsi="Book Antiqua"/>
                <w:sz w:val="18"/>
                <w:szCs w:val="18"/>
              </w:rPr>
            </w:pPr>
            <w:r w:rsidRPr="0061515E">
              <w:rPr>
                <w:rStyle w:val="Strong"/>
                <w:rFonts w:ascii="Book Antiqua" w:eastAsia="Calibri" w:hAnsi="Book Antiqua"/>
                <w:sz w:val="18"/>
                <w:szCs w:val="18"/>
              </w:rPr>
              <w:t>217 million atomic years</w:t>
            </w:r>
          </w:p>
        </w:tc>
      </w:tr>
      <w:tr w:rsidR="00700009" w:rsidRPr="00BD541D" w:rsidTr="008E78C0">
        <w:trPr>
          <w:trHeight w:val="1133"/>
          <w:jc w:val="center"/>
        </w:trPr>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The stony-irons and associated types are all included.</w:t>
            </w:r>
          </w:p>
          <w:p w:rsidR="00700009" w:rsidRPr="0061515E" w:rsidRDefault="00700009" w:rsidP="003442EA">
            <w:pPr>
              <w:pStyle w:val="NoSpacing"/>
              <w:rPr>
                <w:rStyle w:val="Strong"/>
                <w:rFonts w:ascii="Book Antiqua" w:eastAsia="Calibri" w:hAnsi="Book Antiqua"/>
                <w:b w:val="0"/>
                <w:i/>
                <w:sz w:val="18"/>
                <w:szCs w:val="18"/>
              </w:rPr>
            </w:pPr>
          </w:p>
        </w:tc>
        <w:tc>
          <w:tcPr>
            <w:tcW w:w="2884" w:type="dxa"/>
          </w:tcPr>
          <w:p w:rsidR="00700009"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p>
          <w:p w:rsidR="00700009" w:rsidRPr="0061515E" w:rsidRDefault="00700009" w:rsidP="003442EA">
            <w:pPr>
              <w:pStyle w:val="NoSpacing"/>
              <w:rPr>
                <w:rStyle w:val="Strong"/>
                <w:rFonts w:ascii="Book Antiqua" w:eastAsia="Calibri" w:hAnsi="Book Antiqua"/>
                <w:b w:val="0"/>
                <w:i/>
                <w:sz w:val="18"/>
                <w:szCs w:val="18"/>
              </w:rPr>
            </w:pPr>
            <w:r w:rsidRPr="0061515E">
              <w:rPr>
                <w:rStyle w:val="Strong"/>
                <w:rFonts w:ascii="Book Antiqua" w:eastAsia="Calibri" w:hAnsi="Book Antiqua"/>
                <w:i/>
                <w:sz w:val="18"/>
                <w:szCs w:val="18"/>
              </w:rPr>
              <w:t>Average break-up age for stony irons is 258 million atomic years</w:t>
            </w:r>
          </w:p>
        </w:tc>
      </w:tr>
    </w:tbl>
    <w:p w:rsidR="00700009"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Though the data are a little more sparse and scattered in this case, the stony-irons seem to indicate that the breakup of their parent body occurred around 258 million atomic years ago.</w:t>
      </w:r>
    </w:p>
    <w:p w:rsidR="00700009" w:rsidRPr="0006025F" w:rsidRDefault="00700009" w:rsidP="00700009">
      <w:pPr>
        <w:pStyle w:val="NormalWeb"/>
        <w:ind w:firstLine="720"/>
        <w:jc w:val="both"/>
        <w:rPr>
          <w:rStyle w:val="Strong"/>
          <w:rFonts w:ascii="Book Antiqua" w:eastAsia="Calibri" w:hAnsi="Book Antiqua"/>
          <w:b w:val="0"/>
          <w:bCs w:val="0"/>
          <w:i/>
          <w:sz w:val="20"/>
          <w:szCs w:val="20"/>
        </w:rPr>
      </w:pPr>
      <w:proofErr w:type="gramStart"/>
      <w:r w:rsidRPr="0006025F">
        <w:rPr>
          <w:rFonts w:ascii="Book Antiqua" w:hAnsi="Book Antiqua"/>
          <w:i/>
          <w:sz w:val="20"/>
          <w:szCs w:val="20"/>
        </w:rPr>
        <w:lastRenderedPageBreak/>
        <w:t>1.4  CRE</w:t>
      </w:r>
      <w:proofErr w:type="gramEnd"/>
      <w:r w:rsidRPr="0006025F">
        <w:rPr>
          <w:rFonts w:ascii="Book Antiqua" w:hAnsi="Book Antiqua"/>
          <w:i/>
          <w:sz w:val="20"/>
          <w:szCs w:val="20"/>
        </w:rPr>
        <w:t xml:space="preserve"> Ages and the Zero Point Energy</w:t>
      </w: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In a changing Zero Point Energy (ZPE) scenario we must ask how firm these dates are. In the case of the radioactive elements, which were produced by the cosmic rays, the radio decay rate has been previously established as being inversely proportional to the ZPE strength. In the case of CRE dating, however, the key component is the production rate of radioactive elements and noble gases by the cosmic rays. This depends on cosmic ray production rates which in turn depend on supernova explosions, solar flare activity, and the electric and magnetic fields threading through the galaxy.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B on Radiant Energy Emission, as well as in Chapter 6 on the ZPE and Plasma Behavior, the rate of burning of stars, both by nuclear and plasma/electrical processes, is discussed. It is shown there that the rate of stellar burning, whether nuclear or plasma/electrical, is inversely proportional to the ZPE strength in the same way that radioactive decay is. This necessarily means the</w:t>
      </w:r>
      <w:r w:rsidRPr="00BD541D">
        <w:rPr>
          <w:rStyle w:val="Strong"/>
          <w:rFonts w:ascii="Book Antiqua" w:eastAsia="Calibri" w:hAnsi="Book Antiqua"/>
          <w:sz w:val="20"/>
        </w:rPr>
        <w:t xml:space="preserve"> </w:t>
      </w:r>
      <w:r w:rsidRPr="00BD541D">
        <w:rPr>
          <w:rFonts w:ascii="Book Antiqua" w:hAnsi="Book Antiqua"/>
          <w:sz w:val="20"/>
        </w:rPr>
        <w:t xml:space="preserve">production rate of cosmic rays is also inversely proportional to the ZPE strength, and was therefore proportionally higher in the past. In other words, the various methods by which the atomic age of objects is established are all working in synchrony with one another. Understanding that cosmic ray production is moving in concert with other atomic data, we can then safely presume that the production of the new isotopes was similarly affected.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2.  Geological Significance of CRE Ages</w:t>
      </w:r>
    </w:p>
    <w:p w:rsidR="00700009" w:rsidRPr="00BD541D" w:rsidRDefault="00700009" w:rsidP="00700009">
      <w:pPr>
        <w:pStyle w:val="NoSpacing"/>
        <w:ind w:firstLine="720"/>
        <w:jc w:val="both"/>
        <w:rPr>
          <w:rFonts w:ascii="Book Antiqua" w:hAnsi="Book Antiqua"/>
          <w:sz w:val="20"/>
        </w:rPr>
      </w:pPr>
    </w:p>
    <w:p w:rsidR="00700009" w:rsidRPr="00397D22" w:rsidRDefault="00700009" w:rsidP="00700009">
      <w:pPr>
        <w:pStyle w:val="NoSpacing"/>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There is a geological significance regarding the three break-up dates of the meteorite parent bodies. In the geological column, there are 4 main Eras separated by 3 catastrophic events which ended each Era (see Figure 1). The first Era, the Archaeozoic (sometimes called the Precambrian), which started about 4.5 billion atomic years ago, was effectively ended with what has often been termed the “Snowball Earth” catastrophe (discussed later in this chapter). This event occurred during the Neoproterozoic in what has come to be termed the Cryogenian Period. This period extends from 850 to 635 million atomic years ago, which closely corresponds to the 810 to 650 million atomic years we have noted from the break-up of the parent body for the iron meteorites. </w:t>
      </w:r>
    </w:p>
    <w:p w:rsidR="00700009" w:rsidRPr="00397D22"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In earth geology, the Paleozoic Era followed the Archaeozoic and ended with the Permian extinction event which occurred about 251 million atomic years ago. This closely corresponds with the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break-up age of 65.8 million atomic years for the parent planet or asteroid. The Cenozoic Era which followed was punctuated by the last Ice-age.</w:t>
      </w:r>
    </w:p>
    <w:p w:rsidR="00700009" w:rsidRPr="00397D22" w:rsidRDefault="00700009" w:rsidP="00700009">
      <w:pPr>
        <w:pStyle w:val="NoSpacing"/>
        <w:ind w:firstLine="720"/>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Whatever caused the break-up of the parent bodies of these meteorites appears to have been related to the main catastrophes recorded in the geological column. Coincidently, we note that there are massive craters of the appropriate atomic age at the end of each of the geological Eras.</w:t>
      </w:r>
    </w:p>
    <w:p w:rsidR="00700009" w:rsidRPr="00397D22" w:rsidRDefault="00700009" w:rsidP="00700009">
      <w:pPr>
        <w:pStyle w:val="NoSpacing"/>
        <w:jc w:val="both"/>
        <w:rPr>
          <w:rStyle w:val="Strong"/>
          <w:rFonts w:ascii="Book Antiqua" w:eastAsia="Calibri" w:hAnsi="Book Antiqua"/>
          <w:b w:val="0"/>
          <w:bCs w:val="0"/>
          <w:sz w:val="20"/>
        </w:rPr>
      </w:pPr>
    </w:p>
    <w:p w:rsidR="00700009" w:rsidRPr="00397D22" w:rsidRDefault="00700009" w:rsidP="00700009">
      <w:pPr>
        <w:pStyle w:val="NoSpacing"/>
        <w:ind w:firstLine="720"/>
        <w:jc w:val="both"/>
        <w:rPr>
          <w:rStyle w:val="Strong"/>
          <w:rFonts w:ascii="Book Antiqua" w:eastAsia="Calibri" w:hAnsi="Book Antiqua"/>
          <w:b w:val="0"/>
          <w:bCs w:val="0"/>
          <w:sz w:val="20"/>
        </w:rPr>
      </w:pPr>
      <w:r w:rsidRPr="00397D22">
        <w:rPr>
          <w:rStyle w:val="Strong"/>
          <w:rFonts w:ascii="Book Antiqua" w:eastAsia="Calibri" w:hAnsi="Book Antiqua"/>
          <w:b w:val="0"/>
          <w:sz w:val="20"/>
        </w:rPr>
        <w:t xml:space="preserve">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[4]. Figure 2 gives more details.</w:t>
      </w: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Cs w:val="0"/>
          <w:i/>
          <w:sz w:val="20"/>
        </w:rPr>
      </w:pPr>
      <w:r w:rsidRPr="00BD541D">
        <w:rPr>
          <w:rFonts w:ascii="Book Antiqua" w:hAnsi="Book Antiqua"/>
          <w:b/>
          <w:i/>
          <w:noProof/>
          <w:sz w:val="20"/>
        </w:rPr>
        <w:lastRenderedPageBreak/>
        <w:drawing>
          <wp:inline distT="0" distB="0" distL="0" distR="0">
            <wp:extent cx="4147067" cy="5314950"/>
            <wp:effectExtent l="19050" t="0" r="5833" b="0"/>
            <wp:docPr id="8" name="il_fi" descr="http://strattonweb.tripod.com/geocolum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rattonweb.tripod.com/geocolumn.gif"/>
                    <pic:cNvPicPr>
                      <a:picLocks noChangeAspect="1" noChangeArrowheads="1"/>
                    </pic:cNvPicPr>
                  </pic:nvPicPr>
                  <pic:blipFill>
                    <a:blip r:embed="rId1009" cstate="print"/>
                    <a:srcRect r="33745"/>
                    <a:stretch>
                      <a:fillRect/>
                    </a:stretch>
                  </pic:blipFill>
                  <pic:spPr bwMode="auto">
                    <a:xfrm>
                      <a:off x="0" y="0"/>
                      <a:ext cx="4156341" cy="532683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Figure 1: The Geological column showing the 4 major Eras. The boundaries of each Era are marked by geological catastrophes. Note that the Archaeozoic is often called the Precambrian, and the snowball earth strata (now called the Cryogenian) extends from the jagged line at 700 million atomic years up to the change in color about 590 million atomic years. This geological boundary is being reassessed. Ascending in the rock record, the next major catastrophe is the Permian extinction at the end of the Paleozoic around 251million atomic years ago. The latest catastrophe closed the Mesozoic at the Cretaceous-Tertiary extinction, 65 million atomic years ago.</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Daniel Connelly who is doing the main research on MAPCIS has taken the youngest age of the rocks in the area to give an age for the structure of about 545 million atomic years. This is near the Neoproterozoic/Cambrian boundary. However, Neoproterozoic strata exist near the impact zone. In addition, the Adelaide Geosyncline (also known as the Adelaide Rift Complex) forms part of the outer ring in Figure 2, so the impression is that it seems to have been initiated by the impact. Since the.Complex has a Neoproterozoic age [5], it is taken here that this is probably the formation time of MAPCIS rather than at the Cambrian boundary</w:t>
      </w:r>
    </w:p>
    <w:p w:rsidR="00700009" w:rsidRPr="00A61369"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3"/>
        <w:gridCol w:w="5150"/>
      </w:tblGrid>
      <w:tr w:rsidR="00700009" w:rsidRPr="00BD541D" w:rsidTr="00A61369">
        <w:trPr>
          <w:trHeight w:val="3255"/>
          <w:jc w:val="center"/>
        </w:trPr>
        <w:tc>
          <w:tcPr>
            <w:tcW w:w="5383"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color w:val="333333"/>
                <w:sz w:val="20"/>
              </w:rPr>
              <w:lastRenderedPageBreak/>
              <w:drawing>
                <wp:inline distT="0" distB="0" distL="0" distR="0">
                  <wp:extent cx="3261453" cy="2933700"/>
                  <wp:effectExtent l="19050" t="0" r="0" b="0"/>
                  <wp:docPr id="23" name="Picture 24" descr="craterfrmspacebr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aterfrmspacebrght"/>
                          <pic:cNvPicPr>
                            <a:picLocks noChangeAspect="1" noChangeArrowheads="1"/>
                          </pic:cNvPicPr>
                        </pic:nvPicPr>
                        <pic:blipFill>
                          <a:blip r:embed="rId1010" cstate="print">
                            <a:lum contrast="30000"/>
                          </a:blip>
                          <a:srcRect r="3990" b="4098"/>
                          <a:stretch>
                            <a:fillRect/>
                          </a:stretch>
                        </pic:blipFill>
                        <pic:spPr bwMode="auto">
                          <a:xfrm>
                            <a:off x="0" y="0"/>
                            <a:ext cx="3266068" cy="2937851"/>
                          </a:xfrm>
                          <a:prstGeom prst="rect">
                            <a:avLst/>
                          </a:prstGeom>
                          <a:noFill/>
                          <a:ln w="9525">
                            <a:noFill/>
                            <a:miter lim="800000"/>
                            <a:headEnd/>
                            <a:tailEnd/>
                          </a:ln>
                        </pic:spPr>
                      </pic:pic>
                    </a:graphicData>
                  </a:graphic>
                </wp:inline>
              </w:drawing>
            </w:r>
          </w:p>
        </w:tc>
        <w:tc>
          <w:tcPr>
            <w:tcW w:w="515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3113652" cy="2933700"/>
                  <wp:effectExtent l="19050" t="0" r="0" b="0"/>
                  <wp:docPr id="769" name="il_fi" descr="http://www.mapcis.net/img/craterspacecirc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apcis.net/img/craterspacecirccrop.jpg"/>
                          <pic:cNvPicPr>
                            <a:picLocks noChangeAspect="1" noChangeArrowheads="1"/>
                          </pic:cNvPicPr>
                        </pic:nvPicPr>
                        <pic:blipFill>
                          <a:blip r:embed="rId1011" cstate="print"/>
                          <a:srcRect/>
                          <a:stretch>
                            <a:fillRect/>
                          </a:stretch>
                        </pic:blipFill>
                        <pic:spPr bwMode="auto">
                          <a:xfrm>
                            <a:off x="0" y="0"/>
                            <a:ext cx="3122476" cy="294201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center"/>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4030500" cy="3503919"/>
            <wp:effectExtent l="19050" t="0" r="8100" b="0"/>
            <wp:docPr id="778"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2" cstate="print"/>
                    <a:srcRect r="199" b="4027"/>
                    <a:stretch>
                      <a:fillRect/>
                    </a:stretch>
                  </pic:blipFill>
                  <pic:spPr bwMode="auto">
                    <a:xfrm>
                      <a:off x="0" y="0"/>
                      <a:ext cx="4044645" cy="351621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Style w:val="Strong"/>
          <w:rFonts w:ascii="Book Antiqua" w:eastAsia="Calibri" w:hAnsi="Book Antiqua"/>
          <w:bCs w:val="0"/>
          <w:i/>
          <w:sz w:val="20"/>
        </w:rPr>
      </w:pPr>
    </w:p>
    <w:p w:rsidR="00700009" w:rsidRPr="00B07237"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2: </w:t>
      </w:r>
      <w:r w:rsidRPr="00A61369">
        <w:rPr>
          <w:rStyle w:val="Strong"/>
          <w:rFonts w:ascii="Book Antiqua" w:eastAsia="Calibri" w:hAnsi="Book Antiqua"/>
          <w:b w:val="0"/>
          <w:i/>
          <w:sz w:val="18"/>
          <w:szCs w:val="18"/>
        </w:rPr>
        <w:t>The MAPCIS structure in Australia from satellite images. Pseudotachylite, a rare rock that is formed by intense friction, has been found in arcing deposits up to 161 km long and many kilometers wide ringing the impact zone. A web of ground faults radiates from this zone. The bolide was about 30 km in diameter, impacted at 40+ km/s, and penetrated 45 km into the crust exposing eclogite, a form of rock only found at that depth. A rare alloy concentrated in iron meteorites is osmiridium. It is found in Neoproterozoic strata in the impact zone and in a radiating pattern in the same strata across eastern Australia, Tasmania, New Zealand and New Caledonia.</w:t>
      </w:r>
      <w:r w:rsidRPr="00B07237">
        <w:rPr>
          <w:rStyle w:val="Strong"/>
          <w:rFonts w:ascii="Book Antiqua" w:eastAsia="Calibri" w:hAnsi="Book Antiqua"/>
          <w:i/>
          <w:sz w:val="18"/>
          <w:szCs w:val="18"/>
        </w:rPr>
        <w:t xml:space="preserve">   </w:t>
      </w:r>
    </w:p>
    <w:p w:rsidR="0070000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lastRenderedPageBreak/>
        <w:t>The second Catastrophe, the Permian extinction, dates at about 250 million atomic years ago.  There is a crater 380 km wide in Wilkes Land, Antarctica, as well as the Bedout crater off Australia’s northwest coast, which is 250 km in diameter.  Both craters date from this period.  The Antarctic structure is shown in detail in Figure 3.</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jc w:val="both"/>
        <w:rPr>
          <w:rStyle w:val="Strong"/>
          <w:rFonts w:ascii="Book Antiqua" w:eastAsia="Calibri"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44"/>
        <w:gridCol w:w="4926"/>
      </w:tblGrid>
      <w:tr w:rsidR="00700009" w:rsidRPr="00BD541D" w:rsidTr="00A61369">
        <w:trPr>
          <w:trHeight w:val="3403"/>
          <w:jc w:val="center"/>
        </w:trPr>
        <w:tc>
          <w:tcPr>
            <w:tcW w:w="3169"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anchor distT="0" distB="0" distL="0" distR="0" simplePos="0" relativeHeight="251667456" behindDoc="0" locked="0" layoutInCell="1" allowOverlap="0">
                  <wp:simplePos x="0" y="0"/>
                  <wp:positionH relativeFrom="column">
                    <wp:posOffset>19050</wp:posOffset>
                  </wp:positionH>
                  <wp:positionV relativeFrom="line">
                    <wp:posOffset>91440</wp:posOffset>
                  </wp:positionV>
                  <wp:extent cx="3491230" cy="2914650"/>
                  <wp:effectExtent l="19050" t="0" r="0" b="0"/>
                  <wp:wrapSquare wrapText="bothSides"/>
                  <wp:docPr id="779"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3" cstate="print"/>
                          <a:srcRect l="16983" t="3311"/>
                          <a:stretch>
                            <a:fillRect/>
                          </a:stretch>
                        </pic:blipFill>
                        <pic:spPr bwMode="auto">
                          <a:xfrm>
                            <a:off x="0" y="0"/>
                            <a:ext cx="3491230" cy="2914650"/>
                          </a:xfrm>
                          <a:prstGeom prst="rect">
                            <a:avLst/>
                          </a:prstGeom>
                          <a:noFill/>
                          <a:ln w="9525">
                            <a:noFill/>
                            <a:miter lim="800000"/>
                            <a:headEnd/>
                            <a:tailEnd/>
                          </a:ln>
                        </pic:spPr>
                      </pic:pic>
                    </a:graphicData>
                  </a:graphic>
                </wp:anchor>
              </w:drawing>
            </w:r>
          </w:p>
        </w:tc>
        <w:tc>
          <w:tcPr>
            <w:tcW w:w="3041" w:type="dxa"/>
          </w:tcPr>
          <w:p w:rsidR="00700009" w:rsidRPr="00BD541D" w:rsidRDefault="00700009" w:rsidP="003442EA">
            <w:pPr>
              <w:pStyle w:val="NoSpacing"/>
              <w:jc w:val="both"/>
              <w:rPr>
                <w:rFonts w:ascii="Book Antiqua" w:hAnsi="Book Antiqua"/>
                <w:noProof/>
                <w:sz w:val="20"/>
              </w:rPr>
            </w:pPr>
          </w:p>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sz w:val="20"/>
              </w:rPr>
              <w:drawing>
                <wp:inline distT="0" distB="0" distL="0" distR="0">
                  <wp:extent cx="2968309" cy="2847975"/>
                  <wp:effectExtent l="19050" t="0" r="3491" b="0"/>
                  <wp:docPr id="782"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4" cstate="print"/>
                          <a:srcRect l="42735" t="55009"/>
                          <a:stretch>
                            <a:fillRect/>
                          </a:stretch>
                        </pic:blipFill>
                        <pic:spPr bwMode="auto">
                          <a:xfrm>
                            <a:off x="0" y="0"/>
                            <a:ext cx="2974145" cy="285357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rPr>
          <w:rFonts w:ascii="Book Antiqua" w:hAnsi="Book Antiqua"/>
          <w:sz w:val="18"/>
          <w:szCs w:val="18"/>
        </w:rPr>
      </w:pPr>
      <w:r w:rsidRPr="00B07237">
        <w:rPr>
          <w:rFonts w:ascii="Book Antiqua" w:hAnsi="Book Antiqua"/>
          <w:b/>
          <w:i/>
          <w:sz w:val="18"/>
          <w:szCs w:val="18"/>
        </w:rPr>
        <w:t>Figure 3:</w:t>
      </w:r>
      <w:r w:rsidRPr="00B07237">
        <w:rPr>
          <w:rFonts w:ascii="Book Antiqua" w:hAnsi="Book Antiqua"/>
          <w:i/>
          <w:sz w:val="18"/>
          <w:szCs w:val="18"/>
        </w:rPr>
        <w:t xml:space="preserve"> </w:t>
      </w:r>
      <w:proofErr w:type="gramStart"/>
      <w:r w:rsidRPr="00B07237">
        <w:rPr>
          <w:rFonts w:ascii="Book Antiqua" w:hAnsi="Book Antiqua"/>
          <w:b/>
          <w:i/>
          <w:sz w:val="18"/>
          <w:szCs w:val="18"/>
        </w:rPr>
        <w:t>On</w:t>
      </w:r>
      <w:proofErr w:type="gramEnd"/>
      <w:r w:rsidRPr="00B07237">
        <w:rPr>
          <w:rFonts w:ascii="Book Antiqua" w:hAnsi="Book Antiqua"/>
          <w:b/>
          <w:i/>
          <w:sz w:val="18"/>
          <w:szCs w:val="18"/>
        </w:rPr>
        <w:t xml:space="preserve"> left</w:t>
      </w:r>
      <w:r w:rsidRPr="00B07237">
        <w:rPr>
          <w:rFonts w:ascii="Book Antiqua" w:hAnsi="Book Antiqua"/>
          <w:i/>
          <w:sz w:val="18"/>
          <w:szCs w:val="18"/>
        </w:rPr>
        <w:t xml:space="preserve">, a combined image of gravity fluctuations and airborne radar in the Wilkes Land region of East Antarctica. The edges of the crater are colored red and blue; a concentration of mantle material is colored orange (center). </w:t>
      </w:r>
      <w:r w:rsidRPr="00B07237">
        <w:rPr>
          <w:rFonts w:ascii="Book Antiqua" w:hAnsi="Book Antiqua"/>
          <w:b/>
          <w:i/>
          <w:sz w:val="18"/>
          <w:szCs w:val="18"/>
        </w:rPr>
        <w:t>On right,</w:t>
      </w:r>
      <w:r w:rsidRPr="00B07237">
        <w:rPr>
          <w:rFonts w:ascii="Book Antiqua" w:hAnsi="Book Antiqua"/>
          <w:i/>
          <w:sz w:val="18"/>
          <w:szCs w:val="18"/>
        </w:rPr>
        <w:t xml:space="preserve"> an outline of East Antarctica with the mascon circled</w:t>
      </w:r>
      <w:r w:rsidRPr="00BD541D">
        <w:rPr>
          <w:rFonts w:ascii="Book Antiqua" w:hAnsi="Book Antiqua"/>
          <w:sz w:val="18"/>
          <w:szCs w:val="18"/>
        </w:rPr>
        <w:t>.</w:t>
      </w:r>
    </w:p>
    <w:p w:rsidR="00700009" w:rsidRPr="00BD541D"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Also dating from this same time are about 3 million cubic kilometers of basalt which form the Siberian Traps.  This outpouring is near the antipodal point of the Wilkes Land crater. We see this phenomenon on other planets. The objects which formed these craters transmitted a pressure pulse through the planets. For instance, at the antipodal point on Mercury, chaotic terrain was formed. On Mars, uplift and volcanism resulted at the antipodal points.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 the case of the earth, the rarefaction following the pulse released pressure from the antipodal crust. This pressure release caused the hot rock in the upper mantle to liquefy, which increases its volume 10%. This excess was outpoured on the surface as flood basalts through fissures in the slightly updomed strata now beneath the Traps. The coal measures which we find immediately under the Traps indicate the pressure was from below and not from an impact at the site.  The upwelling magma covered the existing coal strata.</w:t>
      </w:r>
    </w:p>
    <w:p w:rsidR="00700009" w:rsidRPr="00A61369" w:rsidRDefault="00700009" w:rsidP="00700009">
      <w:pPr>
        <w:pStyle w:val="NoSpacing"/>
        <w:jc w:val="both"/>
        <w:rPr>
          <w:rFonts w:ascii="Book Antiqua" w:hAnsi="Book Antiqua"/>
          <w:i/>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 xml:space="preserve">A similar event is linked to the Cretaceous Tertiary extinction episode, 65 million atomic years ago. The Chicxulub crater in the Yucatan dates from that time and is accompanied by a handful of other craters of approximately the same age. The Yucatan crater was initially assessed as being 180 km wide. However, more recent work suggests that this is only the inner ring to a complex crater which is over 300 km wide. Images of the structure are shown in Figure 4. </w:t>
      </w:r>
    </w:p>
    <w:p w:rsidR="00700009" w:rsidRPr="00A61369"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ind w:firstLine="720"/>
        <w:jc w:val="both"/>
        <w:rPr>
          <w:rStyle w:val="Strong"/>
          <w:rFonts w:ascii="Book Antiqua" w:eastAsia="Calibri" w:hAnsi="Book Antiqua"/>
          <w:b w:val="0"/>
          <w:bCs w:val="0"/>
          <w:sz w:val="20"/>
        </w:rPr>
      </w:pPr>
      <w:r w:rsidRPr="00A61369">
        <w:rPr>
          <w:rStyle w:val="Strong"/>
          <w:rFonts w:ascii="Book Antiqua" w:eastAsia="Calibri" w:hAnsi="Book Antiqua"/>
          <w:b w:val="0"/>
          <w:sz w:val="20"/>
        </w:rPr>
        <w:t>India was at the antipodal point of one of the impacts at the time, which occurred in North America. As a result, over a million cubic kilometers of basalt was outpoured to form the Deccan Traps in Western India. Since this event, however, India has drifted north to its present position and is no longer antipodal to the impact site.  In each of these three catastrophes ending geological Eras on earth, we see associated massive craters. In all three cases, the</w:t>
      </w:r>
      <w:r w:rsidRPr="0006025F">
        <w:rPr>
          <w:rStyle w:val="Strong"/>
          <w:rFonts w:ascii="Book Antiqua" w:eastAsia="Calibri" w:hAnsi="Book Antiqua"/>
          <w:sz w:val="20"/>
        </w:rPr>
        <w:t xml:space="preserve"> </w:t>
      </w:r>
      <w:r w:rsidRPr="00A61369">
        <w:rPr>
          <w:rStyle w:val="Strong"/>
          <w:rFonts w:ascii="Book Antiqua" w:eastAsia="Calibri" w:hAnsi="Book Antiqua"/>
          <w:b w:val="0"/>
          <w:sz w:val="20"/>
        </w:rPr>
        <w:t xml:space="preserve">break-up </w:t>
      </w:r>
      <w:r w:rsidRPr="00A61369">
        <w:rPr>
          <w:rStyle w:val="Strong"/>
          <w:rFonts w:ascii="Book Antiqua" w:eastAsia="Calibri" w:hAnsi="Book Antiqua"/>
          <w:b w:val="0"/>
          <w:sz w:val="20"/>
        </w:rPr>
        <w:lastRenderedPageBreak/>
        <w:t>times of planetary bodies in our solar system preceded these geological catastrophes by a very short amount of astronomical time.</w:t>
      </w:r>
    </w:p>
    <w:p w:rsidR="00700009" w:rsidRPr="00BD541D" w:rsidRDefault="00700009" w:rsidP="00700009">
      <w:pPr>
        <w:pStyle w:val="NoSpacing"/>
        <w:ind w:firstLine="720"/>
        <w:jc w:val="both"/>
        <w:rPr>
          <w:rStyle w:val="Strong"/>
          <w:rFonts w:ascii="Book Antiqua" w:eastAsia="Calibri" w:hAnsi="Book Antiqua"/>
          <w:b w:val="0"/>
          <w:bCs w:val="0"/>
          <w:sz w:val="20"/>
        </w:rPr>
      </w:pPr>
    </w:p>
    <w:tbl>
      <w:tblPr>
        <w:tblStyle w:val="TableGrid"/>
        <w:tblW w:w="0" w:type="auto"/>
        <w:jc w:val="center"/>
        <w:tblLook w:val="04A0"/>
      </w:tblPr>
      <w:tblGrid>
        <w:gridCol w:w="3497"/>
        <w:gridCol w:w="3228"/>
        <w:gridCol w:w="4212"/>
      </w:tblGrid>
      <w:tr w:rsidR="00700009" w:rsidRPr="00BD541D" w:rsidTr="00A61369">
        <w:trPr>
          <w:jc w:val="center"/>
        </w:trPr>
        <w:tc>
          <w:tcPr>
            <w:tcW w:w="2808"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8480" behindDoc="0" locked="0" layoutInCell="1" allowOverlap="0">
                  <wp:simplePos x="0" y="0"/>
                  <wp:positionH relativeFrom="column">
                    <wp:align>left</wp:align>
                  </wp:positionH>
                  <wp:positionV relativeFrom="line">
                    <wp:posOffset>52705</wp:posOffset>
                  </wp:positionV>
                  <wp:extent cx="2064385" cy="1819275"/>
                  <wp:effectExtent l="19050" t="0" r="0" b="0"/>
                  <wp:wrapSquare wrapText="bothSides"/>
                  <wp:docPr id="783"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5" cstate="print"/>
                          <a:srcRect l="7655" t="10701" b="26015"/>
                          <a:stretch>
                            <a:fillRect/>
                          </a:stretch>
                        </pic:blipFill>
                        <pic:spPr bwMode="auto">
                          <a:xfrm>
                            <a:off x="0" y="0"/>
                            <a:ext cx="2064385" cy="1819275"/>
                          </a:xfrm>
                          <a:prstGeom prst="rect">
                            <a:avLst/>
                          </a:prstGeom>
                          <a:noFill/>
                          <a:ln w="9525">
                            <a:noFill/>
                            <a:miter lim="800000"/>
                            <a:headEnd/>
                            <a:tailEnd/>
                          </a:ln>
                        </pic:spPr>
                      </pic:pic>
                    </a:graphicData>
                  </a:graphic>
                </wp:anchor>
              </w:drawing>
            </w:r>
          </w:p>
        </w:tc>
        <w:tc>
          <w:tcPr>
            <w:tcW w:w="2610"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Style w:val="Strong"/>
                <w:rFonts w:ascii="Book Antiqua" w:eastAsia="Calibri" w:hAnsi="Book Antiqua"/>
                <w:b w:val="0"/>
                <w:bCs w:val="0"/>
                <w:noProof/>
                <w:sz w:val="20"/>
              </w:rPr>
              <w:drawing>
                <wp:anchor distT="0" distB="0" distL="95250" distR="95250" simplePos="0" relativeHeight="251669504" behindDoc="0" locked="0" layoutInCell="1" allowOverlap="0">
                  <wp:simplePos x="0" y="0"/>
                  <wp:positionH relativeFrom="column">
                    <wp:align>left</wp:align>
                  </wp:positionH>
                  <wp:positionV relativeFrom="line">
                    <wp:posOffset>100330</wp:posOffset>
                  </wp:positionV>
                  <wp:extent cx="1893570" cy="1771650"/>
                  <wp:effectExtent l="19050" t="0" r="0" b="0"/>
                  <wp:wrapSquare wrapText="bothSides"/>
                  <wp:docPr id="785"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6" cstate="print"/>
                          <a:srcRect/>
                          <a:stretch>
                            <a:fillRect/>
                          </a:stretch>
                        </pic:blipFill>
                        <pic:spPr bwMode="auto">
                          <a:xfrm>
                            <a:off x="0" y="0"/>
                            <a:ext cx="1893570" cy="1771650"/>
                          </a:xfrm>
                          <a:prstGeom prst="rect">
                            <a:avLst/>
                          </a:prstGeom>
                          <a:noFill/>
                          <a:ln w="9525">
                            <a:noFill/>
                            <a:miter lim="800000"/>
                            <a:headEnd/>
                            <a:tailEnd/>
                          </a:ln>
                        </pic:spPr>
                      </pic:pic>
                    </a:graphicData>
                  </a:graphic>
                </wp:anchor>
              </w:drawing>
            </w:r>
          </w:p>
        </w:tc>
        <w:tc>
          <w:tcPr>
            <w:tcW w:w="3302" w:type="dxa"/>
          </w:tcPr>
          <w:p w:rsidR="00700009" w:rsidRPr="00BD541D" w:rsidRDefault="00700009" w:rsidP="003442EA">
            <w:pPr>
              <w:pStyle w:val="NoSpacing"/>
              <w:jc w:val="both"/>
              <w:rPr>
                <w:rStyle w:val="Strong"/>
                <w:rFonts w:ascii="Book Antiqua" w:eastAsia="Calibri" w:hAnsi="Book Antiqua"/>
                <w:b w:val="0"/>
                <w:bCs w:val="0"/>
                <w:sz w:val="20"/>
              </w:rPr>
            </w:pPr>
            <w:r w:rsidRPr="00BD541D">
              <w:rPr>
                <w:rFonts w:ascii="Book Antiqua" w:hAnsi="Book Antiqua"/>
                <w:noProof/>
              </w:rPr>
              <w:drawing>
                <wp:inline distT="0" distB="0" distL="0" distR="0">
                  <wp:extent cx="2518041" cy="1876425"/>
                  <wp:effectExtent l="19050" t="0" r="0" b="0"/>
                  <wp:docPr id="788"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Prehistoric Meteorite, NEAR Spacecraft orbiting Eros Asteroid, Model of Chicxulub Crater, 35 Mile Asteroid Ida, Ceres 940 km asteroid, Leonid Storm, IDA Asteroid, Eros, Asteroid Icarus orbits around sun, Asteroid burns, Asteroid Eros and Earth, Ida, Asteroid Vesta, Meteor burning thru open lense, Gaspra Asteroid, Prehistoric Meteorite in Namibia, Arizona Crator by Meteorite Strike, Kirkwood Gaps in Asteroid Belt, 2 ton Asteroid Magnified view, Leonid Meteor Shower, An Asteroid found on Earth, Forged Iron Stone Meteorite, Model of Chicxulub Crater, Prehistoric Quebec Carter from Space, "/>
                          <pic:cNvPicPr>
                            <a:picLocks noChangeAspect="1" noChangeArrowheads="1"/>
                          </pic:cNvPicPr>
                        </pic:nvPicPr>
                        <pic:blipFill>
                          <a:blip r:embed="rId1017" cstate="print"/>
                          <a:srcRect/>
                          <a:stretch>
                            <a:fillRect/>
                          </a:stretch>
                        </pic:blipFill>
                        <pic:spPr bwMode="auto">
                          <a:xfrm>
                            <a:off x="0" y="0"/>
                            <a:ext cx="2529890" cy="18852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ind w:firstLine="720"/>
        <w:jc w:val="both"/>
        <w:rPr>
          <w:rStyle w:val="Strong"/>
          <w:rFonts w:ascii="Book Antiqua" w:eastAsia="Calibri" w:hAnsi="Book Antiqua"/>
          <w:b w:val="0"/>
          <w:bCs w:val="0"/>
          <w:sz w:val="20"/>
        </w:rPr>
      </w:pPr>
    </w:p>
    <w:p w:rsidR="00700009" w:rsidRPr="00A61369" w:rsidRDefault="00700009" w:rsidP="00700009">
      <w:pPr>
        <w:pStyle w:val="NoSpacing"/>
        <w:rPr>
          <w:rStyle w:val="Strong"/>
          <w:rFonts w:ascii="Book Antiqua" w:eastAsia="Calibri" w:hAnsi="Book Antiqua"/>
          <w:b w:val="0"/>
          <w:bCs w:val="0"/>
          <w:i/>
          <w:sz w:val="18"/>
          <w:szCs w:val="18"/>
        </w:rPr>
      </w:pPr>
      <w:r w:rsidRPr="00B07237">
        <w:rPr>
          <w:rStyle w:val="Strong"/>
          <w:rFonts w:ascii="Book Antiqua" w:eastAsia="Calibri" w:hAnsi="Book Antiqua"/>
          <w:i/>
          <w:sz w:val="18"/>
          <w:szCs w:val="18"/>
        </w:rPr>
        <w:t xml:space="preserve">Figure 4: </w:t>
      </w:r>
      <w:r w:rsidRPr="00A61369">
        <w:rPr>
          <w:rStyle w:val="Strong"/>
          <w:rFonts w:ascii="Book Antiqua" w:eastAsia="Calibri" w:hAnsi="Book Antiqua"/>
          <w:b w:val="0"/>
          <w:i/>
          <w:sz w:val="18"/>
          <w:szCs w:val="18"/>
        </w:rPr>
        <w:t xml:space="preserve">Left - Chicxulub structure showing 2 inner rings; Yucatan coast in white. </w:t>
      </w:r>
      <w:proofErr w:type="gramStart"/>
      <w:r w:rsidRPr="00A61369">
        <w:rPr>
          <w:rStyle w:val="Strong"/>
          <w:rFonts w:ascii="Book Antiqua" w:eastAsia="Calibri" w:hAnsi="Book Antiqua"/>
          <w:b w:val="0"/>
          <w:i/>
          <w:sz w:val="18"/>
          <w:szCs w:val="18"/>
        </w:rPr>
        <w:t>Middle - vertical plot of gravity anomaly; outer rim bottom right shown in red.</w:t>
      </w:r>
      <w:proofErr w:type="gramEnd"/>
      <w:r w:rsidRPr="00A61369">
        <w:rPr>
          <w:rStyle w:val="Strong"/>
          <w:rFonts w:ascii="Book Antiqua" w:eastAsia="Calibri" w:hAnsi="Book Antiqua"/>
          <w:b w:val="0"/>
          <w:i/>
          <w:sz w:val="18"/>
          <w:szCs w:val="18"/>
        </w:rPr>
        <w:t xml:space="preserve"> Right – Reconstruction of crater with two main rings and central peak. </w:t>
      </w:r>
    </w:p>
    <w:p w:rsidR="00700009" w:rsidRPr="00BD541D" w:rsidRDefault="00700009" w:rsidP="00700009">
      <w:pPr>
        <w:pStyle w:val="NoSpacing"/>
        <w:jc w:val="both"/>
        <w:rPr>
          <w:rStyle w:val="Strong"/>
          <w:rFonts w:ascii="Book Antiqua" w:eastAsia="Calibri" w:hAnsi="Book Antiqua"/>
          <w:b w:val="0"/>
          <w:bCs w:val="0"/>
          <w:sz w:val="18"/>
          <w:szCs w:val="18"/>
        </w:rPr>
      </w:pPr>
    </w:p>
    <w:p w:rsidR="00700009" w:rsidRPr="00BD541D" w:rsidRDefault="00700009" w:rsidP="00700009">
      <w:pPr>
        <w:pStyle w:val="NoSpacing"/>
        <w:jc w:val="both"/>
        <w:rPr>
          <w:rStyle w:val="Strong"/>
          <w:rFonts w:ascii="Book Antiqua" w:eastAsia="Calibri" w:hAnsi="Book Antiqua"/>
          <w:bCs w:val="0"/>
          <w:sz w:val="20"/>
        </w:rPr>
      </w:pPr>
      <w:r w:rsidRPr="00BD541D">
        <w:rPr>
          <w:rStyle w:val="Strong"/>
          <w:rFonts w:ascii="Book Antiqua" w:eastAsia="Calibri" w:hAnsi="Book Antiqua"/>
          <w:sz w:val="20"/>
        </w:rPr>
        <w:t>3.  The Parent Body for Meteorites</w:t>
      </w:r>
    </w:p>
    <w:p w:rsidR="00700009" w:rsidRPr="00BD541D" w:rsidRDefault="00700009" w:rsidP="00700009">
      <w:pPr>
        <w:pStyle w:val="NoSpacing"/>
        <w:jc w:val="both"/>
        <w:rPr>
          <w:rStyle w:val="Strong"/>
          <w:rFonts w:ascii="Book Antiqua" w:eastAsia="Calibri" w:hAnsi="Book Antiqua"/>
          <w:b w:val="0"/>
          <w:bCs w:val="0"/>
          <w:i/>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 xml:space="preserve">Meteorites are only fragments. It is presumed they originated in a larger, parent body that broke up. The cause of the breakup is </w:t>
      </w:r>
      <w:r>
        <w:rPr>
          <w:rFonts w:ascii="Book Antiqua" w:hAnsi="Book Antiqua"/>
          <w:sz w:val="20"/>
        </w:rPr>
        <w:t>discussed</w:t>
      </w:r>
      <w:r w:rsidRPr="00BD541D">
        <w:rPr>
          <w:rFonts w:ascii="Book Antiqua" w:hAnsi="Book Antiqua"/>
          <w:sz w:val="20"/>
        </w:rPr>
        <w:t xml:space="preserve"> in Section 6 below. The question then </w:t>
      </w:r>
      <w:r>
        <w:rPr>
          <w:rFonts w:ascii="Book Antiqua" w:hAnsi="Book Antiqua"/>
          <w:sz w:val="20"/>
        </w:rPr>
        <w:t>arises</w:t>
      </w:r>
      <w:r w:rsidRPr="00BD541D">
        <w:rPr>
          <w:rFonts w:ascii="Book Antiqua" w:hAnsi="Book Antiqua"/>
          <w:sz w:val="20"/>
        </w:rPr>
        <w:t xml:space="preserve"> 'Where was that parent body?' Astronomers are fairly certain of the answer.   J. Audouze and G. Israel in Cambridge Atlas of Astronomy, p. 122, state: </w:t>
      </w:r>
      <w:r w:rsidRPr="00BD541D">
        <w:rPr>
          <w:rFonts w:ascii="Book Antiqua" w:hAnsi="Book Antiqua"/>
          <w:i/>
          <w:sz w:val="20"/>
        </w:rPr>
        <w:t>"Therefore it is now thought that the majority of meteorites come from the asteroids, whose diversity amply covers all classes of meteorites."</w:t>
      </w:r>
      <w:r w:rsidRPr="00BD541D">
        <w:rPr>
          <w:rFonts w:ascii="Book Antiqua" w:hAnsi="Book Antiqua"/>
          <w:sz w:val="20"/>
        </w:rPr>
        <w:t>[6] The majority of asteroids orbit between Mars and Jupiter. There is some diversity in these asteroids.  About 60% of them are dark and are concentrated in the outer regions of the main belt, while 30% of them are light and are found predominantly in the inner regions of the main belt. The remaining 10% are made up of several other minor categories.</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dark asteroids of the outer belt are rich in hydrated minerals, or minerals that contain water locked up in their crystal structure, while their darkness </w:t>
      </w:r>
      <w:r w:rsidRPr="00BD541D">
        <w:rPr>
          <w:rFonts w:ascii="Book Antiqua" w:hAnsi="Book Antiqua"/>
          <w:i/>
          <w:sz w:val="20"/>
        </w:rPr>
        <w:t>"is attributed to the presence of a few per cent of carbon on the surface"</w:t>
      </w:r>
      <w:r w:rsidRPr="00BD541D">
        <w:rPr>
          <w:rFonts w:ascii="Book Antiqua" w:hAnsi="Book Antiqua"/>
          <w:sz w:val="20"/>
        </w:rPr>
        <w:t xml:space="preserve">[7] [Cambridge Atlas, p. 152]. They are therefore classified as C-type (carbonaceous) asteroids. These asteroids are considered to be the specific originators of the carbonaceous chondrites. This view has recently been strengthened by data obtained from the NEAR spacecraft examination of the 66 km long C-class asteroid Mathilde, whose surface has the same spectroscopic signature as the carbonaceous chondrite meteorites [8].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30% of asteroids which are light colored are classified as S (silicaceous) because they are made up of silicates (including pyroxenes and olivines), similar to the Moon, as well as metals (iron and nickel). This class of asteroid is thought to give rise to the stony-iron meteorites. Though most of the S type asteroids inhabit the inner region of the main belt, a number of them have orbits which carry them into the inner solar system, past the earth and towards the sun. The Apollo-Amor asteroids are one such group.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Style w:val="Strong"/>
          <w:rFonts w:ascii="Book Antiqua" w:eastAsia="Calibri" w:hAnsi="Book Antiqua"/>
          <w:b w:val="0"/>
          <w:bCs w:val="0"/>
          <w:sz w:val="20"/>
        </w:rPr>
      </w:pPr>
      <w:r w:rsidRPr="00BD541D">
        <w:rPr>
          <w:rFonts w:ascii="Book Antiqua" w:hAnsi="Book Antiqua"/>
          <w:sz w:val="20"/>
        </w:rPr>
        <w:t>The 10% of asteroids in the minor category include a significant proportion of class M (metal) asteroids, such as 260 km Psyche, which is entirely nickel-iron [9]. The metallic meteorites seem to derive from these M class asteroids or from their parent body.</w:t>
      </w:r>
    </w:p>
    <w:p w:rsidR="00700009" w:rsidRPr="00BD541D" w:rsidRDefault="00700009" w:rsidP="00700009">
      <w:pPr>
        <w:pStyle w:val="NoSpacing"/>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A61369">
        <w:rPr>
          <w:rStyle w:val="Strong"/>
          <w:rFonts w:ascii="Book Antiqua" w:eastAsia="Calibri" w:hAnsi="Book Antiqua"/>
          <w:b w:val="0"/>
          <w:sz w:val="20"/>
        </w:rPr>
        <w:t>Although the relationship between asteroids and the meteorites which hit us is an ongoing matter of discussion, the</w:t>
      </w:r>
      <w:r w:rsidRPr="00BD541D">
        <w:rPr>
          <w:rStyle w:val="Strong"/>
          <w:rFonts w:ascii="Book Antiqua" w:eastAsia="Calibri" w:hAnsi="Book Antiqua"/>
          <w:sz w:val="20"/>
        </w:rPr>
        <w:t xml:space="preserve"> </w:t>
      </w:r>
      <w:r w:rsidRPr="00BD541D">
        <w:rPr>
          <w:rFonts w:ascii="Book Antiqua" w:hAnsi="Book Antiqua"/>
          <w:sz w:val="20"/>
        </w:rPr>
        <w:t xml:space="preserve">Cambridge Atlas states: </w:t>
      </w:r>
      <w:r w:rsidRPr="00BD541D">
        <w:rPr>
          <w:rFonts w:ascii="Book Antiqua" w:hAnsi="Book Antiqua"/>
          <w:i/>
          <w:sz w:val="20"/>
        </w:rPr>
        <w:t>"the majority of the asteroids are fragments of primordial bodies of greater size, metallic asteroids originating, for example, from the core of a larger, differentiated body."</w:t>
      </w:r>
      <w:r w:rsidRPr="00BD541D">
        <w:rPr>
          <w:rFonts w:ascii="Book Antiqua" w:hAnsi="Book Antiqua"/>
          <w:sz w:val="20"/>
        </w:rPr>
        <w:t>[10]</w:t>
      </w:r>
      <w:r w:rsidRPr="00BD541D">
        <w:rPr>
          <w:rFonts w:ascii="Book Antiqua" w:hAnsi="Book Antiqua"/>
          <w:i/>
          <w:sz w:val="20"/>
        </w:rPr>
        <w:t xml:space="preserve"> </w:t>
      </w:r>
      <w:r w:rsidRPr="00BD541D">
        <w:rPr>
          <w:rFonts w:ascii="Book Antiqua" w:hAnsi="Book Antiqua"/>
          <w:sz w:val="20"/>
        </w:rPr>
        <w:t xml:space="preserve">So while it is generally considered that the </w:t>
      </w:r>
      <w:r w:rsidRPr="00BD541D">
        <w:rPr>
          <w:rFonts w:ascii="Book Antiqua" w:hAnsi="Book Antiqua"/>
          <w:sz w:val="20"/>
        </w:rPr>
        <w:lastRenderedPageBreak/>
        <w:t>meteorites are in the majority from the asteroid belt, it is also acknowledged that the asteroids themselves came from some larger parent body.</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Cambridge Atlas then presents two possibilities for the larger parent body. </w:t>
      </w:r>
      <w:r w:rsidRPr="00BD541D">
        <w:rPr>
          <w:rFonts w:ascii="Book Antiqua" w:hAnsi="Book Antiqua"/>
          <w:i/>
          <w:sz w:val="20"/>
        </w:rPr>
        <w:t>"The first involves the existence of a mother planet, orbiting between Mars and Jupiter, which itself was fragmented."</w:t>
      </w:r>
      <w:r w:rsidRPr="00BD541D">
        <w:rPr>
          <w:rFonts w:ascii="Book Antiqua" w:hAnsi="Book Antiqua"/>
          <w:sz w:val="20"/>
        </w:rPr>
        <w:t>[10] However, because it was uncertain why this original planet should disrupt or explode, it was decided that the gravitational might of Jupiter must have prevented a large planet from forming. As a result, it is therefore usual to conclude that a whole population of smaller parent objects was formed, and that these later fragmented through collisions.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Heading3"/>
        <w:widowControl/>
        <w:pBdr>
          <w:top w:val="none" w:sz="0" w:space="0" w:color="auto"/>
          <w:left w:val="none" w:sz="0" w:space="0" w:color="auto"/>
          <w:bottom w:val="none" w:sz="0" w:space="0" w:color="auto"/>
          <w:right w:val="none" w:sz="0" w:space="0" w:color="auto"/>
        </w:pBdr>
        <w:tabs>
          <w:tab w:val="left" w:pos="288"/>
        </w:tabs>
        <w:spacing w:before="120" w:after="120" w:line="240" w:lineRule="atLeast"/>
        <w:jc w:val="both"/>
        <w:rPr>
          <w:rFonts w:ascii="Book Antiqua" w:hAnsi="Book Antiqua"/>
          <w:sz w:val="20"/>
          <w:szCs w:val="20"/>
        </w:rPr>
      </w:pPr>
      <w:r w:rsidRPr="00BD541D">
        <w:rPr>
          <w:rFonts w:ascii="Book Antiqua" w:hAnsi="Book Antiqua"/>
          <w:sz w:val="20"/>
          <w:szCs w:val="20"/>
        </w:rPr>
        <w:t>4.  An Explosion or Collisions?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six lines of evidence favor the explosive disruption of a mother planet [11-12]. One of the most basic explosion indicators is the entrapment of smaller debris into orbits around more massive pieces. This happens because the region around the explosion is initially thick with debris. Many of the larger pieces would find smaller fragments within their own gravitational sphere of influence and would retain them as permanent satellites. This is difficult to explain if Jupiter’s pull had prevented a large parent body from forming and the debris was formed by collision processes. In fact, such collisions generally accelerate particles to speeds which cause them to escape the colliding </w:t>
      </w:r>
      <w:proofErr w:type="gramStart"/>
      <w:r w:rsidRPr="00BD541D">
        <w:rPr>
          <w:rFonts w:ascii="Book Antiqua" w:hAnsi="Book Antiqua"/>
          <w:sz w:val="20"/>
        </w:rPr>
        <w:t>bodies</w:t>
      </w:r>
      <w:proofErr w:type="gramEnd"/>
      <w:r w:rsidRPr="00BD541D">
        <w:rPr>
          <w:rFonts w:ascii="Book Antiqua" w:hAnsi="Book Antiqua"/>
          <w:sz w:val="20"/>
        </w:rPr>
        <w:t xml:space="preserve"> gravity entirely. For this reason, the fact that </w:t>
      </w:r>
      <w:r>
        <w:rPr>
          <w:rFonts w:ascii="Book Antiqua" w:hAnsi="Book Antiqua"/>
          <w:sz w:val="20"/>
        </w:rPr>
        <w:t xml:space="preserve">16% </w:t>
      </w:r>
      <w:r w:rsidRPr="00BD541D">
        <w:rPr>
          <w:rFonts w:ascii="Book Antiqua" w:hAnsi="Book Antiqua"/>
          <w:sz w:val="20"/>
        </w:rPr>
        <w:t>of asteroids</w:t>
      </w:r>
      <w:r>
        <w:rPr>
          <w:rFonts w:ascii="Book Antiqua" w:hAnsi="Book Antiqua"/>
          <w:sz w:val="20"/>
        </w:rPr>
        <w:t xml:space="preserve"> and space rocks are binary or triple systems or</w:t>
      </w:r>
      <w:r w:rsidRPr="00BD541D">
        <w:rPr>
          <w:rFonts w:ascii="Book Antiqua" w:hAnsi="Book Antiqua"/>
          <w:sz w:val="20"/>
        </w:rPr>
        <w:t xml:space="preserve"> have subsidiary moons in orbit around them</w:t>
      </w:r>
      <w:r>
        <w:rPr>
          <w:rFonts w:ascii="Book Antiqua" w:hAnsi="Book Antiqua"/>
          <w:sz w:val="20"/>
        </w:rPr>
        <w:t>,</w:t>
      </w:r>
      <w:r w:rsidRPr="00BD541D">
        <w:rPr>
          <w:rFonts w:ascii="Book Antiqua" w:hAnsi="Book Antiqua"/>
          <w:sz w:val="20"/>
        </w:rPr>
        <w:t xml:space="preserve"> indicates they are the result of an explosion.</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Second, there is also the suggestion of an explosion seen in the pattern of dark residue on moons in the outer solar system.  This may have resulted from a blast wave travelling through (see Figure 5, left panel).  The third line of evidence comes from the NEAR space probe. Its data indicate that some asteroidal bodies like Eros are heavily fractured and contain fragments that have undergone small displacement [13], while the characteristics of others like Mathilde, or Itokawa in Figure 5 (right), can only be explained if they are a "rubble pile" rather than a monolithic fragment [14, 15]. These data indicate that the asteroids themselves came from some larger parent body by an explosive process.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tbl>
      <w:tblPr>
        <w:tblStyle w:val="TableGrid"/>
        <w:tblW w:w="0" w:type="auto"/>
        <w:jc w:val="center"/>
        <w:tblLook w:val="04A0"/>
      </w:tblPr>
      <w:tblGrid>
        <w:gridCol w:w="5496"/>
        <w:gridCol w:w="4658"/>
      </w:tblGrid>
      <w:tr w:rsidR="00700009" w:rsidRPr="00BD541D" w:rsidTr="00BA27CF">
        <w:trPr>
          <w:jc w:val="center"/>
        </w:trPr>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29647" cy="2828925"/>
                  <wp:effectExtent l="19050" t="0" r="4103" b="0"/>
                  <wp:docPr id="790" name="Picture 1" descr="Iap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petus"/>
                          <pic:cNvPicPr>
                            <a:picLocks noChangeAspect="1" noChangeArrowheads="1"/>
                          </pic:cNvPicPr>
                        </pic:nvPicPr>
                        <pic:blipFill>
                          <a:blip r:embed="rId1018" cstate="print"/>
                          <a:srcRect/>
                          <a:stretch>
                            <a:fillRect/>
                          </a:stretch>
                        </pic:blipFill>
                        <pic:spPr bwMode="auto">
                          <a:xfrm>
                            <a:off x="0" y="0"/>
                            <a:ext cx="3353082" cy="2848836"/>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820565" cy="2286247"/>
                  <wp:effectExtent l="0" t="266700" r="0" b="247403"/>
                  <wp:docPr id="791" name="il_fi" descr="http://www.psi.edu/sites/default/files/imported/pgwg/images/Itok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i.edu/sites/default/files/imported/pgwg/images/Itokawa.jpg"/>
                          <pic:cNvPicPr>
                            <a:picLocks noChangeAspect="1" noChangeArrowheads="1"/>
                          </pic:cNvPicPr>
                        </pic:nvPicPr>
                        <pic:blipFill>
                          <a:blip r:embed="rId1019" cstate="print"/>
                          <a:srcRect/>
                          <a:stretch>
                            <a:fillRect/>
                          </a:stretch>
                        </pic:blipFill>
                        <pic:spPr bwMode="auto">
                          <a:xfrm rot="5400000">
                            <a:off x="0" y="0"/>
                            <a:ext cx="2851848" cy="2311604"/>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5: Left</w:t>
      </w:r>
      <w:r w:rsidRPr="00B07237">
        <w:rPr>
          <w:rFonts w:ascii="Book Antiqua" w:hAnsi="Book Antiqua"/>
          <w:i/>
          <w:sz w:val="18"/>
          <w:szCs w:val="18"/>
        </w:rPr>
        <w:t xml:space="preserve"> – The leading edge of Saturn’s moon Iapetus is covered with a brownish deposit that is evidence for a blast wave passing through the system. The untouched surface appears whitish; shadows are black. </w:t>
      </w:r>
      <w:r w:rsidRPr="00B07237">
        <w:rPr>
          <w:rFonts w:ascii="Book Antiqua" w:hAnsi="Book Antiqua"/>
          <w:b/>
          <w:i/>
          <w:sz w:val="18"/>
          <w:szCs w:val="18"/>
        </w:rPr>
        <w:t>Right –</w:t>
      </w:r>
      <w:r w:rsidRPr="00B07237">
        <w:rPr>
          <w:rFonts w:ascii="Book Antiqua" w:hAnsi="Book Antiqua"/>
          <w:i/>
          <w:sz w:val="18"/>
          <w:szCs w:val="18"/>
        </w:rPr>
        <w:t xml:space="preserve"> Asteroid Itokawa imaged by Japanese Hayabusa spacecraft in 2005 is just a rubble pile.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fourth bit of evidence needs some explanation.  If Jupiter had prevented bits and pieces of original material from coalescing to become another planet, the bits and pieces at the same distance from the sun would be orbiting at very close to the same speed. It would be a similar situation to the particles next to each other in Saturn’s rings. They do not “bump” into each other. They simply slightly accelerate and then slightly retard the neighboring particle as they pass by. In this way the neighboring particles are pushed away rather than being attracted. In addition, there is no great difference in their relative speeds.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what we are seeing in the asteroid belt is relative velocity differences averaging 5 km/sec.  This is far too high to result from the interaction of similarly circling fragments. Indeed, it is close to the limit that is allowed by the laws of dynamics for stable orbits. In other words, the stability of the system has been compromised because mass has been lost to the system. This in itself indicates that the asteroid belt is all that remains of a much larger mass. This loss of mass to the system seems to indicate that an explosive event occurred which expelled much debris from the region.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F16F7">
        <w:rPr>
          <w:rFonts w:ascii="Book Antiqua" w:hAnsi="Book Antiqua"/>
          <w:sz w:val="20"/>
        </w:rPr>
        <w:t>This fourth piece of evidence leads on to the fifth. I</w:t>
      </w:r>
      <w:r w:rsidRPr="00BD541D">
        <w:rPr>
          <w:rFonts w:ascii="Book Antiqua" w:hAnsi="Book Antiqua"/>
          <w:sz w:val="20"/>
        </w:rPr>
        <w:t xml:space="preserve">f the solar nebula hypothesis is correct and Jupiter prevented a planet from forming, then circular orbits (that is with zero eccentricity) would be expected. They would also be in basically the same plane. One illustration of the principle is given by Saturn’s rings. They all orbit in the same plane around the planet and those orbits are very close to circular. In the case of the particles between Mars and Jupiter, the drag from the original nebula and collisions would also ensure that circular orbits which lay in a flat plane would have occurred.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if explosive disruption of a mother planet occurred, there would be many asteroids in orbits outside the main plane. Two additional features would be expected. There would be a position in the asteroid belt which corresponded to the original position of the planet. It might be expected that there would be relatively few such objects left in that position after the explosion. Therefore a graph should show a zone of avoidance at that location. In addition, the further the objects were thrown by the explosion, then the greater would be the expected eccentricity of their final orbits.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Van Flandern found both of these features existed when he plotted the data</w:t>
      </w:r>
      <w:r>
        <w:rPr>
          <w:rFonts w:ascii="Book Antiqua" w:hAnsi="Book Antiqua"/>
          <w:sz w:val="20"/>
        </w:rPr>
        <w:t xml:space="preserve"> from the asteroid belt</w:t>
      </w:r>
      <w:r w:rsidRPr="00BD541D">
        <w:rPr>
          <w:rFonts w:ascii="Book Antiqua" w:hAnsi="Book Antiqua"/>
          <w:sz w:val="20"/>
        </w:rPr>
        <w:t xml:space="preserve">. There was a sharp zone of avoidance at 2.82 AU; Mars is at 1.52 AU and Jupiter at 5.20 AU. (An Astronomical Unit, AU, is the mean distance of the Earth from the Sun). On either side of the zone of avoidance are two large groupings of asteroids, one starting at 2.55 AU, the other at 3.15 AU. The orbital eccentricities of both groups ranged from 0.15 to 0.20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sixth piece of evidence comes from the composition of these objects. This evidence appears to indicate that the objects in the asteroid belt, which also gave rise to the objects which hit earth, are from an exploded planet.  Because of the mineralogy of the S-type asteroids, it appears that they are the remains of the major parent planet, which we will call Planet Y here, with an interior that contained a core, a mantle and a crust. The C-type asteroids do not seem to have been so differentiated, and may have come from a smaller body, perhaps the moon of this planet, which may have had a chondritic interior which had undergone some phase changes due to heating, and an unheated, carbonaceous chondritic upper layer.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coincidence in the timing of the breakup of planet Y and its possible moon </w:t>
      </w:r>
      <w:r>
        <w:rPr>
          <w:rFonts w:ascii="Book Antiqua" w:hAnsi="Book Antiqua"/>
          <w:sz w:val="20"/>
        </w:rPr>
        <w:t>with</w:t>
      </w:r>
      <w:r w:rsidRPr="00BD541D">
        <w:rPr>
          <w:rFonts w:ascii="Book Antiqua" w:hAnsi="Book Antiqua"/>
          <w:sz w:val="20"/>
        </w:rPr>
        <w:t xml:space="preserve"> the events which closed the major eras on earth now needs to be examined, along with the cause of that breakup.</w:t>
      </w:r>
    </w:p>
    <w:p w:rsidR="00700009" w:rsidRPr="00BD541D" w:rsidRDefault="00700009" w:rsidP="00700009">
      <w:pPr>
        <w:pStyle w:val="NoSpacing"/>
        <w:jc w:val="both"/>
        <w:rPr>
          <w:rFonts w:ascii="Book Antiqua" w:hAnsi="Book Antiqua"/>
          <w:b/>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5.  Radioactive Elements in Planetary Cores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As shown,</w:t>
      </w:r>
      <w:r w:rsidRPr="00F147F2">
        <w:rPr>
          <w:rFonts w:ascii="Book Antiqua" w:hAnsi="Book Antiqua"/>
          <w:sz w:val="20"/>
        </w:rPr>
        <w:t xml:space="preserve"> both the asteroids and meteorites probably came from a larger body (or bodies) many of whose minerals have either undergone phase changes or else have been changed by heating.</w:t>
      </w:r>
      <w:r w:rsidRPr="00BD541D">
        <w:rPr>
          <w:rFonts w:ascii="Book Antiqua" w:hAnsi="Book Antiqua"/>
          <w:sz w:val="20"/>
        </w:rPr>
        <w:t xml:space="preserve"> A major source of heat is needed to perform this task.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earth is layered, as are all the planets, with heavy metal cores surrounded by less heavy elements.  Arthur Calderwood, from the University of Nevada at Las Vegas, pointed out that it is possible to construct a model of the earth's interior using the full standard C1 chondrite abundance of uranium and thorium within the silicate earth. When this is done, the model also requires that the core be enriched by 1420 parts </w:t>
      </w:r>
      <w:proofErr w:type="gramStart"/>
      <w:r w:rsidRPr="00BD541D">
        <w:rPr>
          <w:rFonts w:ascii="Book Antiqua" w:hAnsi="Book Antiqua"/>
          <w:sz w:val="20"/>
        </w:rPr>
        <w:t>per million in potassium [16]</w:t>
      </w:r>
      <w:proofErr w:type="gramEnd"/>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suggested reason why the enrichment occurs is that potassium forms a stable, high pressure metal alloy with nickel-iron in its liquid state, and so would be incorporated into the core during its formation. As a result, this model predicts that most of today's mantle heat flux comes from the core rather than from the mantle as required by the traditional interpretation [17]. Calderwood pointed out that the traditional interpretation requires the lower mantle, below 660 kilometers, to be a chemically distinct reservoir rich in potassium, uranium, thorium, and argon 40 [16].</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Plasma physics supports some of this scenario. It indicates that, as a result of Marklund convection, planets were formed already layered. The majority of radioactive elements were concentrated towards planetary centers by this convection process, not by any heating mechanism.</w:t>
      </w:r>
      <w:r>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in fairness to the traditional model, it must be pointed out that a 1999 re-assessment of 1997data indicated that it is the bottom 1000 kilometers of the mantle, starting at a depth of 1700 kilometers, that contains anomalous reservoirs of heat producing elements [18].  This becomes a middle position between the Calderwood proposal and the traditional view, and both are basically in accord with the plasma model.</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6.  The Role of Radioactive Heating</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formation of the planets as a result of a pinching of a fragmented plasma filament not only sorted the elements, resulting in the layering we see in each planet, but it also resulted in cool planets whose interiors then heated up.  The heavier elements, layered in the cores, were </w:t>
      </w:r>
      <w:r w:rsidRPr="00F147F2">
        <w:rPr>
          <w:rFonts w:ascii="Book Antiqua" w:hAnsi="Book Antiqua"/>
          <w:sz w:val="20"/>
        </w:rPr>
        <w:t>also</w:t>
      </w:r>
      <w:r w:rsidRPr="00BD541D">
        <w:rPr>
          <w:rFonts w:ascii="Book Antiqua" w:hAnsi="Book Antiqua"/>
          <w:sz w:val="20"/>
        </w:rPr>
        <w:t xml:space="preserve"> the elements subject to radio decay, and it is from this process the heat originated.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evidence favors this position for our own planet. A study by William Peck and Stephen Mojzsis of zircons from the Jack Hills rock formation in Western Australia has revealed that oceans, continents and flowing water existed 4.3 to 4.4 billion atomic years ago [19-21]. Having those radiometric dates, these zircons are the oldest items found so far on earth. The data thus indicate a hydrological cycle in operation and hence a cool surface for the earth from the earliest times.  This is in startling contrast to the hot, molten beginnings presented by standard astronomy which resulted from the gravitational accretion of material.  In the gravitational model, the planets then had to cool and the crust formed later.  </w:t>
      </w:r>
      <w:r>
        <w:rPr>
          <w:rFonts w:ascii="Book Antiqua" w:hAnsi="Book Antiqua"/>
          <w:sz w:val="20"/>
        </w:rPr>
        <w:t>Even now</w:t>
      </w:r>
      <w:r w:rsidRPr="00F147F2">
        <w:rPr>
          <w:rFonts w:ascii="Book Antiqua" w:hAnsi="Book Antiqua"/>
          <w:sz w:val="20"/>
        </w:rPr>
        <w:t xml:space="preserve"> we observe heat flux from planetary surfaces</w:t>
      </w:r>
      <w:r>
        <w:rPr>
          <w:rFonts w:ascii="Book Antiqua" w:hAnsi="Book Antiqua"/>
          <w:sz w:val="20"/>
        </w:rPr>
        <w:t xml:space="preserve"> – some planets are giving off more heat than they are receiving from the sun</w:t>
      </w:r>
      <w:r w:rsidRPr="00F147F2">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Pl</w:t>
      </w:r>
      <w:r w:rsidRPr="00F147F2">
        <w:rPr>
          <w:rFonts w:ascii="Book Antiqua" w:hAnsi="Book Antiqua"/>
          <w:sz w:val="20"/>
        </w:rPr>
        <w:t xml:space="preserve">anet Y and its moon would </w:t>
      </w:r>
      <w:r>
        <w:rPr>
          <w:rFonts w:ascii="Book Antiqua" w:hAnsi="Book Antiqua"/>
          <w:sz w:val="20"/>
        </w:rPr>
        <w:t xml:space="preserve">also </w:t>
      </w:r>
      <w:r w:rsidRPr="00F147F2">
        <w:rPr>
          <w:rFonts w:ascii="Book Antiqua" w:hAnsi="Book Antiqua"/>
          <w:sz w:val="20"/>
        </w:rPr>
        <w:t xml:space="preserve">have started in a cool condition.  As with the other planets, their cores would have then heated up due to radioactive decay.  </w:t>
      </w:r>
      <w:r w:rsidRPr="00BD541D">
        <w:rPr>
          <w:rFonts w:ascii="Book Antiqua" w:hAnsi="Book Antiqua"/>
          <w:sz w:val="20"/>
        </w:rPr>
        <w:t xml:space="preserve">Interestingly, in the case of meteorites </w:t>
      </w:r>
      <w:r>
        <w:rPr>
          <w:rFonts w:ascii="Book Antiqua" w:hAnsi="Book Antiqua"/>
          <w:sz w:val="20"/>
        </w:rPr>
        <w:t>(</w:t>
      </w:r>
      <w:r w:rsidRPr="00F147F2">
        <w:rPr>
          <w:rFonts w:ascii="Book Antiqua" w:hAnsi="Book Antiqua"/>
          <w:sz w:val="20"/>
        </w:rPr>
        <w:t>and hence asteroids</w:t>
      </w:r>
      <w:r>
        <w:rPr>
          <w:rFonts w:ascii="Book Antiqua" w:hAnsi="Book Antiqua"/>
          <w:sz w:val="20"/>
        </w:rPr>
        <w:t>)</w:t>
      </w:r>
      <w:r w:rsidRPr="00BD541D">
        <w:rPr>
          <w:rFonts w:ascii="Book Antiqua" w:hAnsi="Book Antiqua"/>
          <w:sz w:val="20"/>
        </w:rPr>
        <w:t xml:space="preserve">, the source of heat is already known and acknowledged. Isotopic anomalies have been seen to occur in meteorites.  Compared to Earth, there is a super-abundance of the daughter element magnesium 26, which is correlated with the abundance of the mother element, aluminum 26, in the samples. The Cambridge Atlas states: </w:t>
      </w:r>
      <w:r w:rsidRPr="00BD541D">
        <w:rPr>
          <w:rFonts w:ascii="Book Antiqua" w:hAnsi="Book Antiqua"/>
          <w:i/>
          <w:sz w:val="20"/>
        </w:rPr>
        <w:t>"This excess of magnesium 26 very probably results from the radio-active decay of aluminium 26. Heat from a 'short'-period radioactive element, such as aluminium 26, would be sufficient to melt bodies of a size greater than 10 kilometres."</w:t>
      </w:r>
      <w:r w:rsidRPr="00BD541D">
        <w:rPr>
          <w:rFonts w:ascii="Book Antiqua" w:hAnsi="Book Antiqua"/>
          <w:sz w:val="20"/>
        </w:rPr>
        <w:t>[6] When it is remembered that aluminum 26 would have an accelerated decay rate with low ZPE values, a potentially viable scenario opens up.</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mechanism whereby the heat from rapid radioactive decay of short half-life elements caused a fracturing of Planet Y and its moon may be found in the composition of the original material making up these bodies. As noted for the carbonaceous chondrites, both (1) interstitial water and (2) water locked up in the crystal lattices of minerals such as serpentine are present. In the case of (1), the gaps between the mineral grains, the interstices, range from 0% up to 15% in ordinary chondrites.  This is expected to be similar for the carbonaceous chondrites [13]. In the case of (2), the mineral </w:t>
      </w:r>
      <w:r w:rsidRPr="00BD541D">
        <w:rPr>
          <w:rFonts w:ascii="Book Antiqua" w:hAnsi="Book Antiqua"/>
          <w:sz w:val="20"/>
        </w:rPr>
        <w:lastRenderedPageBreak/>
        <w:t xml:space="preserve">serpentine contains 13% water in its crystal lattices and, when it is heated, the water is expelled.  The resulting mineral is olivine. This makes it possible that some of the olivine in differentiated bodies may have derived from serpentine. In some of these bodies, water content is as high as 20% [22].  </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What we appear to have found in our solar system is that there is more water, in one form or another, the further out from the sun a planet gets.  While Earth has the liquid water we require </w:t>
      </w:r>
      <w:proofErr w:type="gramStart"/>
      <w:r w:rsidRPr="00BD541D">
        <w:rPr>
          <w:rFonts w:ascii="Book Antiqua" w:hAnsi="Book Antiqua"/>
          <w:sz w:val="20"/>
        </w:rPr>
        <w:t>to sustain</w:t>
      </w:r>
      <w:proofErr w:type="gramEnd"/>
      <w:r w:rsidRPr="00BD541D">
        <w:rPr>
          <w:rFonts w:ascii="Book Antiqua" w:hAnsi="Book Antiqua"/>
          <w:sz w:val="20"/>
        </w:rPr>
        <w:t xml:space="preserve"> life, vast amounts of frozen water are found on Uranus and Neptune.  Saturn and Jupiter have very large amounts of water surrounding their cores.  Mars has strong evidence of having flooded on a planet-wide scale in its past.  Planet Y, between Mars and Jupiter, would then have had quite a bit of water, again in one form or another, in its body.  As the heat </w:t>
      </w:r>
      <w:r>
        <w:rPr>
          <w:rFonts w:ascii="Book Antiqua" w:hAnsi="Book Antiqua"/>
          <w:sz w:val="20"/>
        </w:rPr>
        <w:t>built</w:t>
      </w:r>
      <w:r w:rsidRPr="00BD541D">
        <w:rPr>
          <w:rFonts w:ascii="Book Antiqua" w:hAnsi="Book Antiqua"/>
          <w:sz w:val="20"/>
        </w:rPr>
        <w:t xml:space="preserve"> up deep in </w:t>
      </w:r>
      <w:r>
        <w:rPr>
          <w:rFonts w:ascii="Book Antiqua" w:hAnsi="Book Antiqua"/>
          <w:sz w:val="20"/>
        </w:rPr>
        <w:t>its</w:t>
      </w:r>
      <w:r w:rsidRPr="00BD541D">
        <w:rPr>
          <w:rFonts w:ascii="Book Antiqua" w:hAnsi="Book Antiqua"/>
          <w:sz w:val="20"/>
        </w:rPr>
        <w:t xml:space="preserve"> interior, </w:t>
      </w:r>
      <w:r>
        <w:rPr>
          <w:rFonts w:ascii="Book Antiqua" w:hAnsi="Book Antiqua"/>
          <w:sz w:val="20"/>
        </w:rPr>
        <w:t>the</w:t>
      </w:r>
      <w:r w:rsidRPr="00BD541D">
        <w:rPr>
          <w:rFonts w:ascii="Book Antiqua" w:hAnsi="Book Antiqua"/>
          <w:sz w:val="20"/>
        </w:rPr>
        <w:t xml:space="preserve"> water </w:t>
      </w:r>
      <w:r>
        <w:rPr>
          <w:rFonts w:ascii="Book Antiqua" w:hAnsi="Book Antiqua"/>
          <w:sz w:val="20"/>
        </w:rPr>
        <w:t>was</w:t>
      </w:r>
      <w:r w:rsidRPr="00BD541D">
        <w:rPr>
          <w:rFonts w:ascii="Book Antiqua" w:hAnsi="Book Antiqua"/>
          <w:sz w:val="20"/>
        </w:rPr>
        <w:t xml:space="preserve"> expelled from the pores and the hydrated minerals</w:t>
      </w:r>
      <w:r>
        <w:rPr>
          <w:rFonts w:ascii="Book Antiqua" w:hAnsi="Book Antiqua"/>
          <w:sz w:val="20"/>
        </w:rPr>
        <w:t>.  As the water was driven out</w:t>
      </w:r>
      <w:proofErr w:type="gramStart"/>
      <w:r>
        <w:rPr>
          <w:rFonts w:ascii="Book Antiqua" w:hAnsi="Book Antiqua"/>
          <w:sz w:val="20"/>
        </w:rPr>
        <w:t xml:space="preserve">, </w:t>
      </w:r>
      <w:r w:rsidRPr="00BD541D">
        <w:rPr>
          <w:rFonts w:ascii="Book Antiqua" w:hAnsi="Book Antiqua"/>
          <w:sz w:val="20"/>
        </w:rPr>
        <w:t xml:space="preserve"> tremendous</w:t>
      </w:r>
      <w:proofErr w:type="gramEnd"/>
      <w:r w:rsidRPr="00BD541D">
        <w:rPr>
          <w:rFonts w:ascii="Book Antiqua" w:hAnsi="Book Antiqua"/>
          <w:sz w:val="20"/>
        </w:rPr>
        <w:t xml:space="preserve"> </w:t>
      </w:r>
      <w:r w:rsidRPr="00B87559">
        <w:rPr>
          <w:rFonts w:ascii="Book Antiqua" w:hAnsi="Book Antiqua"/>
          <w:sz w:val="20"/>
        </w:rPr>
        <w:t>pressures result</w:t>
      </w:r>
      <w:r>
        <w:rPr>
          <w:rFonts w:ascii="Book Antiqua" w:hAnsi="Book Antiqua"/>
          <w:sz w:val="20"/>
        </w:rPr>
        <w:t>ed</w:t>
      </w:r>
      <w:r w:rsidRPr="00BD541D">
        <w:rPr>
          <w:rFonts w:ascii="Book Antiqua" w:hAnsi="Book Antiqua"/>
          <w:sz w:val="20"/>
        </w:rPr>
        <w:t xml:space="preserve">.  </w:t>
      </w:r>
    </w:p>
    <w:p w:rsidR="00700009" w:rsidRDefault="00700009" w:rsidP="00700009">
      <w:pPr>
        <w:pStyle w:val="NoSpacing"/>
        <w:jc w:val="both"/>
        <w:rPr>
          <w:rFonts w:ascii="Book Antiqua" w:hAnsi="Book Antiqua"/>
          <w:sz w:val="20"/>
        </w:rPr>
      </w:pPr>
      <w:r>
        <w:rPr>
          <w:rFonts w:ascii="Book Antiqua" w:hAnsi="Book Antiqua"/>
          <w:sz w:val="20"/>
        </w:rPr>
        <w:t xml:space="preserve">The building heat caused </w:t>
      </w:r>
      <w:r w:rsidRPr="00BD541D">
        <w:rPr>
          <w:rFonts w:ascii="Book Antiqua" w:hAnsi="Book Antiqua"/>
          <w:sz w:val="20"/>
        </w:rPr>
        <w:t>some of the rocks themselves to melt, gaining 10% in volume as they did.  The planet had to respond to this pressure in one way or another.  It shattered.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We have evidence of the </w:t>
      </w:r>
      <w:r>
        <w:rPr>
          <w:rFonts w:ascii="Book Antiqua" w:hAnsi="Book Antiqua"/>
          <w:sz w:val="20"/>
        </w:rPr>
        <w:t>action</w:t>
      </w:r>
      <w:r w:rsidRPr="00BD541D">
        <w:rPr>
          <w:rFonts w:ascii="Book Antiqua" w:hAnsi="Book Antiqua"/>
          <w:sz w:val="20"/>
        </w:rPr>
        <w:t xml:space="preserve"> of hot water in a number of meteorites. For example, in case of the Tieschitz meteorite, an H/L chondrite, it is stated that radiometric clocks were reset about 2 billion years ago by aqueous fluid. [23, 24] It was commented that </w:t>
      </w:r>
      <w:r w:rsidRPr="00BD541D">
        <w:rPr>
          <w:rFonts w:ascii="Book Antiqua" w:hAnsi="Book Antiqua"/>
          <w:i/>
          <w:sz w:val="20"/>
        </w:rPr>
        <w:t>“Chondrules in this meteorite show evidence for varying degrees of aqueous alteration.”</w:t>
      </w:r>
      <w:r w:rsidRPr="00BD541D">
        <w:rPr>
          <w:rFonts w:ascii="Book Antiqua" w:hAnsi="Book Antiqua"/>
          <w:sz w:val="20"/>
        </w:rPr>
        <w:t xml:space="preserve"> [25</w:t>
      </w:r>
      <w:proofErr w:type="gramStart"/>
      <w:r w:rsidRPr="00BD541D">
        <w:rPr>
          <w:rFonts w:ascii="Book Antiqua" w:hAnsi="Book Antiqua"/>
          <w:sz w:val="20"/>
        </w:rPr>
        <w:t>]</w:t>
      </w:r>
      <w:r>
        <w:rPr>
          <w:rFonts w:ascii="Book Antiqua" w:hAnsi="Book Antiqua"/>
          <w:sz w:val="20"/>
        </w:rPr>
        <w:t xml:space="preserve">  Cold</w:t>
      </w:r>
      <w:proofErr w:type="gramEnd"/>
      <w:r>
        <w:rPr>
          <w:rFonts w:ascii="Book Antiqua" w:hAnsi="Book Antiqua"/>
          <w:sz w:val="20"/>
        </w:rPr>
        <w:t xml:space="preserve"> water would not do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 In a similar way, in June 2000, scientists at the University of Manchester and the Natural History Museum in London used the decay of Iodine 129 to Xenon 129 to date crystals in the Monahans meteorite. They established a radiometric age for the halite (NaCl) and sylvite (KCl) crystals of 4.57 billion years. [26] It is stated that </w:t>
      </w:r>
      <w:r w:rsidRPr="00BD541D">
        <w:rPr>
          <w:rFonts w:ascii="Book Antiqua" w:hAnsi="Book Antiqua"/>
          <w:i/>
          <w:sz w:val="20"/>
        </w:rPr>
        <w:t>“The Manchester team hypothesizes that the decay of the radioactive material within the original parent body provided enough heat energy that the water present …evaporated, leaving the salt crystals (formed of sodium chloride or ‘halite’) behind. Within these halite crystals are very small pockets or ‘inclusions’ that contain water.”</w:t>
      </w:r>
      <w:r w:rsidRPr="00BD541D">
        <w:rPr>
          <w:rFonts w:ascii="Book Antiqua" w:hAnsi="Book Antiqua"/>
          <w:sz w:val="20"/>
        </w:rPr>
        <w:t xml:space="preserve"> [27] They go on to state that </w:t>
      </w:r>
      <w:r w:rsidRPr="00BD541D">
        <w:rPr>
          <w:rFonts w:ascii="Book Antiqua" w:hAnsi="Book Antiqua"/>
          <w:i/>
          <w:sz w:val="20"/>
        </w:rPr>
        <w:t>“The presence of liquid water on the meteorite has important implications for understanding the geology of moons and planets with large amounts of heat in their interiors. Volcanic activity is closely linked with the availability of water, which plays a major role in the formation of magma.”</w:t>
      </w:r>
      <w:r w:rsidRPr="00BD541D">
        <w:rPr>
          <w:rFonts w:ascii="Book Antiqua" w:hAnsi="Book Antiqua"/>
          <w:sz w:val="20"/>
        </w:rPr>
        <w:t xml:space="preserve"> [27]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suggests that water was being driven out of mineral structures in the interior of the parent body towards the surface by the heat of radioactive decay. Indeed, the effect of radioactive decay is seen in the halite on the Monahans meteorite as the halite has </w:t>
      </w:r>
      <w:r w:rsidRPr="00BD541D">
        <w:rPr>
          <w:rFonts w:ascii="Book Antiqua" w:hAnsi="Book Antiqua"/>
          <w:i/>
          <w:sz w:val="20"/>
        </w:rPr>
        <w:t xml:space="preserve">"acquired purple and blue colours during the long transit through the radioactive decay of elements in close proximity" </w:t>
      </w:r>
      <w:r w:rsidRPr="00BD541D">
        <w:rPr>
          <w:rFonts w:ascii="Book Antiqua" w:hAnsi="Book Antiqua"/>
          <w:sz w:val="20"/>
        </w:rPr>
        <w:t>[27].  But more likely than a long transit time for the crystals is the accelerated decay rate of the radioactive elements which would result in the same discoloration.  A lower Zero Point Energy in the past would have accomplished this.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It </w:t>
      </w:r>
      <w:r>
        <w:rPr>
          <w:rFonts w:ascii="Book Antiqua" w:hAnsi="Book Antiqua"/>
          <w:sz w:val="20"/>
        </w:rPr>
        <w:t>was probably</w:t>
      </w:r>
      <w:r w:rsidRPr="00BD541D">
        <w:rPr>
          <w:rFonts w:ascii="Book Antiqua" w:hAnsi="Book Antiqua"/>
          <w:sz w:val="20"/>
        </w:rPr>
        <w:t xml:space="preserve"> the short half-life radioactive elements that were largely responsible for heating the interior of Planet Y and its moon.  It is their daughter products which we find in abundance in meteorites.  This also may mean that the radiometric data from meteorites indicating 4.6 billion atomic years as the age of the Solar System may instead be referring to events whereby radiometric clocks were reset by processes associated with this heating.</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18"/>
          <w:szCs w:val="18"/>
        </w:rPr>
      </w:pPr>
      <w:r w:rsidRPr="00BD541D">
        <w:rPr>
          <w:rFonts w:ascii="Book Antiqua" w:hAnsi="Book Antiqua"/>
          <w:sz w:val="20"/>
        </w:rPr>
        <w:t xml:space="preserve">This is not only true for the parent of the stony meteorites; it applies to the iron meteorites as well. While it is true that Marklund convection resulted in layering of planetary interiors, as radioactive heating occurred in the core-mantle region of planetary interiors, metals would have separated from the silicates. This event can be dated radiometrically.  In the case of the Canyon Diablo meteorite, it is stated that </w:t>
      </w:r>
      <w:r w:rsidRPr="00BD541D">
        <w:rPr>
          <w:rFonts w:ascii="Book Antiqua" w:hAnsi="Book Antiqua"/>
          <w:i/>
          <w:sz w:val="20"/>
        </w:rPr>
        <w:t>"About 4.55 b.y [billion years] ago, inside the parent body, a melting process separated the nickel-iron alloy from the silicates with which it was originally associated."</w:t>
      </w:r>
      <w:r w:rsidRPr="00BD541D">
        <w:rPr>
          <w:rFonts w:ascii="Book Antiqua" w:hAnsi="Book Antiqua"/>
          <w:sz w:val="20"/>
        </w:rPr>
        <w:t xml:space="preserve"> [28] Similarly, radiometric data for the Caddo County meteorite also indicate that silicates separated from the metal about 4.53 billion years ago. In these cases the 4.6 billion years does not refer to the formation of the object but rather to the atomic time of the initial heating event. If similar processes were acting in other bodies in the solar system, including the earth, then a similar date for the re-setting of radiometric clocks might be expected.  In other words, the solar system being considered to be 4.6 billion years old, atomically, might simply be due to a resetting of atomic clocks</w:t>
      </w:r>
      <w:r w:rsidRPr="00BD541D">
        <w:rPr>
          <w:rFonts w:ascii="Book Antiqua" w:hAnsi="Book Antiqua"/>
          <w:sz w:val="18"/>
          <w:szCs w:val="18"/>
        </w:rPr>
        <w:t>.</w:t>
      </w:r>
    </w:p>
    <w:p w:rsidR="00700009" w:rsidRPr="00BD541D" w:rsidRDefault="00700009" w:rsidP="00700009">
      <w:pPr>
        <w:pStyle w:val="NoSpacing"/>
        <w:ind w:firstLine="720"/>
        <w:jc w:val="both"/>
        <w:rPr>
          <w:rFonts w:ascii="Book Antiqua" w:hAnsi="Book Antiqua"/>
          <w:sz w:val="18"/>
          <w:szCs w:val="18"/>
        </w:rPr>
      </w:pPr>
    </w:p>
    <w:p w:rsidR="00700009" w:rsidRDefault="00700009" w:rsidP="00700009">
      <w:pPr>
        <w:pStyle w:val="NoSpacing"/>
        <w:jc w:val="both"/>
        <w:rPr>
          <w:rFonts w:ascii="Book Antiqua" w:hAnsi="Book Antiqua"/>
          <w:b/>
          <w:sz w:val="20"/>
        </w:rPr>
      </w:pPr>
      <w:r>
        <w:rPr>
          <w:rFonts w:ascii="Book Antiqua" w:hAnsi="Book Antiqua"/>
          <w:b/>
          <w:sz w:val="20"/>
        </w:rPr>
        <w:t>7.  The Late Heavy Bombardment</w:t>
      </w:r>
      <w:r w:rsidRPr="00BD541D">
        <w:rPr>
          <w:rFonts w:ascii="Book Antiqua" w:hAnsi="Book Antiqua"/>
          <w:b/>
          <w:sz w:val="20"/>
        </w:rPr>
        <w:t xml:space="preserve"> Radioactively Dated</w:t>
      </w:r>
    </w:p>
    <w:p w:rsidR="00700009" w:rsidRPr="00BD541D" w:rsidRDefault="00700009" w:rsidP="00700009">
      <w:pPr>
        <w:pStyle w:val="NoSpacing"/>
        <w:ind w:left="720"/>
        <w:jc w:val="both"/>
        <w:rPr>
          <w:rFonts w:ascii="Book Antiqua" w:hAnsi="Book Antiqua"/>
          <w:b/>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Another important event</w:t>
      </w:r>
      <w:r>
        <w:rPr>
          <w:rFonts w:ascii="Book Antiqua" w:hAnsi="Book Antiqua"/>
          <w:sz w:val="20"/>
        </w:rPr>
        <w:t>,</w:t>
      </w:r>
      <w:r w:rsidRPr="00BD541D">
        <w:rPr>
          <w:rFonts w:ascii="Book Antiqua" w:hAnsi="Book Antiqua"/>
          <w:sz w:val="20"/>
        </w:rPr>
        <w:t xml:space="preserve"> referred to as the Late Heavy Bombardment (LHB)</w:t>
      </w:r>
      <w:r>
        <w:rPr>
          <w:rFonts w:ascii="Book Antiqua" w:hAnsi="Book Antiqua"/>
          <w:sz w:val="20"/>
        </w:rPr>
        <w:t xml:space="preserve">, </w:t>
      </w:r>
      <w:r w:rsidRPr="00BD541D">
        <w:rPr>
          <w:rFonts w:ascii="Book Antiqua" w:hAnsi="Book Antiqua"/>
          <w:sz w:val="20"/>
        </w:rPr>
        <w:t>occurred in the solar system somewhere around 3.9 to 3.5 billion atomic years ago</w:t>
      </w:r>
      <w:r>
        <w:rPr>
          <w:rFonts w:ascii="Book Antiqua" w:hAnsi="Book Antiqua"/>
          <w:sz w:val="20"/>
        </w:rPr>
        <w:t>.</w:t>
      </w:r>
      <w:r w:rsidRPr="00BD541D">
        <w:rPr>
          <w:rFonts w:ascii="Book Antiqua" w:hAnsi="Book Antiqua"/>
          <w:sz w:val="20"/>
        </w:rPr>
        <w:t xml:space="preserve"> </w:t>
      </w:r>
      <w:r>
        <w:rPr>
          <w:rFonts w:ascii="Book Antiqua" w:hAnsi="Book Antiqua"/>
          <w:sz w:val="20"/>
        </w:rPr>
        <w:t xml:space="preserve"> Evidence of this massive series of hits can be found on each of the solid planets and many moons.  It was evidently caused by the breakup of a large object in what is now known as the Kuiper Belt, beyond Pluto.  At the time of the LHB, we have already noted that there was probably another planet between Mars and Jupiter which, along with its moon, was also hit by objects from the LHB breakup.  This astroidal planet later exploded, along with its moon, and the pieces of that planet and moon which hit Earth have given us evidence of the LHB itself.  This evidence is</w:t>
      </w:r>
      <w:r w:rsidRPr="00BD541D">
        <w:rPr>
          <w:rFonts w:ascii="Book Antiqua" w:hAnsi="Book Antiqua"/>
          <w:sz w:val="20"/>
        </w:rPr>
        <w:t xml:space="preserve"> recorded by some achondrites from the crust and at least two stony-irons which originated deeper in the interior of the asteroidal parent planet. The Stannern achondrite indicates an impact event at 3.7 billion atomic years ago in which some isotopic clocks were reset. The Millbillillie meteorite records this major impact event radiometrically dated as occurring 3.55 billion atomic years ago. An achondrite from the Sahara labelled as S99555 records a late isotopic disturbance on the parent </w:t>
      </w:r>
      <w:r>
        <w:rPr>
          <w:rFonts w:ascii="Book Antiqua" w:hAnsi="Book Antiqua"/>
          <w:sz w:val="20"/>
        </w:rPr>
        <w:t xml:space="preserve">astroidal </w:t>
      </w:r>
      <w:r w:rsidRPr="00BD541D">
        <w:rPr>
          <w:rFonts w:ascii="Book Antiqua" w:hAnsi="Book Antiqua"/>
          <w:sz w:val="20"/>
        </w:rPr>
        <w:t xml:space="preserve">planet at 3.54 billion atomic years. Two stony-irons (Bondoc and Estherville) also record this event radiometrically as occurring 3.9 billion atomic years ago. </w:t>
      </w:r>
      <w:r>
        <w:rPr>
          <w:rFonts w:ascii="Book Antiqua" w:hAnsi="Book Antiqua"/>
          <w:sz w:val="20"/>
        </w:rPr>
        <w:t xml:space="preserve"> </w:t>
      </w:r>
      <w:r w:rsidRPr="00BD541D">
        <w:rPr>
          <w:rFonts w:ascii="Book Antiqua" w:hAnsi="Book Antiqua"/>
          <w:sz w:val="20"/>
        </w:rPr>
        <w:t xml:space="preserve">The radiometric dates for this event from Lunar samples range from 3.92 down to 2.76 billion atomic years, with the majority of samples returning dates above 3.05 billion atomic years.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Cohen, Swindle and Kring state that </w:t>
      </w:r>
      <w:r w:rsidRPr="00BD541D">
        <w:rPr>
          <w:rFonts w:ascii="Book Antiqua" w:hAnsi="Book Antiqua"/>
          <w:i/>
          <w:sz w:val="20"/>
        </w:rPr>
        <w:t>"A 'spike' in the impactor flux at ~ 3.9 Ga [billion atomic years] is the easiest way to match the impact melt age data."</w:t>
      </w:r>
      <w:r w:rsidRPr="00BD541D">
        <w:rPr>
          <w:rFonts w:ascii="Book Antiqua" w:hAnsi="Book Antiqua"/>
          <w:sz w:val="20"/>
        </w:rPr>
        <w:t xml:space="preserve"> They further state that </w:t>
      </w:r>
      <w:r w:rsidRPr="00BD541D">
        <w:rPr>
          <w:rFonts w:ascii="Book Antiqua" w:hAnsi="Book Antiqua"/>
          <w:i/>
          <w:sz w:val="20"/>
        </w:rPr>
        <w:t>"Impact ages in euchrites [achondrites], mesosiderites [stony-irons], and other meteorites have a similar distribution: none are older than ~ 3.9 Ga, with ages tailing down to 3.4 Ga or younger, suggesting the cataclysm affected the entire inner solar system, including Mars."</w:t>
      </w:r>
      <w:r w:rsidRPr="00BD541D">
        <w:rPr>
          <w:rFonts w:ascii="Book Antiqua" w:hAnsi="Book Antiqua"/>
          <w:sz w:val="20"/>
        </w:rPr>
        <w:t xml:space="preserve">[29]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evidence is important. It indicates that </w:t>
      </w:r>
      <w:r>
        <w:rPr>
          <w:rFonts w:ascii="Book Antiqua" w:hAnsi="Book Antiqua"/>
          <w:sz w:val="20"/>
        </w:rPr>
        <w:t xml:space="preserve">at the time of the Late Heavy Bombardment </w:t>
      </w:r>
      <w:r w:rsidRPr="00BD541D">
        <w:rPr>
          <w:rFonts w:ascii="Book Antiqua" w:hAnsi="Book Antiqua"/>
          <w:sz w:val="20"/>
        </w:rPr>
        <w:t>the parent bodies for asteroids and meteorites had not yet fractured</w:t>
      </w:r>
      <w:r>
        <w:rPr>
          <w:rFonts w:ascii="Book Antiqua" w:hAnsi="Book Antiqua"/>
          <w:sz w:val="20"/>
        </w:rPr>
        <w:t xml:space="preserve">, but themselves were hit.  </w:t>
      </w:r>
      <w:r w:rsidRPr="00BD541D">
        <w:rPr>
          <w:rFonts w:ascii="Book Antiqua" w:hAnsi="Book Antiqua"/>
          <w:sz w:val="20"/>
        </w:rPr>
        <w:t>Consequently, Planet Y</w:t>
      </w:r>
      <w:r>
        <w:rPr>
          <w:rFonts w:ascii="Book Antiqua" w:hAnsi="Book Antiqua"/>
          <w:sz w:val="20"/>
        </w:rPr>
        <w:t>, the astroidal planet,</w:t>
      </w:r>
      <w:r w:rsidRPr="00BD541D">
        <w:rPr>
          <w:rFonts w:ascii="Book Antiqua" w:hAnsi="Book Antiqua"/>
          <w:sz w:val="20"/>
        </w:rPr>
        <w:t xml:space="preserve"> could not have been the source of this group of impacting objects. The source of the impactors for the LHB must thereby have been located further out, and may have given rise to the Kuiper Belt of objects and the comets in a similar way to which Planet Y and its moon later gave rise to the asteroid belt and meteorites. The exploration of this possibility, among several options, was performed by Harold Levison and published in </w:t>
      </w:r>
      <w:r w:rsidRPr="00BD541D">
        <w:rPr>
          <w:rFonts w:ascii="Book Antiqua" w:hAnsi="Book Antiqua"/>
          <w:i/>
          <w:sz w:val="20"/>
        </w:rPr>
        <w:t>Icarus</w:t>
      </w:r>
      <w:r w:rsidRPr="00BD541D">
        <w:rPr>
          <w:rFonts w:ascii="Book Antiqua" w:hAnsi="Book Antiqua"/>
          <w:sz w:val="20"/>
        </w:rPr>
        <w:t xml:space="preserve"> for June 2001 and </w:t>
      </w:r>
      <w:r w:rsidRPr="00BD541D">
        <w:rPr>
          <w:rFonts w:ascii="Book Antiqua" w:hAnsi="Book Antiqua"/>
          <w:i/>
          <w:sz w:val="20"/>
        </w:rPr>
        <w:t>New Scientist</w:t>
      </w:r>
      <w:r w:rsidRPr="00BD541D">
        <w:rPr>
          <w:rFonts w:ascii="Book Antiqua" w:hAnsi="Book Antiqua"/>
          <w:sz w:val="20"/>
        </w:rPr>
        <w:t xml:space="preserve"> for 7 April 2001.</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LHB was responsible for the major impact basins on the Moon. It has been suggested that about 50 recognized circular basins over 300 km in diameter were formed at that time [30, 31].  H. H. Schmitt states that </w:t>
      </w:r>
      <w:r w:rsidRPr="00BD541D">
        <w:rPr>
          <w:rFonts w:ascii="Book Antiqua" w:hAnsi="Book Antiqua"/>
          <w:i/>
          <w:sz w:val="20"/>
        </w:rPr>
        <w:t>"the source of these basin-forming impactors has not been identified,"</w:t>
      </w:r>
      <w:r w:rsidRPr="00BD541D">
        <w:rPr>
          <w:rFonts w:ascii="Book Antiqua" w:hAnsi="Book Antiqua"/>
          <w:sz w:val="20"/>
        </w:rPr>
        <w:t xml:space="preserve"> but then goes on to list four possibilities [32]. Of these the two most likely are (1) the injection into the inner solar system of objects from the proto-Kuiper-Edgeworth Belt of cometary objects due to the orbital resonance with Neptune, and (2) the break-up of the planetesimal precursor of the Main Belt Asteroids. </w:t>
      </w:r>
    </w:p>
    <w:p w:rsidR="00700009"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However, because the evidence indicates the precursor planet that formed the asteroid belt was also impacted by the LHB event, this indicates that the LHB reflects a break-up of a planetary object in the Kuiper Belt rather than in the asteroid belt.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this Kuiper Belt object </w:t>
      </w:r>
      <w:r>
        <w:rPr>
          <w:rFonts w:ascii="Book Antiqua" w:hAnsi="Book Antiqua"/>
          <w:sz w:val="20"/>
        </w:rPr>
        <w:t>may well have</w:t>
      </w:r>
      <w:r w:rsidRPr="00BD541D">
        <w:rPr>
          <w:rFonts w:ascii="Book Antiqua" w:hAnsi="Book Antiqua"/>
          <w:sz w:val="20"/>
        </w:rPr>
        <w:t xml:space="preserve"> been the originator of the comets.</w:t>
      </w:r>
      <w:r>
        <w:rPr>
          <w:rFonts w:ascii="Book Antiqua" w:hAnsi="Book Antiqua"/>
          <w:sz w:val="20"/>
        </w:rPr>
        <w:t xml:space="preserve"> </w:t>
      </w:r>
      <w:r w:rsidRPr="00BD541D">
        <w:rPr>
          <w:rFonts w:ascii="Book Antiqua" w:hAnsi="Book Antiqua"/>
          <w:sz w:val="20"/>
        </w:rPr>
        <w:t>This is supported by the fact that the orbits of some long period comets which originate deep in the Kuiper Belt also show explosion signatures. These signatures were first seen in Soviet satellites which, having completed their secret mission, were blown up in orbit. As Western astronomers tracked the initial paths of the main pieces of debris, an unusual circumstance was noted.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To illustrate what happened</w:t>
      </w:r>
      <w:r w:rsidRPr="00BD541D">
        <w:rPr>
          <w:rFonts w:ascii="Book Antiqua" w:hAnsi="Book Antiqua"/>
          <w:sz w:val="20"/>
        </w:rPr>
        <w:t xml:space="preserve">, let us assume that the original satellite was in an orbit which passed over both the Earth’s poles. Let us further assume that the explosion which destroyed the satellite occurred while it was directly over the North Pole. The resulting debris went into a variety of orbits, some at high inclinations to the original orbit of the satellite. If all the orbits were graphed, the graph would show that all the orbits intersected each other at the point where the explosion had occurred [11].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187943" cy="2133600"/>
            <wp:effectExtent l="19050" t="0" r="0" b="0"/>
            <wp:docPr id="1510" name="il_fi" descr="http://ars.els-cdn.com/content/image/1-s2.0-S0094576507003281-g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rs.els-cdn.com/content/image/1-s2.0-S0094576507003281-gr10.jpg"/>
                    <pic:cNvPicPr>
                      <a:picLocks noChangeAspect="1" noChangeArrowheads="1"/>
                    </pic:cNvPicPr>
                  </pic:nvPicPr>
                  <pic:blipFill>
                    <a:blip r:embed="rId1020" cstate="print">
                      <a:lum/>
                    </a:blip>
                    <a:srcRect l="50695" r="-40" b="56077"/>
                    <a:stretch>
                      <a:fillRect/>
                    </a:stretch>
                  </pic:blipFill>
                  <pic:spPr bwMode="auto">
                    <a:xfrm>
                      <a:off x="0" y="0"/>
                      <a:ext cx="3199890" cy="214159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18"/>
          <w:szCs w:val="18"/>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6:</w:t>
      </w:r>
      <w:r w:rsidRPr="00B07237">
        <w:rPr>
          <w:rFonts w:ascii="Book Antiqua" w:hAnsi="Book Antiqua"/>
          <w:i/>
          <w:sz w:val="18"/>
          <w:szCs w:val="18"/>
        </w:rPr>
        <w:t xml:space="preserve"> The orbits of debris from the Fengyun-1C satellite 6 months after it was exploded on 11</w:t>
      </w:r>
      <w:r w:rsidRPr="00B07237">
        <w:rPr>
          <w:rFonts w:ascii="Book Antiqua" w:hAnsi="Book Antiqua"/>
          <w:i/>
          <w:sz w:val="18"/>
          <w:szCs w:val="18"/>
          <w:vertAlign w:val="superscript"/>
        </w:rPr>
        <w:t>th</w:t>
      </w:r>
      <w:r w:rsidRPr="00B07237">
        <w:rPr>
          <w:rFonts w:ascii="Book Antiqua" w:hAnsi="Book Antiqua"/>
          <w:i/>
          <w:sz w:val="18"/>
          <w:szCs w:val="18"/>
        </w:rPr>
        <w:t xml:space="preserve"> Jan. 2007. Orbits of debris crossed at the explosion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More recently, the Chinese Fengyun-1C meteorological satellite was blown up in orbit on 11</w:t>
      </w:r>
      <w:r w:rsidRPr="00BD541D">
        <w:rPr>
          <w:rFonts w:ascii="Book Antiqua" w:hAnsi="Book Antiqua"/>
          <w:sz w:val="20"/>
          <w:vertAlign w:val="superscript"/>
        </w:rPr>
        <w:t>th</w:t>
      </w:r>
      <w:r w:rsidRPr="00BD541D">
        <w:rPr>
          <w:rFonts w:ascii="Book Antiqua" w:hAnsi="Book Antiqua"/>
          <w:sz w:val="20"/>
        </w:rPr>
        <w:t xml:space="preserve"> January 2007. Over 2200 fragments larger than 5 centimeters (2 inches) were tracked and their paths graphed. After 6 months, the orbits of the debris ranged in altitude from 200 km to 4000 km. But all the orbits crossed at the explosion point as shown in Figure 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 similar way, when Van Flandern had graphed the paths of comets which came in from deep in the Kuiper Belt, th</w:t>
      </w:r>
      <w:r>
        <w:rPr>
          <w:rFonts w:ascii="Book Antiqua" w:hAnsi="Book Antiqua"/>
          <w:sz w:val="20"/>
        </w:rPr>
        <w:t>is</w:t>
      </w:r>
      <w:r w:rsidRPr="00BD541D">
        <w:rPr>
          <w:rFonts w:ascii="Book Antiqua" w:hAnsi="Book Antiqua"/>
          <w:sz w:val="20"/>
        </w:rPr>
        <w:t xml:space="preserve"> same phenomenon was noted. Their orbits generally seemed to intersect in a specific region in the outer solar system [11]. This testifies to the explosion </w:t>
      </w:r>
      <w:r>
        <w:rPr>
          <w:rFonts w:ascii="Book Antiqua" w:hAnsi="Book Antiqua"/>
          <w:sz w:val="20"/>
        </w:rPr>
        <w:t xml:space="preserve">that </w:t>
      </w:r>
      <w:r w:rsidRPr="00BD541D">
        <w:rPr>
          <w:rFonts w:ascii="Book Antiqua" w:hAnsi="Book Antiqua"/>
          <w:sz w:val="20"/>
        </w:rPr>
        <w:t>must have occurred in the Kuiper Belt</w:t>
      </w:r>
      <w:r>
        <w:rPr>
          <w:rFonts w:ascii="Book Antiqua" w:hAnsi="Book Antiqua"/>
          <w:sz w:val="20"/>
        </w:rPr>
        <w:t xml:space="preserve"> and</w:t>
      </w:r>
      <w:r w:rsidRPr="00BD541D">
        <w:rPr>
          <w:rFonts w:ascii="Book Antiqua" w:hAnsi="Book Antiqua"/>
          <w:sz w:val="20"/>
        </w:rPr>
        <w:t xml:space="preserve"> which gave rise to the Late Heavy Bombardment and the long period comets.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8. Crater Forming Processes.</w:t>
      </w:r>
    </w:p>
    <w:p w:rsidR="00700009" w:rsidRPr="00BD541D" w:rsidRDefault="00700009" w:rsidP="00700009">
      <w:pPr>
        <w:pStyle w:val="NoSpacing"/>
        <w:ind w:left="810"/>
        <w:jc w:val="both"/>
        <w:rPr>
          <w:rStyle w:val="Strong"/>
          <w:rFonts w:ascii="Book Antiqua" w:eastAsia="Calibri" w:hAnsi="Book Antiqua"/>
          <w:b w:val="0"/>
          <w:bCs w:val="0"/>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breakup of the Kuiper Belt planetary object, as well as the later breakup of Planet Y and its moon </w:t>
      </w:r>
      <w:r>
        <w:rPr>
          <w:rFonts w:ascii="Book Antiqua" w:hAnsi="Book Antiqua"/>
          <w:sz w:val="20"/>
        </w:rPr>
        <w:t>(which</w:t>
      </w:r>
      <w:r w:rsidRPr="00BD541D">
        <w:rPr>
          <w:rFonts w:ascii="Book Antiqua" w:hAnsi="Book Antiqua"/>
          <w:sz w:val="20"/>
        </w:rPr>
        <w:t xml:space="preserve"> form</w:t>
      </w:r>
      <w:r>
        <w:rPr>
          <w:rFonts w:ascii="Book Antiqua" w:hAnsi="Book Antiqua"/>
          <w:sz w:val="20"/>
        </w:rPr>
        <w:t>ed</w:t>
      </w:r>
      <w:r w:rsidRPr="00BD541D">
        <w:rPr>
          <w:rFonts w:ascii="Book Antiqua" w:hAnsi="Book Antiqua"/>
          <w:sz w:val="20"/>
        </w:rPr>
        <w:t xml:space="preserve"> the asteroid belt</w:t>
      </w:r>
      <w:r>
        <w:rPr>
          <w:rFonts w:ascii="Book Antiqua" w:hAnsi="Book Antiqua"/>
          <w:sz w:val="20"/>
        </w:rPr>
        <w:t>)</w:t>
      </w:r>
      <w:r w:rsidRPr="00BD541D">
        <w:rPr>
          <w:rFonts w:ascii="Book Antiqua" w:hAnsi="Book Antiqua"/>
          <w:sz w:val="20"/>
        </w:rPr>
        <w:t xml:space="preserve">, were cataclysmic events. The showers of debris sent through the solar system would have resulted in numerous impact craters. </w:t>
      </w:r>
      <w:r>
        <w:rPr>
          <w:rFonts w:ascii="Book Antiqua" w:hAnsi="Book Antiqua"/>
          <w:sz w:val="20"/>
        </w:rPr>
        <w:t>In addition</w:t>
      </w:r>
      <w:r w:rsidRPr="00BD541D">
        <w:rPr>
          <w:rFonts w:ascii="Book Antiqua" w:hAnsi="Book Antiqua"/>
          <w:sz w:val="20"/>
        </w:rPr>
        <w:t xml:space="preserve">, the disruption of these planetary bodies and their plasmaspheres </w:t>
      </w:r>
      <w:r>
        <w:rPr>
          <w:rFonts w:ascii="Book Antiqua" w:hAnsi="Book Antiqua"/>
          <w:sz w:val="20"/>
        </w:rPr>
        <w:t>(</w:t>
      </w:r>
      <w:r w:rsidRPr="00BD541D">
        <w:rPr>
          <w:rFonts w:ascii="Book Antiqua" w:hAnsi="Book Antiqua"/>
          <w:sz w:val="20"/>
        </w:rPr>
        <w:t>or magnetospheres</w:t>
      </w:r>
      <w:r>
        <w:rPr>
          <w:rFonts w:ascii="Book Antiqua" w:hAnsi="Book Antiqua"/>
          <w:sz w:val="20"/>
        </w:rPr>
        <w:t>)</w:t>
      </w:r>
      <w:r w:rsidRPr="00BD541D">
        <w:rPr>
          <w:rFonts w:ascii="Book Antiqua" w:hAnsi="Book Antiqua"/>
          <w:sz w:val="20"/>
        </w:rPr>
        <w:t xml:space="preserve"> would have been accompanied by massive electromagnetic effects</w:t>
      </w:r>
      <w:r>
        <w:rPr>
          <w:rFonts w:ascii="Book Antiqua" w:hAnsi="Book Antiqua"/>
          <w:sz w:val="20"/>
        </w:rPr>
        <w:t xml:space="preserve">.  These would also have </w:t>
      </w:r>
      <w:r w:rsidRPr="00BD541D">
        <w:rPr>
          <w:rFonts w:ascii="Book Antiqua" w:hAnsi="Book Antiqua"/>
          <w:sz w:val="20"/>
        </w:rPr>
        <w:t xml:space="preserve">reached throughout the entire solar system.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These electromagnetic effects would have occurred because a</w:t>
      </w:r>
      <w:r>
        <w:rPr>
          <w:rFonts w:ascii="Book Antiqua" w:hAnsi="Book Antiqua"/>
          <w:sz w:val="20"/>
        </w:rPr>
        <w:t xml:space="preserve"> much</w:t>
      </w:r>
      <w:r w:rsidRPr="00BD541D">
        <w:rPr>
          <w:rFonts w:ascii="Book Antiqua" w:hAnsi="Book Antiqua"/>
          <w:sz w:val="20"/>
        </w:rPr>
        <w:t xml:space="preserve"> high</w:t>
      </w:r>
      <w:r>
        <w:rPr>
          <w:rFonts w:ascii="Book Antiqua" w:hAnsi="Book Antiqua"/>
          <w:sz w:val="20"/>
        </w:rPr>
        <w:t>er</w:t>
      </w:r>
      <w:r w:rsidRPr="00BD541D">
        <w:rPr>
          <w:rFonts w:ascii="Book Antiqua" w:hAnsi="Book Antiqua"/>
          <w:sz w:val="20"/>
        </w:rPr>
        <w:t xml:space="preserve"> voltage differential existed in the early solar system</w:t>
      </w:r>
      <w:r>
        <w:rPr>
          <w:rFonts w:ascii="Book Antiqua" w:hAnsi="Book Antiqua"/>
          <w:sz w:val="20"/>
        </w:rPr>
        <w:t xml:space="preserve">.  </w:t>
      </w:r>
      <w:r w:rsidRPr="00BD541D">
        <w:rPr>
          <w:rFonts w:ascii="Book Antiqua" w:hAnsi="Book Antiqua"/>
          <w:sz w:val="20"/>
        </w:rPr>
        <w:t xml:space="preserve"> Even today, compared with the Sun, the outer solar system is at a high negative potential. This is why the stream of protons from the Sun, known as the solar wind, accelerates </w:t>
      </w:r>
      <w:r>
        <w:rPr>
          <w:rFonts w:ascii="Book Antiqua" w:hAnsi="Book Antiqua"/>
          <w:sz w:val="20"/>
        </w:rPr>
        <w:t xml:space="preserve">as it moves </w:t>
      </w:r>
      <w:r w:rsidRPr="00BD541D">
        <w:rPr>
          <w:rFonts w:ascii="Book Antiqua" w:hAnsi="Book Antiqua"/>
          <w:sz w:val="20"/>
        </w:rPr>
        <w:t>away from the sun</w:t>
      </w:r>
      <w:r>
        <w:rPr>
          <w:rFonts w:ascii="Book Antiqua" w:hAnsi="Book Antiqua"/>
          <w:sz w:val="20"/>
        </w:rPr>
        <w:t>, its</w:t>
      </w:r>
      <w:r w:rsidRPr="00BD541D">
        <w:rPr>
          <w:rFonts w:ascii="Book Antiqua" w:hAnsi="Book Antiqua"/>
          <w:sz w:val="20"/>
        </w:rPr>
        <w:t xml:space="preserve"> velocity increas</w:t>
      </w:r>
      <w:r>
        <w:rPr>
          <w:rFonts w:ascii="Book Antiqua" w:hAnsi="Book Antiqua"/>
          <w:sz w:val="20"/>
        </w:rPr>
        <w:t>ing</w:t>
      </w:r>
      <w:r w:rsidRPr="00BD541D">
        <w:rPr>
          <w:rFonts w:ascii="Book Antiqua" w:hAnsi="Book Antiqua"/>
          <w:sz w:val="20"/>
        </w:rPr>
        <w:t xml:space="preserve"> the further out in the solar system it goes. The </w:t>
      </w:r>
      <w:r>
        <w:rPr>
          <w:rFonts w:ascii="Book Antiqua" w:hAnsi="Book Antiqua"/>
          <w:sz w:val="20"/>
        </w:rPr>
        <w:t xml:space="preserve">positively charged </w:t>
      </w:r>
      <w:r w:rsidRPr="00BD541D">
        <w:rPr>
          <w:rFonts w:ascii="Book Antiqua" w:hAnsi="Book Antiqua"/>
          <w:sz w:val="20"/>
        </w:rPr>
        <w:t xml:space="preserve">particles </w:t>
      </w:r>
      <w:r>
        <w:rPr>
          <w:rFonts w:ascii="Book Antiqua" w:hAnsi="Book Antiqua"/>
          <w:sz w:val="20"/>
        </w:rPr>
        <w:t xml:space="preserve">making up the solar wind </w:t>
      </w:r>
      <w:r w:rsidRPr="00BD541D">
        <w:rPr>
          <w:rFonts w:ascii="Book Antiqua" w:hAnsi="Book Antiqua"/>
          <w:sz w:val="20"/>
        </w:rPr>
        <w:t xml:space="preserve">are responding to electric forces, not gravity. </w:t>
      </w:r>
      <w:r w:rsidRPr="004A64CE">
        <w:rPr>
          <w:rFonts w:ascii="Book Antiqua" w:hAnsi="Book Antiqua"/>
          <w:sz w:val="20"/>
        </w:rPr>
        <w:t>In the same way,</w:t>
      </w:r>
      <w:r>
        <w:rPr>
          <w:rFonts w:ascii="Book Antiqua" w:hAnsi="Book Antiqua"/>
          <w:color w:val="FF0000"/>
          <w:sz w:val="20"/>
        </w:rPr>
        <w:t xml:space="preserve"> </w:t>
      </w:r>
      <w:r>
        <w:rPr>
          <w:rFonts w:ascii="Book Antiqua" w:hAnsi="Book Antiqua"/>
          <w:sz w:val="20"/>
        </w:rPr>
        <w:t>due to the high negative potential in the outer solar system,</w:t>
      </w:r>
      <w:r w:rsidRPr="00BD541D">
        <w:rPr>
          <w:rFonts w:ascii="Book Antiqua" w:hAnsi="Book Antiqua"/>
          <w:sz w:val="20"/>
        </w:rPr>
        <w:t xml:space="preserve"> objects </w:t>
      </w:r>
      <w:r>
        <w:rPr>
          <w:rFonts w:ascii="Book Antiqua" w:hAnsi="Book Antiqua"/>
          <w:sz w:val="20"/>
        </w:rPr>
        <w:t>originating there</w:t>
      </w:r>
      <w:r w:rsidRPr="00BD541D">
        <w:rPr>
          <w:rFonts w:ascii="Book Antiqua" w:hAnsi="Book Antiqua"/>
          <w:sz w:val="20"/>
        </w:rPr>
        <w:t xml:space="preserve"> will be at an intrinsically more negative electric potential than the inner solar system.</w:t>
      </w:r>
      <w:r>
        <w:rPr>
          <w:rFonts w:ascii="Book Antiqua" w:hAnsi="Book Antiqua"/>
          <w:sz w:val="20"/>
        </w:rPr>
        <w:t xml:space="preserve">  This voltage differential would have been much higher in the past due to the effects of a lower Zero Point Energy.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electromagnetic effects could manifest in at least three different ways. First, the explosive disruption of these original bodies and their plasmaspheres and magnetospheres would trigger a series of plasma interactions throughout the solar system involving massive arc discharges and related phenomena. Second, compared with today, even the fragments of these original objects would have been at a much higher electric potential compared with the planets and moons that they interacted with. This high potential difference would induce strong electric and magnetic effects when these fragments came close to other bodies. Third, </w:t>
      </w:r>
      <w:r>
        <w:rPr>
          <w:rFonts w:ascii="Book Antiqua" w:hAnsi="Book Antiqua"/>
          <w:sz w:val="20"/>
        </w:rPr>
        <w:t>even</w:t>
      </w:r>
      <w:r w:rsidRPr="00BD541D">
        <w:rPr>
          <w:rFonts w:ascii="Book Antiqua" w:hAnsi="Book Antiqua"/>
          <w:sz w:val="20"/>
        </w:rPr>
        <w:t xml:space="preserve"> if these fragments </w:t>
      </w:r>
      <w:r>
        <w:rPr>
          <w:rFonts w:ascii="Book Antiqua" w:hAnsi="Book Antiqua"/>
          <w:sz w:val="20"/>
        </w:rPr>
        <w:t>were</w:t>
      </w:r>
      <w:r w:rsidRPr="00BD541D">
        <w:rPr>
          <w:rFonts w:ascii="Book Antiqua" w:hAnsi="Book Antiqua"/>
          <w:sz w:val="20"/>
        </w:rPr>
        <w:t xml:space="preserve"> relatively small, they </w:t>
      </w:r>
      <w:r w:rsidRPr="004A64CE">
        <w:rPr>
          <w:rFonts w:ascii="Book Antiqua" w:hAnsi="Book Antiqua"/>
          <w:sz w:val="20"/>
        </w:rPr>
        <w:t xml:space="preserve">would </w:t>
      </w:r>
      <w:r w:rsidRPr="004A64CE">
        <w:rPr>
          <w:rFonts w:ascii="Book Antiqua" w:hAnsi="Book Antiqua"/>
          <w:sz w:val="20"/>
        </w:rPr>
        <w:lastRenderedPageBreak/>
        <w:t>have</w:t>
      </w:r>
      <w:r>
        <w:rPr>
          <w:rFonts w:ascii="Book Antiqua" w:hAnsi="Book Antiqua"/>
          <w:color w:val="FF0000"/>
          <w:sz w:val="20"/>
        </w:rPr>
        <w:t xml:space="preserve"> </w:t>
      </w:r>
      <w:r w:rsidRPr="00BD541D">
        <w:rPr>
          <w:rFonts w:ascii="Book Antiqua" w:hAnsi="Book Antiqua"/>
          <w:sz w:val="20"/>
        </w:rPr>
        <w:t>create</w:t>
      </w:r>
      <w:r>
        <w:rPr>
          <w:rFonts w:ascii="Book Antiqua" w:hAnsi="Book Antiqua"/>
          <w:sz w:val="20"/>
        </w:rPr>
        <w:t>d</w:t>
      </w:r>
      <w:r w:rsidRPr="00BD541D">
        <w:rPr>
          <w:rFonts w:ascii="Book Antiqua" w:hAnsi="Book Antiqua"/>
          <w:sz w:val="20"/>
        </w:rPr>
        <w:t xml:space="preserve"> plasma trails which ionize</w:t>
      </w:r>
      <w:r>
        <w:rPr>
          <w:rFonts w:ascii="Book Antiqua" w:hAnsi="Book Antiqua"/>
          <w:sz w:val="20"/>
        </w:rPr>
        <w:t>d</w:t>
      </w:r>
      <w:r w:rsidRPr="00BD541D">
        <w:rPr>
          <w:rFonts w:ascii="Book Antiqua" w:hAnsi="Book Antiqua"/>
          <w:sz w:val="20"/>
        </w:rPr>
        <w:t xml:space="preserve"> the atmosphere.  This would have short-circuited the Earth’s electric field and caused a major discharge that started at a high altitude and continued down as the fragment reached the ground. With a shower of such fragments, the electric discharge</w:t>
      </w:r>
      <w:r>
        <w:rPr>
          <w:rFonts w:ascii="Book Antiqua" w:hAnsi="Book Antiqua"/>
          <w:sz w:val="20"/>
        </w:rPr>
        <w:t>s</w:t>
      </w:r>
      <w:r w:rsidRPr="00BD541D">
        <w:rPr>
          <w:rFonts w:ascii="Book Antiqua" w:hAnsi="Book Antiqua"/>
          <w:sz w:val="20"/>
        </w:rPr>
        <w:t xml:space="preserve"> would </w:t>
      </w:r>
      <w:r>
        <w:rPr>
          <w:rFonts w:ascii="Book Antiqua" w:hAnsi="Book Antiqua"/>
          <w:sz w:val="20"/>
        </w:rPr>
        <w:t>have been</w:t>
      </w:r>
      <w:r w:rsidRPr="00BD541D">
        <w:rPr>
          <w:rFonts w:ascii="Book Antiqua" w:hAnsi="Book Antiqua"/>
          <w:sz w:val="20"/>
        </w:rPr>
        <w:t xml:space="preserve"> extremely dramatic. This three-fold plasma-electrical interaction gives us another possible source for craters resulting from these events.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It has been shown by several experimenters that the craters resulting from electromagnetic pulses, electrical machining and arc discharges are similar to what we see on planetary surfaces</w:t>
      </w:r>
      <w:r>
        <w:rPr>
          <w:rFonts w:ascii="Book Antiqua" w:hAnsi="Book Antiqua"/>
          <w:sz w:val="20"/>
        </w:rPr>
        <w:t>,</w:t>
      </w:r>
      <w:r w:rsidRPr="00BD541D">
        <w:rPr>
          <w:rFonts w:ascii="Book Antiqua" w:hAnsi="Book Antiqua"/>
          <w:sz w:val="20"/>
        </w:rPr>
        <w:t xml:space="preserve"> the surfaces of the moons</w:t>
      </w:r>
      <w:r>
        <w:rPr>
          <w:rFonts w:ascii="Book Antiqua" w:hAnsi="Book Antiqua"/>
          <w:sz w:val="20"/>
        </w:rPr>
        <w:t>,</w:t>
      </w:r>
      <w:r w:rsidRPr="00BD541D">
        <w:rPr>
          <w:rFonts w:ascii="Book Antiqua" w:hAnsi="Book Antiqua"/>
          <w:sz w:val="20"/>
        </w:rPr>
        <w:t xml:space="preserve"> and even on asteroids in our solar system. In 1963 Dietz indicated that lightning bolts, which are essentially the same as a Bennett or Z-pinch plasma, might create craters with associated shocked minerals in the same way as impacting objects [32a]. In 1965, Ford used a spark machining apparatus that showed the similarity between </w:t>
      </w:r>
      <w:proofErr w:type="gramStart"/>
      <w:r w:rsidRPr="00BD541D">
        <w:rPr>
          <w:rFonts w:ascii="Book Antiqua" w:hAnsi="Book Antiqua"/>
          <w:sz w:val="20"/>
        </w:rPr>
        <w:t>Lunar</w:t>
      </w:r>
      <w:proofErr w:type="gramEnd"/>
      <w:r w:rsidRPr="00BD541D">
        <w:rPr>
          <w:rFonts w:ascii="Book Antiqua" w:hAnsi="Book Antiqua"/>
          <w:sz w:val="20"/>
        </w:rPr>
        <w:t xml:space="preserve"> craters and those obtain by plasma-electrical means [33]. More recently, in 2008, Desai et al. produced craters in metal which demonstrated that the characteristics of the craters themselves, as well as crater chains, and the production of smaller craters on the rims of larger ones, were easily obtainable by electrical means [34]. While these experiments have been relatively small-scale, Alfven and Peratt have shown that such plasma interactions can be up-scaled by over 14 orders of magnitude [35].</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2011, C.J. Ransom of the Vemasat Research Institute experimented with Z-pinch plasma discharges acting on material more likely to be found on the surfaces of planets and moons. In so doing, he demonstrated (on a larger scale than those experimenting before him) that the resulting craters have the same form to those we see on planetary surfaces and the surfaces of the moons and asteroids in our solar system  (Figures 7 and 8).</w:t>
      </w:r>
      <w:r>
        <w:rPr>
          <w:rFonts w:ascii="Book Antiqua" w:hAnsi="Book Antiqua"/>
          <w:sz w:val="20"/>
        </w:rPr>
        <w:t xml:space="preserve"> </w:t>
      </w:r>
      <w:r w:rsidRPr="00BD541D">
        <w:rPr>
          <w:rFonts w:ascii="Book Antiqua" w:hAnsi="Book Antiqua"/>
          <w:sz w:val="20"/>
        </w:rPr>
        <w:t xml:space="preserve">C.J. Ransom writes </w:t>
      </w:r>
      <w:r w:rsidRPr="00BD541D">
        <w:rPr>
          <w:rFonts w:ascii="Book Antiqua" w:hAnsi="Book Antiqua"/>
          <w:i/>
          <w:sz w:val="20"/>
        </w:rPr>
        <w:t>“Craters were formed with features similar to craters found on planets, moons and asteroids. Features included craters with rims, rimless craters with no debris nearby, nearly rimless craters with debris adjacent to the crater, craters with spherules…craters with flat bottoms, multi-ringed craters, craters that resembled canyons and rilles. The vast majority of the plasma formed craters were circular although occasionally the plasma discharge produced noncircular craters.”</w:t>
      </w:r>
      <w:r w:rsidRPr="00BD541D">
        <w:rPr>
          <w:rFonts w:ascii="Book Antiqua" w:hAnsi="Book Antiqua"/>
          <w:sz w:val="20"/>
        </w:rPr>
        <w:t xml:space="preserve"> [36] </w:t>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56"/>
        <w:gridCol w:w="4836"/>
      </w:tblGrid>
      <w:tr w:rsidR="00700009" w:rsidRPr="00BD541D" w:rsidTr="00BA27CF">
        <w:trPr>
          <w:jc w:val="center"/>
        </w:trPr>
        <w:tc>
          <w:tcPr>
            <w:tcW w:w="555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371850" cy="3181350"/>
                  <wp:effectExtent l="19050" t="0" r="0" b="0"/>
                  <wp:docPr id="1511"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1" cstate="print">
                            <a:lum contrast="10000"/>
                          </a:blip>
                          <a:srcRect/>
                          <a:stretch>
                            <a:fillRect/>
                          </a:stretch>
                        </pic:blipFill>
                        <pic:spPr bwMode="auto">
                          <a:xfrm>
                            <a:off x="0" y="0"/>
                            <a:ext cx="3377336" cy="3186526"/>
                          </a:xfrm>
                          <a:prstGeom prst="rect">
                            <a:avLst/>
                          </a:prstGeom>
                          <a:noFill/>
                          <a:ln w="9525">
                            <a:noFill/>
                            <a:miter lim="800000"/>
                            <a:headEnd/>
                            <a:tailEnd/>
                          </a:ln>
                        </pic:spPr>
                      </pic:pic>
                    </a:graphicData>
                  </a:graphic>
                </wp:inline>
              </w:drawing>
            </w:r>
          </w:p>
        </w:tc>
        <w:tc>
          <w:tcPr>
            <w:tcW w:w="483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2905125" cy="3177851"/>
                  <wp:effectExtent l="19050" t="0" r="9525" b="0"/>
                  <wp:docPr id="1512"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2" cstate="print"/>
                          <a:srcRect/>
                          <a:stretch>
                            <a:fillRect/>
                          </a:stretch>
                        </pic:blipFill>
                        <pic:spPr bwMode="auto">
                          <a:xfrm>
                            <a:off x="0" y="0"/>
                            <a:ext cx="2905125" cy="3177851"/>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7: Left –</w:t>
      </w:r>
      <w:r w:rsidRPr="00B07237">
        <w:rPr>
          <w:rFonts w:ascii="Book Antiqua" w:hAnsi="Book Antiqua"/>
          <w:i/>
          <w:sz w:val="18"/>
          <w:szCs w:val="18"/>
        </w:rPr>
        <w:t xml:space="preserve"> laboratory craters (some with central peaks) from electric discharge machining</w:t>
      </w:r>
      <w:r>
        <w:rPr>
          <w:rFonts w:ascii="Book Antiqua" w:hAnsi="Book Antiqua"/>
          <w:i/>
          <w:sz w:val="18"/>
          <w:szCs w:val="18"/>
        </w:rPr>
        <w:t xml:space="preserve"> (EDM)</w:t>
      </w:r>
      <w:r w:rsidRPr="00B07237">
        <w:rPr>
          <w:rFonts w:ascii="Book Antiqua" w:hAnsi="Book Antiqua"/>
          <w:i/>
          <w:sz w:val="18"/>
          <w:szCs w:val="18"/>
        </w:rPr>
        <w:t xml:space="preserve">. Note that the ground is discolored where the discharge was strongest [36]. </w:t>
      </w:r>
      <w:r w:rsidRPr="00B07237">
        <w:rPr>
          <w:rFonts w:ascii="Book Antiqua" w:hAnsi="Book Antiqua"/>
          <w:b/>
          <w:i/>
          <w:sz w:val="18"/>
          <w:szCs w:val="18"/>
        </w:rPr>
        <w:t>Right –</w:t>
      </w:r>
      <w:r w:rsidRPr="00B07237">
        <w:rPr>
          <w:rFonts w:ascii="Book Antiqua" w:hAnsi="Book Antiqua"/>
          <w:i/>
          <w:sz w:val="18"/>
          <w:szCs w:val="18"/>
        </w:rPr>
        <w:t xml:space="preserve"> Similar craters on Mars: many with flat floors [36]  </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addition, </w:t>
      </w:r>
      <w:r>
        <w:rPr>
          <w:rFonts w:ascii="Book Antiqua" w:hAnsi="Book Antiqua"/>
          <w:sz w:val="20"/>
        </w:rPr>
        <w:t xml:space="preserve">electrically caused </w:t>
      </w:r>
      <w:r w:rsidRPr="00BD541D">
        <w:rPr>
          <w:rFonts w:ascii="Book Antiqua" w:hAnsi="Book Antiqua"/>
          <w:sz w:val="20"/>
        </w:rPr>
        <w:t xml:space="preserve">craters with central peaks have been produced in all size ranges, including central peaks with craters on them. Some enigmatical features on planets and moons can be explained in this way. Figure 7 compares some craters from </w:t>
      </w:r>
      <w:r>
        <w:rPr>
          <w:rFonts w:ascii="Book Antiqua" w:hAnsi="Book Antiqua"/>
          <w:sz w:val="20"/>
        </w:rPr>
        <w:t>E</w:t>
      </w:r>
      <w:r w:rsidRPr="00BD541D">
        <w:rPr>
          <w:rFonts w:ascii="Book Antiqua" w:hAnsi="Book Antiqua"/>
          <w:sz w:val="20"/>
        </w:rPr>
        <w:t xml:space="preserve">lectrical </w:t>
      </w:r>
      <w:r>
        <w:rPr>
          <w:rFonts w:ascii="Book Antiqua" w:hAnsi="Book Antiqua"/>
          <w:sz w:val="20"/>
        </w:rPr>
        <w:t>D</w:t>
      </w:r>
      <w:r w:rsidRPr="00BD541D">
        <w:rPr>
          <w:rFonts w:ascii="Book Antiqua" w:hAnsi="Book Antiqua"/>
          <w:sz w:val="20"/>
        </w:rPr>
        <w:t xml:space="preserve">ischarge </w:t>
      </w:r>
      <w:r>
        <w:rPr>
          <w:rFonts w:ascii="Book Antiqua" w:hAnsi="Book Antiqua"/>
          <w:sz w:val="20"/>
        </w:rPr>
        <w:t>M</w:t>
      </w:r>
      <w:r w:rsidRPr="00BD541D">
        <w:rPr>
          <w:rFonts w:ascii="Book Antiqua" w:hAnsi="Book Antiqua"/>
          <w:sz w:val="20"/>
        </w:rPr>
        <w:t xml:space="preserve">achining </w:t>
      </w:r>
      <w:r>
        <w:rPr>
          <w:rFonts w:ascii="Book Antiqua" w:hAnsi="Book Antiqua"/>
          <w:sz w:val="20"/>
        </w:rPr>
        <w:t xml:space="preserve">(EDM) </w:t>
      </w:r>
      <w:r w:rsidRPr="00BD541D">
        <w:rPr>
          <w:rFonts w:ascii="Book Antiqua" w:hAnsi="Book Antiqua"/>
          <w:sz w:val="20"/>
        </w:rPr>
        <w:t>with those on Mars.</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6"/>
        <w:gridCol w:w="4806"/>
      </w:tblGrid>
      <w:tr w:rsidR="00700009" w:rsidRPr="00BD541D" w:rsidTr="00BA27CF">
        <w:trPr>
          <w:jc w:val="center"/>
        </w:trPr>
        <w:tc>
          <w:tcPr>
            <w:tcW w:w="282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3409950" cy="2656589"/>
                  <wp:effectExtent l="19050" t="0" r="0" b="0"/>
                  <wp:docPr id="64"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3" cstate="print"/>
                          <a:srcRect/>
                          <a:stretch>
                            <a:fillRect/>
                          </a:stretch>
                        </pic:blipFill>
                        <pic:spPr bwMode="auto">
                          <a:xfrm>
                            <a:off x="0" y="0"/>
                            <a:ext cx="3409950" cy="2656589"/>
                          </a:xfrm>
                          <a:prstGeom prst="rect">
                            <a:avLst/>
                          </a:prstGeom>
                          <a:noFill/>
                          <a:ln w="9525">
                            <a:noFill/>
                            <a:miter lim="800000"/>
                            <a:headEnd/>
                            <a:tailEnd/>
                          </a:ln>
                        </pic:spPr>
                      </pic:pic>
                    </a:graphicData>
                  </a:graphic>
                </wp:inline>
              </w:drawing>
            </w:r>
          </w:p>
        </w:tc>
        <w:tc>
          <w:tcPr>
            <w:tcW w:w="2628"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color w:val="000000"/>
                <w:sz w:val="20"/>
              </w:rPr>
              <w:drawing>
                <wp:inline distT="0" distB="0" distL="0" distR="0">
                  <wp:extent cx="2895600" cy="2633555"/>
                  <wp:effectExtent l="19050" t="0" r="0" b="0"/>
                  <wp:docPr id="73"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4" cstate="print"/>
                          <a:srcRect/>
                          <a:stretch>
                            <a:fillRect/>
                          </a:stretch>
                        </pic:blipFill>
                        <pic:spPr bwMode="auto">
                          <a:xfrm>
                            <a:off x="0" y="0"/>
                            <a:ext cx="2895600" cy="2633555"/>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B07237" w:rsidRDefault="00700009" w:rsidP="00BA27CF">
      <w:pPr>
        <w:pStyle w:val="NoSpacing"/>
        <w:jc w:val="center"/>
        <w:rPr>
          <w:rFonts w:ascii="Book Antiqua" w:hAnsi="Book Antiqua"/>
          <w:i/>
          <w:sz w:val="18"/>
          <w:szCs w:val="18"/>
        </w:rPr>
      </w:pPr>
      <w:r w:rsidRPr="00B07237">
        <w:rPr>
          <w:rFonts w:ascii="Book Antiqua" w:hAnsi="Book Antiqua"/>
          <w:b/>
          <w:i/>
          <w:sz w:val="18"/>
          <w:szCs w:val="18"/>
        </w:rPr>
        <w:t>Figure 8: Left -</w:t>
      </w:r>
      <w:r w:rsidRPr="00B07237">
        <w:rPr>
          <w:rFonts w:ascii="Book Antiqua" w:hAnsi="Book Antiqua"/>
          <w:i/>
          <w:sz w:val="18"/>
          <w:szCs w:val="18"/>
        </w:rPr>
        <w:t xml:space="preserve"> Electric discharge craters in sand with both flat and bowl-shaped floors. </w:t>
      </w:r>
      <w:r w:rsidRPr="00B07237">
        <w:rPr>
          <w:rFonts w:ascii="Book Antiqua" w:hAnsi="Book Antiqua"/>
          <w:b/>
          <w:i/>
          <w:sz w:val="18"/>
          <w:szCs w:val="18"/>
        </w:rPr>
        <w:t>Right –</w:t>
      </w:r>
      <w:r w:rsidRPr="00B07237">
        <w:rPr>
          <w:rFonts w:ascii="Book Antiqua" w:hAnsi="Book Antiqua"/>
          <w:i/>
          <w:sz w:val="18"/>
          <w:szCs w:val="18"/>
        </w:rPr>
        <w:t xml:space="preserve"> EDM crater</w:t>
      </w:r>
      <w:r>
        <w:rPr>
          <w:rFonts w:ascii="Book Antiqua" w:hAnsi="Book Antiqua"/>
          <w:i/>
          <w:sz w:val="18"/>
          <w:szCs w:val="18"/>
        </w:rPr>
        <w:t xml:space="preserve"> with a central peak</w:t>
      </w:r>
      <w:r w:rsidRPr="00B07237">
        <w:rPr>
          <w:rFonts w:ascii="Book Antiqua" w:hAnsi="Book Antiqua"/>
          <w:i/>
          <w:sz w:val="18"/>
          <w:szCs w:val="18"/>
        </w:rPr>
        <w:t xml:space="preserve"> in steel</w:t>
      </w:r>
      <w:r>
        <w:rPr>
          <w:rFonts w:ascii="Book Antiqua" w:hAnsi="Book Antiqua"/>
          <w:i/>
          <w:sz w:val="18"/>
          <w:szCs w:val="18"/>
        </w:rPr>
        <w:t xml:space="preserve"> </w:t>
      </w:r>
      <w:r w:rsidRPr="00B07237">
        <w:rPr>
          <w:rFonts w:ascii="Book Antiqua" w:hAnsi="Book Antiqua"/>
          <w:i/>
          <w:sz w:val="18"/>
          <w:szCs w:val="18"/>
        </w:rPr>
        <w:t>[36].</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possibility exists, therefore, that EDM has formed many craters throughout the solar system contemporaneously with impact craters. Both resulted from the breakups of the original objects in the Kuiper and Asteroid Belts.  </w:t>
      </w:r>
      <w:r>
        <w:rPr>
          <w:rFonts w:ascii="Book Antiqua" w:hAnsi="Book Antiqua"/>
          <w:sz w:val="20"/>
        </w:rPr>
        <w:t>(</w:t>
      </w:r>
      <w:r w:rsidRPr="00BD541D">
        <w:rPr>
          <w:rFonts w:ascii="Book Antiqua" w:hAnsi="Book Antiqua"/>
          <w:sz w:val="20"/>
        </w:rPr>
        <w:t>Crater formation mechanisms and how to distinguish crater origins is discussed in Appendix E. A typical impact crater from cement dust experiments discussed in Appendix E appears in Figure 9.</w:t>
      </w:r>
      <w:r>
        <w:rPr>
          <w:rFonts w:ascii="Book Antiqua" w:hAnsi="Book Antiqua"/>
          <w:sz w:val="20"/>
        </w:rPr>
        <w:t>)</w:t>
      </w:r>
      <w:r w:rsidRPr="00BD541D">
        <w:rPr>
          <w:rFonts w:ascii="Book Antiqua" w:hAnsi="Book Antiqua"/>
          <w:sz w:val="20"/>
        </w:rPr>
        <w:t xml:space="preserve">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4197658" cy="3104349"/>
            <wp:effectExtent l="19050" t="0" r="0" b="0"/>
            <wp:docPr id="89"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5" cstate="print">
                      <a:lum contrast="40000"/>
                    </a:blip>
                    <a:srcRect l="15715" t="3512" r="11726" b="24793"/>
                    <a:stretch>
                      <a:fillRect/>
                    </a:stretch>
                  </pic:blipFill>
                  <pic:spPr bwMode="auto">
                    <a:xfrm>
                      <a:off x="0" y="0"/>
                      <a:ext cx="4213759" cy="3116256"/>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B07237" w:rsidRDefault="00700009" w:rsidP="00700009">
      <w:pPr>
        <w:pStyle w:val="NoSpacing"/>
        <w:rPr>
          <w:rFonts w:ascii="Book Antiqua" w:hAnsi="Book Antiqua"/>
          <w:i/>
          <w:sz w:val="18"/>
          <w:szCs w:val="18"/>
        </w:rPr>
      </w:pPr>
      <w:r w:rsidRPr="00B07237">
        <w:rPr>
          <w:rFonts w:ascii="Book Antiqua" w:hAnsi="Book Antiqua"/>
          <w:b/>
          <w:i/>
          <w:sz w:val="18"/>
          <w:szCs w:val="18"/>
        </w:rPr>
        <w:t>Figure 9:</w:t>
      </w:r>
      <w:r w:rsidRPr="00B07237">
        <w:rPr>
          <w:rFonts w:ascii="Book Antiqua" w:hAnsi="Book Antiqua"/>
          <w:i/>
          <w:sz w:val="18"/>
          <w:szCs w:val="18"/>
        </w:rPr>
        <w:t xml:space="preserve"> A crater in a pan of cement dust shows rays and splash craters (secondary craters) resulting from the impact of a cement dust “meteorite.”</w:t>
      </w:r>
    </w:p>
    <w:p w:rsidR="00700009" w:rsidRDefault="00700009" w:rsidP="00700009">
      <w:pPr>
        <w:pStyle w:val="NoSpacing"/>
        <w:rPr>
          <w:rFonts w:ascii="Book Antiqua" w:hAnsi="Book Antiqua"/>
          <w:sz w:val="18"/>
          <w:szCs w:val="18"/>
        </w:rPr>
      </w:pPr>
    </w:p>
    <w:p w:rsidR="00700009" w:rsidRPr="00BD541D" w:rsidRDefault="00700009" w:rsidP="00700009">
      <w:pPr>
        <w:pStyle w:val="NoSpacing"/>
        <w:rPr>
          <w:rFonts w:ascii="Book Antiqua" w:hAnsi="Book Antiqua"/>
          <w:b/>
          <w:sz w:val="20"/>
        </w:rPr>
      </w:pPr>
      <w:r w:rsidRPr="00BD541D">
        <w:rPr>
          <w:rFonts w:ascii="Book Antiqua" w:hAnsi="Book Antiqua"/>
          <w:b/>
          <w:sz w:val="20"/>
        </w:rPr>
        <w:lastRenderedPageBreak/>
        <w:t>9. Electrical Machining of Planetary Surfaces</w:t>
      </w:r>
      <w:r>
        <w:rPr>
          <w:rFonts w:ascii="Book Antiqua" w:hAnsi="Book Antiqua"/>
          <w:b/>
          <w:sz w:val="20"/>
        </w:rPr>
        <w:t>?</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Research by</w:t>
      </w:r>
      <w:r w:rsidRPr="00BD541D">
        <w:rPr>
          <w:rFonts w:ascii="Book Antiqua" w:hAnsi="Book Antiqua"/>
          <w:sz w:val="20"/>
        </w:rPr>
        <w:t xml:space="preserve"> Paul Anderson has also indicated that some features of the earth’s surface may have been electrically produced. He digitized satellite images of various mountain ranges and river systems</w:t>
      </w:r>
      <w:r>
        <w:rPr>
          <w:rFonts w:ascii="Book Antiqua" w:hAnsi="Book Antiqua"/>
          <w:sz w:val="20"/>
        </w:rPr>
        <w:t>.</w:t>
      </w:r>
      <w:r w:rsidRPr="00BD541D">
        <w:rPr>
          <w:rFonts w:ascii="Book Antiqua" w:hAnsi="Book Antiqua"/>
          <w:sz w:val="20"/>
        </w:rPr>
        <w:t xml:space="preserve"> He then took images of Lichtenberg figures, the effects of lightning interactions and machining and digitized them.</w:t>
      </w:r>
      <w:r>
        <w:rPr>
          <w:rFonts w:ascii="Book Antiqua" w:hAnsi="Book Antiqua"/>
          <w:sz w:val="20"/>
        </w:rPr>
        <w:t xml:space="preserve"> Finally,</w:t>
      </w:r>
      <w:r w:rsidRPr="00BD541D">
        <w:rPr>
          <w:rFonts w:ascii="Book Antiqua" w:hAnsi="Book Antiqua"/>
          <w:sz w:val="20"/>
        </w:rPr>
        <w:t xml:space="preserve"> he took features that were known to result purely from the action of water and its erosion and digitized them. He discovered that in a surprisingly large number of cases, the mountain and river systems were not following the water erosion pattern. Rather they were following the pattern of machining by electric interactions. The action of water erosion was only seen at the heads of the systems. [37] The two systems differ because electric discharge effects diverge from the point of initiation, whereas the action of water is to form channels converging to the lowest point.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Paul Anderson’s Abstract reads in part: </w:t>
      </w:r>
      <w:r w:rsidRPr="00BD541D">
        <w:rPr>
          <w:rFonts w:ascii="Book Antiqua" w:hAnsi="Book Antiqua"/>
          <w:i/>
          <w:sz w:val="20"/>
        </w:rPr>
        <w:t xml:space="preserve">“The macroscale appearance of river beds, mountain ranges and other geological features exhibit characteristics which are typical of electric discharge machining (EDM) on a dielectric medium. This paper explores the hypothesis and presents evidence that most canyons and riverbeds were first formed by electric arcs and not created through fluvial erosion. ... Furthermore, the geological features exhibited self-affinity, which is not a characteristic of fluvial systems, but is a characteristic of electrical discharges on dielectric materials.” </w:t>
      </w:r>
      <w:r w:rsidRPr="00BD541D">
        <w:rPr>
          <w:rFonts w:ascii="Book Antiqua" w:hAnsi="Book Antiqua"/>
          <w:sz w:val="20"/>
        </w:rPr>
        <w:t>[37]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 This may mean </w:t>
      </w:r>
      <w:r w:rsidRPr="00BD541D">
        <w:rPr>
          <w:rFonts w:ascii="Book Antiqua" w:hAnsi="Book Antiqua"/>
          <w:sz w:val="20"/>
        </w:rPr>
        <w:t xml:space="preserve">that many features on the earth’s surface have resulted from electromagnetic interactions rather than </w:t>
      </w:r>
      <w:r>
        <w:rPr>
          <w:rFonts w:ascii="Book Antiqua" w:hAnsi="Book Antiqua"/>
          <w:sz w:val="20"/>
        </w:rPr>
        <w:t xml:space="preserve">the commonly accepted </w:t>
      </w:r>
      <w:r w:rsidRPr="00BD541D">
        <w:rPr>
          <w:rFonts w:ascii="Book Antiqua" w:hAnsi="Book Antiqua"/>
          <w:sz w:val="20"/>
        </w:rPr>
        <w:t xml:space="preserve">slow geological erosion processes. The implication is that some of the surface features of other planets, such as Mars, may also have resulted from electric discharge machining. The features caused by these electromagnetic interactions formed very rapidly in laboratory experiments. Even when upscaled to planetary dimensions, it </w:t>
      </w:r>
      <w:r>
        <w:rPr>
          <w:rFonts w:ascii="Book Antiqua" w:hAnsi="Book Antiqua"/>
          <w:sz w:val="20"/>
        </w:rPr>
        <w:t>is to be</w:t>
      </w:r>
      <w:r w:rsidRPr="00BD541D">
        <w:rPr>
          <w:rFonts w:ascii="Book Antiqua" w:hAnsi="Book Antiqua"/>
          <w:sz w:val="20"/>
        </w:rPr>
        <w:t xml:space="preserve"> expected that such features on the earth and planets would form in a much shorter time-frame than geolog</w:t>
      </w:r>
      <w:r>
        <w:rPr>
          <w:rFonts w:ascii="Book Antiqua" w:hAnsi="Book Antiqua"/>
          <w:sz w:val="20"/>
        </w:rPr>
        <w:t>ical</w:t>
      </w:r>
      <w:r w:rsidRPr="00BD541D">
        <w:rPr>
          <w:rFonts w:ascii="Book Antiqua" w:hAnsi="Book Antiqua"/>
          <w:sz w:val="20"/>
        </w:rPr>
        <w:t xml:space="preserve"> and geomorpholog</w:t>
      </w:r>
      <w:r>
        <w:rPr>
          <w:rFonts w:ascii="Book Antiqua" w:hAnsi="Book Antiqua"/>
          <w:sz w:val="20"/>
        </w:rPr>
        <w:t>ical processes</w:t>
      </w:r>
      <w:r w:rsidRPr="00BD541D">
        <w:rPr>
          <w:rFonts w:ascii="Book Antiqua" w:hAnsi="Book Antiqua"/>
          <w:sz w:val="20"/>
        </w:rPr>
        <w:t xml:space="preserve"> would normally</w:t>
      </w:r>
      <w:r>
        <w:rPr>
          <w:rFonts w:ascii="Book Antiqua" w:hAnsi="Book Antiqua"/>
          <w:sz w:val="20"/>
        </w:rPr>
        <w:t xml:space="preserve"> take</w:t>
      </w:r>
      <w:r w:rsidRPr="00BD541D">
        <w:rPr>
          <w:rFonts w:ascii="Book Antiqua" w:hAnsi="Book Antiqua"/>
          <w:sz w:val="20"/>
        </w:rPr>
        <w: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both"/>
        <w:rPr>
          <w:rFonts w:ascii="Book Antiqua" w:hAnsi="Book Antiqua"/>
          <w:b/>
          <w:sz w:val="20"/>
        </w:rPr>
      </w:pPr>
      <w:r w:rsidRPr="00BD541D">
        <w:rPr>
          <w:rFonts w:ascii="Book Antiqua" w:hAnsi="Book Antiqua"/>
          <w:b/>
          <w:sz w:val="20"/>
        </w:rPr>
        <w:t>10. Summary of Effects for Planets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With the information gained from the dwarf planets and meteorites, it is now possible to assess the effects of similar processes on the inner planets of the solar system.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First, the plasma physics approach suggests that the planets were probably formed already layered and in a cool state.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Second, water was present in the crystal structure of the minerals making up planetary interiors as well as in spaces between the crystals.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Third, both short and long half-life radioactive elements were probably concentrated in planetary mantles and cores by Marklund convection. In addition, enrichment of metals with radioactive elements due to metal-alloy formation would concentrate them further.</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 Fourth, low Zero Point Energy values resulted in accelerated decay rates for these radioactive elements.</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Fifth, the heat from this process drove off the water locked up in the primordial minerals as the internal temperatures of the planets increased. </w:t>
      </w:r>
    </w:p>
    <w:p w:rsidR="00700009" w:rsidRPr="00BD541D" w:rsidRDefault="00700009" w:rsidP="00700009">
      <w:pPr>
        <w:pStyle w:val="NoSpacing"/>
        <w:ind w:left="720"/>
        <w:jc w:val="bot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Sixth, this process resulted in a build-up of pressure, which ultimately resulted in either the catastrophic outgassing of water onto the surface of the planet or the explosive disruption of the planet itself. In the early days, this is the likely cause of the breakup of the planet in the outer reaches of the solar system that gave rise to the Kuiper Belt objects and comets. It is also the likely cause for the later disruption of both Planet Y and its moon which gave rise to the asteroids and meteorites.</w:t>
      </w:r>
    </w:p>
    <w:p w:rsidR="00700009" w:rsidRPr="00BD541D" w:rsidRDefault="00700009" w:rsidP="00700009">
      <w:pPr>
        <w:pStyle w:val="NoSpacing"/>
        <w:ind w:left="720"/>
        <w:jc w:val="both"/>
        <w:rPr>
          <w:rFonts w:ascii="Book Antiqua" w:hAnsi="Book Antiqua"/>
          <w:sz w:val="20"/>
        </w:rPr>
      </w:pPr>
      <w:r w:rsidRPr="00BD541D">
        <w:rPr>
          <w:rFonts w:ascii="Book Antiqua" w:hAnsi="Book Antiqua"/>
          <w:sz w:val="20"/>
        </w:rPr>
        <w:t xml:space="preserve"> </w:t>
      </w: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lastRenderedPageBreak/>
        <w:t xml:space="preserve">Seventh, as heating continued, the interiors of planets became molten and mobile. As rocks in planetary interiors became molten, their volume increased. This exerted further pressure on the crustal layers of planets and either split the crust, or resulted in a massive outpouring of magma across the surface of the planet from crustal fissures.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20"/>
        </w:rPr>
      </w:pPr>
      <w:r w:rsidRPr="00BD541D">
        <w:rPr>
          <w:rFonts w:ascii="Book Antiqua" w:hAnsi="Book Antiqua"/>
          <w:sz w:val="20"/>
        </w:rPr>
        <w:t xml:space="preserve">Eighth, the evidence presented in Chapter 6 on plasma physics and the ZPE indicates that a very high voltage gradient existed in the early solar system when compared with today. In addition, all planetary plasmaspheres or magnetospheres would have been at higher potentials than today. This means that all four of the explosive events in the solar system would be accompanied by strong electrical and magnetic effects. These effects would include cratering and electric discharge machining of planetary surfaces. Also, as the explosion fragments entered the inner solar system, strong electrical stresses would build up on them and cause some to explode like overcharged capacitors [67] and produce electric effects near planetary surfaces. </w:t>
      </w:r>
    </w:p>
    <w:p w:rsidR="00700009" w:rsidRPr="00BD541D" w:rsidRDefault="00700009" w:rsidP="00700009">
      <w:pPr>
        <w:pStyle w:val="ListParagraph"/>
        <w:rPr>
          <w:rFonts w:ascii="Book Antiqua" w:hAnsi="Book Antiqua"/>
          <w:sz w:val="20"/>
        </w:rPr>
      </w:pPr>
    </w:p>
    <w:p w:rsidR="00700009" w:rsidRPr="00BD541D" w:rsidRDefault="00700009" w:rsidP="00700009">
      <w:pPr>
        <w:pStyle w:val="NoSpacing"/>
        <w:numPr>
          <w:ilvl w:val="0"/>
          <w:numId w:val="35"/>
        </w:numPr>
        <w:jc w:val="both"/>
        <w:rPr>
          <w:rFonts w:ascii="Book Antiqua" w:hAnsi="Book Antiqua"/>
          <w:sz w:val="18"/>
          <w:szCs w:val="18"/>
        </w:rPr>
      </w:pPr>
      <w:r w:rsidRPr="00BD541D">
        <w:rPr>
          <w:rFonts w:ascii="Book Antiqua" w:hAnsi="Book Antiqua"/>
          <w:sz w:val="20"/>
        </w:rPr>
        <w:t xml:space="preserve">The four events affecting the solar system and earth were a). The </w:t>
      </w:r>
      <w:proofErr w:type="gramStart"/>
      <w:r w:rsidRPr="00BD541D">
        <w:rPr>
          <w:rFonts w:ascii="Book Antiqua" w:hAnsi="Book Antiqua"/>
          <w:sz w:val="20"/>
        </w:rPr>
        <w:t>breakup of the Kuiper Belt object</w:t>
      </w:r>
      <w:proofErr w:type="gramEnd"/>
      <w:r w:rsidRPr="00BD541D">
        <w:rPr>
          <w:rFonts w:ascii="Book Antiqua" w:hAnsi="Book Antiqua"/>
          <w:sz w:val="20"/>
        </w:rPr>
        <w:t xml:space="preserve"> that gave rise to the LHB event about 3.9 billion atomic years ago. b). The initial breakup of Planet Y starting 810 million atomic years ago with the process peaking about 650 million atomic years ago. c). A secondary breakup of Planet Y about 258 million atomic years ago. d). </w:t>
      </w:r>
      <w:proofErr w:type="gramStart"/>
      <w:r w:rsidRPr="00BD541D">
        <w:rPr>
          <w:rFonts w:ascii="Book Antiqua" w:hAnsi="Book Antiqua"/>
          <w:sz w:val="20"/>
        </w:rPr>
        <w:t>The</w:t>
      </w:r>
      <w:proofErr w:type="gramEnd"/>
      <w:r w:rsidRPr="00BD541D">
        <w:rPr>
          <w:rFonts w:ascii="Book Antiqua" w:hAnsi="Book Antiqua"/>
          <w:sz w:val="20"/>
        </w:rPr>
        <w:t xml:space="preserve"> breakup of the moon of Planet Y about 65.8 million atomic years ago</w:t>
      </w:r>
      <w:r w:rsidRPr="00BD541D">
        <w:rPr>
          <w:rFonts w:ascii="Book Antiqua" w:hAnsi="Book Antiqua"/>
          <w:sz w:val="18"/>
          <w:szCs w:val="18"/>
        </w:rPr>
        <w:t>.</w:t>
      </w:r>
    </w:p>
    <w:p w:rsidR="00700009" w:rsidRPr="00BD541D" w:rsidRDefault="00700009" w:rsidP="00700009">
      <w:pPr>
        <w:pStyle w:val="Els-body-text"/>
        <w:ind w:firstLine="0"/>
        <w:rPr>
          <w:rFonts w:ascii="Book Antiqua" w:hAnsi="Book Antiqua"/>
        </w:rPr>
      </w:pPr>
    </w:p>
    <w:p w:rsidR="00700009" w:rsidRDefault="00700009" w:rsidP="00BA27CF">
      <w:pPr>
        <w:pStyle w:val="NoSpacing"/>
        <w:numPr>
          <w:ilvl w:val="0"/>
          <w:numId w:val="63"/>
        </w:numPr>
        <w:rPr>
          <w:rFonts w:ascii="Book Antiqua" w:hAnsi="Book Antiqua"/>
          <w:b/>
          <w:sz w:val="20"/>
        </w:rPr>
      </w:pPr>
      <w:r>
        <w:rPr>
          <w:rFonts w:ascii="Book Antiqua" w:hAnsi="Book Antiqua"/>
          <w:b/>
          <w:sz w:val="20"/>
        </w:rPr>
        <w:t>Focusing on t</w:t>
      </w:r>
      <w:r w:rsidRPr="00BD541D">
        <w:rPr>
          <w:rFonts w:ascii="Book Antiqua" w:hAnsi="Book Antiqua"/>
          <w:b/>
          <w:sz w:val="20"/>
        </w:rPr>
        <w:t>he Inner Planets</w:t>
      </w:r>
    </w:p>
    <w:p w:rsidR="00BA27CF" w:rsidRPr="00BD541D" w:rsidRDefault="00BA27CF" w:rsidP="00BA27CF">
      <w:pPr>
        <w:pStyle w:val="NoSpacing"/>
        <w:ind w:left="720"/>
        <w:rPr>
          <w:rFonts w:ascii="Book Antiqua" w:hAnsi="Book Antiqua"/>
          <w:b/>
          <w:sz w:val="20"/>
        </w:rPr>
      </w:pPr>
    </w:p>
    <w:p w:rsidR="00700009" w:rsidRPr="00BD541D" w:rsidRDefault="00700009" w:rsidP="00700009">
      <w:pPr>
        <w:pStyle w:val="NoSpacing"/>
        <w:rPr>
          <w:rFonts w:ascii="Book Antiqua" w:hAnsi="Book Antiqua"/>
          <w:i/>
          <w:sz w:val="20"/>
        </w:rPr>
      </w:pPr>
      <w:r w:rsidRPr="00BD541D">
        <w:rPr>
          <w:rFonts w:ascii="Book Antiqua" w:hAnsi="Book Antiqua"/>
          <w:i/>
          <w:sz w:val="20"/>
        </w:rPr>
        <w:t>11. 1 A Brief History of Mars</w:t>
      </w:r>
    </w:p>
    <w:p w:rsidR="00700009" w:rsidRPr="00BD541D" w:rsidRDefault="00700009" w:rsidP="00700009">
      <w:pPr>
        <w:pStyle w:val="NoSpacing"/>
        <w:rPr>
          <w:rFonts w:ascii="Book Antiqua" w:hAnsi="Book Antiqua"/>
          <w:b/>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history of the planet Mars basically accords with the data from the asteroids. This might be expected</w:t>
      </w:r>
      <w:r>
        <w:rPr>
          <w:rFonts w:ascii="Book Antiqua" w:hAnsi="Book Antiqua"/>
          <w:sz w:val="20"/>
        </w:rPr>
        <w:t>,</w:t>
      </w:r>
      <w:r w:rsidRPr="00BD541D">
        <w:rPr>
          <w:rFonts w:ascii="Book Antiqua" w:hAnsi="Book Antiqua"/>
          <w:sz w:val="20"/>
        </w:rPr>
        <w:t xml:space="preserve"> as it is the closest of the inner planets to the asteroid belt, and would be expected to have a similar composition. There was an initial period of heating after the formation of the planet.  Studies of meteorites originating from Mars place this heating at about 4.5 billion atomic years ago [38, 39].</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was followed by the Late Heavy Bombardment impacts and its associated electrical machining.  Meteorites from Mars show shock metamorphism and crushing that dates about 4.0 billion atomic years [40, 41]. Herbert Frey worked with the Geodynamics Branch of NASA's Goddard Space Flight Centre and examined topographic data from the Mars Orbiter Laser Altimeter (MOLA). He discovered a large grouping of major impact basins from the LHB buried under the northern plains on Mars shown in Figures 10 and 11 [42, 43].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277400" cy="2334051"/>
            <wp:effectExtent l="19050" t="0" r="0" b="0"/>
            <wp:docPr id="10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6077" r="1492" b="3015"/>
                    <a:stretch>
                      <a:fillRect/>
                    </a:stretch>
                  </pic:blipFill>
                  <pic:spPr bwMode="auto">
                    <a:xfrm>
                      <a:off x="0" y="0"/>
                      <a:ext cx="3285163" cy="2339579"/>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sz w:val="20"/>
        </w:rPr>
      </w:pPr>
    </w:p>
    <w:p w:rsidR="00700009" w:rsidRDefault="00700009" w:rsidP="00700009">
      <w:pPr>
        <w:pStyle w:val="NoSpacing"/>
        <w:rPr>
          <w:rFonts w:ascii="Book Antiqua" w:hAnsi="Book Antiqua"/>
          <w:i/>
          <w:sz w:val="18"/>
          <w:szCs w:val="18"/>
        </w:rPr>
      </w:pPr>
      <w:r w:rsidRPr="00B07237">
        <w:rPr>
          <w:rFonts w:ascii="Book Antiqua" w:hAnsi="Book Antiqua"/>
          <w:b/>
          <w:i/>
          <w:sz w:val="18"/>
          <w:szCs w:val="18"/>
        </w:rPr>
        <w:t>Figure 10:</w:t>
      </w:r>
      <w:r w:rsidRPr="00B07237">
        <w:rPr>
          <w:rFonts w:ascii="Book Antiqua" w:hAnsi="Book Antiqua"/>
          <w:i/>
          <w:sz w:val="18"/>
          <w:szCs w:val="18"/>
        </w:rPr>
        <w:t xml:space="preserve"> Large ancient impact basins on Mars from the Late Heavy Bombardment [43].</w:t>
      </w:r>
      <w:r>
        <w:rPr>
          <w:rFonts w:ascii="Book Antiqua" w:hAnsi="Book Antiqua"/>
          <w:i/>
          <w:sz w:val="18"/>
          <w:szCs w:val="18"/>
        </w:rPr>
        <w:t xml:space="preserve"> These are mainly in the northern hemisphere.</w:t>
      </w:r>
    </w:p>
    <w:p w:rsidR="00700009" w:rsidRPr="00B07237" w:rsidRDefault="00700009" w:rsidP="00700009">
      <w:pPr>
        <w:pStyle w:val="NoSpacing"/>
        <w:rPr>
          <w:rFonts w:ascii="Book Antiqua" w:hAnsi="Book Antiqua"/>
          <w:i/>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The LHB formed the major impact basins in the north as well as the cratered uplands in the south. The major impact basins in the north were much later covered with basaltic magma from the interior which now makes up the lowland plains.  Recent research and work indicates electrical machining due to the LHB may have been responsible for many of the craters. The demarcations between what are now the lowland plains of the northern hemisphere and the heavily cratered terrains of the south only came much later.</w:t>
      </w:r>
    </w:p>
    <w:p w:rsidR="00700009" w:rsidRDefault="00700009" w:rsidP="00700009">
      <w:pPr>
        <w:pStyle w:val="NoSpacing"/>
        <w:jc w:val="center"/>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244682" cy="4572000"/>
            <wp:effectExtent l="19050" t="0" r="3718" b="0"/>
            <wp:docPr id="105" name="il_fi" descr="http://astronomy.swin.edu.au/cms/imagedb/albums/scaled_cache/mars_topo-64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swin.edu.au/cms/imagedb/albums/scaled_cache/mars_topo-640x433.jpg"/>
                    <pic:cNvPicPr>
                      <a:picLocks noChangeAspect="1" noChangeArrowheads="1"/>
                    </pic:cNvPicPr>
                  </pic:nvPicPr>
                  <pic:blipFill>
                    <a:blip r:embed="rId1026" cstate="print">
                      <a:lum contrast="30000"/>
                    </a:blip>
                    <a:srcRect/>
                    <a:stretch>
                      <a:fillRect/>
                    </a:stretch>
                  </pic:blipFill>
                  <pic:spPr bwMode="auto">
                    <a:xfrm>
                      <a:off x="0" y="0"/>
                      <a:ext cx="6252071" cy="4577410"/>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11:</w:t>
      </w:r>
      <w:r w:rsidRPr="00624D90">
        <w:rPr>
          <w:rFonts w:ascii="Book Antiqua" w:hAnsi="Book Antiqua"/>
          <w:i/>
          <w:sz w:val="18"/>
          <w:szCs w:val="18"/>
        </w:rPr>
        <w:t xml:space="preserve"> Elevation map of Mars with the lowland plains in the North and cratered uplands in the South. The deep blue Hellas Planitia (bottom right) is the deepest point on the current surface. It has at its antipodal point the Tharsis Uplift with its huge volcanoes including Olympas Mons. This is typical of antipodal responses to events causing massive craters on Mercury, the Moon and on Earth. The earthly counterparts are the Wilkes Land crater in the Antarctic with the antipodal Siberian Traps basalt outpouring, and the Chicxulub crater and the antipodal Deccan Traps basalt layers. On Mercury there is the fractured terrain at the antipodal point of the huge Caloris Basin.</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As the internal heating of Mars continued, water from the minerals in its mantle was pushed towards the surface. The action of water on the surface of Mars has been dated at 1.39 billion atomic years using the rubidium/strontium system on carbonate minerals in meteorite ALH84001 from Mars [44]. Note that an earlier date using different isotopes has been questioned since it is not well defined [45]. Indeed, there is evidence of considerable surface erosion on Mars at the 1.39 billion atomic year mark.</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water involved in this activity was probably outgassed from the interior of Mars. Evidence of the action of water takes a variety of forms. For example, the largest outflow channel system on Mars is found on the north-west slopes of the Tharsis region. Dr James M. Dohm of the University of Arizona stated [46]: </w:t>
      </w:r>
      <w:r w:rsidRPr="00BD541D">
        <w:rPr>
          <w:rFonts w:ascii="Book Antiqua" w:hAnsi="Book Antiqua"/>
          <w:i/>
          <w:sz w:val="20"/>
        </w:rPr>
        <w:t xml:space="preserve">"The best explanation is that they were </w:t>
      </w:r>
      <w:r w:rsidRPr="00BD541D">
        <w:rPr>
          <w:rFonts w:ascii="Book Antiqua" w:hAnsi="Book Antiqua"/>
          <w:i/>
          <w:sz w:val="20"/>
        </w:rPr>
        <w:lastRenderedPageBreak/>
        <w:t xml:space="preserve">formed by catastrophic floods that at their peak potentially discharged as much as 50,000 times the flow of the Amazon </w:t>
      </w:r>
      <w:proofErr w:type="gramStart"/>
      <w:r w:rsidRPr="00BD541D">
        <w:rPr>
          <w:rFonts w:ascii="Book Antiqua" w:hAnsi="Book Antiqua"/>
          <w:i/>
          <w:sz w:val="20"/>
        </w:rPr>
        <w:t>river</w:t>
      </w:r>
      <w:proofErr w:type="gramEnd"/>
      <w:r w:rsidRPr="00BD541D">
        <w:rPr>
          <w:rFonts w:ascii="Book Antiqua" w:hAnsi="Book Antiqua"/>
          <w:i/>
          <w:sz w:val="20"/>
        </w:rPr>
        <w:t>, Earth's largest river."</w:t>
      </w:r>
      <w:r w:rsidRPr="00BD541D">
        <w:rPr>
          <w:rFonts w:ascii="Book Antiqua" w:hAnsi="Book Antiqua"/>
          <w:sz w:val="20"/>
        </w:rPr>
        <w:t xml:space="preserv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news release from the University of Arizona for 3rd August 2001 Dohm elaborated further: </w:t>
      </w:r>
      <w:r w:rsidRPr="00BD541D">
        <w:rPr>
          <w:rFonts w:ascii="Book Antiqua" w:hAnsi="Book Antiqua"/>
          <w:i/>
          <w:sz w:val="20"/>
        </w:rPr>
        <w:t>"At sustained peak discharge rates, floods through the valleys would have filled a large ocean (96 million cubic kilometres) hypothesized for northern Mars in about 8 weeks, and a smaller ocean (14 million cubic kilometres) in the same region in about 8 days, according to the scientists' calculations. The large ocean is equivalent to about a third the volume of the Indian Ocean, or more than three times the volume of the Mediterranean Sea, Caribbean Sea, South China Sea and Arctic Ocean combined. The smaller ocean is equal in volume to the Arctic Ocean."</w:t>
      </w:r>
      <w:r w:rsidRPr="00BD541D">
        <w:rPr>
          <w:rFonts w:ascii="Book Antiqua" w:hAnsi="Book Antiqua"/>
          <w:sz w:val="20"/>
        </w:rPr>
        <w:t xml:space="preserve">[46] The research is published in </w:t>
      </w:r>
      <w:r w:rsidRPr="00BD541D">
        <w:rPr>
          <w:rFonts w:ascii="Book Antiqua" w:hAnsi="Book Antiqua"/>
          <w:i/>
          <w:sz w:val="20"/>
        </w:rPr>
        <w:t>Journal of Geophysical Research</w:t>
      </w:r>
      <w:r w:rsidRPr="00BD541D">
        <w:rPr>
          <w:rFonts w:ascii="Book Antiqua" w:hAnsi="Book Antiqua"/>
          <w:sz w:val="20"/>
        </w:rPr>
        <w:t xml:space="preserve">, Vol. 106, </w:t>
      </w:r>
      <w:proofErr w:type="gramStart"/>
      <w:r w:rsidRPr="00BD541D">
        <w:rPr>
          <w:rFonts w:ascii="Book Antiqua" w:hAnsi="Book Antiqua"/>
          <w:sz w:val="20"/>
        </w:rPr>
        <w:t>June</w:t>
      </w:r>
      <w:proofErr w:type="gramEnd"/>
      <w:r w:rsidRPr="00BD541D">
        <w:rPr>
          <w:rFonts w:ascii="Book Antiqua" w:hAnsi="Book Antiqua"/>
          <w:sz w:val="20"/>
        </w:rPr>
        <w:t xml:space="preserve"> 2001 [47]. This massive outgassing of water from the Martian interior may have filled the huge basins in the north left from the Late Heavy Bombardment. If it did, this was probably the origin of the suspected northern ocean on Mars.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Nick Hoffman of Latrobe University, Australia, commented on the origin of this huge amount of water. He said: </w:t>
      </w:r>
      <w:hyperlink r:id="rId1027" w:history="1">
        <w:r w:rsidRPr="00BD541D">
          <w:rPr>
            <w:rStyle w:val="Hyperlink"/>
            <w:rFonts w:ascii="Book Antiqua" w:hAnsi="Book Antiqua"/>
            <w:i/>
            <w:sz w:val="20"/>
          </w:rPr>
          <w:t xml:space="preserve">"scientists have always had a great deal of trouble explaining just where those gigantic eruptions of high-pressure water came from </w:t>
        </w:r>
        <w:r w:rsidRPr="00BD541D">
          <w:rPr>
            <w:rStyle w:val="Hyperlink"/>
            <w:rFonts w:ascii="Book Antiqua" w:hAnsi="Book Antiqua"/>
            <w:i/>
            <w:sz w:val="20"/>
          </w:rPr>
          <w:softHyphen/>
          <w:t xml:space="preserve"> especially since the patches of collapsed, ’chaotic’ ground from which they seem to have gushed usually don't look anywhere near big enough to contain amounts of water capable of carving such huge flood channels."</w:t>
        </w:r>
      </w:hyperlink>
      <w:r w:rsidRPr="00BD541D">
        <w:rPr>
          <w:rFonts w:ascii="Book Antiqua" w:hAnsi="Book Antiqua"/>
          <w:sz w:val="20"/>
        </w:rPr>
        <w:t xml:space="preserve"> [48] Despite the various solutions proposed, the matter is still one of debate. However, one possible answer to the problem is that these patches of collapsed, "chaotic" ground may in fact be the location of the Martian equivalent of earth's black smokers of the south-east Pacific rise.  Waters bursting out from these originated from the radioactive heating of hydrated minerals in the mantle. It was from this source that the Martian ocean was formed.</w:t>
      </w:r>
    </w:p>
    <w:p w:rsidR="00700009"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F90D39">
        <w:rPr>
          <w:rFonts w:ascii="Book Antiqua" w:hAnsi="Book Antiqua"/>
          <w:sz w:val="20"/>
        </w:rPr>
        <w:t xml:space="preserve">As the heating of the mantle </w:t>
      </w:r>
      <w:r>
        <w:rPr>
          <w:rFonts w:ascii="Book Antiqua" w:hAnsi="Book Antiqua"/>
          <w:sz w:val="20"/>
        </w:rPr>
        <w:t xml:space="preserve">on Mars </w:t>
      </w:r>
      <w:r w:rsidRPr="00F90D39">
        <w:rPr>
          <w:rFonts w:ascii="Book Antiqua" w:hAnsi="Book Antiqua"/>
          <w:sz w:val="20"/>
        </w:rPr>
        <w:t>continued, and</w:t>
      </w:r>
      <w:r w:rsidRPr="00BD541D">
        <w:rPr>
          <w:rFonts w:ascii="Book Antiqua" w:hAnsi="Book Antiqua"/>
          <w:sz w:val="20"/>
        </w:rPr>
        <w:t xml:space="preserve"> </w:t>
      </w:r>
      <w:r>
        <w:rPr>
          <w:rFonts w:ascii="Book Antiqua" w:hAnsi="Book Antiqua"/>
          <w:sz w:val="20"/>
        </w:rPr>
        <w:t>its rock</w:t>
      </w:r>
      <w:r w:rsidRPr="00BD541D">
        <w:rPr>
          <w:rFonts w:ascii="Book Antiqua" w:hAnsi="Book Antiqua"/>
          <w:sz w:val="20"/>
        </w:rPr>
        <w:t xml:space="preserve"> became at least partly molten, a period of volcanic activity occurred resulting in a massive outpouring of lava which covered a major portion of the lowland plains in the northern hemisphere. The Cambridge Atlas p. 125 makes an interesting comment [49]: </w:t>
      </w:r>
      <w:r w:rsidRPr="00BD541D">
        <w:rPr>
          <w:rFonts w:ascii="Book Antiqua" w:hAnsi="Book Antiqua"/>
          <w:i/>
          <w:sz w:val="20"/>
        </w:rPr>
        <w:t xml:space="preserve">"The ancient terrain shows networks of channels which generally end abruptly at the boundary of the regions covered by the formation of the more recent plains." </w:t>
      </w:r>
      <w:r w:rsidRPr="00BD541D">
        <w:rPr>
          <w:rFonts w:ascii="Book Antiqua" w:hAnsi="Book Antiqua"/>
          <w:sz w:val="20"/>
        </w:rPr>
        <w:t>This magmatic outpouring not only truncated the network of ouflow channels at the edge of the plains, but would also have vaporized a significant portion of water in those lowland areas. In addition, vast quantities of carbon dioxide would have been released. The water vapor on Mars has since been lost, perhaps through several mechanisms including the low atmospheric pressure and its weak gravitational field. This topic is one of continuing scientific discussion. These events gave Mars its present atmosphere.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Finally, as the breakup of Planet Y and its moon occurred, other cratering events and further electrical machining took place on the surface of Mars. There is evidence of electrical machining from this time on the solidified northern plains.  It was during one of these episodes that the Hellas Basin was formed and the antipodal uplift of Tharsis resulted. Both Hellas and Tharsis are less heavily cratered than the rest of the southern surface, so the craters that they do have must have come from events later in time than the LHB.  Some mobility of the Martian mantle may have been needed to produce the volcanic features, even though electric machining can produce “blisters” with characteristics matching those of Olympas Mons and its surroundings.</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In summary, the sequence of events on Mars seems to be as follows: (1) Initial heating of the interior. (2) The LHB, which seems to have formed large basins in the northern sector of the planet and the craters in the south, either by impact or electrical machining or both. (3) As heating continued, surface erosion occurred as water was outgassed from the interior. Oceans probably existed temporarily in the low-lying northern areas at this time. (4) The mantle became somewhat mobile and magma was outpoured (probably basaltic) covering the northern lowlands and vaporizing much of the water. Carbon dioxide in large quantities was released from the magma. This event was foundational in establishing Mars present atmosphere. (5) Finally the three-fold breakup of Planet Y and its moon further machined the surface electrically forming craters, the great Hellas Basin and its antipodal Tharsis uplift.</w:t>
      </w:r>
    </w:p>
    <w:p w:rsidR="00700009" w:rsidRDefault="00700009" w:rsidP="00700009">
      <w:pPr>
        <w:pStyle w:val="NoSpacing"/>
        <w:ind w:firstLine="720"/>
        <w:jc w:val="both"/>
        <w:rPr>
          <w:rFonts w:ascii="Book Antiqua" w:hAnsi="Book Antiqua"/>
          <w:sz w:val="20"/>
        </w:rPr>
      </w:pPr>
    </w:p>
    <w:p w:rsidR="00700009" w:rsidRPr="00486BCA" w:rsidRDefault="00700009" w:rsidP="00700009">
      <w:pPr>
        <w:pStyle w:val="NoSpacing"/>
        <w:ind w:firstLine="720"/>
        <w:jc w:val="both"/>
        <w:rPr>
          <w:rFonts w:ascii="Book Antiqua" w:hAnsi="Book Antiqua"/>
          <w:sz w:val="20"/>
        </w:rPr>
      </w:pPr>
      <w:proofErr w:type="gramStart"/>
      <w:r w:rsidRPr="00486BCA">
        <w:rPr>
          <w:rFonts w:ascii="Book Antiqua" w:hAnsi="Book Antiqua"/>
          <w:sz w:val="20"/>
        </w:rPr>
        <w:t>As previously noted, the relative amounts of water in each planet increase with distance from the sun.</w:t>
      </w:r>
      <w:proofErr w:type="gramEnd"/>
      <w:r w:rsidRPr="00486BCA">
        <w:rPr>
          <w:rFonts w:ascii="Book Antiqua" w:hAnsi="Book Antiqua"/>
          <w:sz w:val="20"/>
        </w:rPr>
        <w:t xml:space="preserve">  The </w:t>
      </w:r>
      <w:r>
        <w:rPr>
          <w:rFonts w:ascii="Book Antiqua" w:hAnsi="Book Antiqua"/>
          <w:sz w:val="20"/>
        </w:rPr>
        <w:t>large</w:t>
      </w:r>
      <w:r w:rsidRPr="00486BCA">
        <w:rPr>
          <w:rFonts w:ascii="Book Antiqua" w:hAnsi="Book Antiqua"/>
          <w:sz w:val="20"/>
        </w:rPr>
        <w:t xml:space="preserve"> amounts of water on Mars give us a clue that Planet Y had even more water.  But the fact that Mars had somewhat less </w:t>
      </w:r>
      <w:r w:rsidRPr="00486BCA">
        <w:rPr>
          <w:rFonts w:ascii="Book Antiqua" w:hAnsi="Book Antiqua"/>
          <w:sz w:val="20"/>
        </w:rPr>
        <w:lastRenderedPageBreak/>
        <w:t xml:space="preserve">water was probably what kept it from exploding as well.  The amount was </w:t>
      </w:r>
      <w:r>
        <w:rPr>
          <w:rFonts w:ascii="Book Antiqua" w:hAnsi="Book Antiqua"/>
          <w:sz w:val="20"/>
        </w:rPr>
        <w:t xml:space="preserve">probably </w:t>
      </w:r>
      <w:r w:rsidRPr="00486BCA">
        <w:rPr>
          <w:rFonts w:ascii="Book Antiqua" w:hAnsi="Book Antiqua"/>
          <w:sz w:val="20"/>
        </w:rPr>
        <w:t>just short of critical.   Jupiter,</w:t>
      </w:r>
      <w:r>
        <w:rPr>
          <w:rFonts w:ascii="Book Antiqua" w:hAnsi="Book Antiqua"/>
          <w:sz w:val="20"/>
        </w:rPr>
        <w:t xml:space="preserve"> Saturn, Uranus and Neptune had</w:t>
      </w:r>
      <w:r w:rsidRPr="00486BCA">
        <w:rPr>
          <w:rFonts w:ascii="Book Antiqua" w:hAnsi="Book Antiqua"/>
          <w:sz w:val="20"/>
        </w:rPr>
        <w:t xml:space="preserve"> even more water in </w:t>
      </w:r>
      <w:r>
        <w:rPr>
          <w:rFonts w:ascii="Book Antiqua" w:hAnsi="Book Antiqua"/>
          <w:sz w:val="20"/>
        </w:rPr>
        <w:t>their</w:t>
      </w:r>
      <w:r w:rsidRPr="00486BCA">
        <w:rPr>
          <w:rFonts w:ascii="Book Antiqua" w:hAnsi="Book Antiqua"/>
          <w:sz w:val="20"/>
        </w:rPr>
        <w:t xml:space="preserve"> interior</w:t>
      </w:r>
      <w:r>
        <w:rPr>
          <w:rFonts w:ascii="Book Antiqua" w:hAnsi="Book Antiqua"/>
          <w:sz w:val="20"/>
        </w:rPr>
        <w:t>s. However</w:t>
      </w:r>
      <w:r w:rsidRPr="00486BCA">
        <w:rPr>
          <w:rFonts w:ascii="Book Antiqua" w:hAnsi="Book Antiqua"/>
          <w:sz w:val="20"/>
        </w:rPr>
        <w:t>,</w:t>
      </w:r>
      <w:r>
        <w:rPr>
          <w:rFonts w:ascii="Book Antiqua" w:hAnsi="Book Antiqua"/>
          <w:sz w:val="20"/>
        </w:rPr>
        <w:t xml:space="preserve"> since they are gas giants, they escaped the problem. </w:t>
      </w:r>
      <w:r w:rsidRPr="00486BCA">
        <w:rPr>
          <w:rFonts w:ascii="Book Antiqua" w:hAnsi="Book Antiqua"/>
          <w:sz w:val="20"/>
        </w:rPr>
        <w:t xml:space="preserve">What is interesting is that, with the evidence of Pluto and other Kuiper Belt objects </w:t>
      </w:r>
      <w:r>
        <w:rPr>
          <w:rFonts w:ascii="Book Antiqua" w:hAnsi="Book Antiqua"/>
          <w:sz w:val="20"/>
        </w:rPr>
        <w:t xml:space="preserve">are </w:t>
      </w:r>
      <w:r w:rsidRPr="00486BCA">
        <w:rPr>
          <w:rFonts w:ascii="Book Antiqua" w:hAnsi="Book Antiqua"/>
          <w:sz w:val="20"/>
        </w:rPr>
        <w:t>solid</w:t>
      </w:r>
      <w:r>
        <w:rPr>
          <w:rFonts w:ascii="Book Antiqua" w:hAnsi="Book Antiqua"/>
          <w:sz w:val="20"/>
        </w:rPr>
        <w:t>. Therefore</w:t>
      </w:r>
      <w:r w:rsidRPr="00486BCA">
        <w:rPr>
          <w:rFonts w:ascii="Book Antiqua" w:hAnsi="Book Antiqua"/>
          <w:sz w:val="20"/>
        </w:rPr>
        <w:t xml:space="preserve">, there is the distinct possibility that the most outer planet was also solid. </w:t>
      </w:r>
      <w:r>
        <w:rPr>
          <w:rFonts w:ascii="Book Antiqua" w:hAnsi="Book Antiqua"/>
          <w:sz w:val="20"/>
        </w:rPr>
        <w:t xml:space="preserve"> Analysis of comets indicates that they are made up of many frozen gases, including carbon dioxide and water, as well as rock-like silicates. Any radioactive heating would make a large planet with this composition</w:t>
      </w:r>
      <w:r w:rsidRPr="00486BCA">
        <w:rPr>
          <w:rFonts w:ascii="Book Antiqua" w:hAnsi="Book Antiqua"/>
          <w:sz w:val="20"/>
        </w:rPr>
        <w:t xml:space="preserve"> liable to disrupt quite early</w:t>
      </w:r>
      <w:r>
        <w:rPr>
          <w:rFonts w:ascii="Book Antiqua" w:hAnsi="Book Antiqua"/>
          <w:sz w:val="20"/>
        </w:rPr>
        <w:t xml:space="preserve"> in solar system history</w:t>
      </w:r>
      <w:r w:rsidRPr="00486BCA">
        <w:rPr>
          <w:rFonts w:ascii="Book Antiqua" w:hAnsi="Book Antiqua"/>
          <w:sz w:val="20"/>
        </w:rPr>
        <w:t>.</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2 A Brief History of Our Moon</w:t>
      </w: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 Moon’s history follows a </w:t>
      </w:r>
      <w:r>
        <w:rPr>
          <w:rFonts w:ascii="Book Antiqua" w:hAnsi="Book Antiqua"/>
          <w:sz w:val="20"/>
        </w:rPr>
        <w:t>pattern similar</w:t>
      </w:r>
      <w:r w:rsidRPr="00BD541D">
        <w:rPr>
          <w:rFonts w:ascii="Book Antiqua" w:hAnsi="Book Antiqua"/>
          <w:sz w:val="20"/>
        </w:rPr>
        <w:t xml:space="preserve"> to other solar system bodies. After its formation, the interior of the Moon heated up from rapid radioactive decay. The Late Heavy Bombardment occurred which was responsible for the major impact basins</w:t>
      </w:r>
      <w:r>
        <w:rPr>
          <w:rFonts w:ascii="Book Antiqua" w:hAnsi="Book Antiqua"/>
          <w:sz w:val="20"/>
        </w:rPr>
        <w:t>, known</w:t>
      </w:r>
      <w:r w:rsidRPr="00BD541D">
        <w:rPr>
          <w:rFonts w:ascii="Book Antiqua" w:hAnsi="Book Antiqua"/>
          <w:sz w:val="20"/>
        </w:rPr>
        <w:t xml:space="preserve"> as the great northern plains. It has been suggested that about 50 large circular basins as well as many smaller craters were formed at this time. Crater formation was probably </w:t>
      </w:r>
      <w:r>
        <w:rPr>
          <w:rFonts w:ascii="Book Antiqua" w:hAnsi="Book Antiqua"/>
          <w:sz w:val="20"/>
        </w:rPr>
        <w:t>due to</w:t>
      </w:r>
      <w:r w:rsidRPr="00BD541D">
        <w:rPr>
          <w:rFonts w:ascii="Book Antiqua" w:hAnsi="Book Antiqua"/>
          <w:sz w:val="20"/>
        </w:rPr>
        <w:t xml:space="preserve"> both impact and electrical machining.  As can be seen in Figure 12, the great northern plains (top) contrast sharply with the heavily cratered areas to the south (bottom section of image).</w:t>
      </w:r>
    </w:p>
    <w:p w:rsidR="00AA4150" w:rsidRPr="00BD541D" w:rsidRDefault="00AA4150"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043114" cy="4802521"/>
            <wp:effectExtent l="19050" t="0" r="5136" b="0"/>
            <wp:docPr id="114" name="Picture 1" descr="Labeled Lunar Reconnaisance mosaic of lunar fa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eled Lunar Reconnaisance mosaic of lunar farside"/>
                    <pic:cNvPicPr>
                      <a:picLocks noChangeAspect="1" noChangeArrowheads="1"/>
                    </pic:cNvPicPr>
                  </pic:nvPicPr>
                  <pic:blipFill>
                    <a:blip r:embed="rId1028" cstate="print">
                      <a:lum contrast="40000"/>
                    </a:blip>
                    <a:srcRect/>
                    <a:stretch>
                      <a:fillRect/>
                    </a:stretch>
                  </pic:blipFill>
                  <pic:spPr bwMode="auto">
                    <a:xfrm>
                      <a:off x="0" y="0"/>
                      <a:ext cx="5048288" cy="4807448"/>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624D90" w:rsidRDefault="00700009" w:rsidP="00AA4150">
      <w:pPr>
        <w:pStyle w:val="NoSpacing"/>
        <w:jc w:val="center"/>
        <w:rPr>
          <w:rFonts w:ascii="Book Antiqua" w:hAnsi="Book Antiqua"/>
          <w:i/>
          <w:sz w:val="18"/>
          <w:szCs w:val="18"/>
        </w:rPr>
      </w:pPr>
      <w:r w:rsidRPr="00624D90">
        <w:rPr>
          <w:rFonts w:ascii="Book Antiqua" w:hAnsi="Book Antiqua"/>
          <w:b/>
          <w:i/>
          <w:sz w:val="18"/>
          <w:szCs w:val="18"/>
        </w:rPr>
        <w:t>Figure 12:</w:t>
      </w:r>
      <w:r w:rsidRPr="00624D90">
        <w:rPr>
          <w:rFonts w:ascii="Book Antiqua" w:hAnsi="Book Antiqua"/>
          <w:i/>
          <w:sz w:val="18"/>
          <w:szCs w:val="18"/>
        </w:rPr>
        <w:t xml:space="preserve"> The Moon with major features labeled. Great </w:t>
      </w:r>
      <w:proofErr w:type="gramStart"/>
      <w:r w:rsidRPr="00624D90">
        <w:rPr>
          <w:rFonts w:ascii="Book Antiqua" w:hAnsi="Book Antiqua"/>
          <w:i/>
          <w:sz w:val="18"/>
          <w:szCs w:val="18"/>
        </w:rPr>
        <w:t>plains</w:t>
      </w:r>
      <w:proofErr w:type="gramEnd"/>
      <w:r w:rsidRPr="00624D90">
        <w:rPr>
          <w:rFonts w:ascii="Book Antiqua" w:hAnsi="Book Antiqua"/>
          <w:i/>
          <w:sz w:val="18"/>
          <w:szCs w:val="18"/>
        </w:rPr>
        <w:t xml:space="preserve"> in the north (top), with densly cratered uplands in the south (bottom).</w:t>
      </w:r>
    </w:p>
    <w:p w:rsidR="00700009" w:rsidRPr="00BD541D" w:rsidRDefault="00700009" w:rsidP="00700009">
      <w:pPr>
        <w:pStyle w:val="NoSpacing"/>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Because the Moon is smaller than Mars, </w:t>
      </w:r>
      <w:r w:rsidRPr="00C81FC6">
        <w:rPr>
          <w:rFonts w:ascii="Book Antiqua" w:hAnsi="Book Antiqua"/>
          <w:sz w:val="20"/>
        </w:rPr>
        <w:t xml:space="preserve">as well as closer to the sun, </w:t>
      </w:r>
      <w:r w:rsidRPr="00BD541D">
        <w:rPr>
          <w:rFonts w:ascii="Book Antiqua" w:hAnsi="Book Antiqua"/>
          <w:sz w:val="20"/>
        </w:rPr>
        <w:t xml:space="preserve">there was less water to outgas. The water was probably incorporated into the basalt, which, due to radioactivity, was heated until it became highly fluid.  The pressure resulting from this heating may have caused the basalt to be outpoured through faults and fissures in response to the LHB. Alternately, the action of the LHB impactors may have liquefied portions of the interior by the release of pressure. The crust then sank on the tangential fault system around the edge of the impact basins and displaced the newly molten rock. In the case of Mare Imbrium, the tangential fault system allowed the crust to drop by as much as two miles. This can be seen from the two mile high fault scarp of the Appenine </w:t>
      </w:r>
      <w:proofErr w:type="gramStart"/>
      <w:r w:rsidRPr="00BD541D">
        <w:rPr>
          <w:rFonts w:ascii="Book Antiqua" w:hAnsi="Book Antiqua"/>
          <w:sz w:val="20"/>
        </w:rPr>
        <w:t>mountains</w:t>
      </w:r>
      <w:proofErr w:type="gramEnd"/>
      <w:r w:rsidRPr="00BD541D">
        <w:rPr>
          <w:rFonts w:ascii="Book Antiqua" w:hAnsi="Book Antiqua"/>
          <w:sz w:val="20"/>
        </w:rPr>
        <w:t xml:space="preserve"> between Archimedes and Eratosthenes. </w:t>
      </w:r>
      <w:r>
        <w:rPr>
          <w:rFonts w:ascii="Book Antiqua" w:hAnsi="Book Antiqua"/>
          <w:sz w:val="20"/>
        </w:rPr>
        <w:t>This can be seen in Figure 12.</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 xml:space="preserve">These </w:t>
      </w:r>
      <w:proofErr w:type="gramStart"/>
      <w:r w:rsidRPr="00BD541D">
        <w:rPr>
          <w:rFonts w:ascii="Book Antiqua" w:hAnsi="Book Antiqua"/>
          <w:sz w:val="20"/>
        </w:rPr>
        <w:t>great plains</w:t>
      </w:r>
      <w:proofErr w:type="gramEnd"/>
      <w:r w:rsidRPr="00BD541D">
        <w:rPr>
          <w:rFonts w:ascii="Book Antiqua" w:hAnsi="Book Antiqua"/>
          <w:sz w:val="20"/>
        </w:rPr>
        <w:t xml:space="preserve"> on the Moon are the dark areas on Figure 12.  They formed in two phases. First, there was an older basalt with a high titanium content and ages ranging from 3.8 to 3.5 billion atomic years which inundated Mare Tranquillitatis and the Taurus-Littrow mare regions and other portions of the eastern hemisphere as seen from earth. (This includes the areas explored by Apollo 11 and 17.)  Second, there exists a younger, low titanium group of basalts associated with Mare Imbrium, Mare Serenitatis and Oceanus Procellarum, which generally date from about 3.4 to 3.1 billion atomic years. These central and western regions of the near-side of the Moon include the areas visited by the Apollo 12 and 15 astronauts [50].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Over 90% of observed volcanic deposits on the Moon were emplaced during this period -- from 3.8 to 3.1 billion atomic years ago.  J. W. Head, L. Wilson, and D. Wilhelms state: </w:t>
      </w:r>
      <w:r w:rsidRPr="00BD541D">
        <w:rPr>
          <w:rFonts w:ascii="Book Antiqua" w:hAnsi="Book Antiqua"/>
          <w:i/>
          <w:sz w:val="20"/>
        </w:rPr>
        <w:t xml:space="preserve">"The source of heat required for melting and depth of origin is a major outstanding question in the petrogenesis of mare basalts." </w:t>
      </w:r>
      <w:r w:rsidRPr="00BD541D">
        <w:rPr>
          <w:rFonts w:ascii="Book Antiqua" w:hAnsi="Book Antiqua"/>
          <w:sz w:val="20"/>
        </w:rPr>
        <w:t xml:space="preserve">[51] The radioactivity in the core of the moon </w:t>
      </w:r>
      <w:r>
        <w:rPr>
          <w:rFonts w:ascii="Book Antiqua" w:hAnsi="Book Antiqua"/>
          <w:sz w:val="20"/>
        </w:rPr>
        <w:t>at least partly explains</w:t>
      </w:r>
      <w:r w:rsidRPr="00BD541D">
        <w:rPr>
          <w:rFonts w:ascii="Book Antiqua" w:hAnsi="Book Antiqua"/>
          <w:sz w:val="20"/>
        </w:rPr>
        <w:t xml:space="preserve"> this heating. This, plus the release of pressure on already hot rock when the huge basins were formed, may be sufficient to account for the magma outpouring. The end of major eruptions of mare basalt, around 3 billion atomic years ago, ushered in a stage of lunar development during which only minor changes to the surface occurred [52]. Since then, a few significant craters such as Copernicus and Tycho have been formed. Their ages are about 850 million and 70 million atomic years respectively [53, 54]. Thus the formation of Copernicus appears to be related to the initial breakup of Planet Y and the formation of Tycho appears to be related to the breakup of its moon. Thus these break-up events appear to have played an important part in </w:t>
      </w:r>
      <w:proofErr w:type="gramStart"/>
      <w:r w:rsidRPr="00BD541D">
        <w:rPr>
          <w:rFonts w:ascii="Book Antiqua" w:hAnsi="Book Antiqua"/>
          <w:sz w:val="20"/>
        </w:rPr>
        <w:t>Lunar</w:t>
      </w:r>
      <w:proofErr w:type="gramEnd"/>
      <w:r w:rsidRPr="00BD541D">
        <w:rPr>
          <w:rFonts w:ascii="Book Antiqua" w:hAnsi="Book Antiqua"/>
          <w:sz w:val="20"/>
        </w:rPr>
        <w:t xml:space="preserve"> history.</w:t>
      </w:r>
    </w:p>
    <w:p w:rsidR="00700009" w:rsidRPr="00BD541D" w:rsidRDefault="00700009" w:rsidP="00700009">
      <w:pPr>
        <w:pStyle w:val="NoSpacing"/>
        <w:jc w:val="both"/>
        <w:rPr>
          <w:rFonts w:ascii="Book Antiqua" w:hAnsi="Book Antiqua"/>
          <w:sz w:val="20"/>
        </w:rPr>
      </w:pPr>
      <w:r w:rsidRPr="00BD541D">
        <w:rPr>
          <w:rFonts w:ascii="Book Antiqua" w:hAnsi="Book Antiqua"/>
          <w:sz w:val="20"/>
        </w:rPr>
        <w:tab/>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sequence of events on the Moon appears to be as follows: (1) Initial heating of the interior. (2) The LHB forming massive basins and at least partly liquefying sub-crustal regions. (3) The outpouring of highly mobile basalts flooding the massive basins, which then delineated the low-lying Mare plains from the highly cratered uplands. (4) Later impact and electrical events, associated with the breakup of Planet Y and its moon, which formed a few significant craters.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11. 3 A Brief History of Venus</w:t>
      </w:r>
    </w:p>
    <w:p w:rsidR="00700009" w:rsidRPr="00BD541D" w:rsidRDefault="00700009" w:rsidP="00700009">
      <w:pPr>
        <w:pStyle w:val="NormalWeb"/>
        <w:jc w:val="both"/>
        <w:rPr>
          <w:rFonts w:ascii="Book Antiqua" w:hAnsi="Book Antiqua"/>
          <w:sz w:val="20"/>
          <w:szCs w:val="20"/>
        </w:rPr>
      </w:pPr>
      <w:r w:rsidRPr="00BD541D">
        <w:rPr>
          <w:rFonts w:ascii="Book Antiqua" w:hAnsi="Book Antiqua"/>
          <w:sz w:val="20"/>
          <w:szCs w:val="20"/>
        </w:rPr>
        <w:tab/>
      </w:r>
      <w:r w:rsidRPr="00C81FC6">
        <w:rPr>
          <w:rFonts w:ascii="Book Antiqua" w:hAnsi="Book Antiqua"/>
          <w:sz w:val="20"/>
          <w:szCs w:val="20"/>
        </w:rPr>
        <w:t>The presence of deuterium in Venus’ atmosphere tells us that Venus also once had water.</w:t>
      </w:r>
      <w:r w:rsidRPr="00BD541D">
        <w:rPr>
          <w:rFonts w:ascii="Book Antiqua" w:hAnsi="Book Antiqua"/>
          <w:sz w:val="20"/>
          <w:szCs w:val="20"/>
        </w:rPr>
        <w:t xml:space="preserve">  </w:t>
      </w:r>
      <w:r>
        <w:rPr>
          <w:rFonts w:ascii="Book Antiqua" w:hAnsi="Book Antiqua"/>
          <w:sz w:val="20"/>
          <w:szCs w:val="20"/>
        </w:rPr>
        <w:t xml:space="preserve">However its position closer to the sun means it had less than Earth.  </w:t>
      </w:r>
      <w:r w:rsidRPr="00BD541D">
        <w:rPr>
          <w:rFonts w:ascii="Book Antiqua" w:hAnsi="Book Antiqua"/>
          <w:sz w:val="20"/>
          <w:szCs w:val="20"/>
        </w:rPr>
        <w:t>What happened to it is a matter of ongoing research and discussion.  The ratio of deuterium to hydrogen in the atmosphere of Venus indicates that water had indeed been outgas</w:t>
      </w:r>
      <w:r>
        <w:rPr>
          <w:rFonts w:ascii="Book Antiqua" w:hAnsi="Book Antiqua"/>
          <w:sz w:val="20"/>
          <w:szCs w:val="20"/>
        </w:rPr>
        <w:t>s</w:t>
      </w:r>
      <w:r w:rsidRPr="00BD541D">
        <w:rPr>
          <w:rFonts w:ascii="Book Antiqua" w:hAnsi="Book Antiqua"/>
          <w:sz w:val="20"/>
          <w:szCs w:val="20"/>
        </w:rPr>
        <w:t>ed from the interior initially, just as in the case of Mars. However, this was subsequently lost to the planet.</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Cambridge Atlas explains it this way</w:t>
      </w:r>
      <w:r w:rsidRPr="00BD541D">
        <w:rPr>
          <w:rFonts w:ascii="Book Antiqua" w:hAnsi="Book Antiqua"/>
          <w:i/>
          <w:sz w:val="20"/>
        </w:rPr>
        <w:t>: "Therefore, it is possible that at the start of the evolution of the secondary atmosphere, through outgassing of material locked up during the formation of Venus, the environment at the surface was relatively moderate. Just as at the surface of earth, water was present in a liquid state and carbon dioxide gas formed a small fraction of the atmosphere. The atmosphere of Venus rapidly evolved to become very dense with, as major components, carbon dioxide gas and water vapour in the lower atmosphere and molecular hydrogen in the upper atmosphere."</w:t>
      </w:r>
      <w:r w:rsidRPr="00BD541D">
        <w:rPr>
          <w:rFonts w:ascii="Book Antiqua" w:hAnsi="Book Antiqua"/>
          <w:sz w:val="20"/>
        </w:rPr>
        <w:t xml:space="preserve">[55] This water was then lost through increasing heat from the planet itself as well as heat from the sun.  As it stands now, Venus is giving </w:t>
      </w:r>
      <w:proofErr w:type="gramStart"/>
      <w:r w:rsidRPr="00BD541D">
        <w:rPr>
          <w:rFonts w:ascii="Book Antiqua" w:hAnsi="Book Antiqua"/>
          <w:sz w:val="20"/>
        </w:rPr>
        <w:t>off twice as much energy</w:t>
      </w:r>
      <w:proofErr w:type="gramEnd"/>
      <w:r w:rsidRPr="00BD541D">
        <w:rPr>
          <w:rFonts w:ascii="Book Antiqua" w:hAnsi="Book Antiqua"/>
          <w:sz w:val="20"/>
        </w:rPr>
        <w:t xml:space="preserve"> from the top of its atmosphere as it is receiving from the sun.</w:t>
      </w:r>
      <w:r>
        <w:rPr>
          <w:rFonts w:ascii="Book Antiqua" w:hAnsi="Book Antiqua"/>
          <w:sz w:val="20"/>
        </w:rPr>
        <w:t xml:space="preserve"> This is a strong indication of continuing radioactive </w:t>
      </w:r>
      <w:r>
        <w:rPr>
          <w:rFonts w:ascii="Book Antiqua" w:hAnsi="Book Antiqua"/>
          <w:sz w:val="20"/>
        </w:rPr>
        <w:lastRenderedPageBreak/>
        <w:t xml:space="preserve">heating.  This is continuing because of the Marklund Convection sorting which gave it an abundance of radioactive elements in its core.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David H. Grinspoon, points out that [56]</w:t>
      </w:r>
      <w:r w:rsidRPr="00BD541D">
        <w:rPr>
          <w:rFonts w:ascii="Book Antiqua" w:hAnsi="Book Antiqua"/>
          <w:i/>
          <w:sz w:val="20"/>
        </w:rPr>
        <w:t xml:space="preserve">”The high abundance ratio of deuterium to hydrogen in the atmosphere of Venus (120 times that on Earth) can be interpreted either as a signature of a lost primordial ocean [Donahue et al, </w:t>
      </w:r>
      <w:r w:rsidRPr="00BD541D">
        <w:rPr>
          <w:rFonts w:ascii="Book Antiqua" w:hAnsi="Book Antiqua"/>
          <w:sz w:val="20"/>
        </w:rPr>
        <w:t>Science</w:t>
      </w:r>
      <w:r w:rsidRPr="00BD541D">
        <w:rPr>
          <w:rFonts w:ascii="Book Antiqua" w:hAnsi="Book Antiqua"/>
          <w:i/>
          <w:sz w:val="20"/>
        </w:rPr>
        <w:t xml:space="preserve"> </w:t>
      </w:r>
      <w:r w:rsidRPr="00BD541D">
        <w:rPr>
          <w:rFonts w:ascii="Book Antiqua" w:hAnsi="Book Antiqua"/>
          <w:b/>
          <w:i/>
          <w:sz w:val="20"/>
        </w:rPr>
        <w:t>216</w:t>
      </w:r>
      <w:r w:rsidRPr="00BD541D">
        <w:rPr>
          <w:rFonts w:ascii="Book Antiqua" w:hAnsi="Book Antiqua"/>
          <w:i/>
          <w:sz w:val="20"/>
        </w:rPr>
        <w:t>, 630-633 (1982)], or a steady state in which water is continuously supplied to the surface of Venus by … volcanic outgassing…”</w:t>
      </w:r>
      <w:r w:rsidRPr="00BD541D">
        <w:rPr>
          <w:rFonts w:ascii="Book Antiqua" w:hAnsi="Book Antiqua"/>
          <w:sz w:val="20"/>
        </w:rPr>
        <w:t xml:space="preserve"> That research tends to support the contention that water was driven out of the interior of the planet towards the surface.</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The surface and interior structure of Venus have been a topic of continuing scientific discussion since a wealth of data was sent back by the Magellan probe. Topographically, Venus contains several continent-sized plateau highlands that rise 3 or more kilometers above the lowland plains that comprise about 80% of that planet's surface (see Figure 13). These gently rolling plains are thought to be primarily due to effusive eruptions of basaltic lava upon which has been superimposed a random distribution of impact craters. </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215820" cy="3495675"/>
            <wp:effectExtent l="19050" t="0" r="0" b="0"/>
            <wp:docPr id="116" name="il_fi" descr="http://www.fas.org/irp/imint/docs/rst/Sect19/PionVen-mapIDs-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org/irp/imint/docs/rst/Sect19/PionVen-mapIDs-CM.jpg"/>
                    <pic:cNvPicPr>
                      <a:picLocks noChangeAspect="1" noChangeArrowheads="1"/>
                    </pic:cNvPicPr>
                  </pic:nvPicPr>
                  <pic:blipFill>
                    <a:blip r:embed="rId1029" cstate="print">
                      <a:lum bright="-20000" contrast="30000"/>
                    </a:blip>
                    <a:srcRect t="2475" r="-44"/>
                    <a:stretch>
                      <a:fillRect/>
                    </a:stretch>
                  </pic:blipFill>
                  <pic:spPr bwMode="auto">
                    <a:xfrm>
                      <a:off x="0" y="0"/>
                      <a:ext cx="6226068" cy="3501438"/>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13:</w:t>
      </w:r>
      <w:r w:rsidRPr="00624D90">
        <w:rPr>
          <w:rFonts w:ascii="Book Antiqua" w:hAnsi="Book Antiqua"/>
          <w:i/>
          <w:sz w:val="18"/>
          <w:szCs w:val="18"/>
        </w:rPr>
        <w:t xml:space="preserve"> Map of Venus. The extensive lightest blue areas are the lowland plains produced by the effusion of basaltic lava. The plains are covered with a random distribution of craters. Dark blue and other colors are upland areas.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random distribution is coupled with the fact that few craters display signs of significant modification by either tectonic or volcanic processes. In a paper entitled "Magellan: A new view of Venus' geology and geophysics" D. L. Bindschadler states </w:t>
      </w:r>
      <w:r w:rsidRPr="00BD541D">
        <w:rPr>
          <w:rFonts w:ascii="Book Antiqua" w:hAnsi="Book Antiqua"/>
          <w:i/>
          <w:sz w:val="20"/>
        </w:rPr>
        <w:t xml:space="preserve">"The impact crater distribution appears to be most consistent with models that call for a near-complete resurfacing of the planet prior to 300 </w:t>
      </w:r>
      <w:r w:rsidRPr="00BD541D">
        <w:rPr>
          <w:rFonts w:ascii="Book Antiqua" w:hAnsi="Book Antiqua"/>
          <w:i/>
          <w:sz w:val="20"/>
        </w:rPr>
        <w:softHyphen/>
        <w:t>- 500 Ma [million atomic years]. Subsequent to this period of extreme [volcanic] activity, [geological] process rates declined and impact craters began to accumulate, with only minor modification and resurfacing since."</w:t>
      </w:r>
      <w:r w:rsidRPr="00BD541D">
        <w:rPr>
          <w:rFonts w:ascii="Book Antiqua" w:hAnsi="Book Antiqua"/>
          <w:sz w:val="20"/>
        </w:rPr>
        <w:t xml:space="preserve"> He finally concludes that </w:t>
      </w:r>
      <w:r w:rsidRPr="00BD541D">
        <w:rPr>
          <w:rFonts w:ascii="Book Antiqua" w:hAnsi="Book Antiqua"/>
          <w:i/>
          <w:sz w:val="20"/>
        </w:rPr>
        <w:t>"most, if not all, of the plains region on Venus are the result of a rapid volcanic resurfacing that occurred ~ 500 m.y. [million atomic years] ago. The possibility of such an ‘event’ presents a challenge to our understanding of the mechanics of the eruption and emplacement of magma, as well as the interior dynamics required to create and extrude these plains"</w:t>
      </w:r>
      <w:r w:rsidRPr="00BD541D">
        <w:rPr>
          <w:rFonts w:ascii="Book Antiqua" w:hAnsi="Book Antiqua"/>
          <w:sz w:val="20"/>
        </w:rPr>
        <w:t xml:space="preserve"> [57].</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Pr>
          <w:rFonts w:ascii="Book Antiqua" w:hAnsi="Book Antiqua"/>
          <w:sz w:val="20"/>
        </w:rPr>
        <w:t>Plasma physics explains that</w:t>
      </w:r>
      <w:r w:rsidRPr="00BD541D">
        <w:rPr>
          <w:rFonts w:ascii="Book Antiqua" w:hAnsi="Book Antiqua"/>
          <w:sz w:val="20"/>
        </w:rPr>
        <w:t xml:space="preserve"> these plains were the result of the interior of Venus heating up.  In the same way as happened with the other rocky planets, after the LHB, water was driven out of the primordial rocks and crystal lattices.  </w:t>
      </w:r>
      <w:r w:rsidRPr="00BD541D">
        <w:rPr>
          <w:rFonts w:ascii="Book Antiqua" w:hAnsi="Book Antiqua"/>
          <w:sz w:val="20"/>
        </w:rPr>
        <w:lastRenderedPageBreak/>
        <w:t>As the water heated, pressure increased, until the waters poured out on the surface as the early ocean. As the mantle rock itself continued to heat, it became liquid and increased in volume, placing pressure on the crust.  This produced a network of cracks on the surface out of</w:t>
      </w:r>
      <w:r>
        <w:rPr>
          <w:rFonts w:ascii="Book Antiqua" w:hAnsi="Book Antiqua"/>
          <w:sz w:val="20"/>
        </w:rPr>
        <w:t xml:space="preserve"> </w:t>
      </w:r>
      <w:r w:rsidRPr="00BD541D">
        <w:rPr>
          <w:rFonts w:ascii="Book Antiqua" w:hAnsi="Book Antiqua"/>
          <w:sz w:val="20"/>
        </w:rPr>
        <w:t>which magma was then able to extrude. Th</w:t>
      </w:r>
      <w:r>
        <w:rPr>
          <w:rFonts w:ascii="Book Antiqua" w:hAnsi="Book Antiqua"/>
          <w:sz w:val="20"/>
        </w:rPr>
        <w:t>e</w:t>
      </w:r>
      <w:r w:rsidRPr="00BD541D">
        <w:rPr>
          <w:rFonts w:ascii="Book Antiqua" w:hAnsi="Book Antiqua"/>
          <w:sz w:val="20"/>
        </w:rPr>
        <w:t xml:space="preserve"> magma extrusion then engulfed and covered the craters which </w:t>
      </w:r>
      <w:r>
        <w:rPr>
          <w:rFonts w:ascii="Book Antiqua" w:hAnsi="Book Antiqua"/>
          <w:sz w:val="20"/>
        </w:rPr>
        <w:t xml:space="preserve">had </w:t>
      </w:r>
      <w:r w:rsidRPr="00BD541D">
        <w:rPr>
          <w:rFonts w:ascii="Book Antiqua" w:hAnsi="Book Antiqua"/>
          <w:sz w:val="20"/>
        </w:rPr>
        <w:t xml:space="preserve">resulted from the Late Heavy Bombardment. At the same time the magma also vaporized the ocean/waters. Simultaneously, the magma released vast quantities of carbon-dioxide which formed the basis for the present atmosphere of Venus. As the magma cooled, it </w:t>
      </w:r>
      <w:r>
        <w:rPr>
          <w:rFonts w:ascii="Book Antiqua" w:hAnsi="Book Antiqua"/>
          <w:sz w:val="20"/>
        </w:rPr>
        <w:t>formed</w:t>
      </w:r>
      <w:r w:rsidRPr="00BD541D">
        <w:rPr>
          <w:rFonts w:ascii="Book Antiqua" w:hAnsi="Book Antiqua"/>
          <w:sz w:val="20"/>
        </w:rPr>
        <w:t xml:space="preserve"> the plains which exist today. </w:t>
      </w:r>
      <w:r>
        <w:rPr>
          <w:rFonts w:ascii="Book Antiqua" w:hAnsi="Book Antiqua"/>
          <w:sz w:val="20"/>
        </w:rPr>
        <w:t xml:space="preserve">It was after this the breakup of Planet Y and its moon produced the craters on the plains today.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From the evidence available, it seems as if the sequence of events on Venus appears to be as follows: (1) The Late Heavy Bombardment formed craters and basins. (2) Water was outgassed from the interior, resulting in an ocean(s). (3) The outpouring of basaltic magma from the </w:t>
      </w:r>
      <w:proofErr w:type="gramStart"/>
      <w:r w:rsidRPr="00BD541D">
        <w:rPr>
          <w:rFonts w:ascii="Book Antiqua" w:hAnsi="Book Antiqua"/>
          <w:sz w:val="20"/>
        </w:rPr>
        <w:t>interior,</w:t>
      </w:r>
      <w:proofErr w:type="gramEnd"/>
      <w:r w:rsidRPr="00BD541D">
        <w:rPr>
          <w:rFonts w:ascii="Book Antiqua" w:hAnsi="Book Antiqua"/>
          <w:sz w:val="20"/>
        </w:rPr>
        <w:t xml:space="preserve"> vaporized the waters and supplied vast quantities of carbon dioxide to the atmosphere. The extruded magma resurfaced the planet and obliterated craters formed in the LHB. (4) Impacts and electrically formed craters from the 3-fold breakup of Planet Y and its moon became superimposed on the new basaltic surface. </w:t>
      </w:r>
    </w:p>
    <w:p w:rsidR="00700009" w:rsidRPr="00BD541D" w:rsidRDefault="00700009" w:rsidP="00700009">
      <w:pPr>
        <w:pStyle w:val="NormalWeb"/>
        <w:jc w:val="both"/>
        <w:rPr>
          <w:rFonts w:ascii="Book Antiqua" w:hAnsi="Book Antiqua"/>
          <w:i/>
          <w:sz w:val="20"/>
          <w:szCs w:val="20"/>
        </w:rPr>
      </w:pPr>
      <w:r w:rsidRPr="00BD541D">
        <w:rPr>
          <w:rFonts w:ascii="Book Antiqua" w:hAnsi="Book Antiqua"/>
          <w:i/>
          <w:sz w:val="20"/>
          <w:szCs w:val="20"/>
        </w:rPr>
        <w:t xml:space="preserve">11. 4 </w:t>
      </w:r>
      <w:proofErr w:type="gramStart"/>
      <w:r w:rsidRPr="00BD541D">
        <w:rPr>
          <w:rFonts w:ascii="Book Antiqua" w:hAnsi="Book Antiqua"/>
          <w:i/>
          <w:sz w:val="20"/>
          <w:szCs w:val="20"/>
        </w:rPr>
        <w:t>A</w:t>
      </w:r>
      <w:proofErr w:type="gramEnd"/>
      <w:r w:rsidRPr="00BD541D">
        <w:rPr>
          <w:rFonts w:ascii="Book Antiqua" w:hAnsi="Book Antiqua"/>
          <w:i/>
          <w:sz w:val="20"/>
          <w:szCs w:val="20"/>
        </w:rPr>
        <w:t xml:space="preserve"> Summary for Mercury</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Two spacecraft have been sent to study the planet Mercury: the Mariner 10 probe and the MESSENGER mission (which has only recently settled into its Mercury orbit).  Data is still being collected and assessed from this second mission, but a preliminary geological map of the whole surface has been made. An analysis of these data and comparisons with other bodies in our solar system has been made by Robert G. Strom and his team. His initial assessment reads as follows: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i/>
          <w:sz w:val="20"/>
        </w:rPr>
        <w:t xml:space="preserve">“From studies of the crater size-frequency distributions on the Moon and terrestrial planets, it has been recognized that the inner solar system has been dominated by two populations of impacting objects </w:t>
      </w:r>
      <w:r w:rsidRPr="00BD541D">
        <w:rPr>
          <w:rFonts w:ascii="Book Antiqua" w:hAnsi="Book Antiqua"/>
          <w:sz w:val="20"/>
        </w:rPr>
        <w:t>[58].</w:t>
      </w:r>
      <w:r w:rsidRPr="00BD541D">
        <w:rPr>
          <w:rFonts w:ascii="Book Antiqua" w:hAnsi="Book Antiqua"/>
          <w:i/>
          <w:sz w:val="20"/>
        </w:rPr>
        <w:t xml:space="preserve"> The first population (Population 1) is the result of the LHB, and the second population (Population 2) has been mostly derived from near-Earth asteroids. … In addition to these two primary impact populations, a third population of craters occurs at relatively small diameters [up to 20 km].”</w:t>
      </w:r>
      <w:r w:rsidRPr="00BD541D">
        <w:rPr>
          <w:rFonts w:ascii="Book Antiqua" w:hAnsi="Book Antiqua"/>
          <w:sz w:val="20"/>
        </w:rPr>
        <w:t xml:space="preserve"> [59] This is in accord with the material presented here regarding the LHB and the subsequent breakup of a planet and its moon which had originally orbited between Mars and Jupiter.</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relation to Mercury itself</w:t>
      </w:r>
      <w:r>
        <w:rPr>
          <w:rFonts w:ascii="Book Antiqua" w:hAnsi="Book Antiqua"/>
          <w:sz w:val="20"/>
        </w:rPr>
        <w:t>,</w:t>
      </w:r>
      <w:r w:rsidRPr="00BD541D">
        <w:rPr>
          <w:rFonts w:ascii="Book Antiqua" w:hAnsi="Book Antiqua"/>
          <w:sz w:val="20"/>
        </w:rPr>
        <w:t xml:space="preserve"> Strom and his team write: </w:t>
      </w:r>
      <w:r w:rsidRPr="00BD541D">
        <w:rPr>
          <w:rFonts w:ascii="Book Antiqua" w:hAnsi="Book Antiqua"/>
          <w:i/>
          <w:sz w:val="20"/>
        </w:rPr>
        <w:t>“The primary crater population on Mercury has been modified by volcanism and secondary craters. Two phases of volcanism are recognized. One volcanic episode that produced the widespread intercrater plains occurred during the period of the Late Heavy Bombardment… The second episode is typified by the smooth plains interior and exterior to the Caloris basin, both of which have a different crater size-frequency distribution than the intercrater plains, consistent with a cratering record dominated by a younger population of impactors.”</w:t>
      </w:r>
      <w:r w:rsidRPr="00BD541D">
        <w:rPr>
          <w:rFonts w:ascii="Book Antiqua" w:hAnsi="Book Antiqua"/>
          <w:sz w:val="20"/>
        </w:rPr>
        <w:t xml:space="preserve"> [59]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Strom analysis therefore supports the contention that the LHB was the first and primary cratering event, which also produced the magma outpouring that resulted in the “inter-crater plains.” As they state,</w:t>
      </w:r>
      <w:r w:rsidRPr="00BD541D">
        <w:rPr>
          <w:rFonts w:ascii="Book Antiqua" w:hAnsi="Book Antiqua"/>
          <w:i/>
          <w:sz w:val="20"/>
        </w:rPr>
        <w:t xml:space="preserve"> “It was known from Mariner 10 observations that Population 1 craters [from the LHB] dominated the cratering record on Mercury…”</w:t>
      </w:r>
      <w:r w:rsidRPr="00BD541D">
        <w:rPr>
          <w:rFonts w:ascii="Book Antiqua" w:hAnsi="Book Antiqua"/>
          <w:sz w:val="20"/>
        </w:rPr>
        <w:t xml:space="preserve"> Since Mercury is the closest planet to the sun, the Marklund convection process operating in the filaments from which the solar system was formed probably resulted in a higher concentration of radioactive elements in the</w:t>
      </w:r>
      <w:r>
        <w:rPr>
          <w:rFonts w:ascii="Book Antiqua" w:hAnsi="Book Antiqua"/>
          <w:sz w:val="20"/>
        </w:rPr>
        <w:t xml:space="preserve"> </w:t>
      </w:r>
      <w:r w:rsidRPr="00BD541D">
        <w:rPr>
          <w:rFonts w:ascii="Book Antiqua" w:hAnsi="Book Antiqua"/>
          <w:sz w:val="20"/>
        </w:rPr>
        <w:t>core of Mercury compared with the other planets. As a result, the great craters which formed on other bodies with the LHB, and then filled with magma later, may have filled with magma almost immediately on Mercury</w:t>
      </w:r>
      <w:r>
        <w:rPr>
          <w:rFonts w:ascii="Book Antiqua" w:hAnsi="Book Antiqua"/>
          <w:sz w:val="20"/>
        </w:rPr>
        <w:t>, and then overflowed to form the inter-crater plains</w:t>
      </w:r>
      <w:r w:rsidRPr="00BD541D">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Sometime after the LHB event, the giant Caloris basin was formed along with a second outpouring of magma to form the “smooth plains.” The Population 2 craters are found on top of these “smooth plains”. At the same time as the Caloris basin event, the pressure waves transmitted through the core of Mercury (dark blue in Figure 14 and those transmitted around the near surface region (light blue) met to form the “weird terrain,” or “Chaotic Terrain” at the antipodal point. A photograph of part of this terrain appears in Figure 15. This terrain covers 360,000 sq. km.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495675" cy="2106799"/>
            <wp:effectExtent l="19050" t="0" r="9525" b="0"/>
            <wp:docPr id="117" name="il_fi" descr="http://www.astro.virginia.edu/~mnc3z/images/astro121/FG08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virginia.edu/~mnc3z/images/astro121/FG08_024.jpg"/>
                    <pic:cNvPicPr>
                      <a:picLocks noChangeAspect="1" noChangeArrowheads="1"/>
                    </pic:cNvPicPr>
                  </pic:nvPicPr>
                  <pic:blipFill>
                    <a:blip r:embed="rId1030" cstate="print"/>
                    <a:srcRect l="6085" t="10883" r="8010" b="7647"/>
                    <a:stretch>
                      <a:fillRect/>
                    </a:stretch>
                  </pic:blipFill>
                  <pic:spPr bwMode="auto">
                    <a:xfrm>
                      <a:off x="0" y="0"/>
                      <a:ext cx="3503580" cy="2111563"/>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rPr>
          <w:rFonts w:ascii="Book Antiqua" w:hAnsi="Book Antiqua"/>
          <w:sz w:val="18"/>
          <w:szCs w:val="18"/>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14:</w:t>
      </w:r>
      <w:r w:rsidRPr="00624D90">
        <w:rPr>
          <w:rFonts w:ascii="Book Antiqua" w:hAnsi="Book Antiqua"/>
          <w:i/>
          <w:sz w:val="18"/>
          <w:szCs w:val="18"/>
        </w:rPr>
        <w:t xml:space="preserve"> Diagram explaining the effects of the Caloris Basin event on Mercury. The “weird terrain” was formed at the antipodal point. More often it is referred to as the “Chaotic Terrain” or the “Hilly and Lineated Terrain.” An image of this terrain is given in Figure 15 below.</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drawing>
          <wp:inline distT="0" distB="0" distL="0" distR="0">
            <wp:extent cx="4484058" cy="2876550"/>
            <wp:effectExtent l="19050" t="0" r="0" b="0"/>
            <wp:docPr id="118" name="Picture 24" descr="http://astroprofspage.com/wp-content/uploads/2008/02/mercte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stroprofspage.com/wp-content/uploads/2008/02/mercterw.jpg"/>
                    <pic:cNvPicPr>
                      <a:picLocks noChangeAspect="1" noChangeArrowheads="1"/>
                    </pic:cNvPicPr>
                  </pic:nvPicPr>
                  <pic:blipFill>
                    <a:blip r:embed="rId1031" cstate="print"/>
                    <a:srcRect t="4142" b="6804"/>
                    <a:stretch>
                      <a:fillRect/>
                    </a:stretch>
                  </pic:blipFill>
                  <pic:spPr bwMode="auto">
                    <a:xfrm>
                      <a:off x="0" y="0"/>
                      <a:ext cx="4495600" cy="2883954"/>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i/>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15:</w:t>
      </w:r>
      <w:r w:rsidRPr="00624D90">
        <w:rPr>
          <w:rFonts w:ascii="Book Antiqua" w:hAnsi="Book Antiqua"/>
          <w:i/>
          <w:sz w:val="18"/>
          <w:szCs w:val="18"/>
        </w:rPr>
        <w:t xml:space="preserve"> The Chaotic Terrain on Mercury antipodal to the Caloris basin. It consists of massifs filled with hills ranging, in some cases, nearly two kilometers high and several kilometers across. The hills have an appearance of almost rectangular blocks. Many ancient craters in the area are ruined by whatever event created the chaotic nature of this part of Mercury’s surface. Younger craters which formed later are unaffected by the process.</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Analysis of the situation shows </w:t>
      </w:r>
      <w:r w:rsidRPr="00BD541D">
        <w:rPr>
          <w:rFonts w:ascii="Book Antiqua" w:hAnsi="Book Antiqua"/>
          <w:i/>
          <w:sz w:val="20"/>
        </w:rPr>
        <w:t>“the magnitude [of this effect] is dependent upon the size of the core relative to the planet.”</w:t>
      </w:r>
      <w:r w:rsidRPr="00BD541D">
        <w:rPr>
          <w:rFonts w:ascii="Book Antiqua" w:hAnsi="Book Antiqua"/>
          <w:sz w:val="20"/>
        </w:rPr>
        <w:t xml:space="preserve">[60] It is also found that </w:t>
      </w:r>
      <w:r w:rsidRPr="00BD541D">
        <w:rPr>
          <w:rFonts w:ascii="Book Antiqua" w:hAnsi="Book Antiqua"/>
          <w:i/>
          <w:sz w:val="20"/>
        </w:rPr>
        <w:t>“Antipodal seismic effects are significantly enhanced by focusing and are of substantial magnitude. Vertical ground motion may be of the order of kilometers.”</w:t>
      </w:r>
      <w:r w:rsidRPr="00BD541D">
        <w:rPr>
          <w:rFonts w:ascii="Book Antiqua" w:hAnsi="Book Antiqua"/>
          <w:sz w:val="20"/>
        </w:rPr>
        <w:t xml:space="preserve"> [61]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Finally the third population of somewhat smaller craters was formed after the Population 2 cratering event. Thus on Mercury we have a) the Late Heavy Bombardment and its associated magma release; b) the event which formed the Caloris basin and associated features including </w:t>
      </w:r>
      <w:r>
        <w:rPr>
          <w:rFonts w:ascii="Book Antiqua" w:hAnsi="Book Antiqua"/>
          <w:sz w:val="20"/>
        </w:rPr>
        <w:t xml:space="preserve">a further </w:t>
      </w:r>
      <w:r w:rsidRPr="00BD541D">
        <w:rPr>
          <w:rFonts w:ascii="Book Antiqua" w:hAnsi="Book Antiqua"/>
          <w:sz w:val="20"/>
        </w:rPr>
        <w:t xml:space="preserve">magma release; c) the Population 2 cratering event and d) the third population of craters with relatively small diameters.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It is therefore suspected that the LHB features result from the breakup of a Kuiper Belt planet around 3.9 billion atomic years ago. It is also very likely that the Caloris basin features date from the initial breakup of Planet Y some 700 million atomic years ago as Caloris is of similar size to the MAPCIS structure on Earth and the Hellas structure on Mars which all date about the same age. The Population 2 cratering event probably dates from the secondary breakup of Planet Y, about 258 million atomic years ago, while the third class of craters dates from the breakup of the moon of Planet Y around 65.8 million atomic years ago. There seems to be a consistency in what we are viewing throughout the solar system.</w:t>
      </w:r>
    </w:p>
    <w:p w:rsidR="00700009" w:rsidRPr="001D425D" w:rsidRDefault="00700009" w:rsidP="00700009">
      <w:pPr>
        <w:pStyle w:val="NormalWeb"/>
        <w:numPr>
          <w:ilvl w:val="0"/>
          <w:numId w:val="47"/>
        </w:numPr>
        <w:jc w:val="both"/>
        <w:rPr>
          <w:rFonts w:ascii="Book Antiqua" w:hAnsi="Book Antiqua"/>
          <w:b/>
          <w:sz w:val="20"/>
          <w:szCs w:val="20"/>
        </w:rPr>
      </w:pPr>
      <w:r w:rsidRPr="001D425D">
        <w:rPr>
          <w:rFonts w:ascii="Book Antiqua" w:hAnsi="Book Antiqua"/>
          <w:b/>
          <w:sz w:val="20"/>
          <w:szCs w:val="20"/>
        </w:rPr>
        <w:t xml:space="preserve"> A Brief History of the Earth</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In the case of our home planet, a study by William Peck and Stephen Mojzsis of zircons from the Jack Hills rock formation in Western Australia has revealed that oceans, continents and flowing water existed 4.3 to 4.4 billion atomic years ago [19, 20, 21]. These zircons are the oldest items found so far on earth. This suggests that oceans and a supercontinent existed on this planet at an extremely early date. This is readily explicable in terms of plasma physics and plasma astronomy, </w:t>
      </w:r>
      <w:r>
        <w:rPr>
          <w:rFonts w:ascii="Book Antiqua" w:hAnsi="Book Antiqua"/>
          <w:sz w:val="20"/>
        </w:rPr>
        <w:t>however</w:t>
      </w:r>
      <w:r w:rsidRPr="00BD541D">
        <w:rPr>
          <w:rFonts w:ascii="Book Antiqua" w:hAnsi="Book Antiqua"/>
          <w:sz w:val="20"/>
        </w:rPr>
        <w:t xml:space="preserve"> gravitationally based astronomy finds this evidence difficult to deal with.</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E05CDA">
        <w:rPr>
          <w:rFonts w:ascii="Book Antiqua" w:hAnsi="Book Antiqua"/>
          <w:sz w:val="20"/>
        </w:rPr>
        <w:t>When we look at other bodies in our solar system</w:t>
      </w:r>
      <w:r w:rsidRPr="00BD541D">
        <w:rPr>
          <w:rFonts w:ascii="Book Antiqua" w:hAnsi="Book Antiqua"/>
          <w:sz w:val="20"/>
        </w:rPr>
        <w:t xml:space="preserve"> we see the effects of the Late Heavy Bombardment.  As shown, the resulting structures could have been caused either by impacts or electromagnetic pulses. It is usually assumed that the LHB left no record on earth, </w:t>
      </w:r>
      <w:r>
        <w:rPr>
          <w:rFonts w:ascii="Book Antiqua" w:hAnsi="Book Antiqua"/>
          <w:sz w:val="20"/>
        </w:rPr>
        <w:t xml:space="preserve">however </w:t>
      </w:r>
      <w:r w:rsidRPr="00BD541D">
        <w:rPr>
          <w:rFonts w:ascii="Book Antiqua" w:hAnsi="Book Antiqua"/>
          <w:sz w:val="20"/>
        </w:rPr>
        <w:t>something similar to what is seen on other bodies is also seen on our planet. Around the earth there are a series of cratons where granitic or basaltic intrusions and metamorphism have stabilized the near-surface crust and sub-crustal regions.  These cratons form the ‘backbones’ of our continents as shown in Figure 16.</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5403774" cy="2762250"/>
            <wp:effectExtent l="19050" t="0" r="6426" b="0"/>
            <wp:docPr id="119" name="il_fi" descr="http://www.earthsciences.hku.hk/shmuseum/image/earth_evo/03/earth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arthsciences.hku.hk/shmuseum/image/earth_evo/03/earth_large.jpg"/>
                    <pic:cNvPicPr>
                      <a:picLocks noChangeAspect="1" noChangeArrowheads="1"/>
                    </pic:cNvPicPr>
                  </pic:nvPicPr>
                  <pic:blipFill>
                    <a:blip r:embed="rId1032" cstate="print"/>
                    <a:srcRect/>
                    <a:stretch>
                      <a:fillRect/>
                    </a:stretch>
                  </pic:blipFill>
                  <pic:spPr bwMode="auto">
                    <a:xfrm>
                      <a:off x="0" y="0"/>
                      <a:ext cx="5419769" cy="2770426"/>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16:</w:t>
      </w:r>
      <w:r w:rsidRPr="00624D90">
        <w:rPr>
          <w:rFonts w:ascii="Book Antiqua" w:hAnsi="Book Antiqua"/>
          <w:i/>
          <w:sz w:val="18"/>
          <w:szCs w:val="18"/>
        </w:rPr>
        <w:t xml:space="preserve"> Stable craton or geological shield areas older than 2.5 billion atomic years. Red areas date about 3.5 billion atomic years and represent the primary event which occurred at the same time as the Late Heavy Bombardment. The pink areas date down to 2.5 billion atomic years and thereby represent ongoing geological activity initiated by the LHB impacts. Any craters formed by this event were eroded away by the subsequent “Snowball Earth” event.</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 xml:space="preserve">Radiometric measurements taken from the moon, Mars, and asteroids give us the date of the Late Heavy Bombardment. On Earth, the cratons date </w:t>
      </w:r>
      <w:r w:rsidRPr="00BD541D">
        <w:rPr>
          <w:rFonts w:ascii="Book Antiqua" w:hAnsi="Book Antiqua"/>
          <w:sz w:val="20"/>
        </w:rPr>
        <w:t xml:space="preserve">from shortly after </w:t>
      </w:r>
      <w:r>
        <w:rPr>
          <w:rFonts w:ascii="Book Antiqua" w:hAnsi="Book Antiqua"/>
          <w:sz w:val="20"/>
        </w:rPr>
        <w:t>that</w:t>
      </w:r>
      <w:r w:rsidRPr="00BD541D">
        <w:rPr>
          <w:rFonts w:ascii="Book Antiqua" w:hAnsi="Book Antiqua"/>
          <w:sz w:val="20"/>
        </w:rPr>
        <w:t xml:space="preserve">. Their atomic dates represent the date of cooling of the molten material, which effectively reset their radiometric clocks.  The molten material which formed them rose </w:t>
      </w:r>
      <w:proofErr w:type="gramStart"/>
      <w:r w:rsidRPr="00BD541D">
        <w:rPr>
          <w:rFonts w:ascii="Book Antiqua" w:hAnsi="Book Antiqua"/>
          <w:sz w:val="20"/>
        </w:rPr>
        <w:t>in  plume</w:t>
      </w:r>
      <w:r>
        <w:rPr>
          <w:rFonts w:ascii="Book Antiqua" w:hAnsi="Book Antiqua"/>
          <w:sz w:val="20"/>
        </w:rPr>
        <w:t>s</w:t>
      </w:r>
      <w:proofErr w:type="gramEnd"/>
      <w:r w:rsidRPr="00BD541D">
        <w:rPr>
          <w:rFonts w:ascii="Book Antiqua" w:hAnsi="Book Antiqua"/>
          <w:sz w:val="20"/>
        </w:rPr>
        <w:t xml:space="preserve"> beneath the current craton sites, probably in response to impacts and/or electrical discharges. These plumes rose either at </w:t>
      </w:r>
      <w:r w:rsidRPr="00BD541D">
        <w:rPr>
          <w:rFonts w:ascii="Book Antiqua" w:hAnsi="Book Antiqua"/>
          <w:sz w:val="20"/>
        </w:rPr>
        <w:lastRenderedPageBreak/>
        <w:t>the site of the “hit” or at the antipodal point as we have seen in other cases. On this basis, a map showing the cratons or stable shield areas of the earth is probably also showing either where</w:t>
      </w:r>
      <w:r>
        <w:rPr>
          <w:rFonts w:ascii="Book Antiqua" w:hAnsi="Book Antiqua"/>
          <w:sz w:val="20"/>
        </w:rPr>
        <w:t xml:space="preserve"> either</w:t>
      </w:r>
      <w:r w:rsidRPr="00BD541D">
        <w:rPr>
          <w:rFonts w:ascii="Book Antiqua" w:hAnsi="Book Antiqua"/>
          <w:sz w:val="20"/>
        </w:rPr>
        <w:t xml:space="preserve"> the LHB events occurred, or their antipodal points. This is done in Figure 16. If these cratons represent only the antipodal point impacts, it appears from this map that the majority of these LHB events hit in the extensive ocean areas. This is certainly true since at those times there was one original supercontinent. However, it is also possible that many cratons are the site of the impacts. </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The next major event in this scenario is the occurrence of a world-wide debris layer that dates from about 800 million to 600 million atomic years ago. This essentially coincides with the initial breakup of Planet Y as well as the impacts and lightning strikes that this event caused on other planets. One impact from this event formed the MAPCIS structure in Australia (Figure 17).</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color w:val="333333"/>
          <w:sz w:val="20"/>
        </w:rPr>
        <w:drawing>
          <wp:inline distT="0" distB="0" distL="0" distR="0">
            <wp:extent cx="3124200" cy="2997200"/>
            <wp:effectExtent l="19050" t="0" r="0" b="0"/>
            <wp:docPr id="120" name="Picture 1" descr="Crate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ter Illustration"/>
                    <pic:cNvPicPr>
                      <a:picLocks noChangeAspect="1" noChangeArrowheads="1"/>
                    </pic:cNvPicPr>
                  </pic:nvPicPr>
                  <pic:blipFill>
                    <a:blip r:embed="rId1033" cstate="print">
                      <a:lum contrast="30000"/>
                    </a:blip>
                    <a:srcRect b="4126"/>
                    <a:stretch>
                      <a:fillRect/>
                    </a:stretch>
                  </pic:blipFill>
                  <pic:spPr bwMode="auto">
                    <a:xfrm>
                      <a:off x="0" y="0"/>
                      <a:ext cx="3124834" cy="2997809"/>
                    </a:xfrm>
                    <a:prstGeom prst="rect">
                      <a:avLst/>
                    </a:prstGeom>
                    <a:noFill/>
                    <a:ln w="9525">
                      <a:noFill/>
                      <a:miter lim="800000"/>
                      <a:headEnd/>
                      <a:tailEnd/>
                    </a:ln>
                  </pic:spPr>
                </pic:pic>
              </a:graphicData>
            </a:graphic>
          </wp:inline>
        </w:drawing>
      </w:r>
    </w:p>
    <w:p w:rsidR="00700009" w:rsidRPr="00624D90" w:rsidRDefault="00700009" w:rsidP="00700009">
      <w:pPr>
        <w:pStyle w:val="NoSpacing"/>
        <w:jc w:val="center"/>
        <w:rPr>
          <w:rFonts w:ascii="Book Antiqua" w:hAnsi="Book Antiqua"/>
          <w:b/>
          <w:sz w:val="20"/>
        </w:rPr>
      </w:pPr>
    </w:p>
    <w:p w:rsidR="00700009" w:rsidRPr="00624D90" w:rsidRDefault="00700009" w:rsidP="00700009">
      <w:pPr>
        <w:pStyle w:val="NoSpacing"/>
        <w:rPr>
          <w:rFonts w:ascii="Book Antiqua" w:hAnsi="Book Antiqua"/>
          <w:i/>
          <w:sz w:val="18"/>
          <w:szCs w:val="18"/>
        </w:rPr>
      </w:pPr>
      <w:r w:rsidRPr="00624D90">
        <w:rPr>
          <w:rFonts w:ascii="Book Antiqua" w:hAnsi="Book Antiqua"/>
          <w:b/>
          <w:i/>
          <w:sz w:val="18"/>
          <w:szCs w:val="18"/>
        </w:rPr>
        <w:t>Figure 17:</w:t>
      </w:r>
      <w:r w:rsidRPr="00624D90">
        <w:rPr>
          <w:rFonts w:ascii="Book Antiqua" w:hAnsi="Book Antiqua"/>
          <w:i/>
          <w:sz w:val="18"/>
          <w:szCs w:val="18"/>
        </w:rPr>
        <w:t xml:space="preserve"> Details of the MAPCIS structure in Australia which has a mass concentration (mascon) and gravity anomaly 400 miles (640 km) across within the secondary ring. The Adelaide Geosyncline is part of the structure where the outer ring meets the southern coast on the right. </w:t>
      </w:r>
    </w:p>
    <w:p w:rsidR="00700009"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By</w:t>
      </w:r>
      <w:r w:rsidRPr="00BD541D">
        <w:rPr>
          <w:rFonts w:ascii="Book Antiqua" w:hAnsi="Book Antiqua"/>
          <w:sz w:val="20"/>
        </w:rPr>
        <w:t xml:space="preserve"> this point in time, the heating of the earth’s interior had driven </w:t>
      </w:r>
      <w:r>
        <w:rPr>
          <w:rFonts w:ascii="Book Antiqua" w:hAnsi="Book Antiqua"/>
          <w:sz w:val="20"/>
        </w:rPr>
        <w:t xml:space="preserve">the </w:t>
      </w:r>
      <w:r w:rsidRPr="00BD541D">
        <w:rPr>
          <w:rFonts w:ascii="Book Antiqua" w:hAnsi="Book Antiqua"/>
          <w:sz w:val="20"/>
        </w:rPr>
        <w:t>water that had been locked up in minerals towards the surface. The impact which caused the MAPCIS structure was powerful enough to rupture the crust through the entire landmass of earth in areas of weakness.</w:t>
      </w:r>
      <w:r>
        <w:rPr>
          <w:rFonts w:ascii="Book Antiqua" w:hAnsi="Book Antiqua"/>
          <w:sz w:val="20"/>
        </w:rPr>
        <w:t xml:space="preserve"> </w:t>
      </w:r>
      <w:r w:rsidRPr="00BD541D">
        <w:rPr>
          <w:rFonts w:ascii="Book Antiqua" w:hAnsi="Book Antiqua"/>
          <w:sz w:val="20"/>
        </w:rPr>
        <w:t>Water which had been building up beneath the crust under pressure exploded out.  Some of the major lines of weakness would later become the mid-ocean ridges. In a similar episode on Mars, calculations revealed the equivalent of a</w:t>
      </w:r>
      <w:r>
        <w:rPr>
          <w:rFonts w:ascii="Book Antiqua" w:hAnsi="Book Antiqua"/>
          <w:sz w:val="20"/>
        </w:rPr>
        <w:t xml:space="preserve"> </w:t>
      </w:r>
      <w:r w:rsidRPr="00BD541D">
        <w:rPr>
          <w:rFonts w:ascii="Book Antiqua" w:hAnsi="Book Antiqua"/>
          <w:sz w:val="20"/>
        </w:rPr>
        <w:t>third the volume of the Indian Ocean was flooded into the low-lying Martian plains in about 8 weeks (see Section 11.1 above).  It is therefore possible that a significant fraction of our oceans was poured out in that event.  In South Australia, there was massive downwarping then uplift and folding of the earth’s crust, called the Adelaide Geosyncline (Figure 18).</w:t>
      </w:r>
    </w:p>
    <w:p w:rsidR="00700009" w:rsidRPr="00BD541D" w:rsidRDefault="00700009" w:rsidP="00700009">
      <w:pPr>
        <w:pStyle w:val="NoSpacing"/>
        <w:jc w:val="both"/>
        <w:rPr>
          <w:rFonts w:ascii="Book Antiqua" w:hAnsi="Book Antiqua"/>
          <w:sz w:val="20"/>
        </w:rPr>
      </w:pPr>
    </w:p>
    <w:p w:rsidR="00700009" w:rsidRDefault="00700009" w:rsidP="00700009">
      <w:pPr>
        <w:pStyle w:val="NoSpacing"/>
        <w:ind w:firstLine="720"/>
        <w:jc w:val="both"/>
        <w:rPr>
          <w:rFonts w:ascii="Book Antiqua" w:hAnsi="Book Antiqua"/>
          <w:sz w:val="20"/>
        </w:rPr>
      </w:pPr>
      <w:r w:rsidRPr="00BD541D">
        <w:rPr>
          <w:rFonts w:ascii="Book Antiqua" w:hAnsi="Book Antiqua"/>
          <w:sz w:val="20"/>
        </w:rPr>
        <w:t>This part of the MAPCIS structure exposes upper Proterozoic strata from late in the Archaeozoic Era. Near the top of these strata is a thousand feet of something called diamictite, or tillite, which is rocks of all varieties and sizes cemented together in a limestone matrix (Figure 19).  Some of the large rocks, up to the size of boulders, came as far as Adelaide from the Gawler Craton some 450 km (275 miles) away (see Figure 18). Because the best way to get these mammoth rocks got carried hundreds of kilometers was via glaciers, geologists assumed that this layer represents an ice</w:t>
      </w:r>
      <w:r>
        <w:rPr>
          <w:rFonts w:ascii="Book Antiqua" w:hAnsi="Book Antiqua"/>
          <w:sz w:val="20"/>
        </w:rPr>
        <w:t xml:space="preserve"> </w:t>
      </w:r>
      <w:r w:rsidRPr="00BD541D">
        <w:rPr>
          <w:rFonts w:ascii="Book Antiqua" w:hAnsi="Book Antiqua"/>
          <w:sz w:val="20"/>
        </w:rPr>
        <w:t xml:space="preserve">age. Since some of </w:t>
      </w:r>
      <w:proofErr w:type="gramStart"/>
      <w:r w:rsidRPr="00BD541D">
        <w:rPr>
          <w:rFonts w:ascii="Book Antiqua" w:hAnsi="Book Antiqua"/>
          <w:sz w:val="20"/>
        </w:rPr>
        <w:t>this sequence of rocks were</w:t>
      </w:r>
      <w:proofErr w:type="gramEnd"/>
      <w:r w:rsidRPr="00BD541D">
        <w:rPr>
          <w:rFonts w:ascii="Book Antiqua" w:hAnsi="Book Antiqua"/>
          <w:sz w:val="20"/>
        </w:rPr>
        <w:t xml:space="preserve"> also found at the equator at sea level, it has also been assumed that the whole world must have been covered with ice. As a result, this time geologically is referred to as “Snowball Earth.”</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i/>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886365" cy="5219700"/>
            <wp:effectExtent l="19050" t="0" r="0" b="0"/>
            <wp:docPr id="121" name="il_fi" descr="http://web.missouri.edu/~appoldm/images/beltana-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eb.missouri.edu/~appoldm/images/beltana-map.jpg"/>
                    <pic:cNvPicPr>
                      <a:picLocks noChangeAspect="1" noChangeArrowheads="1"/>
                    </pic:cNvPicPr>
                  </pic:nvPicPr>
                  <pic:blipFill>
                    <a:blip r:embed="rId1034" cstate="print"/>
                    <a:srcRect t="1527" b="3562"/>
                    <a:stretch>
                      <a:fillRect/>
                    </a:stretch>
                  </pic:blipFill>
                  <pic:spPr bwMode="auto">
                    <a:xfrm>
                      <a:off x="0" y="0"/>
                      <a:ext cx="3892233" cy="5227581"/>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b/>
          <w:i/>
          <w:noProof/>
          <w:sz w:val="20"/>
        </w:rPr>
      </w:pPr>
    </w:p>
    <w:p w:rsidR="00700009" w:rsidRPr="00331D55" w:rsidRDefault="00700009" w:rsidP="00F15A60">
      <w:pPr>
        <w:pStyle w:val="NoSpacing"/>
        <w:jc w:val="center"/>
        <w:rPr>
          <w:rFonts w:ascii="Book Antiqua" w:hAnsi="Book Antiqua"/>
          <w:i/>
          <w:noProof/>
          <w:sz w:val="18"/>
          <w:szCs w:val="18"/>
        </w:rPr>
      </w:pPr>
      <w:r w:rsidRPr="00331D55">
        <w:rPr>
          <w:rFonts w:ascii="Book Antiqua" w:hAnsi="Book Antiqua"/>
          <w:b/>
          <w:i/>
          <w:noProof/>
          <w:sz w:val="18"/>
          <w:szCs w:val="18"/>
        </w:rPr>
        <w:t>Figure 18:</w:t>
      </w:r>
      <w:r w:rsidRPr="00331D55">
        <w:rPr>
          <w:rFonts w:ascii="Book Antiqua" w:hAnsi="Book Antiqua"/>
          <w:i/>
          <w:noProof/>
          <w:sz w:val="18"/>
          <w:szCs w:val="18"/>
        </w:rPr>
        <w:t xml:space="preserve"> Showing the extent of the Adelaide Geosyncline on the outer edge of the MAPCIS structure in Australia (compare with Figure 17).</w:t>
      </w: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rPr>
          <w:rFonts w:ascii="Book Antiqua" w:hAnsi="Book Antiqua"/>
          <w:noProof/>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However the incredible force of the exploding waters generated by the impact which caused the MAPCIS structure in Australia could easily have carried large rocks that far, and much</w:t>
      </w:r>
      <w:r>
        <w:rPr>
          <w:rFonts w:ascii="Book Antiqua" w:hAnsi="Book Antiqua"/>
          <w:sz w:val="20"/>
        </w:rPr>
        <w:t xml:space="preserve"> </w:t>
      </w:r>
      <w:r w:rsidRPr="00BD541D">
        <w:rPr>
          <w:rFonts w:ascii="Book Antiqua" w:hAnsi="Book Antiqua"/>
          <w:sz w:val="20"/>
        </w:rPr>
        <w:t>further. It is interesting, as well, that the limestone matrix in which these rocks are found can only be formed in warm to hot water.  The waters exploding from the Earth’s interior would have been hot</w:t>
      </w:r>
      <w:r>
        <w:rPr>
          <w:rFonts w:ascii="Book Antiqua" w:hAnsi="Book Antiqua"/>
          <w:sz w:val="20"/>
        </w:rPr>
        <w:t>.</w:t>
      </w:r>
      <w:r w:rsidRPr="00BD541D">
        <w:rPr>
          <w:rFonts w:ascii="Book Antiqua" w:hAnsi="Book Antiqua"/>
          <w:sz w:val="20"/>
        </w:rPr>
        <w:t xml:space="preserve"> </w:t>
      </w:r>
      <w:r>
        <w:rPr>
          <w:rFonts w:ascii="Book Antiqua" w:hAnsi="Book Antiqua"/>
          <w:sz w:val="20"/>
        </w:rPr>
        <w:t>A</w:t>
      </w:r>
      <w:r w:rsidRPr="00BD541D">
        <w:rPr>
          <w:rFonts w:ascii="Book Antiqua" w:hAnsi="Book Antiqua"/>
          <w:sz w:val="20"/>
        </w:rPr>
        <w:t xml:space="preserve"> snowball earth scenario </w:t>
      </w:r>
      <w:r>
        <w:rPr>
          <w:rFonts w:ascii="Book Antiqua" w:hAnsi="Book Antiqua"/>
          <w:sz w:val="20"/>
        </w:rPr>
        <w:t>has</w:t>
      </w:r>
      <w:r w:rsidRPr="00BD541D">
        <w:rPr>
          <w:rFonts w:ascii="Book Antiqua" w:hAnsi="Book Antiqua"/>
          <w:sz w:val="20"/>
        </w:rPr>
        <w:t xml:space="preserve"> a hard time explaining this type of limestone.</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Immediately above the thousand feet of diamictite is a finely laminated siltstone some 2.5 km thick. The laminations are not varves caused by ice, because of ripple marks, the lack of grading, and the evidence of turbidity currents, </w:t>
      </w:r>
      <w:r>
        <w:rPr>
          <w:rFonts w:ascii="Book Antiqua" w:hAnsi="Book Antiqua"/>
          <w:sz w:val="20"/>
        </w:rPr>
        <w:t>all of which are</w:t>
      </w:r>
      <w:r w:rsidRPr="00BD541D">
        <w:rPr>
          <w:rFonts w:ascii="Book Antiqua" w:hAnsi="Book Antiqua"/>
          <w:sz w:val="20"/>
        </w:rPr>
        <w:t xml:space="preserve"> seen in Figure 20.  This is strong evidence of a massive outpouring of water from the earth’s interior.</w:t>
      </w:r>
    </w:p>
    <w:p w:rsidR="00700009" w:rsidRPr="00BD541D" w:rsidRDefault="00700009" w:rsidP="00700009">
      <w:pPr>
        <w:pStyle w:val="NoSpacing"/>
        <w:ind w:firstLine="720"/>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5"/>
      </w:tblGrid>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3677435" cy="2238375"/>
                  <wp:effectExtent l="19050" t="0" r="0" b="0"/>
                  <wp:docPr id="123"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035" cstate="print"/>
                          <a:srcRect t="8750"/>
                          <a:stretch>
                            <a:fillRect/>
                          </a:stretch>
                        </pic:blipFill>
                        <pic:spPr bwMode="auto">
                          <a:xfrm>
                            <a:off x="0" y="0"/>
                            <a:ext cx="3677259" cy="2238268"/>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688907" cy="2181225"/>
                  <wp:effectExtent l="19050" t="0" r="6793" b="0"/>
                  <wp:docPr id="124"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1036" cstate="print"/>
                          <a:srcRect t="6687" r="-202" b="4825"/>
                          <a:stretch>
                            <a:fillRect/>
                          </a:stretch>
                        </pic:blipFill>
                        <pic:spPr bwMode="auto">
                          <a:xfrm>
                            <a:off x="0" y="0"/>
                            <a:ext cx="3688729" cy="2181120"/>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6075"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3701403" cy="2057400"/>
                  <wp:effectExtent l="19050" t="0" r="0" b="0"/>
                  <wp:docPr id="125" name="Picture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1037" cstate="print"/>
                          <a:srcRect t="25697"/>
                          <a:stretch>
                            <a:fillRect/>
                          </a:stretch>
                        </pic:blipFill>
                        <pic:spPr bwMode="auto">
                          <a:xfrm>
                            <a:off x="0" y="0"/>
                            <a:ext cx="3706384" cy="2060169"/>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bl>
    <w:p w:rsidR="00700009" w:rsidRPr="00BD541D" w:rsidRDefault="00700009" w:rsidP="00700009">
      <w:pPr>
        <w:pStyle w:val="NoSpacing"/>
        <w:jc w:val="both"/>
        <w:rPr>
          <w:rFonts w:ascii="Book Antiqua" w:hAnsi="Book Antiqua"/>
          <w:b/>
          <w:i/>
          <w:sz w:val="20"/>
        </w:rPr>
      </w:pPr>
    </w:p>
    <w:p w:rsidR="00700009" w:rsidRPr="00331D55" w:rsidRDefault="00700009" w:rsidP="00700009">
      <w:pPr>
        <w:pStyle w:val="NoSpacing"/>
        <w:rPr>
          <w:rFonts w:ascii="Book Antiqua" w:hAnsi="Book Antiqua"/>
          <w:i/>
          <w:sz w:val="20"/>
        </w:rPr>
      </w:pPr>
      <w:r w:rsidRPr="00331D55">
        <w:rPr>
          <w:rFonts w:ascii="Book Antiqua" w:hAnsi="Book Antiqua"/>
          <w:b/>
          <w:i/>
          <w:sz w:val="18"/>
          <w:szCs w:val="18"/>
        </w:rPr>
        <w:t>Figure 19:</w:t>
      </w:r>
      <w:r w:rsidRPr="00331D55">
        <w:rPr>
          <w:rFonts w:ascii="Book Antiqua" w:hAnsi="Book Antiqua"/>
          <w:i/>
          <w:sz w:val="18"/>
          <w:szCs w:val="18"/>
        </w:rPr>
        <w:t xml:space="preserve"> ‘Snowball Earth’ Tillite or diamictite in the Sturt Gorge - part of the Adelaide geosyncline on the MAPCIS structure. From top to bottom: the Upper, Middle and Lower tillite. The Lower tillite has rock fragments (clasts) from local rock in a warm water limestone matrix. The Middle and Upper tillite has larger clasts of granite and gneiss that come from rock 400 km away in the Gawler Craton. The diamictite sequence is 350 meters (1150 feet) thick here.</w:t>
      </w:r>
      <w:r w:rsidRPr="00331D55">
        <w:rPr>
          <w:rFonts w:ascii="Book Antiqua" w:hAnsi="Book Antiqua"/>
          <w:i/>
          <w:sz w:val="20"/>
        </w:rPr>
        <w:tab/>
      </w:r>
    </w:p>
    <w:p w:rsidR="00700009" w:rsidRPr="00BD541D" w:rsidRDefault="00700009" w:rsidP="007000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6"/>
      </w:tblGrid>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lastRenderedPageBreak/>
              <w:drawing>
                <wp:inline distT="0" distB="0" distL="0" distR="0">
                  <wp:extent cx="5255568" cy="2551100"/>
                  <wp:effectExtent l="19050" t="0" r="2232" b="0"/>
                  <wp:docPr id="126" name="Picture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1038" cstate="print"/>
                          <a:srcRect t="6959" r="-152" b="21129"/>
                          <a:stretch>
                            <a:fillRect/>
                          </a:stretch>
                        </pic:blipFill>
                        <pic:spPr bwMode="auto">
                          <a:xfrm>
                            <a:off x="0" y="0"/>
                            <a:ext cx="5270925" cy="2558554"/>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290421" cy="2067005"/>
                  <wp:effectExtent l="19050" t="0" r="5479" b="0"/>
                  <wp:docPr id="127" name="Picture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039" cstate="print"/>
                          <a:srcRect t="37294" r="103" b="6045"/>
                          <a:stretch>
                            <a:fillRect/>
                          </a:stretch>
                        </pic:blipFill>
                        <pic:spPr bwMode="auto">
                          <a:xfrm>
                            <a:off x="0" y="0"/>
                            <a:ext cx="5315404" cy="2076766"/>
                          </a:xfrm>
                          <a:prstGeom prst="rect">
                            <a:avLst/>
                          </a:prstGeom>
                          <a:noFill/>
                          <a:ln w="9525">
                            <a:noFill/>
                            <a:miter lim="800000"/>
                            <a:headEnd/>
                            <a:tailEnd/>
                          </a:ln>
                        </pic:spPr>
                      </pic:pic>
                    </a:graphicData>
                  </a:graphic>
                </wp:inline>
              </w:drawing>
            </w:r>
          </w:p>
          <w:p w:rsidR="00700009" w:rsidRPr="00BD541D" w:rsidRDefault="00700009" w:rsidP="003442EA">
            <w:pPr>
              <w:pStyle w:val="NoSpacing"/>
              <w:jc w:val="both"/>
              <w:rPr>
                <w:rFonts w:ascii="Book Antiqua" w:hAnsi="Book Antiqua"/>
                <w:sz w:val="20"/>
              </w:rPr>
            </w:pPr>
          </w:p>
        </w:tc>
      </w:tr>
      <w:tr w:rsidR="00700009" w:rsidRPr="00BD541D" w:rsidTr="00F15A60">
        <w:trPr>
          <w:jc w:val="center"/>
        </w:trPr>
        <w:tc>
          <w:tcPr>
            <w:tcW w:w="8616" w:type="dxa"/>
          </w:tcPr>
          <w:p w:rsidR="00700009" w:rsidRPr="00BD541D" w:rsidRDefault="00700009" w:rsidP="003442EA">
            <w:pPr>
              <w:pStyle w:val="NoSpacing"/>
              <w:jc w:val="both"/>
              <w:rPr>
                <w:rFonts w:ascii="Book Antiqua" w:hAnsi="Book Antiqua"/>
                <w:sz w:val="20"/>
              </w:rPr>
            </w:pPr>
            <w:r w:rsidRPr="00BD541D">
              <w:rPr>
                <w:rFonts w:ascii="Book Antiqua" w:hAnsi="Book Antiqua"/>
                <w:noProof/>
                <w:sz w:val="20"/>
              </w:rPr>
              <w:drawing>
                <wp:inline distT="0" distB="0" distL="0" distR="0">
                  <wp:extent cx="5313670" cy="2074689"/>
                  <wp:effectExtent l="19050" t="0" r="1280" b="0"/>
                  <wp:docPr id="128" name="Picture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pic:cNvPicPr>
                            <a:picLocks noChangeAspect="1" noChangeArrowheads="1"/>
                          </pic:cNvPicPr>
                        </pic:nvPicPr>
                        <pic:blipFill>
                          <a:blip r:embed="rId1040" cstate="print"/>
                          <a:srcRect r="1079" b="35640"/>
                          <a:stretch>
                            <a:fillRect/>
                          </a:stretch>
                        </pic:blipFill>
                        <pic:spPr bwMode="auto">
                          <a:xfrm>
                            <a:off x="0" y="0"/>
                            <a:ext cx="5325660" cy="2079370"/>
                          </a:xfrm>
                          <a:prstGeom prst="rect">
                            <a:avLst/>
                          </a:prstGeom>
                          <a:noFill/>
                          <a:ln w="9525">
                            <a:noFill/>
                            <a:miter lim="800000"/>
                            <a:headEnd/>
                            <a:tailEnd/>
                          </a:ln>
                        </pic:spPr>
                      </pic:pic>
                    </a:graphicData>
                  </a:graphic>
                </wp:inline>
              </w:drawing>
            </w:r>
          </w:p>
        </w:tc>
      </w:tr>
    </w:tbl>
    <w:p w:rsidR="00700009" w:rsidRPr="00BD541D" w:rsidRDefault="00700009" w:rsidP="00700009">
      <w:pPr>
        <w:pStyle w:val="NoSpacing"/>
        <w:jc w:val="both"/>
        <w:rPr>
          <w:rFonts w:ascii="Book Antiqua" w:hAnsi="Book Antiqua"/>
          <w:sz w:val="20"/>
        </w:rPr>
      </w:pPr>
    </w:p>
    <w:p w:rsidR="00700009" w:rsidRPr="00331D55" w:rsidRDefault="00700009" w:rsidP="00700009">
      <w:pPr>
        <w:pStyle w:val="NoSpacing"/>
        <w:rPr>
          <w:rFonts w:ascii="Book Antiqua" w:hAnsi="Book Antiqua"/>
          <w:i/>
          <w:sz w:val="18"/>
          <w:szCs w:val="18"/>
        </w:rPr>
      </w:pPr>
      <w:r w:rsidRPr="00331D55">
        <w:rPr>
          <w:rFonts w:ascii="Book Antiqua" w:hAnsi="Book Antiqua"/>
          <w:b/>
          <w:i/>
          <w:sz w:val="18"/>
          <w:szCs w:val="18"/>
        </w:rPr>
        <w:t>Figure 20:</w:t>
      </w:r>
      <w:r w:rsidRPr="00331D55">
        <w:rPr>
          <w:rFonts w:ascii="Book Antiqua" w:hAnsi="Book Antiqua"/>
          <w:i/>
          <w:sz w:val="18"/>
          <w:szCs w:val="18"/>
        </w:rPr>
        <w:t xml:space="preserve"> ‘Snowball Earth’ strata. Deep water sediments of the Tapley Hill siltstone showing ripple marks (top) and erratic bedding (bottom). The dark laminations (center) are rich in carbon and kerogen, an anomaly also found in China, Namibia and Canada.</w:t>
      </w:r>
    </w:p>
    <w:p w:rsidR="00700009" w:rsidRPr="00BD541D" w:rsidRDefault="00700009" w:rsidP="00700009">
      <w:pPr>
        <w:pStyle w:val="NoSpacing"/>
        <w:rPr>
          <w:rFonts w:ascii="Book Antiqua" w:hAnsi="Book Antiqua"/>
          <w:sz w:val="18"/>
          <w:szCs w:val="18"/>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The carbon, kerogen and carbon 13 in the Tapley Hill sequence corresponds with the carbon 13 anomalies found in China, Namibia and Canada. D.T. Johnson et al. write about this and conclude </w:t>
      </w:r>
      <w:r w:rsidRPr="00BD541D">
        <w:rPr>
          <w:rFonts w:ascii="Book Antiqua" w:hAnsi="Book Antiqua"/>
          <w:i/>
          <w:sz w:val="20"/>
        </w:rPr>
        <w:t>“…that the carbonate and organic carbon isotope data … can be explained by simple mixing with a detrital flux of organic matter.”</w:t>
      </w:r>
      <w:r w:rsidRPr="00BD541D">
        <w:rPr>
          <w:rFonts w:ascii="Book Antiqua" w:hAnsi="Book Antiqua"/>
          <w:sz w:val="20"/>
        </w:rPr>
        <w:t xml:space="preserve">[62] This </w:t>
      </w:r>
      <w:r>
        <w:rPr>
          <w:rFonts w:ascii="Book Antiqua" w:hAnsi="Book Antiqua"/>
          <w:sz w:val="20"/>
        </w:rPr>
        <w:t>w</w:t>
      </w:r>
      <w:r w:rsidRPr="00BD541D">
        <w:rPr>
          <w:rFonts w:ascii="Book Antiqua" w:hAnsi="Book Antiqua"/>
          <w:sz w:val="20"/>
        </w:rPr>
        <w:t>ould not happen if the earth w</w:t>
      </w:r>
      <w:r>
        <w:rPr>
          <w:rFonts w:ascii="Book Antiqua" w:hAnsi="Book Antiqua"/>
          <w:sz w:val="20"/>
        </w:rPr>
        <w:t>ere</w:t>
      </w:r>
      <w:r w:rsidRPr="00BD541D">
        <w:rPr>
          <w:rFonts w:ascii="Book Antiqua" w:hAnsi="Book Antiqua"/>
          <w:sz w:val="20"/>
        </w:rPr>
        <w:t xml:space="preserve"> frozen over.</w:t>
      </w:r>
    </w:p>
    <w:p w:rsidR="00700009" w:rsidRPr="00BD541D" w:rsidRDefault="00700009" w:rsidP="00700009">
      <w:pPr>
        <w:pStyle w:val="NoSpacing"/>
        <w:ind w:firstLine="720"/>
        <w:jc w:val="both"/>
        <w:rPr>
          <w:rFonts w:ascii="Book Antiqua" w:hAnsi="Book Antiqua"/>
          <w:sz w:val="20"/>
        </w:rPr>
      </w:pPr>
    </w:p>
    <w:p w:rsidR="00700009" w:rsidRDefault="00700009" w:rsidP="00700009">
      <w:pPr>
        <w:pStyle w:val="NoSpacing"/>
        <w:ind w:firstLine="720"/>
        <w:jc w:val="both"/>
        <w:rPr>
          <w:rFonts w:ascii="Book Antiqua" w:hAnsi="Book Antiqua"/>
          <w:sz w:val="20"/>
        </w:rPr>
      </w:pPr>
      <w:proofErr w:type="gramStart"/>
      <w:r w:rsidRPr="00BD541D">
        <w:rPr>
          <w:rFonts w:ascii="Book Antiqua" w:hAnsi="Book Antiqua"/>
          <w:sz w:val="20"/>
        </w:rPr>
        <w:t>After this outgassing of water, radio decay in the interior continued, and the temperatures of the earth's mantle and core continued to increase.</w:t>
      </w:r>
      <w:proofErr w:type="gramEnd"/>
      <w:r w:rsidRPr="00BD541D">
        <w:rPr>
          <w:rFonts w:ascii="Book Antiqua" w:hAnsi="Book Antiqua"/>
          <w:sz w:val="20"/>
        </w:rPr>
        <w:t xml:space="preserve"> Shortly after the secondary breakup of Planet Y, some associated impact caused the Wilkes Land crater seen in Figure 3. The energy pulse sent through the earth relieved the pressure on the near-surface region at the antipodal point and the mantle there became molten. </w:t>
      </w:r>
      <w:proofErr w:type="gramStart"/>
      <w:r w:rsidRPr="00BD541D">
        <w:rPr>
          <w:rFonts w:ascii="Book Antiqua" w:hAnsi="Book Antiqua"/>
          <w:sz w:val="20"/>
        </w:rPr>
        <w:t>When rock changes from a solid to a liquid like this, its volume increases by some 10% [63].</w:t>
      </w:r>
      <w:proofErr w:type="gramEnd"/>
      <w:r w:rsidRPr="00BD541D">
        <w:rPr>
          <w:rFonts w:ascii="Book Antiqua" w:hAnsi="Book Antiqua"/>
          <w:sz w:val="20"/>
        </w:rPr>
        <w:t xml:space="preserve"> This excess volume outpoured as the Siberian Traps basalt which occupies from 1 to 4 million cubic kilometers as seen in Figs. 21 and 22. These events coincided with the Permian extinction about 250 million atomic years ago. With the outpouring of this quantity of magma, there would have been an increase in the carbon-dioxide content of our atmosphere. The geological era which followed has </w:t>
      </w:r>
      <w:r>
        <w:rPr>
          <w:rFonts w:ascii="Book Antiqua" w:hAnsi="Book Antiqua"/>
          <w:sz w:val="20"/>
        </w:rPr>
        <w:t xml:space="preserve">indeed </w:t>
      </w:r>
      <w:r w:rsidRPr="00BD541D">
        <w:rPr>
          <w:rFonts w:ascii="Book Antiqua" w:hAnsi="Book Antiqua"/>
          <w:sz w:val="20"/>
        </w:rPr>
        <w:t xml:space="preserve">been noted for its high atmospheric carbon-dioxide content; some have suggested it was 10 times as high as it is today. </w:t>
      </w:r>
      <w:r>
        <w:rPr>
          <w:rFonts w:ascii="Book Antiqua" w:hAnsi="Book Antiqua"/>
          <w:sz w:val="20"/>
        </w:rPr>
        <w:t>This may also account for o</w:t>
      </w:r>
      <w:r w:rsidRPr="00BD541D">
        <w:rPr>
          <w:rFonts w:ascii="Book Antiqua" w:hAnsi="Book Antiqua"/>
          <w:sz w:val="20"/>
        </w:rPr>
        <w:t xml:space="preserve">ther data </w:t>
      </w:r>
      <w:r>
        <w:rPr>
          <w:rFonts w:ascii="Book Antiqua" w:hAnsi="Book Antiqua"/>
          <w:sz w:val="20"/>
        </w:rPr>
        <w:t>indicating</w:t>
      </w:r>
      <w:r w:rsidRPr="00BD541D">
        <w:rPr>
          <w:rFonts w:ascii="Book Antiqua" w:hAnsi="Book Antiqua"/>
          <w:sz w:val="20"/>
        </w:rPr>
        <w:t xml:space="preserve"> that average temperatures were about 10 degrees Celsius hi</w:t>
      </w:r>
      <w:r>
        <w:rPr>
          <w:rFonts w:ascii="Book Antiqua" w:hAnsi="Book Antiqua"/>
          <w:sz w:val="20"/>
        </w:rPr>
        <w:t>gher than currently experienced.</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567992" cy="4619625"/>
            <wp:effectExtent l="19050" t="0" r="4258" b="0"/>
            <wp:docPr id="129" name="Picture 17" descr="http://www.earthlyissues.com/images/SiberiaAmphiboleFig2_5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arthlyissues.com/images/SiberiaAmphiboleFig2_550.gif"/>
                    <pic:cNvPicPr>
                      <a:picLocks noChangeAspect="1" noChangeArrowheads="1"/>
                    </pic:cNvPicPr>
                  </pic:nvPicPr>
                  <pic:blipFill>
                    <a:blip r:embed="rId10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575984" cy="4625246"/>
                    </a:xfrm>
                    <a:prstGeom prst="rect">
                      <a:avLst/>
                    </a:prstGeom>
                    <a:noFill/>
                    <a:ln>
                      <a:noFill/>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390CA0" w:rsidRDefault="00700009" w:rsidP="00390CA0">
      <w:pPr>
        <w:pStyle w:val="NoSpacing"/>
        <w:jc w:val="center"/>
        <w:rPr>
          <w:rFonts w:ascii="Book Antiqua" w:hAnsi="Book Antiqua"/>
          <w:i/>
          <w:sz w:val="18"/>
          <w:szCs w:val="18"/>
        </w:rPr>
      </w:pPr>
      <w:r w:rsidRPr="00390CA0">
        <w:rPr>
          <w:rFonts w:ascii="Book Antiqua" w:hAnsi="Book Antiqua"/>
          <w:b/>
          <w:i/>
          <w:sz w:val="18"/>
          <w:szCs w:val="18"/>
        </w:rPr>
        <w:t>Figure 21:</w:t>
      </w:r>
      <w:r w:rsidRPr="00390CA0">
        <w:rPr>
          <w:rFonts w:ascii="Book Antiqua" w:hAnsi="Book Antiqua"/>
          <w:i/>
          <w:sz w:val="18"/>
          <w:szCs w:val="18"/>
        </w:rPr>
        <w:t xml:space="preserve"> A map showing the extent of the Siberian Traps.</w:t>
      </w: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both"/>
        <w:rPr>
          <w:rFonts w:ascii="Book Antiqua" w:hAnsi="Book Antiqua"/>
          <w:i/>
          <w:sz w:val="20"/>
        </w:rPr>
      </w:pPr>
    </w:p>
    <w:p w:rsidR="00700009" w:rsidRPr="00BD541D" w:rsidRDefault="00700009" w:rsidP="00700009">
      <w:pPr>
        <w:pStyle w:val="NoSpacing"/>
        <w:jc w:val="center"/>
        <w:rPr>
          <w:rFonts w:ascii="Book Antiqua" w:hAnsi="Book Antiqua"/>
          <w:i/>
          <w:sz w:val="20"/>
        </w:rPr>
      </w:pPr>
      <w:r w:rsidRPr="00BD541D">
        <w:rPr>
          <w:rFonts w:ascii="Book Antiqua" w:hAnsi="Book Antiqua"/>
          <w:noProof/>
          <w:sz w:val="20"/>
        </w:rPr>
        <w:lastRenderedPageBreak/>
        <w:drawing>
          <wp:inline distT="0" distB="0" distL="0" distR="0">
            <wp:extent cx="5430826" cy="3842017"/>
            <wp:effectExtent l="19050" t="0" r="0" b="0"/>
            <wp:docPr id="131" name="il_fi" descr="http://assets1.bigthink.com/system/idea_thumbnails/24180/original/siberian_traps_1.jpg?128528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sets1.bigthink.com/system/idea_thumbnails/24180/original/siberian_traps_1.jpg?1285285375"/>
                    <pic:cNvPicPr>
                      <a:picLocks noChangeAspect="1" noChangeArrowheads="1"/>
                    </pic:cNvPicPr>
                  </pic:nvPicPr>
                  <pic:blipFill>
                    <a:blip r:embed="rId1042" cstate="print"/>
                    <a:srcRect r="-58" b="5482"/>
                    <a:stretch>
                      <a:fillRect/>
                    </a:stretch>
                  </pic:blipFill>
                  <pic:spPr bwMode="auto">
                    <a:xfrm>
                      <a:off x="0" y="0"/>
                      <a:ext cx="5430826" cy="3842017"/>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22:</w:t>
      </w:r>
      <w:r w:rsidRPr="00022B2A">
        <w:rPr>
          <w:rFonts w:ascii="Book Antiqua" w:hAnsi="Book Antiqua"/>
          <w:i/>
          <w:sz w:val="18"/>
          <w:szCs w:val="18"/>
        </w:rPr>
        <w:t xml:space="preserve"> A typical scene in part of the Siberian Traps.</w:t>
      </w:r>
      <w:r>
        <w:rPr>
          <w:rFonts w:ascii="Book Antiqua" w:hAnsi="Book Antiqua"/>
          <w:i/>
          <w:sz w:val="18"/>
          <w:szCs w:val="18"/>
        </w:rPr>
        <w:t xml:space="preserve"> The strata underneath the Traps are updomed and fissured, consistent with the action of a pressure pulse with the magma outpoured through the fissures.</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As interior heating continued, the earth’s mantle became more mobile, more water was released, and the viscosity of the magma was lowered. </w:t>
      </w:r>
      <w:r>
        <w:rPr>
          <w:rFonts w:ascii="Book Antiqua" w:hAnsi="Book Antiqua"/>
          <w:sz w:val="20"/>
        </w:rPr>
        <w:t>(</w:t>
      </w:r>
      <w:r w:rsidRPr="00BD541D">
        <w:rPr>
          <w:rFonts w:ascii="Book Antiqua" w:hAnsi="Book Antiqua"/>
          <w:sz w:val="20"/>
        </w:rPr>
        <w:t>A highly mobile layer, rich in water still lies beneath the crust today and is called the asthenosphere. It is the mobility of this layer that allow</w:t>
      </w:r>
      <w:r>
        <w:rPr>
          <w:rFonts w:ascii="Book Antiqua" w:hAnsi="Book Antiqua"/>
          <w:sz w:val="20"/>
        </w:rPr>
        <w:t>s</w:t>
      </w:r>
      <w:r w:rsidRPr="00BD541D">
        <w:rPr>
          <w:rFonts w:ascii="Book Antiqua" w:hAnsi="Book Antiqua"/>
          <w:sz w:val="20"/>
        </w:rPr>
        <w:t xml:space="preserve"> the continents to drift.</w:t>
      </w:r>
      <w:r>
        <w:rPr>
          <w:rFonts w:ascii="Book Antiqua" w:hAnsi="Book Antiqua"/>
          <w:sz w:val="20"/>
        </w:rPr>
        <w:t xml:space="preserve">) </w:t>
      </w:r>
      <w:r w:rsidRPr="00BD541D">
        <w:rPr>
          <w:rFonts w:ascii="Book Antiqua" w:hAnsi="Book Antiqua"/>
          <w:sz w:val="20"/>
        </w:rPr>
        <w:t xml:space="preserve">With the ongoing heating of the interior, the mantle rock expanded. It has been shown that, just before melting, solids in general and metals in particular will have increased their volume by about 7%. This rises to an increase of over 10% for rock [63] and 11.6% for metals just after melting [64]. Any increase in volume of the earth’s interior by this process would place great pressure on the crust and prepare it for a rupture event. Shortly after the time of the breakup of the moon of Planet Y, a series of 8 </w:t>
      </w:r>
      <w:r>
        <w:rPr>
          <w:rFonts w:ascii="Book Antiqua" w:hAnsi="Book Antiqua"/>
          <w:sz w:val="20"/>
        </w:rPr>
        <w:t xml:space="preserve">known </w:t>
      </w:r>
      <w:r w:rsidRPr="00BD541D">
        <w:rPr>
          <w:rFonts w:ascii="Book Antiqua" w:hAnsi="Book Antiqua"/>
          <w:sz w:val="20"/>
        </w:rPr>
        <w:t xml:space="preserve">impacts occurred on Earth stretching from Eastern Europe to deep into North America (see Figure 23). They may each have been a separate event, but it is also possible that the main asteroid was accompanied by 7 </w:t>
      </w:r>
      <w:r>
        <w:rPr>
          <w:rFonts w:ascii="Book Antiqua" w:hAnsi="Book Antiqua"/>
          <w:sz w:val="20"/>
        </w:rPr>
        <w:t>large</w:t>
      </w:r>
      <w:r w:rsidRPr="00BD541D">
        <w:rPr>
          <w:rFonts w:ascii="Book Antiqua" w:hAnsi="Book Antiqua"/>
          <w:sz w:val="20"/>
        </w:rPr>
        <w:t xml:space="preserve"> pieces </w:t>
      </w:r>
      <w:r>
        <w:rPr>
          <w:rFonts w:ascii="Book Antiqua" w:hAnsi="Book Antiqua"/>
          <w:sz w:val="20"/>
        </w:rPr>
        <w:t xml:space="preserve">impacting </w:t>
      </w:r>
      <w:r w:rsidRPr="00BD541D">
        <w:rPr>
          <w:rFonts w:ascii="Book Antiqua" w:hAnsi="Book Antiqua"/>
          <w:sz w:val="20"/>
        </w:rPr>
        <w:t xml:space="preserve">as an almost simultaneous event. </w:t>
      </w:r>
      <w:r>
        <w:rPr>
          <w:rFonts w:ascii="Book Antiqua" w:hAnsi="Book Antiqua"/>
          <w:sz w:val="20"/>
        </w:rPr>
        <w:t>(</w:t>
      </w:r>
      <w:proofErr w:type="gramStart"/>
      <w:r>
        <w:rPr>
          <w:rFonts w:ascii="Book Antiqua" w:hAnsi="Book Antiqua"/>
          <w:sz w:val="20"/>
        </w:rPr>
        <w:t>see</w:t>
      </w:r>
      <w:proofErr w:type="gramEnd"/>
      <w:r w:rsidRPr="00BD541D">
        <w:rPr>
          <w:rFonts w:ascii="Book Antiqua" w:hAnsi="Book Antiqua"/>
          <w:sz w:val="20"/>
        </w:rPr>
        <w:t xml:space="preserve"> Appendix E </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Pr>
          <w:rFonts w:ascii="Book Antiqua" w:hAnsi="Book Antiqua"/>
          <w:sz w:val="20"/>
        </w:rPr>
        <w:t>Currently, t</w:t>
      </w:r>
      <w:r w:rsidRPr="00BD541D">
        <w:rPr>
          <w:rFonts w:ascii="Book Antiqua" w:hAnsi="Book Antiqua"/>
          <w:sz w:val="20"/>
        </w:rPr>
        <w:t xml:space="preserve">he main crater </w:t>
      </w:r>
      <w:r>
        <w:rPr>
          <w:rFonts w:ascii="Book Antiqua" w:hAnsi="Book Antiqua"/>
          <w:sz w:val="20"/>
        </w:rPr>
        <w:t xml:space="preserve">associated with </w:t>
      </w:r>
      <w:r w:rsidRPr="00BD541D">
        <w:rPr>
          <w:rFonts w:ascii="Book Antiqua" w:hAnsi="Book Antiqua"/>
          <w:sz w:val="20"/>
        </w:rPr>
        <w:t xml:space="preserve">this event </w:t>
      </w:r>
      <w:r>
        <w:rPr>
          <w:rFonts w:ascii="Book Antiqua" w:hAnsi="Book Antiqua"/>
          <w:sz w:val="20"/>
        </w:rPr>
        <w:t>is</w:t>
      </w:r>
      <w:r w:rsidRPr="00BD541D">
        <w:rPr>
          <w:rFonts w:ascii="Book Antiqua" w:hAnsi="Book Antiqua"/>
          <w:sz w:val="20"/>
        </w:rPr>
        <w:t xml:space="preserve"> the Chicxulub structure in the Yucatan, </w:t>
      </w:r>
      <w:r>
        <w:rPr>
          <w:rFonts w:ascii="Book Antiqua" w:hAnsi="Book Antiqua"/>
          <w:sz w:val="20"/>
        </w:rPr>
        <w:t xml:space="preserve">dating at </w:t>
      </w:r>
      <w:r w:rsidRPr="00BD541D">
        <w:rPr>
          <w:rFonts w:ascii="Book Antiqua" w:hAnsi="Book Antiqua"/>
          <w:sz w:val="20"/>
        </w:rPr>
        <w:t xml:space="preserve">some 65.5 million atomic years </w:t>
      </w:r>
      <w:r>
        <w:rPr>
          <w:rFonts w:ascii="Book Antiqua" w:hAnsi="Book Antiqua"/>
          <w:sz w:val="20"/>
        </w:rPr>
        <w:t>old</w:t>
      </w:r>
      <w:r w:rsidRPr="00BD541D">
        <w:rPr>
          <w:rFonts w:ascii="Book Antiqua" w:hAnsi="Book Antiqua"/>
          <w:sz w:val="20"/>
        </w:rPr>
        <w:t>. This series of impacts triggered crustal splitting along lines of weakness. These splits released the pressure which had built up by ongoing heating of the earth’s interior, and formed the mid-Atlantic Rift and the rest of what is now the mid-ocean ridge system (see Figure 24). An increase of about 880 km in the earth’s circumference results if the rock and metal making up the earth’s interior is heated but does not become molten. If the earth interior did become molten, an increase of about 1360 km would occur in the circumference. It is interesting to note that the Mid-Atlantic Ridge system has a maximum width of 1590 km [65] and generally ranges from 1000 to 1500 km wide [66]. This is close to what is expected from radioactive heating of earth’s interior. This ridge system therefore</w:t>
      </w:r>
      <w:r>
        <w:rPr>
          <w:rFonts w:ascii="Book Antiqua" w:hAnsi="Book Antiqua"/>
          <w:sz w:val="20"/>
        </w:rPr>
        <w:t xml:space="preserve"> probably</w:t>
      </w:r>
      <w:r w:rsidRPr="00BD541D">
        <w:rPr>
          <w:rFonts w:ascii="Book Antiqua" w:hAnsi="Book Antiqua"/>
          <w:sz w:val="20"/>
        </w:rPr>
        <w:t xml:space="preserve"> represents the split in the earth’s crust which came from that heating. </w:t>
      </w:r>
      <w:r>
        <w:rPr>
          <w:rFonts w:ascii="Book Antiqua" w:hAnsi="Book Antiqua"/>
          <w:sz w:val="20"/>
        </w:rPr>
        <w:t>T</w:t>
      </w:r>
      <w:r w:rsidRPr="00BD541D">
        <w:rPr>
          <w:rFonts w:ascii="Book Antiqua" w:hAnsi="Book Antiqua"/>
          <w:sz w:val="20"/>
        </w:rPr>
        <w:t>he accompanying continental drift w</w:t>
      </w:r>
      <w:r>
        <w:rPr>
          <w:rFonts w:ascii="Book Antiqua" w:hAnsi="Book Antiqua"/>
          <w:sz w:val="20"/>
        </w:rPr>
        <w:t>as</w:t>
      </w:r>
      <w:r w:rsidRPr="00BD541D">
        <w:rPr>
          <w:rFonts w:ascii="Book Antiqua" w:hAnsi="Book Antiqua"/>
          <w:sz w:val="20"/>
        </w:rPr>
        <w:t xml:space="preserve"> aided by earth expansion effects as well</w:t>
      </w:r>
      <w:r>
        <w:rPr>
          <w:rFonts w:ascii="Book Antiqua" w:hAnsi="Book Antiqua"/>
          <w:sz w:val="20"/>
        </w:rPr>
        <w:t>.</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561629" cy="3381375"/>
            <wp:effectExtent l="19050" t="0" r="0" b="0"/>
            <wp:docPr id="132" name="il_fi" descr="http://www.auburn.edu/~kingdat/wetu_fig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uburn.edu/~kingdat/wetu_fig_3.jpg"/>
                    <pic:cNvPicPr>
                      <a:picLocks noChangeAspect="1" noChangeArrowheads="1"/>
                    </pic:cNvPicPr>
                  </pic:nvPicPr>
                  <pic:blipFill>
                    <a:blip r:embed="rId1043" cstate="print">
                      <a:lum bright="-10000" contrast="10000"/>
                    </a:blip>
                    <a:srcRect/>
                    <a:stretch>
                      <a:fillRect/>
                    </a:stretch>
                  </pic:blipFill>
                  <pic:spPr bwMode="auto">
                    <a:xfrm>
                      <a:off x="0" y="0"/>
                      <a:ext cx="6573848" cy="3387672"/>
                    </a:xfrm>
                    <a:prstGeom prst="rect">
                      <a:avLst/>
                    </a:prstGeom>
                    <a:noFill/>
                    <a:ln w="9525">
                      <a:noFill/>
                      <a:miter lim="800000"/>
                      <a:headEnd/>
                      <a:tailEnd/>
                    </a:ln>
                  </pic:spPr>
                </pic:pic>
              </a:graphicData>
            </a:graphic>
          </wp:inline>
        </w:drawing>
      </w:r>
    </w:p>
    <w:p w:rsidR="00700009" w:rsidRPr="00BD541D" w:rsidRDefault="00700009" w:rsidP="00700009">
      <w:pPr>
        <w:pStyle w:val="NoSpacing"/>
        <w:rPr>
          <w:rFonts w:ascii="Book Antiqua" w:hAnsi="Book Antiqua"/>
          <w:sz w:val="18"/>
          <w:szCs w:val="18"/>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23:</w:t>
      </w:r>
      <w:r w:rsidRPr="00022B2A">
        <w:rPr>
          <w:rFonts w:ascii="Book Antiqua" w:hAnsi="Book Antiqua"/>
          <w:i/>
          <w:sz w:val="18"/>
          <w:szCs w:val="18"/>
        </w:rPr>
        <w:t xml:space="preserve"> Late Cretaceous impact craters marked with a star. There are two possibilities. These may be 8 individual strikes from the breakup of the moon of Planet Y in what is now the asteroid belt. Alternately, there may have only been one almost simultaneous event with the asteroid that hit in the Yucatan being accompanied by 7 other</w:t>
      </w:r>
      <w:r>
        <w:rPr>
          <w:rFonts w:ascii="Book Antiqua" w:hAnsi="Book Antiqua"/>
          <w:i/>
          <w:sz w:val="18"/>
          <w:szCs w:val="18"/>
        </w:rPr>
        <w:t>large</w:t>
      </w:r>
      <w:r w:rsidRPr="00022B2A">
        <w:rPr>
          <w:rFonts w:ascii="Book Antiqua" w:hAnsi="Book Antiqua"/>
          <w:i/>
          <w:sz w:val="18"/>
          <w:szCs w:val="18"/>
        </w:rPr>
        <w:t xml:space="preserve"> pieces of debris.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6357924" cy="3000375"/>
            <wp:effectExtent l="19050" t="0" r="4776" b="0"/>
            <wp:docPr id="134" name="il_fi" descr="http://www.waterencyclopedia.com/images/wsci_03_img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aterencyclopedia.com/images/wsci_03_img0352.jpg"/>
                    <pic:cNvPicPr>
                      <a:picLocks noChangeAspect="1" noChangeArrowheads="1"/>
                    </pic:cNvPicPr>
                  </pic:nvPicPr>
                  <pic:blipFill>
                    <a:blip r:embed="rId1044" cstate="print"/>
                    <a:srcRect t="5078" r="991" b="4616"/>
                    <a:stretch>
                      <a:fillRect/>
                    </a:stretch>
                  </pic:blipFill>
                  <pic:spPr bwMode="auto">
                    <a:xfrm>
                      <a:off x="0" y="0"/>
                      <a:ext cx="6371821" cy="3006933"/>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 xml:space="preserve">Figure 24: </w:t>
      </w:r>
      <w:r w:rsidRPr="00022B2A">
        <w:rPr>
          <w:rFonts w:ascii="Book Antiqua" w:hAnsi="Book Antiqua"/>
          <w:i/>
          <w:sz w:val="18"/>
          <w:szCs w:val="18"/>
        </w:rPr>
        <w:t>The mid-ocean ridge system colored blue-black.</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lastRenderedPageBreak/>
        <w:t xml:space="preserve">An experiment can be done to illustrate what happened. Take an egg that has been hard-boiled in its shell. The interior of the egg is still somewhat plastic or pliable, just like the present interior of the earth. The shell itself is like the earth’s crust encapsulating its plastic interior. If the hard-boiled egg in its shell is held tightly in a closed hand with an even pressure all around it, this is like the Earth’s crust under pressure. Then, if a small exposed area of the shell is given a firm rap with some suitable implement, this reproduces the firm hit from a large meteorite on the Earth’s crust while the crust is under pressure. As might be anticipated, the egg shell breaks into a number of “plates” which move horizontally and vertically because of fluid and air under the shell. In the case of the Earth, the presence of the highly fluid asthenosphere allowed the continental plates to move until the lubricating material had escaped from the system. What </w:t>
      </w:r>
      <w:proofErr w:type="gramStart"/>
      <w:r w:rsidRPr="00BD541D">
        <w:rPr>
          <w:rFonts w:ascii="Book Antiqua" w:hAnsi="Book Antiqua"/>
          <w:sz w:val="20"/>
        </w:rPr>
        <w:t>is</w:t>
      </w:r>
      <w:proofErr w:type="gramEnd"/>
      <w:r w:rsidRPr="00BD541D">
        <w:rPr>
          <w:rFonts w:ascii="Book Antiqua" w:hAnsi="Book Antiqua"/>
          <w:sz w:val="20"/>
        </w:rPr>
        <w:t xml:space="preserve"> left today in the motion of the plates is the residual results of this event. When it is realized that, in proportion, the egg-shell is 5 times thicker than the Earth’s crust, the relevance of the experiment becomes apparent.</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At the same time, the pressure/rarefaction pulse from </w:t>
      </w:r>
      <w:r>
        <w:rPr>
          <w:rFonts w:ascii="Book Antiqua" w:hAnsi="Book Antiqua"/>
          <w:sz w:val="20"/>
        </w:rPr>
        <w:t xml:space="preserve">one of the major impactors </w:t>
      </w:r>
      <w:r w:rsidRPr="00BD541D">
        <w:rPr>
          <w:rFonts w:ascii="Book Antiqua" w:hAnsi="Book Antiqua"/>
          <w:sz w:val="20"/>
        </w:rPr>
        <w:t xml:space="preserve">resulted in outpoured lava at the antipodal point of the globe, </w:t>
      </w:r>
      <w:r>
        <w:rPr>
          <w:rFonts w:ascii="Book Antiqua" w:hAnsi="Book Antiqua"/>
          <w:sz w:val="20"/>
        </w:rPr>
        <w:t>resulting in</w:t>
      </w:r>
      <w:r w:rsidRPr="00BD541D">
        <w:rPr>
          <w:rFonts w:ascii="Book Antiqua" w:hAnsi="Book Antiqua"/>
          <w:sz w:val="20"/>
        </w:rPr>
        <w:t xml:space="preserve"> the Deccan Traps in India (Figures 25 and 26).</w:t>
      </w:r>
      <w:r>
        <w:rPr>
          <w:rFonts w:ascii="Book Antiqua" w:hAnsi="Book Antiqua"/>
          <w:sz w:val="20"/>
        </w:rPr>
        <w:t xml:space="preserve"> Figure 27 shows that what is now North America was antipodal to India then.</w:t>
      </w:r>
      <w:r w:rsidRPr="00BD541D">
        <w:rPr>
          <w:rFonts w:ascii="Book Antiqua" w:hAnsi="Book Antiqua"/>
          <w:sz w:val="20"/>
        </w:rPr>
        <w:t xml:space="preserve"> This event is known as the Cretaceous/Tertiary (or K/T) extinction. Since the mobility of the asthenosphere was close to its maximum, with its highest temperatures and optimal water content, the event gave an impetus to </w:t>
      </w:r>
      <w:r>
        <w:rPr>
          <w:rFonts w:ascii="Book Antiqua" w:hAnsi="Book Antiqua"/>
          <w:sz w:val="20"/>
        </w:rPr>
        <w:t xml:space="preserve">rapid </w:t>
      </w:r>
      <w:r w:rsidRPr="00BD541D">
        <w:rPr>
          <w:rFonts w:ascii="Book Antiqua" w:hAnsi="Book Antiqua"/>
          <w:sz w:val="20"/>
        </w:rPr>
        <w:t>continental drift. Figure 27 shows the arrangement of continents prior to the drift beginning.</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713394" cy="2036269"/>
            <wp:effectExtent l="19050" t="0" r="1356" b="0"/>
            <wp:docPr id="135" name="Picture 306" descr="http://www.setterfield.org/Lonar%20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setterfield.org/Lonar%20crater.jpg"/>
                    <pic:cNvPicPr>
                      <a:picLocks noChangeAspect="1" noChangeArrowheads="1"/>
                    </pic:cNvPicPr>
                  </pic:nvPicPr>
                  <pic:blipFill>
                    <a:blip r:embed="rId1045" cstate="print">
                      <a:lum contrast="20000"/>
                    </a:blip>
                    <a:srcRect t="37041" r="1031" b="4916"/>
                    <a:stretch>
                      <a:fillRect/>
                    </a:stretch>
                  </pic:blipFill>
                  <pic:spPr bwMode="auto">
                    <a:xfrm>
                      <a:off x="0" y="0"/>
                      <a:ext cx="3724977" cy="2042621"/>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022B2A" w:rsidRDefault="00700009" w:rsidP="00390CA0">
      <w:pPr>
        <w:pStyle w:val="NoSpacing"/>
        <w:jc w:val="center"/>
        <w:rPr>
          <w:rFonts w:ascii="Book Antiqua" w:hAnsi="Book Antiqua"/>
          <w:i/>
          <w:sz w:val="18"/>
          <w:szCs w:val="18"/>
        </w:rPr>
      </w:pPr>
      <w:r w:rsidRPr="00022B2A">
        <w:rPr>
          <w:rFonts w:ascii="Book Antiqua" w:hAnsi="Book Antiqua"/>
          <w:b/>
          <w:i/>
          <w:sz w:val="18"/>
          <w:szCs w:val="18"/>
        </w:rPr>
        <w:t>Figure 25:</w:t>
      </w:r>
      <w:r w:rsidRPr="00022B2A">
        <w:rPr>
          <w:rFonts w:ascii="Book Antiqua" w:hAnsi="Book Antiqua"/>
          <w:i/>
          <w:sz w:val="18"/>
          <w:szCs w:val="18"/>
        </w:rPr>
        <w:t xml:space="preserve"> Location of the Deccan Traps in India.</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drawing>
          <wp:inline distT="0" distB="0" distL="0" distR="0">
            <wp:extent cx="3753810" cy="1974796"/>
            <wp:effectExtent l="19050" t="0" r="0" b="0"/>
            <wp:docPr id="136" name="Picture 305" descr="The Deccan Tr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The Deccan Traps"/>
                    <pic:cNvPicPr>
                      <a:picLocks noChangeAspect="1" noChangeArrowheads="1"/>
                    </pic:cNvPicPr>
                  </pic:nvPicPr>
                  <pic:blipFill>
                    <a:blip r:embed="rId1046" cstate="print"/>
                    <a:srcRect t="3527" r="-39" b="26895"/>
                    <a:stretch>
                      <a:fillRect/>
                    </a:stretch>
                  </pic:blipFill>
                  <pic:spPr bwMode="auto">
                    <a:xfrm>
                      <a:off x="0" y="0"/>
                      <a:ext cx="3766578" cy="1981513"/>
                    </a:xfrm>
                    <a:prstGeom prst="rect">
                      <a:avLst/>
                    </a:prstGeom>
                    <a:noFill/>
                    <a:ln w="9525">
                      <a:noFill/>
                      <a:miter lim="800000"/>
                      <a:headEnd/>
                      <a:tailEnd/>
                    </a:ln>
                  </pic:spPr>
                </pic:pic>
              </a:graphicData>
            </a:graphic>
          </wp:inline>
        </w:drawing>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rPr>
          <w:rFonts w:ascii="Book Antiqua" w:hAnsi="Book Antiqua"/>
          <w:i/>
          <w:sz w:val="20"/>
        </w:rPr>
      </w:pPr>
      <w:r w:rsidRPr="00022B2A">
        <w:rPr>
          <w:rFonts w:ascii="Book Antiqua" w:hAnsi="Book Antiqua"/>
          <w:b/>
          <w:i/>
          <w:sz w:val="18"/>
          <w:szCs w:val="18"/>
        </w:rPr>
        <w:t>Figure 26:</w:t>
      </w:r>
      <w:r w:rsidRPr="00022B2A">
        <w:rPr>
          <w:rFonts w:ascii="Book Antiqua" w:hAnsi="Book Antiqua"/>
          <w:i/>
          <w:sz w:val="18"/>
          <w:szCs w:val="18"/>
        </w:rPr>
        <w:t xml:space="preserve"> A typical Deccan Traps</w:t>
      </w:r>
      <w:r>
        <w:rPr>
          <w:rFonts w:ascii="Book Antiqua" w:hAnsi="Book Antiqua"/>
          <w:i/>
          <w:sz w:val="18"/>
          <w:szCs w:val="18"/>
        </w:rPr>
        <w:t xml:space="preserve"> scene. There are many inter-trappean beds with fresh water and land fossils showing the Traps took time to build.</w:t>
      </w:r>
    </w:p>
    <w:p w:rsidR="00700009" w:rsidRPr="00BD541D" w:rsidRDefault="00700009" w:rsidP="00700009">
      <w:pPr>
        <w:pStyle w:val="NoSpacing"/>
        <w:jc w:val="both"/>
        <w:rPr>
          <w:rFonts w:ascii="Book Antiqua" w:hAnsi="Book Antiqua"/>
          <w:sz w:val="20"/>
        </w:rPr>
      </w:pPr>
    </w:p>
    <w:p w:rsidR="00700009" w:rsidRPr="00BD541D" w:rsidRDefault="00700009" w:rsidP="00700009">
      <w:pPr>
        <w:pStyle w:val="NoSpacing"/>
        <w:jc w:val="center"/>
        <w:rPr>
          <w:rFonts w:ascii="Book Antiqua" w:hAnsi="Book Antiqua"/>
          <w:sz w:val="20"/>
        </w:rPr>
      </w:pPr>
      <w:r w:rsidRPr="00BD541D">
        <w:rPr>
          <w:rFonts w:ascii="Book Antiqua" w:hAnsi="Book Antiqua"/>
          <w:noProof/>
          <w:sz w:val="20"/>
        </w:rPr>
        <w:lastRenderedPageBreak/>
        <w:drawing>
          <wp:inline distT="0" distB="0" distL="0" distR="0">
            <wp:extent cx="4515556" cy="4303059"/>
            <wp:effectExtent l="19050" t="0" r="0" b="0"/>
            <wp:docPr id="137" name="il_fi" descr="http://www.notbychance.net/resources/pangea%20supercontinent.jpg?timestamp=13026350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otbychance.net/resources/pangea%20supercontinent.jpg?timestamp=1302635028000"/>
                    <pic:cNvPicPr>
                      <a:picLocks noChangeAspect="1" noChangeArrowheads="1"/>
                    </pic:cNvPicPr>
                  </pic:nvPicPr>
                  <pic:blipFill>
                    <a:blip r:embed="rId1047" cstate="print"/>
                    <a:srcRect t="9332" r="-75" b="4668"/>
                    <a:stretch>
                      <a:fillRect/>
                    </a:stretch>
                  </pic:blipFill>
                  <pic:spPr bwMode="auto">
                    <a:xfrm>
                      <a:off x="0" y="0"/>
                      <a:ext cx="4517026" cy="4304460"/>
                    </a:xfrm>
                    <a:prstGeom prst="rect">
                      <a:avLst/>
                    </a:prstGeom>
                    <a:noFill/>
                    <a:ln w="9525">
                      <a:noFill/>
                      <a:miter lim="800000"/>
                      <a:headEnd/>
                      <a:tailEnd/>
                    </a:ln>
                  </pic:spPr>
                </pic:pic>
              </a:graphicData>
            </a:graphic>
          </wp:inline>
        </w:drawing>
      </w:r>
    </w:p>
    <w:p w:rsidR="00700009" w:rsidRPr="00BD541D" w:rsidRDefault="00700009" w:rsidP="00700009">
      <w:pPr>
        <w:pStyle w:val="NoSpacing"/>
        <w:ind w:firstLine="720"/>
        <w:jc w:val="both"/>
        <w:rPr>
          <w:rFonts w:ascii="Book Antiqua" w:hAnsi="Book Antiqua"/>
          <w:sz w:val="20"/>
        </w:rPr>
      </w:pPr>
    </w:p>
    <w:p w:rsidR="00700009" w:rsidRPr="00022B2A" w:rsidRDefault="00700009" w:rsidP="00700009">
      <w:pPr>
        <w:pStyle w:val="NoSpacing"/>
        <w:rPr>
          <w:rFonts w:ascii="Book Antiqua" w:hAnsi="Book Antiqua"/>
          <w:i/>
          <w:sz w:val="18"/>
          <w:szCs w:val="18"/>
        </w:rPr>
      </w:pPr>
      <w:r w:rsidRPr="00022B2A">
        <w:rPr>
          <w:rFonts w:ascii="Book Antiqua" w:hAnsi="Book Antiqua"/>
          <w:b/>
          <w:i/>
          <w:sz w:val="18"/>
          <w:szCs w:val="18"/>
        </w:rPr>
        <w:t>Figure 27:</w:t>
      </w:r>
      <w:r w:rsidRPr="00022B2A">
        <w:rPr>
          <w:rFonts w:ascii="Book Antiqua" w:hAnsi="Book Antiqua"/>
          <w:i/>
          <w:sz w:val="18"/>
          <w:szCs w:val="18"/>
        </w:rPr>
        <w:t xml:space="preserve"> The supercontinent of Pangea. When compared with Figure 13 it can be seen that most cratons were formed in the areas away from the (magnetic) poles. This suggests their formation was primarily impact related, with any electrical phenomena being secondary and probably related to the high negative potential of the impactors. </w:t>
      </w:r>
    </w:p>
    <w:p w:rsidR="00700009" w:rsidRPr="00BD541D" w:rsidRDefault="00700009" w:rsidP="00700009">
      <w:pPr>
        <w:pStyle w:val="NormalWeb"/>
        <w:jc w:val="both"/>
        <w:rPr>
          <w:rFonts w:ascii="Book Antiqua" w:hAnsi="Book Antiqua"/>
          <w:b/>
          <w:sz w:val="20"/>
          <w:szCs w:val="20"/>
        </w:rPr>
      </w:pPr>
      <w:r w:rsidRPr="00BD541D">
        <w:rPr>
          <w:rFonts w:ascii="Book Antiqua" w:hAnsi="Book Antiqua"/>
          <w:b/>
          <w:sz w:val="20"/>
          <w:szCs w:val="20"/>
        </w:rPr>
        <w:t>1</w:t>
      </w:r>
      <w:r>
        <w:rPr>
          <w:rFonts w:ascii="Book Antiqua" w:hAnsi="Book Antiqua"/>
          <w:b/>
          <w:sz w:val="20"/>
          <w:szCs w:val="20"/>
        </w:rPr>
        <w:t>3.</w:t>
      </w:r>
      <w:r w:rsidRPr="00BD541D">
        <w:rPr>
          <w:rFonts w:ascii="Book Antiqua" w:hAnsi="Book Antiqua"/>
          <w:b/>
          <w:sz w:val="20"/>
          <w:szCs w:val="20"/>
        </w:rPr>
        <w:t xml:space="preserve"> Postponing some decisions.</w:t>
      </w: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One final point needs to be noted. Figure 16 shows the distribution of continental cratons. The land areas of the earth at that time consisted of one supercontinent and the rest was ocean. The supercontinent is shown in Figure 27. When Figure 16 of the cratons is compared with Figure 27, it will be seen that the majority of these craton areas occur between 30 degrees and 60 degrees latitude both north and south. In other words, they are midway between the equator and the (magnetic) poles.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 xml:space="preserve">This leaves the question open as to whether the Late Heavy Bombardment interaction which gave rise to the cratons was mainly through plasma-electrical effects or through impact. If it was purely electrical, it might be expected that these effects would be concentrated near the magnetic poles. This did not happen. Therefore, it is possible that the cratons formed in response to impacts and incoming debris. These impacts may have occurred in the ocean areas on the antipodal part of the earth to the cratons with the pressure pulse traveling through the earth and causing the release of magma on the opposite side. </w:t>
      </w:r>
    </w:p>
    <w:p w:rsidR="00700009" w:rsidRPr="00BD541D" w:rsidRDefault="00700009" w:rsidP="00700009">
      <w:pPr>
        <w:pStyle w:val="NoSpacing"/>
        <w:ind w:firstLine="720"/>
        <w:jc w:val="both"/>
        <w:rPr>
          <w:rFonts w:ascii="Book Antiqua" w:hAnsi="Book Antiqua"/>
          <w:sz w:val="20"/>
        </w:rPr>
      </w:pPr>
    </w:p>
    <w:p w:rsidR="00700009" w:rsidRPr="00BD541D" w:rsidRDefault="00700009" w:rsidP="00700009">
      <w:pPr>
        <w:pStyle w:val="NoSpacing"/>
        <w:ind w:firstLine="720"/>
        <w:jc w:val="both"/>
        <w:rPr>
          <w:rFonts w:ascii="Book Antiqua" w:hAnsi="Book Antiqua"/>
          <w:sz w:val="20"/>
        </w:rPr>
      </w:pPr>
      <w:r w:rsidRPr="00BD541D">
        <w:rPr>
          <w:rFonts w:ascii="Book Antiqua" w:hAnsi="Book Antiqua"/>
          <w:sz w:val="20"/>
        </w:rPr>
        <w:t>In Appendix E, the experimental evidence for both electrical and impact effects is considered and a fuller discussion occurs. A decision is then made in accord with the available evidence as to the cause of most of the LHB effects as well as the MAPCIS, Wilkes Land and Chicxulub craters.</w:t>
      </w:r>
    </w:p>
    <w:p w:rsidR="00700009" w:rsidRPr="00BD541D" w:rsidRDefault="00700009" w:rsidP="00700009">
      <w:pPr>
        <w:pStyle w:val="NormalWeb"/>
        <w:rPr>
          <w:rStyle w:val="Strong"/>
          <w:rFonts w:ascii="Book Antiqua" w:eastAsia="Calibri" w:hAnsi="Book Antiqua"/>
          <w:i/>
          <w:sz w:val="20"/>
          <w:szCs w:val="20"/>
        </w:rPr>
      </w:pPr>
      <w:r w:rsidRPr="00BD541D">
        <w:rPr>
          <w:rFonts w:ascii="Book Antiqua" w:hAnsi="Book Antiqua"/>
          <w:b/>
          <w:sz w:val="20"/>
          <w:szCs w:val="20"/>
        </w:rPr>
        <w:lastRenderedPageBreak/>
        <w:t xml:space="preserve">References: </w:t>
      </w:r>
      <w:r w:rsidRPr="00BD541D">
        <w:rPr>
          <w:rFonts w:ascii="Book Antiqua" w:hAnsi="Book Antiqua"/>
          <w:i/>
          <w:sz w:val="20"/>
          <w:szCs w:val="20"/>
        </w:rPr>
        <w:t>- All URL’s retrieved 9/13/12</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 [1] W. I.  </w:t>
      </w:r>
      <w:proofErr w:type="gramStart"/>
      <w:r w:rsidRPr="00BD541D">
        <w:rPr>
          <w:rFonts w:ascii="Book Antiqua" w:hAnsi="Book Antiqua"/>
          <w:sz w:val="16"/>
          <w:szCs w:val="16"/>
        </w:rPr>
        <w:t xml:space="preserve">Axford, </w:t>
      </w:r>
      <w:r w:rsidRPr="00BD541D">
        <w:rPr>
          <w:rFonts w:ascii="Book Antiqua" w:hAnsi="Book Antiqua"/>
          <w:i/>
          <w:sz w:val="16"/>
          <w:szCs w:val="16"/>
        </w:rPr>
        <w:t>Proceedings of the 17</w:t>
      </w:r>
      <w:r w:rsidRPr="00BD541D">
        <w:rPr>
          <w:rFonts w:ascii="Book Antiqua" w:hAnsi="Book Antiqua"/>
          <w:i/>
          <w:sz w:val="16"/>
          <w:szCs w:val="16"/>
          <w:vertAlign w:val="superscript"/>
        </w:rPr>
        <w:t>th</w:t>
      </w:r>
      <w:r w:rsidRPr="00BD541D">
        <w:rPr>
          <w:rFonts w:ascii="Book Antiqua" w:hAnsi="Book Antiqua"/>
          <w:i/>
          <w:sz w:val="16"/>
          <w:szCs w:val="16"/>
        </w:rPr>
        <w:t xml:space="preserve"> International Cosmic-Ray Conference</w:t>
      </w:r>
      <w:r w:rsidRPr="00BD541D">
        <w:rPr>
          <w:rFonts w:ascii="Book Antiqua" w:hAnsi="Book Antiqua"/>
          <w:sz w:val="16"/>
          <w:szCs w:val="16"/>
        </w:rPr>
        <w:t xml:space="preserve">, Paris, </w:t>
      </w:r>
      <w:r w:rsidRPr="00BD541D">
        <w:rPr>
          <w:rFonts w:ascii="Book Antiqua" w:hAnsi="Book Antiqua"/>
          <w:b/>
          <w:sz w:val="16"/>
          <w:szCs w:val="16"/>
        </w:rPr>
        <w:t>12</w:t>
      </w:r>
      <w:r w:rsidRPr="00BD541D">
        <w:rPr>
          <w:rFonts w:ascii="Book Antiqua" w:hAnsi="Book Antiqua"/>
          <w:sz w:val="16"/>
          <w:szCs w:val="16"/>
        </w:rPr>
        <w:t xml:space="preserve"> (1981), pp.155 ff.</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 R. E. Lingenfelter, et al., in </w:t>
      </w:r>
      <w:r w:rsidRPr="00BD541D">
        <w:rPr>
          <w:rFonts w:ascii="Book Antiqua" w:hAnsi="Book Antiqua"/>
          <w:i/>
          <w:sz w:val="16"/>
          <w:szCs w:val="16"/>
        </w:rPr>
        <w:t>Acceleration and Transport of Energetic Particles Observed in the Heliosphere,</w:t>
      </w:r>
      <w:r w:rsidRPr="00BD541D">
        <w:rPr>
          <w:rFonts w:ascii="Book Antiqua" w:hAnsi="Book Antiqua"/>
          <w:sz w:val="16"/>
          <w:szCs w:val="16"/>
        </w:rPr>
        <w:t xml:space="preserve"> (R. Mewaldt et al. eds.) pp.375 ff. American Institute of Physics, New York,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 O. Eugster et al. “Irradiation Records, Cosmic Ray Exposure Ages, and Transfer Times of Meteorites,” in </w:t>
      </w:r>
      <w:r w:rsidRPr="00BD541D">
        <w:rPr>
          <w:rFonts w:ascii="Book Antiqua" w:hAnsi="Book Antiqua"/>
          <w:i/>
          <w:sz w:val="16"/>
          <w:szCs w:val="16"/>
        </w:rPr>
        <w:t xml:space="preserve">Meteorites and the Early Solar System II, </w:t>
      </w:r>
      <w:r w:rsidRPr="00BD541D">
        <w:rPr>
          <w:rFonts w:ascii="Book Antiqua" w:hAnsi="Book Antiqua"/>
          <w:sz w:val="16"/>
          <w:szCs w:val="16"/>
        </w:rPr>
        <w:t>pp.829-851,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 MAPCIS research: </w:t>
      </w:r>
      <w:hyperlink r:id="rId1048" w:tgtFrame="_blank" w:history="1">
        <w:r w:rsidRPr="00BD541D">
          <w:rPr>
            <w:rFonts w:ascii="Book Antiqua" w:hAnsi="Book Antiqua"/>
            <w:i/>
            <w:sz w:val="16"/>
            <w:szCs w:val="16"/>
          </w:rPr>
          <w:t>http://www.mapcis.net/mapcis_research.html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here: </w:t>
      </w:r>
      <w:hyperlink r:id="rId1049" w:tgtFrame="_blank" w:history="1">
        <w:r w:rsidRPr="00BD541D">
          <w:rPr>
            <w:rFonts w:ascii="Book Antiqua" w:hAnsi="Book Antiqua"/>
            <w:i/>
            <w:sz w:val="16"/>
            <w:szCs w:val="16"/>
          </w:rPr>
          <w:t>http://www.mapcis.net/mapcis_case.html</w:t>
        </w:r>
      </w:hyperlink>
      <w:r w:rsidRPr="00BD541D">
        <w:rPr>
          <w:rFonts w:ascii="Book Antiqua" w:hAnsi="Book Antiqua"/>
          <w:sz w:val="16"/>
          <w:szCs w:val="16"/>
        </w:rPr>
        <w:t xml:space="preserve"> and is also here: </w:t>
      </w:r>
      <w:hyperlink r:id="rId1050"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w:t>
      </w:r>
      <w:proofErr w:type="gramStart"/>
      <w:r w:rsidRPr="00BD541D">
        <w:rPr>
          <w:rFonts w:ascii="Book Antiqua" w:hAnsi="Book Antiqua"/>
          <w:sz w:val="16"/>
          <w:szCs w:val="16"/>
        </w:rPr>
        <w:t>5 ]</w:t>
      </w:r>
      <w:proofErr w:type="gramEnd"/>
      <w:r w:rsidRPr="00BD541D">
        <w:rPr>
          <w:rFonts w:ascii="Book Antiqua" w:hAnsi="Book Antiqua"/>
          <w:sz w:val="16"/>
          <w:szCs w:val="16"/>
        </w:rPr>
        <w:t xml:space="preserve"> W. V. Preiss, </w:t>
      </w:r>
      <w:r w:rsidRPr="00BD541D">
        <w:rPr>
          <w:rFonts w:ascii="Book Antiqua" w:hAnsi="Book Antiqua"/>
          <w:i/>
          <w:sz w:val="16"/>
          <w:szCs w:val="16"/>
        </w:rPr>
        <w:t>The Adelaide Geosyncline</w:t>
      </w:r>
      <w:r w:rsidRPr="00BD541D">
        <w:rPr>
          <w:rFonts w:ascii="Book Antiqua" w:hAnsi="Book Antiqua"/>
          <w:sz w:val="16"/>
          <w:szCs w:val="16"/>
        </w:rPr>
        <w:t xml:space="preserve">, Bulletin </w:t>
      </w:r>
      <w:r w:rsidRPr="00BD541D">
        <w:rPr>
          <w:rFonts w:ascii="Book Antiqua" w:hAnsi="Book Antiqua"/>
          <w:b/>
          <w:sz w:val="16"/>
          <w:szCs w:val="16"/>
        </w:rPr>
        <w:t>53</w:t>
      </w:r>
      <w:r w:rsidRPr="00BD541D">
        <w:rPr>
          <w:rFonts w:ascii="Book Antiqua" w:hAnsi="Book Antiqua"/>
          <w:sz w:val="16"/>
          <w:szCs w:val="16"/>
        </w:rPr>
        <w:t>, Geological Survey of South Australia,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  J. Audouze, G. Israel, </w:t>
      </w:r>
      <w:r w:rsidRPr="00BD541D">
        <w:rPr>
          <w:rFonts w:ascii="Book Antiqua" w:hAnsi="Book Antiqua"/>
          <w:i/>
          <w:sz w:val="16"/>
          <w:szCs w:val="16"/>
        </w:rPr>
        <w:t>Cambridge Atlas of Astronomy</w:t>
      </w:r>
      <w:r w:rsidRPr="00BD541D">
        <w:rPr>
          <w:rFonts w:ascii="Book Antiqua" w:hAnsi="Book Antiqua"/>
          <w:sz w:val="16"/>
          <w:szCs w:val="16"/>
        </w:rPr>
        <w:t xml:space="preserve">, p. 122-123, Cambridge University Press, 1985.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[7] Ibid, p.152.</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[8] J. Veverka et al., “Near’s Flyby of 253 Mathilde: Images of a C Asteroid,” </w:t>
      </w:r>
      <w:r w:rsidRPr="00BD541D">
        <w:rPr>
          <w:rFonts w:ascii="Book Antiqua" w:hAnsi="Book Antiqua"/>
          <w:i/>
          <w:sz w:val="16"/>
          <w:szCs w:val="16"/>
        </w:rPr>
        <w:t>Science</w:t>
      </w:r>
      <w:r w:rsidRPr="00BD541D">
        <w:rPr>
          <w:rFonts w:ascii="Book Antiqua" w:hAnsi="Book Antiqua"/>
          <w:sz w:val="16"/>
          <w:szCs w:val="16"/>
        </w:rPr>
        <w:t>, Vol. 278, pp. 2109-2114, (1997).</w:t>
      </w:r>
      <w:r w:rsidRPr="00BD541D">
        <w:rPr>
          <w:rFonts w:ascii="Book Antiqua" w:hAnsi="Book Antiqua"/>
          <w:sz w:val="16"/>
          <w:szCs w:val="16"/>
        </w:rPr>
        <w:br/>
        <w:t xml:space="preserve">[9] S. J. Ostro, D. B. Campbell, I. I. Shapiro,”Mainbelt Asteroids: Dual Polarization Radar Observations,” </w:t>
      </w:r>
      <w:r w:rsidRPr="00BD541D">
        <w:rPr>
          <w:rFonts w:ascii="Book Antiqua" w:hAnsi="Book Antiqua"/>
          <w:i/>
          <w:sz w:val="16"/>
          <w:szCs w:val="16"/>
        </w:rPr>
        <w:t>Science</w:t>
      </w:r>
      <w:r w:rsidRPr="00BD541D">
        <w:rPr>
          <w:rFonts w:ascii="Book Antiqua" w:hAnsi="Book Antiqua"/>
          <w:sz w:val="16"/>
          <w:szCs w:val="16"/>
        </w:rPr>
        <w:t>, Vol. 229, pp. 442-446, (1985).</w:t>
      </w:r>
      <w:r w:rsidRPr="00BD541D">
        <w:rPr>
          <w:rFonts w:ascii="Book Antiqua" w:hAnsi="Book Antiqua"/>
          <w:sz w:val="16"/>
          <w:szCs w:val="16"/>
        </w:rPr>
        <w:br/>
        <w:t xml:space="preserve">[10] J. </w:t>
      </w:r>
      <w:proofErr w:type="gramStart"/>
      <w:r w:rsidRPr="00BD541D">
        <w:rPr>
          <w:rFonts w:ascii="Book Antiqua" w:hAnsi="Book Antiqua"/>
          <w:sz w:val="16"/>
          <w:szCs w:val="16"/>
        </w:rPr>
        <w:t>Audouze ,</w:t>
      </w:r>
      <w:proofErr w:type="gramEnd"/>
      <w:r w:rsidRPr="00BD541D">
        <w:rPr>
          <w:rFonts w:ascii="Book Antiqua" w:hAnsi="Book Antiqua"/>
          <w:sz w:val="16"/>
          <w:szCs w:val="16"/>
        </w:rPr>
        <w:t xml:space="preserve"> G. Israel, op. cit. reference [6], p. 154.</w:t>
      </w:r>
      <w:r w:rsidRPr="00BD541D">
        <w:rPr>
          <w:rFonts w:ascii="Book Antiqua" w:hAnsi="Book Antiqua"/>
          <w:sz w:val="16"/>
          <w:szCs w:val="16"/>
        </w:rPr>
        <w:br/>
        <w:t xml:space="preserve">[11] T. Van Flandern, </w:t>
      </w:r>
      <w:r w:rsidRPr="00BD541D">
        <w:rPr>
          <w:rFonts w:ascii="Book Antiqua" w:hAnsi="Book Antiqua"/>
          <w:i/>
          <w:sz w:val="16"/>
          <w:szCs w:val="16"/>
        </w:rPr>
        <w:t>Dark Matter, Missing Planets &amp; New Comets</w:t>
      </w:r>
      <w:r w:rsidRPr="00BD541D">
        <w:rPr>
          <w:rFonts w:ascii="Book Antiqua" w:hAnsi="Book Antiqua"/>
          <w:b/>
          <w:sz w:val="16"/>
          <w:szCs w:val="16"/>
        </w:rPr>
        <w:t>,</w:t>
      </w:r>
      <w:r w:rsidRPr="00BD541D">
        <w:rPr>
          <w:rFonts w:ascii="Book Antiqua" w:hAnsi="Book Antiqua"/>
          <w:sz w:val="16"/>
          <w:szCs w:val="16"/>
        </w:rPr>
        <w:t xml:space="preserve"> p. 216, North Atlantic Books, California, 1993. Additional information at: </w:t>
      </w:r>
      <w:hyperlink r:id="rId1051" w:history="1">
        <w:r w:rsidRPr="00BD541D">
          <w:rPr>
            <w:rStyle w:val="Hyperlink"/>
            <w:rFonts w:ascii="Book Antiqua" w:hAnsi="Book Antiqua"/>
            <w:i/>
            <w:szCs w:val="16"/>
          </w:rPr>
          <w:t>http://www.enterprisemission.com/comets.html</w:t>
        </w:r>
      </w:hyperlink>
      <w:r w:rsidRPr="00BD541D">
        <w:rPr>
          <w:rFonts w:ascii="Book Antiqua" w:hAnsi="Book Antiqua"/>
          <w:i/>
          <w:sz w:val="16"/>
          <w:szCs w:val="16"/>
        </w:rPr>
        <w:t xml:space="preserve"> </w:t>
      </w:r>
      <w:r w:rsidRPr="00BD541D">
        <w:rPr>
          <w:rFonts w:ascii="Book Antiqua" w:hAnsi="Book Antiqua"/>
          <w:sz w:val="16"/>
          <w:szCs w:val="16"/>
        </w:rPr>
        <w:t xml:space="preserve">. Also see T. Van Flandern, ‘The Exploded Planet Hypothesis 2000,’ available at: </w:t>
      </w:r>
      <w:hyperlink r:id="rId1052" w:history="1">
        <w:r w:rsidRPr="00BD541D">
          <w:rPr>
            <w:rStyle w:val="Hyperlink"/>
            <w:rFonts w:ascii="Book Antiqua" w:hAnsi="Book Antiqua"/>
            <w:i/>
            <w:szCs w:val="16"/>
          </w:rPr>
          <w:t>http://www.metaresearch.org/solar%20system/eph/eph2000.asp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[12] T. Van Flandern, </w:t>
      </w:r>
      <w:r w:rsidRPr="00BD541D">
        <w:rPr>
          <w:rFonts w:ascii="Book Antiqua" w:hAnsi="Book Antiqua"/>
          <w:i/>
          <w:sz w:val="16"/>
          <w:szCs w:val="16"/>
        </w:rPr>
        <w:t>Meta Research Bulletin</w:t>
      </w:r>
      <w:r w:rsidRPr="00BD541D">
        <w:rPr>
          <w:rFonts w:ascii="Book Antiqua" w:hAnsi="Book Antiqua"/>
          <w:sz w:val="16"/>
          <w:szCs w:val="16"/>
        </w:rPr>
        <w:t xml:space="preserve">, </w:t>
      </w:r>
      <w:r w:rsidRPr="00BD541D">
        <w:rPr>
          <w:rFonts w:ascii="Book Antiqua" w:hAnsi="Book Antiqua"/>
          <w:b/>
          <w:sz w:val="16"/>
          <w:szCs w:val="16"/>
        </w:rPr>
        <w:t>4</w:t>
      </w:r>
      <w:r w:rsidRPr="00BD541D">
        <w:rPr>
          <w:rFonts w:ascii="Book Antiqua" w:hAnsi="Book Antiqua"/>
          <w:sz w:val="16"/>
          <w:szCs w:val="16"/>
        </w:rPr>
        <w:t>:3, September 15, (1995).</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[13] S. Wilkison et al., “An estimate of Eros’s porosity and implications for internal structure,”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155</w:t>
      </w:r>
      <w:r w:rsidRPr="00BD541D">
        <w:rPr>
          <w:rFonts w:ascii="Book Antiqua" w:hAnsi="Book Antiqua"/>
          <w:sz w:val="16"/>
          <w:szCs w:val="16"/>
        </w:rPr>
        <w:t>, pp.94-103.</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[14] W. F. Bottke "Are Asteroids Rubble Piles", Paper for 23rd Meeting of the International Seminars on Planetary Emergencies, Erice, Italy, September 10, (1998).</w:t>
      </w:r>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[15] L. M. V. Martel, “Using Chondrites to Understand the Inside of Asteroid 433 Eros,”Planetary Science Research Discoveries, June 28, 2002.</w:t>
      </w:r>
      <w:proofErr w:type="gramEnd"/>
      <w:r w:rsidRPr="00BD541D">
        <w:rPr>
          <w:rFonts w:ascii="Book Antiqua" w:hAnsi="Book Antiqua"/>
          <w:sz w:val="16"/>
          <w:szCs w:val="16"/>
        </w:rPr>
        <w:t xml:space="preserve"> At: </w:t>
      </w:r>
      <w:hyperlink r:id="rId1053" w:history="1">
        <w:r w:rsidRPr="00BD541D">
          <w:rPr>
            <w:rStyle w:val="Hyperlink"/>
            <w:rFonts w:ascii="Book Antiqua" w:hAnsi="Book Antiqua"/>
            <w:i/>
            <w:szCs w:val="16"/>
          </w:rPr>
          <w:t>http://www.psrd.hawaii.edu/June02/ErosPorosity.html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[16] A. Calderwood, “The Argon Constraint on Mantle Structure Re-visited: Whole Mantle Convection with a K and Ar Rich Core,” </w:t>
      </w:r>
      <w:r w:rsidRPr="00BD541D">
        <w:rPr>
          <w:rFonts w:ascii="Book Antiqua" w:hAnsi="Book Antiqua"/>
          <w:i/>
          <w:sz w:val="16"/>
          <w:szCs w:val="16"/>
        </w:rPr>
        <w:t>Journal of Conference Abstracts</w:t>
      </w:r>
      <w:r w:rsidRPr="00BD541D">
        <w:rPr>
          <w:rFonts w:ascii="Book Antiqua" w:hAnsi="Book Antiqua"/>
          <w:sz w:val="16"/>
          <w:szCs w:val="16"/>
        </w:rPr>
        <w:t>,</w:t>
      </w:r>
      <w:r w:rsidRPr="00BD541D">
        <w:rPr>
          <w:rFonts w:ascii="Book Antiqua" w:hAnsi="Book Antiqua"/>
          <w:b/>
          <w:sz w:val="16"/>
          <w:szCs w:val="16"/>
        </w:rPr>
        <w:t xml:space="preserve"> 5 </w:t>
      </w:r>
      <w:r w:rsidRPr="00BD541D">
        <w:rPr>
          <w:rFonts w:ascii="Book Antiqua" w:hAnsi="Book Antiqua"/>
          <w:sz w:val="16"/>
          <w:szCs w:val="16"/>
        </w:rPr>
        <w:t>(2), p. 280, (2000), Cambridge Publications, Goldschmidt 2000, September 3- 8, 2000, Oxford, UK.</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[17] A. Calderwood, op. cit., p.283.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[18] D. Halber, "Researchers propose new model for Earth mantle convection", MIT News Release, 31 March, 1999. Available at:</w:t>
      </w:r>
    </w:p>
    <w:p w:rsidR="00700009" w:rsidRPr="00BD541D" w:rsidRDefault="007B3EBC" w:rsidP="00700009">
      <w:pPr>
        <w:pStyle w:val="NoSpacing"/>
        <w:rPr>
          <w:rFonts w:ascii="Book Antiqua" w:hAnsi="Book Antiqua"/>
          <w:sz w:val="16"/>
          <w:szCs w:val="16"/>
        </w:rPr>
      </w:pPr>
      <w:hyperlink r:id="rId1054" w:history="1">
        <w:r w:rsidR="00700009" w:rsidRPr="00BD541D">
          <w:rPr>
            <w:rStyle w:val="Hyperlink"/>
            <w:rFonts w:ascii="Book Antiqua" w:hAnsi="Book Antiqua"/>
            <w:i/>
            <w:szCs w:val="16"/>
          </w:rPr>
          <w:t>http://web.mit.edu/newsoffice/1999/convection-0331.html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[19] S. J. Mojzsis et al., “Oxygen isotope evidence from ancient zircons for liquid water at the earth’s surface 4,300 Myr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178-181,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[20] S. A. Wilde et al., “Evidence from detrital zircons for the existence of continental crust and oceans on the earth 4.4 Gyr ago,” </w:t>
      </w:r>
      <w:r w:rsidRPr="00BD541D">
        <w:rPr>
          <w:rFonts w:ascii="Book Antiqua" w:hAnsi="Book Antiqua"/>
          <w:i/>
          <w:sz w:val="16"/>
          <w:szCs w:val="16"/>
        </w:rPr>
        <w:t>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pp. 175-178, (11 January,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[21] A. N. Halliday, “In the beginning…,”</w:t>
      </w:r>
      <w:r w:rsidRPr="00BD541D">
        <w:rPr>
          <w:rFonts w:ascii="Book Antiqua" w:hAnsi="Book Antiqua"/>
          <w:i/>
          <w:sz w:val="16"/>
          <w:szCs w:val="16"/>
        </w:rPr>
        <w:t xml:space="preserve"> Nature</w:t>
      </w:r>
      <w:r w:rsidRPr="00BD541D">
        <w:rPr>
          <w:rFonts w:ascii="Book Antiqua" w:hAnsi="Book Antiqua"/>
          <w:sz w:val="16"/>
          <w:szCs w:val="16"/>
        </w:rPr>
        <w:t xml:space="preserve">, </w:t>
      </w:r>
      <w:r w:rsidRPr="00BD541D">
        <w:rPr>
          <w:rFonts w:ascii="Book Antiqua" w:hAnsi="Book Antiqua"/>
          <w:b/>
          <w:sz w:val="16"/>
          <w:szCs w:val="16"/>
        </w:rPr>
        <w:t>409</w:t>
      </w:r>
      <w:r w:rsidRPr="00BD541D">
        <w:rPr>
          <w:rFonts w:ascii="Book Antiqua" w:hAnsi="Book Antiqua"/>
          <w:sz w:val="16"/>
          <w:szCs w:val="16"/>
        </w:rPr>
        <w:t xml:space="preserve">, pp.144-145, (11 January, 2001).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[22] </w:t>
      </w:r>
      <w:hyperlink r:id="rId1055" w:history="1">
        <w:r w:rsidRPr="00BD541D">
          <w:rPr>
            <w:rStyle w:val="Hyperlink"/>
            <w:rFonts w:ascii="Book Antiqua" w:hAnsi="Book Antiqua"/>
            <w:i/>
            <w:szCs w:val="16"/>
          </w:rPr>
          <w:t>http://www.scribd.com/doc/6716357/Meteorites-and-Liquid-Water</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[23] A. N. Krot et al., “Timescales and Settings for Alteration of Chondritic Meteorites” in </w:t>
      </w:r>
      <w:r w:rsidRPr="00BD541D">
        <w:rPr>
          <w:rFonts w:ascii="Book Antiqua" w:hAnsi="Book Antiqua"/>
          <w:i/>
          <w:sz w:val="16"/>
          <w:szCs w:val="16"/>
        </w:rPr>
        <w:t>Meteorites and the Early Solar System II,</w:t>
      </w:r>
      <w:r w:rsidRPr="00BD541D">
        <w:rPr>
          <w:rFonts w:ascii="Book Antiqua" w:hAnsi="Book Antiqua"/>
          <w:sz w:val="16"/>
          <w:szCs w:val="16"/>
        </w:rPr>
        <w:t xml:space="preserve"> pp.525 ff. D.S. Lauretta and H.Y. McSween (Eds.), University of Arizona Press, Tucson, 2006.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[24] N. Krestina et al., “Sm-Nd System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Single Chondrules From Tieschitz (H3)”in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XXVII</w:t>
      </w:r>
      <w:r w:rsidRPr="00BD541D">
        <w:rPr>
          <w:rFonts w:ascii="Book Antiqua" w:hAnsi="Book Antiqua"/>
          <w:sz w:val="16"/>
          <w:szCs w:val="16"/>
        </w:rPr>
        <w:t>, pp. 701-702,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[25] R. D. Ash et al., “Oxygen Isotopes </w:t>
      </w:r>
      <w:proofErr w:type="gramStart"/>
      <w:r w:rsidRPr="00BD541D">
        <w:rPr>
          <w:rFonts w:ascii="Book Antiqua" w:hAnsi="Book Antiqua"/>
          <w:sz w:val="16"/>
          <w:szCs w:val="16"/>
        </w:rPr>
        <w:t>In</w:t>
      </w:r>
      <w:proofErr w:type="gramEnd"/>
      <w:r w:rsidRPr="00BD541D">
        <w:rPr>
          <w:rFonts w:ascii="Book Antiqua" w:hAnsi="Book Antiqua"/>
          <w:sz w:val="16"/>
          <w:szCs w:val="16"/>
        </w:rPr>
        <w:t xml:space="preserve"> Isolated Chondrules from the Tieschitz Ordinary Chondrite: Initial Compositions and Differential Parent Body Alteration,” in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 xml:space="preserve">XXIX </w:t>
      </w:r>
      <w:r w:rsidRPr="00BD541D">
        <w:rPr>
          <w:rFonts w:ascii="Book Antiqua" w:hAnsi="Book Antiqua"/>
          <w:sz w:val="16"/>
          <w:szCs w:val="16"/>
        </w:rPr>
        <w:t xml:space="preserve">(Conference), Abstract #1854, (1998).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[26</w:t>
      </w:r>
      <w:proofErr w:type="gramStart"/>
      <w:r w:rsidRPr="00BD541D">
        <w:rPr>
          <w:rFonts w:ascii="Book Antiqua" w:hAnsi="Book Antiqua"/>
          <w:sz w:val="16"/>
          <w:szCs w:val="16"/>
        </w:rPr>
        <w:t xml:space="preserve">]  </w:t>
      </w:r>
      <w:proofErr w:type="gramEnd"/>
      <w:r w:rsidR="007B3EBC">
        <w:fldChar w:fldCharType="begin"/>
      </w:r>
      <w:r>
        <w:instrText>HYPERLINK "http://www.spaceref.com/news/viewnews.html?id=157"</w:instrText>
      </w:r>
      <w:r w:rsidR="007B3EBC">
        <w:fldChar w:fldCharType="separate"/>
      </w:r>
      <w:r w:rsidRPr="00BD541D">
        <w:rPr>
          <w:rStyle w:val="Hyperlink"/>
          <w:rFonts w:ascii="Book Antiqua" w:hAnsi="Book Antiqua"/>
          <w:i/>
          <w:szCs w:val="16"/>
        </w:rPr>
        <w:t>http://www.spaceref.com/news/viewnews.html?id=157</w:t>
      </w:r>
      <w:r w:rsidR="007B3EBC">
        <w:fldChar w:fldCharType="end"/>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[27] J. Whitby, in a science news release from University of Manchester team Thursday June 8th, 2000 titled “Deep Space Brine”at: </w:t>
      </w:r>
      <w:hyperlink r:id="rId1056" w:history="1">
        <w:r w:rsidRPr="00BD541D">
          <w:rPr>
            <w:rStyle w:val="Hyperlink"/>
            <w:rFonts w:ascii="Book Antiqua" w:hAnsi="Book Antiqua"/>
            <w:i/>
            <w:szCs w:val="16"/>
          </w:rPr>
          <w:t>http://www.spaceref.com/news/viewpr.html?pid=1990</w:t>
        </w:r>
      </w:hyperlink>
      <w:r w:rsidRPr="00BD541D">
        <w:rPr>
          <w:rFonts w:ascii="Book Antiqua" w:hAnsi="Book Antiqua"/>
          <w:i/>
          <w:sz w:val="16"/>
          <w:szCs w:val="16"/>
        </w:rPr>
        <w:t>.</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 [28] </w:t>
      </w:r>
      <w:hyperlink r:id="rId1057" w:history="1">
        <w:r w:rsidRPr="00BD541D">
          <w:rPr>
            <w:rStyle w:val="Hyperlink"/>
            <w:rFonts w:ascii="Book Antiqua" w:hAnsi="Book Antiqua"/>
            <w:i/>
            <w:szCs w:val="16"/>
          </w:rPr>
          <w:t>http://www.meteoritestudies.com/protected_CANYOND.HTM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[29] B. A. Cohen, T. D. Swindle, D. A. Kring, “Support for the Lunar cataclysm hypothesis from Lunar meteorite impact melt ages,” </w:t>
      </w:r>
      <w:r w:rsidRPr="00BD541D">
        <w:rPr>
          <w:rFonts w:ascii="Book Antiqua" w:hAnsi="Book Antiqua"/>
          <w:i/>
          <w:sz w:val="16"/>
          <w:szCs w:val="16"/>
        </w:rPr>
        <w:t>Science</w:t>
      </w:r>
      <w:r w:rsidRPr="00BD541D">
        <w:rPr>
          <w:rFonts w:ascii="Book Antiqua" w:hAnsi="Book Antiqua"/>
          <w:sz w:val="16"/>
          <w:szCs w:val="16"/>
        </w:rPr>
        <w:t>, 1754-1756, December 1,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[30] D. E. Wilhelms, "The geologic history of the moon," </w:t>
      </w:r>
      <w:r w:rsidRPr="00BD541D">
        <w:rPr>
          <w:rFonts w:ascii="Book Antiqua" w:hAnsi="Book Antiqua"/>
          <w:i/>
          <w:sz w:val="16"/>
          <w:szCs w:val="16"/>
        </w:rPr>
        <w:t xml:space="preserve">U.S. Geological Survey Professional Paper </w:t>
      </w:r>
      <w:r w:rsidRPr="00BD541D">
        <w:rPr>
          <w:rFonts w:ascii="Book Antiqua" w:hAnsi="Book Antiqua"/>
          <w:b/>
          <w:i/>
          <w:sz w:val="16"/>
          <w:szCs w:val="16"/>
        </w:rPr>
        <w:t>1348</w:t>
      </w:r>
      <w:r w:rsidRPr="00BD541D">
        <w:rPr>
          <w:rFonts w:ascii="Book Antiqua" w:hAnsi="Book Antiqua"/>
          <w:sz w:val="16"/>
          <w:szCs w:val="16"/>
        </w:rPr>
        <w:t>, pp. 57-82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[31] P. D. Spudis, "Large Meteorite Impacts and Planetary Evolution," </w:t>
      </w:r>
      <w:r w:rsidRPr="00BD541D">
        <w:rPr>
          <w:rFonts w:ascii="Book Antiqua" w:hAnsi="Book Antiqua"/>
          <w:i/>
          <w:sz w:val="16"/>
          <w:szCs w:val="16"/>
        </w:rPr>
        <w:t>Geological Society of America Special Paper</w:t>
      </w:r>
      <w:r w:rsidRPr="00BD541D">
        <w:rPr>
          <w:rFonts w:ascii="Book Antiqua" w:hAnsi="Book Antiqua"/>
          <w:b/>
          <w:i/>
          <w:sz w:val="16"/>
          <w:szCs w:val="16"/>
        </w:rPr>
        <w:t xml:space="preserve"> 293</w:t>
      </w:r>
      <w:r w:rsidRPr="00BD541D">
        <w:rPr>
          <w:rFonts w:ascii="Book Antiqua" w:hAnsi="Book Antiqua"/>
          <w:sz w:val="16"/>
          <w:szCs w:val="16"/>
        </w:rPr>
        <w:t>, pp.1-10 (1994).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[32] H. H. Schmitt, "Source and Implications of Large lunar Basin-Forming Objects" presented at 31st Lunar and Planetary Science Conference, Houston TX, 13-17 March, 2000.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[32a] R. Dietz, in </w:t>
      </w:r>
      <w:r w:rsidRPr="00BD541D">
        <w:rPr>
          <w:rFonts w:ascii="Book Antiqua" w:hAnsi="Book Antiqua"/>
          <w:i/>
          <w:sz w:val="16"/>
          <w:szCs w:val="16"/>
        </w:rPr>
        <w:t>The Moon, Meteorites, and Comets: Solar System IV</w:t>
      </w:r>
      <w:r w:rsidRPr="00BD541D">
        <w:rPr>
          <w:rFonts w:ascii="Book Antiqua" w:hAnsi="Book Antiqua"/>
          <w:sz w:val="16"/>
          <w:szCs w:val="16"/>
        </w:rPr>
        <w:t xml:space="preserve">, p.288, Eds.B. Middlehurst and G. Kuiper, University of Chicago Press 1963.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[33] B. J. Ford, Origin of the Lunar Craters</w:t>
      </w:r>
      <w:r w:rsidRPr="00BD541D">
        <w:rPr>
          <w:rFonts w:ascii="Book Antiqua" w:hAnsi="Book Antiqua"/>
          <w:i/>
          <w:sz w:val="16"/>
          <w:szCs w:val="16"/>
        </w:rPr>
        <w:t>, Journal of British Interplanetary Society, Spaceflight</w:t>
      </w:r>
      <w:r w:rsidRPr="00BD541D">
        <w:rPr>
          <w:rFonts w:ascii="Book Antiqua" w:hAnsi="Book Antiqua"/>
          <w:sz w:val="16"/>
          <w:szCs w:val="16"/>
        </w:rPr>
        <w:t xml:space="preserve"> </w:t>
      </w:r>
      <w:r w:rsidRPr="00BD541D">
        <w:rPr>
          <w:rFonts w:ascii="Book Antiqua" w:hAnsi="Book Antiqua"/>
          <w:b/>
          <w:sz w:val="16"/>
          <w:szCs w:val="16"/>
        </w:rPr>
        <w:t>7</w:t>
      </w:r>
      <w:r w:rsidRPr="00BD541D">
        <w:rPr>
          <w:rFonts w:ascii="Book Antiqua" w:hAnsi="Book Antiqua"/>
          <w:sz w:val="16"/>
          <w:szCs w:val="16"/>
        </w:rPr>
        <w:t>(1):13, 1965.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[34] T. Desai et al., Laboratory Craters: modeling experiments for meteorite impact craters? </w:t>
      </w:r>
      <w:r w:rsidRPr="00BD541D">
        <w:rPr>
          <w:rFonts w:ascii="Book Antiqua" w:hAnsi="Book Antiqua"/>
          <w:i/>
          <w:sz w:val="16"/>
          <w:szCs w:val="16"/>
        </w:rPr>
        <w:t>IEEE Trans. Plasma Sci</w:t>
      </w:r>
      <w:r w:rsidRPr="00BD541D">
        <w:rPr>
          <w:rFonts w:ascii="Book Antiqua" w:hAnsi="Book Antiqua"/>
          <w:sz w:val="16"/>
          <w:szCs w:val="16"/>
        </w:rPr>
        <w:t xml:space="preserve"> 2008; </w:t>
      </w:r>
      <w:r w:rsidRPr="00BD541D">
        <w:rPr>
          <w:rFonts w:ascii="Book Antiqua" w:hAnsi="Book Antiqua"/>
          <w:b/>
          <w:sz w:val="16"/>
          <w:szCs w:val="16"/>
        </w:rPr>
        <w:t>36</w:t>
      </w:r>
      <w:r w:rsidRPr="00BD541D">
        <w:rPr>
          <w:rFonts w:ascii="Book Antiqua" w:hAnsi="Book Antiqua"/>
          <w:sz w:val="16"/>
          <w:szCs w:val="16"/>
        </w:rPr>
        <w:t>(4):1132-1133.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[35] A. L. Peratt, </w:t>
      </w:r>
      <w:r w:rsidRPr="00BD541D">
        <w:rPr>
          <w:rFonts w:ascii="Book Antiqua" w:hAnsi="Book Antiqua"/>
          <w:i/>
          <w:sz w:val="16"/>
          <w:szCs w:val="16"/>
        </w:rPr>
        <w:t>Physics of the Plasma Universe</w:t>
      </w:r>
      <w:r w:rsidRPr="00BD541D">
        <w:rPr>
          <w:rFonts w:ascii="Book Antiqua" w:hAnsi="Book Antiqua"/>
          <w:sz w:val="16"/>
          <w:szCs w:val="16"/>
        </w:rPr>
        <w:t xml:space="preserve">, p. 48, Springer-Verlag New York 1992.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[36] C. J. Ransom, Laboratory Modeling of Meteorite Impact Craters by Z-Pinch Plasma, </w:t>
      </w:r>
      <w:proofErr w:type="gramStart"/>
      <w:r w:rsidRPr="00BD541D">
        <w:rPr>
          <w:rFonts w:ascii="Book Antiqua" w:hAnsi="Book Antiqua"/>
          <w:i/>
          <w:sz w:val="16"/>
          <w:szCs w:val="16"/>
        </w:rPr>
        <w:t>The</w:t>
      </w:r>
      <w:proofErr w:type="gramEnd"/>
      <w:r w:rsidRPr="00BD541D">
        <w:rPr>
          <w:rFonts w:ascii="Book Antiqua" w:hAnsi="Book Antiqua"/>
          <w:i/>
          <w:sz w:val="16"/>
          <w:szCs w:val="16"/>
        </w:rPr>
        <w:t xml:space="preserve"> Open Astronomy Journal</w:t>
      </w:r>
      <w:r w:rsidRPr="00BD541D">
        <w:rPr>
          <w:rFonts w:ascii="Book Antiqua" w:hAnsi="Book Antiqua"/>
          <w:sz w:val="16"/>
          <w:szCs w:val="16"/>
        </w:rPr>
        <w:t>, 2011, 4, (Suppl 2-M4) 185-190.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[37] P .E. Anderson, “Electric Discharge Machining of the Earth’s Surface,” (in press). Also P. E. Anderson, “Electric Scarring of the Earth’s Surface,” Natural Philosophy Alliance 19</w:t>
      </w:r>
      <w:r w:rsidRPr="00BD541D">
        <w:rPr>
          <w:rFonts w:ascii="Book Antiqua" w:hAnsi="Book Antiqua"/>
          <w:sz w:val="16"/>
          <w:szCs w:val="16"/>
          <w:vertAlign w:val="superscript"/>
        </w:rPr>
        <w:t>th</w:t>
      </w:r>
      <w:r w:rsidRPr="00BD541D">
        <w:rPr>
          <w:rFonts w:ascii="Book Antiqua" w:hAnsi="Book Antiqua"/>
          <w:sz w:val="16"/>
          <w:szCs w:val="16"/>
        </w:rPr>
        <w:t xml:space="preserve"> Conference Proceedings (July 2012), available at:</w:t>
      </w:r>
    </w:p>
    <w:p w:rsidR="00700009" w:rsidRPr="00BD541D" w:rsidRDefault="007B3EBC" w:rsidP="00700009">
      <w:pPr>
        <w:pStyle w:val="NoSpacing"/>
        <w:rPr>
          <w:rFonts w:ascii="Book Antiqua" w:hAnsi="Book Antiqua"/>
          <w:sz w:val="16"/>
          <w:szCs w:val="16"/>
        </w:rPr>
      </w:pPr>
      <w:hyperlink r:id="rId1058" w:history="1">
        <w:r w:rsidR="00700009" w:rsidRPr="00BD541D">
          <w:rPr>
            <w:rStyle w:val="Hyperlink"/>
            <w:rFonts w:ascii="Book Antiqua" w:hAnsi="Book Antiqua"/>
            <w:i/>
            <w:szCs w:val="16"/>
          </w:rPr>
          <w:t>http://www.worldnpa.org/site/abstract/?abstractid=6482</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[38] E. Jagoutz et al., </w:t>
      </w:r>
      <w:r w:rsidRPr="00BD541D">
        <w:rPr>
          <w:rFonts w:ascii="Book Antiqua" w:hAnsi="Book Antiqua"/>
          <w:i/>
          <w:sz w:val="16"/>
          <w:szCs w:val="16"/>
        </w:rPr>
        <w:t>Meteoritics</w:t>
      </w:r>
      <w:r w:rsidRPr="00BD541D">
        <w:rPr>
          <w:rFonts w:ascii="Book Antiqua" w:hAnsi="Book Antiqua"/>
          <w:sz w:val="16"/>
          <w:szCs w:val="16"/>
        </w:rPr>
        <w:t>,</w:t>
      </w:r>
      <w:r w:rsidRPr="00BD541D">
        <w:rPr>
          <w:rFonts w:ascii="Book Antiqua" w:hAnsi="Book Antiqua"/>
          <w:b/>
          <w:sz w:val="16"/>
          <w:szCs w:val="16"/>
        </w:rPr>
        <w:t xml:space="preserve"> 29</w:t>
      </w:r>
      <w:r w:rsidRPr="00BD541D">
        <w:rPr>
          <w:rFonts w:ascii="Book Antiqua" w:hAnsi="Book Antiqua"/>
          <w:sz w:val="16"/>
          <w:szCs w:val="16"/>
        </w:rPr>
        <w:t xml:space="preserve">, p. 478, (1994). </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[39] L. E. Nyquist et al., </w:t>
      </w:r>
      <w:r w:rsidRPr="00BD541D">
        <w:rPr>
          <w:rFonts w:ascii="Book Antiqua" w:hAnsi="Book Antiqua"/>
          <w:i/>
          <w:sz w:val="16"/>
          <w:szCs w:val="16"/>
        </w:rPr>
        <w:t>Lunar and Planetary Science</w:t>
      </w:r>
      <w:r w:rsidRPr="00BD541D">
        <w:rPr>
          <w:rFonts w:ascii="Book Antiqua" w:hAnsi="Book Antiqua"/>
          <w:sz w:val="16"/>
          <w:szCs w:val="16"/>
        </w:rPr>
        <w:t xml:space="preserve">, </w:t>
      </w:r>
      <w:r w:rsidRPr="00BD541D">
        <w:rPr>
          <w:rFonts w:ascii="Book Antiqua" w:hAnsi="Book Antiqua"/>
          <w:b/>
          <w:sz w:val="16"/>
          <w:szCs w:val="16"/>
        </w:rPr>
        <w:t>XXVI</w:t>
      </w:r>
      <w:r w:rsidRPr="00BD541D">
        <w:rPr>
          <w:rFonts w:ascii="Book Antiqua" w:hAnsi="Book Antiqua"/>
          <w:sz w:val="16"/>
          <w:szCs w:val="16"/>
        </w:rPr>
        <w:t>, p. 1065, (1995).</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lastRenderedPageBreak/>
        <w:t xml:space="preserve">[40] R. D. Ash, S. F. Knott and G. Turner, “A 4 GYr shock age for a Martian meteorite, and implications for the cratering history of Mars,” </w:t>
      </w:r>
      <w:r w:rsidRPr="00BD541D">
        <w:rPr>
          <w:rFonts w:ascii="Book Antiqua" w:hAnsi="Book Antiqua"/>
          <w:i/>
          <w:sz w:val="16"/>
          <w:szCs w:val="16"/>
        </w:rPr>
        <w:t xml:space="preserve">Nature, </w:t>
      </w:r>
      <w:r w:rsidRPr="00BD541D">
        <w:rPr>
          <w:rFonts w:ascii="Book Antiqua" w:hAnsi="Book Antiqua"/>
          <w:b/>
          <w:sz w:val="16"/>
          <w:szCs w:val="16"/>
        </w:rPr>
        <w:t>380</w:t>
      </w:r>
      <w:r w:rsidRPr="00BD541D">
        <w:rPr>
          <w:rFonts w:ascii="Book Antiqua" w:hAnsi="Book Antiqua"/>
          <w:i/>
          <w:sz w:val="16"/>
          <w:szCs w:val="16"/>
        </w:rPr>
        <w:t>,</w:t>
      </w:r>
      <w:r w:rsidRPr="00BD541D">
        <w:rPr>
          <w:rFonts w:ascii="Book Antiqua" w:hAnsi="Book Antiqua"/>
          <w:sz w:val="16"/>
          <w:szCs w:val="16"/>
        </w:rPr>
        <w:t xml:space="preserve"> p. 57-59, (1996).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[41] A. H. Treiman, “A petrographic history of Martian meteorite ALH84001: two shocks and an ancient age,”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30</w:t>
      </w:r>
      <w:r w:rsidRPr="00BD541D">
        <w:rPr>
          <w:rFonts w:ascii="Book Antiqua" w:hAnsi="Book Antiqua"/>
          <w:sz w:val="16"/>
          <w:szCs w:val="16"/>
        </w:rPr>
        <w:t>, p. 294,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[42] H. Frey discussed these findings at the annual meeting of the Geological Society of America in Boston, Massachusetts on 8th November 2001. </w:t>
      </w:r>
      <w:hyperlink r:id="rId1059" w:history="1">
        <w:r w:rsidRPr="00BD541D">
          <w:rPr>
            <w:rStyle w:val="Hyperlink"/>
            <w:rFonts w:ascii="Book Antiqua" w:hAnsi="Book Antiqua"/>
            <w:i/>
            <w:szCs w:val="16"/>
          </w:rPr>
          <w:t>http://www.spacedaily.com/news/mars-surveyor-01e.html</w:t>
        </w:r>
      </w:hyperlink>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[43] H. Frey, Geophysical Research Letters, </w:t>
      </w:r>
      <w:r w:rsidRPr="00BD541D">
        <w:rPr>
          <w:rFonts w:ascii="Book Antiqua" w:hAnsi="Book Antiqua"/>
          <w:b/>
          <w:sz w:val="16"/>
          <w:szCs w:val="16"/>
        </w:rPr>
        <w:t>35</w:t>
      </w:r>
      <w:r w:rsidRPr="00BD541D">
        <w:rPr>
          <w:rFonts w:ascii="Book Antiqua" w:hAnsi="Book Antiqua"/>
          <w:sz w:val="16"/>
          <w:szCs w:val="16"/>
        </w:rPr>
        <w:t xml:space="preserve"> (2008), L13203.</w:t>
      </w:r>
      <w:proofErr w:type="gramEnd"/>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[44] M. Wadhwa, G. W. Lugmair, </w:t>
      </w:r>
      <w:r w:rsidRPr="00BD541D">
        <w:rPr>
          <w:rFonts w:ascii="Book Antiqua" w:hAnsi="Book Antiqua"/>
          <w:i/>
          <w:sz w:val="16"/>
          <w:szCs w:val="16"/>
        </w:rPr>
        <w:t>Meteoritics</w:t>
      </w:r>
      <w:r w:rsidRPr="00BD541D">
        <w:rPr>
          <w:rFonts w:ascii="Book Antiqua" w:hAnsi="Book Antiqua"/>
          <w:sz w:val="16"/>
          <w:szCs w:val="16"/>
        </w:rPr>
        <w:t xml:space="preserve">, </w:t>
      </w:r>
      <w:r w:rsidRPr="00BD541D">
        <w:rPr>
          <w:rFonts w:ascii="Book Antiqua" w:hAnsi="Book Antiqua"/>
          <w:b/>
          <w:sz w:val="16"/>
          <w:szCs w:val="16"/>
        </w:rPr>
        <w:t>31</w:t>
      </w:r>
      <w:r w:rsidRPr="00BD541D">
        <w:rPr>
          <w:rFonts w:ascii="Book Antiqua" w:hAnsi="Book Antiqua"/>
          <w:sz w:val="16"/>
          <w:szCs w:val="16"/>
        </w:rPr>
        <w:t>, A145, (1996).</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[45] [E. K. Gibson et al., </w:t>
      </w:r>
      <w:r w:rsidRPr="00BD541D">
        <w:rPr>
          <w:rFonts w:ascii="Book Antiqua" w:hAnsi="Book Antiqua"/>
          <w:i/>
          <w:sz w:val="16"/>
          <w:szCs w:val="16"/>
        </w:rPr>
        <w:t>Lunar and Planetary Science,</w:t>
      </w:r>
      <w:r w:rsidRPr="00BD541D">
        <w:rPr>
          <w:rFonts w:ascii="Book Antiqua" w:hAnsi="Book Antiqua"/>
          <w:b/>
          <w:sz w:val="16"/>
          <w:szCs w:val="16"/>
        </w:rPr>
        <w:t xml:space="preserve"> XXVIII</w:t>
      </w:r>
      <w:r w:rsidRPr="00BD541D">
        <w:rPr>
          <w:rFonts w:ascii="Book Antiqua" w:hAnsi="Book Antiqua"/>
          <w:sz w:val="16"/>
          <w:szCs w:val="16"/>
        </w:rPr>
        <w:t>, p. 1544,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[46] J. M. Dohm quoted by L. Stiles, “Scientists find largest flood channels in the solar system,” </w:t>
      </w:r>
      <w:r w:rsidRPr="00BD541D">
        <w:rPr>
          <w:rFonts w:ascii="Book Antiqua" w:hAnsi="Book Antiqua"/>
          <w:i/>
          <w:sz w:val="16"/>
          <w:szCs w:val="16"/>
        </w:rPr>
        <w:t>University of Arizona News</w:t>
      </w:r>
      <w:r w:rsidRPr="00BD541D">
        <w:rPr>
          <w:rFonts w:ascii="Book Antiqua" w:hAnsi="Book Antiqua"/>
          <w:sz w:val="16"/>
          <w:szCs w:val="16"/>
        </w:rPr>
        <w:t xml:space="preserve">, 1 August, 2001. Available at: </w:t>
      </w:r>
      <w:hyperlink r:id="rId1060" w:history="1">
        <w:r w:rsidRPr="00BD541D">
          <w:rPr>
            <w:rStyle w:val="Hyperlink"/>
            <w:rFonts w:ascii="Book Antiqua" w:hAnsi="Book Antiqua"/>
            <w:i/>
            <w:szCs w:val="16"/>
          </w:rPr>
          <w:t>http://uanews.org/node/5107</w:t>
        </w:r>
      </w:hyperlink>
      <w:r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[47] J. M. Dohm et al., “Latent outflow activity for western Tharsis, Mars: Significant flood record exposed,” </w:t>
      </w:r>
      <w:r w:rsidRPr="00BD541D">
        <w:rPr>
          <w:rFonts w:ascii="Book Antiqua" w:hAnsi="Book Antiqua"/>
          <w:i/>
          <w:sz w:val="16"/>
          <w:szCs w:val="16"/>
        </w:rPr>
        <w:t>Journal of Geophysical Research</w:t>
      </w:r>
      <w:r w:rsidRPr="00BD541D">
        <w:rPr>
          <w:rFonts w:ascii="Book Antiqua" w:hAnsi="Book Antiqua"/>
          <w:sz w:val="16"/>
          <w:szCs w:val="16"/>
        </w:rPr>
        <w:t xml:space="preserve">, </w:t>
      </w:r>
      <w:r w:rsidRPr="00BD541D">
        <w:rPr>
          <w:rFonts w:ascii="Book Antiqua" w:hAnsi="Book Antiqua"/>
          <w:b/>
          <w:sz w:val="16"/>
          <w:szCs w:val="16"/>
        </w:rPr>
        <w:t>106</w:t>
      </w:r>
      <w:r w:rsidRPr="00BD541D">
        <w:rPr>
          <w:rFonts w:ascii="Book Antiqua" w:hAnsi="Book Antiqua"/>
          <w:sz w:val="16"/>
          <w:szCs w:val="16"/>
        </w:rPr>
        <w:t>, No. E6, pp. 12,301-12,314, June, 2001.</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[48] N. Hoffman quoted by B. Moomaw in “Mars: A world riven by H2O or CO2,” </w:t>
      </w:r>
      <w:r w:rsidRPr="00BD541D">
        <w:rPr>
          <w:rFonts w:ascii="Book Antiqua" w:hAnsi="Book Antiqua"/>
          <w:i/>
          <w:sz w:val="16"/>
          <w:szCs w:val="16"/>
        </w:rPr>
        <w:t>Space Daily</w:t>
      </w:r>
      <w:r w:rsidRPr="00BD541D">
        <w:rPr>
          <w:rFonts w:ascii="Book Antiqua" w:hAnsi="Book Antiqua"/>
          <w:sz w:val="16"/>
          <w:szCs w:val="16"/>
        </w:rPr>
        <w:t>, 1 May, 2001. Available at:</w:t>
      </w:r>
    </w:p>
    <w:p w:rsidR="00700009" w:rsidRPr="00BD541D" w:rsidRDefault="007B3EBC" w:rsidP="00700009">
      <w:pPr>
        <w:pStyle w:val="NoSpacing"/>
        <w:rPr>
          <w:rFonts w:ascii="Book Antiqua" w:hAnsi="Book Antiqua"/>
          <w:i/>
          <w:sz w:val="16"/>
          <w:szCs w:val="16"/>
        </w:rPr>
      </w:pPr>
      <w:hyperlink r:id="rId1061" w:history="1">
        <w:r w:rsidR="00700009" w:rsidRPr="00BD541D">
          <w:rPr>
            <w:rStyle w:val="Hyperlink"/>
            <w:rFonts w:ascii="Book Antiqua" w:hAnsi="Book Antiqua"/>
            <w:i/>
            <w:szCs w:val="16"/>
          </w:rPr>
          <w:t>http://www.spacedaily.com/news/lunarplanet-2001-01a4.html</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[49] J. Audouze, G. Israel, reference [6], p. 125.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[50] M. W. Davidson, Florida State University, Tallahassee, in "Moon Rocks </w:t>
      </w:r>
      <w:proofErr w:type="gramStart"/>
      <w:r w:rsidRPr="00BD541D">
        <w:rPr>
          <w:rFonts w:ascii="Book Antiqua" w:hAnsi="Book Antiqua"/>
          <w:sz w:val="16"/>
          <w:szCs w:val="16"/>
        </w:rPr>
        <w:t>Under</w:t>
      </w:r>
      <w:proofErr w:type="gramEnd"/>
      <w:r w:rsidRPr="00BD541D">
        <w:rPr>
          <w:rFonts w:ascii="Book Antiqua" w:hAnsi="Book Antiqua"/>
          <w:sz w:val="16"/>
          <w:szCs w:val="16"/>
        </w:rPr>
        <w:t xml:space="preserve"> the Microscope," (October 2001) found at:</w:t>
      </w:r>
    </w:p>
    <w:p w:rsidR="00700009" w:rsidRPr="00BD541D" w:rsidRDefault="007B3EBC" w:rsidP="00700009">
      <w:pPr>
        <w:pStyle w:val="NoSpacing"/>
        <w:rPr>
          <w:rFonts w:ascii="Book Antiqua" w:hAnsi="Book Antiqua"/>
          <w:sz w:val="16"/>
          <w:szCs w:val="16"/>
        </w:rPr>
      </w:pPr>
      <w:hyperlink r:id="rId1062" w:history="1">
        <w:r w:rsidR="00700009" w:rsidRPr="00BD541D">
          <w:rPr>
            <w:rStyle w:val="Hyperlink"/>
            <w:rFonts w:ascii="Book Antiqua" w:hAnsi="Book Antiqua"/>
            <w:i/>
            <w:szCs w:val="16"/>
          </w:rPr>
          <w:t>http://micro.magnet.fsu.edu/publications/pages/rocks.html</w:t>
        </w:r>
      </w:hyperlink>
      <w:r w:rsidR="00700009" w:rsidRPr="00BD541D">
        <w:rPr>
          <w:rFonts w:ascii="Book Antiqua" w:hAnsi="Book Antiqua"/>
          <w:sz w:val="16"/>
          <w:szCs w:val="16"/>
        </w:rPr>
        <w:t>.</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[51]  J. W. Head, L. Wilson, D. Wilhelms, Paper 1112 "Lunar Mare Basalt Volcanism", 28th Lunar and Planetary Science Conference, March 1997.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[52] D. E. Wilhelms</w:t>
      </w:r>
      <w:proofErr w:type="gramStart"/>
      <w:r w:rsidRPr="00BD541D">
        <w:rPr>
          <w:rFonts w:ascii="Book Antiqua" w:hAnsi="Book Antiqua"/>
          <w:sz w:val="16"/>
          <w:szCs w:val="16"/>
        </w:rPr>
        <w:t>, ”</w:t>
      </w:r>
      <w:proofErr w:type="gramEnd"/>
      <w:r w:rsidRPr="00BD541D">
        <w:rPr>
          <w:rFonts w:ascii="Book Antiqua" w:hAnsi="Book Antiqua"/>
          <w:sz w:val="16"/>
          <w:szCs w:val="16"/>
        </w:rPr>
        <w:t>The Geologic History of the Moon,” U.S. Geological Survey, Professional Paper 1348, 1987.</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[53] L. T. Silver, </w:t>
      </w:r>
      <w:r w:rsidRPr="00BD541D">
        <w:rPr>
          <w:rFonts w:ascii="Book Antiqua" w:hAnsi="Book Antiqua"/>
          <w:i/>
          <w:sz w:val="16"/>
          <w:szCs w:val="16"/>
        </w:rPr>
        <w:t>Eos</w:t>
      </w:r>
      <w:r w:rsidRPr="00BD541D">
        <w:rPr>
          <w:rFonts w:ascii="Book Antiqua" w:hAnsi="Book Antiqua"/>
          <w:sz w:val="16"/>
          <w:szCs w:val="16"/>
        </w:rPr>
        <w:t>, Vol.</w:t>
      </w:r>
      <w:r w:rsidRPr="00BD541D">
        <w:rPr>
          <w:rFonts w:ascii="Book Antiqua" w:hAnsi="Book Antiqua"/>
          <w:b/>
          <w:sz w:val="16"/>
          <w:szCs w:val="16"/>
        </w:rPr>
        <w:t xml:space="preserve"> 52</w:t>
      </w:r>
      <w:r w:rsidRPr="00BD541D">
        <w:rPr>
          <w:rFonts w:ascii="Book Antiqua" w:hAnsi="Book Antiqua"/>
          <w:sz w:val="16"/>
          <w:szCs w:val="16"/>
        </w:rPr>
        <w:t xml:space="preserve">, p. 534 (1971)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[54] L. T. Silver, P. H. Schultz, </w:t>
      </w:r>
      <w:r w:rsidRPr="00BD541D">
        <w:rPr>
          <w:rFonts w:ascii="Book Antiqua" w:hAnsi="Book Antiqua"/>
          <w:i/>
          <w:sz w:val="16"/>
          <w:szCs w:val="16"/>
        </w:rPr>
        <w:t xml:space="preserve">Geological Society of America, Special Paper </w:t>
      </w:r>
      <w:r w:rsidRPr="00BD541D">
        <w:rPr>
          <w:rFonts w:ascii="Book Antiqua" w:hAnsi="Book Antiqua"/>
          <w:b/>
          <w:sz w:val="16"/>
          <w:szCs w:val="16"/>
        </w:rPr>
        <w:t>190</w:t>
      </w:r>
      <w:r w:rsidRPr="00BD541D">
        <w:rPr>
          <w:rFonts w:ascii="Book Antiqua" w:hAnsi="Book Antiqua"/>
          <w:sz w:val="16"/>
          <w:szCs w:val="16"/>
        </w:rPr>
        <w:t xml:space="preserve">, October 1981, pp. ii and xiv.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[55] J. Audouze, G. Israel, op. cit., reference [6], pp. 74-75.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[56] D. H. Grinspoon, “Implications high D/H ratio for the sources of water in Venus’s atmosphere,” Letter to </w:t>
      </w:r>
      <w:r w:rsidRPr="00BD541D">
        <w:rPr>
          <w:rFonts w:ascii="Book Antiqua" w:hAnsi="Book Antiqua"/>
          <w:i/>
          <w:sz w:val="16"/>
          <w:szCs w:val="16"/>
        </w:rPr>
        <w:t xml:space="preserve">Nature, </w:t>
      </w:r>
      <w:r w:rsidRPr="00BD541D">
        <w:rPr>
          <w:rFonts w:ascii="Book Antiqua" w:hAnsi="Book Antiqua"/>
          <w:b/>
          <w:sz w:val="16"/>
          <w:szCs w:val="16"/>
        </w:rPr>
        <w:t>363</w:t>
      </w:r>
      <w:r w:rsidRPr="00BD541D">
        <w:rPr>
          <w:rFonts w:ascii="Book Antiqua" w:hAnsi="Book Antiqua"/>
          <w:i/>
          <w:sz w:val="16"/>
          <w:szCs w:val="16"/>
        </w:rPr>
        <w:t>,</w:t>
      </w:r>
      <w:r w:rsidRPr="00BD541D">
        <w:rPr>
          <w:rFonts w:ascii="Book Antiqua" w:hAnsi="Book Antiqua"/>
          <w:sz w:val="16"/>
          <w:szCs w:val="16"/>
        </w:rPr>
        <w:t xml:space="preserve"> pp. 428-431,</w:t>
      </w:r>
      <w:r w:rsidRPr="00BD541D">
        <w:rPr>
          <w:rFonts w:ascii="Book Antiqua" w:hAnsi="Book Antiqua"/>
          <w:i/>
          <w:sz w:val="16"/>
          <w:szCs w:val="16"/>
        </w:rPr>
        <w:t xml:space="preserve"> (</w:t>
      </w:r>
      <w:r w:rsidRPr="00BD541D">
        <w:rPr>
          <w:rFonts w:ascii="Book Antiqua" w:hAnsi="Book Antiqua"/>
          <w:sz w:val="16"/>
          <w:szCs w:val="16"/>
        </w:rPr>
        <w:t>3 June 1993).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[57] D. L. Bindschadler,   </w:t>
      </w:r>
      <w:r w:rsidRPr="00BD541D">
        <w:rPr>
          <w:rFonts w:ascii="Book Antiqua" w:hAnsi="Book Antiqua"/>
          <w:i/>
          <w:sz w:val="16"/>
          <w:szCs w:val="16"/>
        </w:rPr>
        <w:t>U.S. National Report to IUGG</w:t>
      </w:r>
      <w:r w:rsidRPr="00BD541D">
        <w:rPr>
          <w:rFonts w:ascii="Book Antiqua" w:hAnsi="Book Antiqua"/>
          <w:sz w:val="16"/>
          <w:szCs w:val="16"/>
        </w:rPr>
        <w:t xml:space="preserve">, 1991-1994 in </w:t>
      </w:r>
      <w:r w:rsidRPr="00BD541D">
        <w:rPr>
          <w:rFonts w:ascii="Book Antiqua" w:hAnsi="Book Antiqua"/>
          <w:i/>
          <w:sz w:val="16"/>
          <w:szCs w:val="16"/>
        </w:rPr>
        <w:t>Reviews of Geophysics</w:t>
      </w:r>
      <w:r w:rsidRPr="00BD541D">
        <w:rPr>
          <w:rFonts w:ascii="Book Antiqua" w:hAnsi="Book Antiqua"/>
          <w:sz w:val="16"/>
          <w:szCs w:val="16"/>
        </w:rPr>
        <w:t xml:space="preserve">, Vol. </w:t>
      </w:r>
      <w:r w:rsidRPr="00BD541D">
        <w:rPr>
          <w:rFonts w:ascii="Book Antiqua" w:hAnsi="Book Antiqua"/>
          <w:b/>
          <w:sz w:val="16"/>
          <w:szCs w:val="16"/>
        </w:rPr>
        <w:t>33</w:t>
      </w:r>
      <w:r w:rsidRPr="00BD541D">
        <w:rPr>
          <w:rFonts w:ascii="Book Antiqua" w:hAnsi="Book Antiqua"/>
          <w:sz w:val="16"/>
          <w:szCs w:val="16"/>
        </w:rPr>
        <w:t xml:space="preserve"> Supplement, (1995).</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[58] R. G. Strom et al., </w:t>
      </w:r>
      <w:r w:rsidRPr="00BD541D">
        <w:rPr>
          <w:rFonts w:ascii="Book Antiqua" w:hAnsi="Book Antiqua"/>
          <w:i/>
          <w:sz w:val="16"/>
          <w:szCs w:val="16"/>
        </w:rPr>
        <w:t>Science</w:t>
      </w:r>
      <w:r w:rsidRPr="00BD541D">
        <w:rPr>
          <w:rFonts w:ascii="Book Antiqua" w:hAnsi="Book Antiqua"/>
          <w:sz w:val="16"/>
          <w:szCs w:val="16"/>
        </w:rPr>
        <w:t xml:space="preserve"> </w:t>
      </w:r>
      <w:r w:rsidRPr="00BD541D">
        <w:rPr>
          <w:rFonts w:ascii="Book Antiqua" w:hAnsi="Book Antiqua"/>
          <w:b/>
          <w:sz w:val="16"/>
          <w:szCs w:val="16"/>
        </w:rPr>
        <w:t>309</w:t>
      </w:r>
      <w:r w:rsidRPr="00BD541D">
        <w:rPr>
          <w:rFonts w:ascii="Book Antiqua" w:hAnsi="Book Antiqua"/>
          <w:sz w:val="16"/>
          <w:szCs w:val="16"/>
        </w:rPr>
        <w:t xml:space="preserve"> (2005), pp. 1847-1850</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[59] R. G. Strom et al., </w:t>
      </w:r>
      <w:r w:rsidRPr="00BD541D">
        <w:rPr>
          <w:rFonts w:ascii="Book Antiqua" w:hAnsi="Book Antiqua"/>
          <w:i/>
          <w:sz w:val="16"/>
          <w:szCs w:val="16"/>
        </w:rPr>
        <w:t>Planetary and Space Science</w:t>
      </w:r>
      <w:r w:rsidRPr="00BD541D">
        <w:rPr>
          <w:rFonts w:ascii="Book Antiqua" w:hAnsi="Book Antiqua"/>
          <w:sz w:val="16"/>
          <w:szCs w:val="16"/>
        </w:rPr>
        <w:t xml:space="preserve">, </w:t>
      </w:r>
      <w:r w:rsidRPr="00BD541D">
        <w:rPr>
          <w:rFonts w:ascii="Book Antiqua" w:hAnsi="Book Antiqua"/>
          <w:b/>
          <w:sz w:val="16"/>
          <w:szCs w:val="16"/>
        </w:rPr>
        <w:t>59</w:t>
      </w:r>
      <w:r w:rsidRPr="00BD541D">
        <w:rPr>
          <w:rFonts w:ascii="Book Antiqua" w:hAnsi="Book Antiqua"/>
          <w:sz w:val="16"/>
          <w:szCs w:val="16"/>
        </w:rPr>
        <w:t xml:space="preserve"> (2011), 1960-1967.</w:t>
      </w:r>
    </w:p>
    <w:p w:rsidR="00700009" w:rsidRPr="00BD541D" w:rsidRDefault="00700009" w:rsidP="00700009">
      <w:pPr>
        <w:pStyle w:val="NoSpacing"/>
        <w:rPr>
          <w:rFonts w:ascii="Book Antiqua" w:hAnsi="Book Antiqua"/>
          <w:sz w:val="16"/>
          <w:szCs w:val="16"/>
        </w:rPr>
      </w:pPr>
      <w:proofErr w:type="gramStart"/>
      <w:r w:rsidRPr="00BD541D">
        <w:rPr>
          <w:rFonts w:ascii="Book Antiqua" w:hAnsi="Book Antiqua"/>
          <w:sz w:val="16"/>
          <w:szCs w:val="16"/>
        </w:rPr>
        <w:t xml:space="preserve">[60] A. W. Watts et al., “The formation of terrains antipodal to major impacts”, </w:t>
      </w:r>
      <w:r w:rsidRPr="00BD541D">
        <w:rPr>
          <w:rFonts w:ascii="Book Antiqua" w:hAnsi="Book Antiqua"/>
          <w:i/>
          <w:sz w:val="16"/>
          <w:szCs w:val="16"/>
        </w:rPr>
        <w:t>Icarus</w:t>
      </w:r>
      <w:r w:rsidRPr="00BD541D">
        <w:rPr>
          <w:rFonts w:ascii="Book Antiqua" w:hAnsi="Book Antiqua"/>
          <w:sz w:val="16"/>
          <w:szCs w:val="16"/>
        </w:rPr>
        <w:t xml:space="preserve">, </w:t>
      </w:r>
      <w:r w:rsidRPr="00BD541D">
        <w:rPr>
          <w:rFonts w:ascii="Book Antiqua" w:hAnsi="Book Antiqua"/>
          <w:b/>
          <w:sz w:val="16"/>
          <w:szCs w:val="16"/>
        </w:rPr>
        <w:t>93</w:t>
      </w:r>
      <w:r w:rsidRPr="00BD541D">
        <w:rPr>
          <w:rFonts w:ascii="Book Antiqua" w:hAnsi="Book Antiqua"/>
          <w:sz w:val="16"/>
          <w:szCs w:val="16"/>
        </w:rPr>
        <w:t xml:space="preserve"> (1), September 1991, pp.159-168.</w:t>
      </w:r>
      <w:proofErr w:type="gramEnd"/>
      <w:r w:rsidRPr="00BD541D">
        <w:rPr>
          <w:rFonts w:ascii="Book Antiqua" w:hAnsi="Book Antiqua"/>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[61] H. G. Hughes et al.,”Global seilsmic effects of basin-forming impacts,”</w:t>
      </w:r>
      <w:r w:rsidRPr="00BD541D">
        <w:rPr>
          <w:rFonts w:ascii="Book Antiqua" w:hAnsi="Book Antiqua"/>
          <w:i/>
          <w:sz w:val="16"/>
          <w:szCs w:val="16"/>
        </w:rPr>
        <w:t xml:space="preserve"> Physics of the Earth and Planetary Interiors</w:t>
      </w:r>
      <w:r w:rsidRPr="00BD541D">
        <w:rPr>
          <w:rFonts w:ascii="Book Antiqua" w:hAnsi="Book Antiqua"/>
          <w:sz w:val="16"/>
          <w:szCs w:val="16"/>
        </w:rPr>
        <w:t>,</w:t>
      </w:r>
      <w:r w:rsidRPr="00BD541D">
        <w:rPr>
          <w:rFonts w:ascii="Book Antiqua" w:hAnsi="Book Antiqua"/>
          <w:b/>
          <w:sz w:val="16"/>
          <w:szCs w:val="16"/>
        </w:rPr>
        <w:t xml:space="preserve"> 15 </w:t>
      </w:r>
      <w:r w:rsidRPr="00BD541D">
        <w:rPr>
          <w:rFonts w:ascii="Book Antiqua" w:hAnsi="Book Antiqua"/>
          <w:sz w:val="16"/>
          <w:szCs w:val="16"/>
        </w:rPr>
        <w:t>Issues 2-3 (November 1977), pp.251-263.</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[62] D. T. Johnson, et al., “Uncovering the Neoproterozoic carbon cycle,”Letter to </w:t>
      </w:r>
      <w:r w:rsidRPr="00BD541D">
        <w:rPr>
          <w:rFonts w:ascii="Book Antiqua" w:hAnsi="Book Antiqua"/>
          <w:i/>
          <w:sz w:val="16"/>
          <w:szCs w:val="16"/>
        </w:rPr>
        <w:t>Nature</w:t>
      </w:r>
      <w:r w:rsidRPr="00BD541D">
        <w:rPr>
          <w:rFonts w:ascii="Book Antiqua" w:hAnsi="Book Antiqua"/>
          <w:sz w:val="16"/>
          <w:szCs w:val="16"/>
        </w:rPr>
        <w:t>, 29 February, 2012, doi</w:t>
      </w:r>
      <w:proofErr w:type="gramStart"/>
      <w:r w:rsidRPr="00BD541D">
        <w:rPr>
          <w:rFonts w:ascii="Book Antiqua" w:hAnsi="Book Antiqua"/>
          <w:sz w:val="16"/>
          <w:szCs w:val="16"/>
        </w:rPr>
        <w:t>:10.1038</w:t>
      </w:r>
      <w:proofErr w:type="gramEnd"/>
      <w:r w:rsidRPr="00BD541D">
        <w:rPr>
          <w:rFonts w:ascii="Book Antiqua" w:hAnsi="Book Antiqua"/>
          <w:sz w:val="16"/>
          <w:szCs w:val="16"/>
        </w:rPr>
        <w:t>/nature10854.</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[63] W. J. Moore, </w:t>
      </w:r>
      <w:r w:rsidRPr="00BD541D">
        <w:rPr>
          <w:rFonts w:ascii="Book Antiqua" w:hAnsi="Book Antiqua"/>
          <w:i/>
          <w:sz w:val="16"/>
          <w:szCs w:val="16"/>
        </w:rPr>
        <w:t>Physical Chemistry</w:t>
      </w:r>
      <w:r w:rsidRPr="00BD541D">
        <w:rPr>
          <w:rFonts w:ascii="Book Antiqua" w:hAnsi="Book Antiqua"/>
          <w:sz w:val="16"/>
          <w:szCs w:val="16"/>
        </w:rPr>
        <w:t>, 3</w:t>
      </w:r>
      <w:r w:rsidRPr="00BD541D">
        <w:rPr>
          <w:rFonts w:ascii="Book Antiqua" w:hAnsi="Book Antiqua"/>
          <w:sz w:val="16"/>
          <w:szCs w:val="16"/>
          <w:vertAlign w:val="superscript"/>
        </w:rPr>
        <w:t>rd</w:t>
      </w:r>
      <w:r w:rsidRPr="00BD541D">
        <w:rPr>
          <w:rFonts w:ascii="Book Antiqua" w:hAnsi="Book Antiqua"/>
          <w:sz w:val="16"/>
          <w:szCs w:val="16"/>
        </w:rPr>
        <w:t xml:space="preserve"> Edition, pp.415, 418, Longmans, 1961.</w:t>
      </w: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[64] </w:t>
      </w:r>
      <w:hyperlink r:id="rId1063" w:history="1">
        <w:r w:rsidRPr="00BD541D">
          <w:rPr>
            <w:rStyle w:val="Hyperlink"/>
            <w:rFonts w:ascii="Book Antiqua" w:hAnsi="Book Antiqua"/>
            <w:i/>
            <w:szCs w:val="16"/>
          </w:rPr>
          <w:t>http://users.tkk.fi/~ftesfaye/TKK-MT-15%20+etu%20ja%20takakansi.pdf</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[65] </w:t>
      </w:r>
      <w:hyperlink r:id="rId1064" w:history="1">
        <w:r w:rsidRPr="00BD541D">
          <w:rPr>
            <w:rStyle w:val="Hyperlink"/>
            <w:rFonts w:ascii="Book Antiqua" w:hAnsi="Book Antiqua"/>
            <w:szCs w:val="16"/>
          </w:rPr>
          <w:t>http://en.wikipedia.org/wiki/Atlantic_Ocean</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[66] </w:t>
      </w:r>
      <w:hyperlink r:id="rId1065" w:history="1">
        <w:r w:rsidRPr="00BD541D">
          <w:rPr>
            <w:rStyle w:val="Hyperlink"/>
            <w:rFonts w:ascii="Book Antiqua" w:hAnsi="Book Antiqua"/>
            <w:szCs w:val="16"/>
          </w:rPr>
          <w:t>http://whc.unesco.org/en/activities/504/</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[67] </w:t>
      </w:r>
      <w:proofErr w:type="gramStart"/>
      <w:r w:rsidRPr="00BD541D">
        <w:rPr>
          <w:rFonts w:ascii="Book Antiqua" w:hAnsi="Book Antiqua"/>
          <w:sz w:val="16"/>
          <w:szCs w:val="16"/>
        </w:rPr>
        <w:t>The</w:t>
      </w:r>
      <w:proofErr w:type="gramEnd"/>
      <w:r w:rsidRPr="00BD541D">
        <w:rPr>
          <w:rFonts w:ascii="Book Antiqua" w:hAnsi="Book Antiqua"/>
          <w:sz w:val="16"/>
          <w:szCs w:val="16"/>
        </w:rPr>
        <w:t xml:space="preserve"> most recent example of this is the meteoric explosion over Chelyabinsk in Russia, on 15 February, 2013. It injured about 1100 people and damaged 3000 buildings. Low frequency sound waves were picked up by infra-sound sensor stations around the world including Greenland and Africa. One of the fragments from the explosion landed in a lake outside Chebarkul and left an 8 meter wide crater in the ice. When all data had been collected, it turned out that the object was a 17 meter wide chondrite from the asteroid belt, containing 10% iron. It had a 470 kiloton blast at a height of about 30 kilometers. It is stated that the explosion was caused by rapid frictional heating of the ice-cold bolide as it plowed through atmospheric layers for 30 seconds at a speed of 18 km/</w:t>
      </w:r>
      <w:proofErr w:type="gramStart"/>
      <w:r w:rsidRPr="00BD541D">
        <w:rPr>
          <w:rFonts w:ascii="Book Antiqua" w:hAnsi="Book Antiqua"/>
          <w:sz w:val="16"/>
          <w:szCs w:val="16"/>
        </w:rPr>
        <w:t>s .</w:t>
      </w:r>
      <w:proofErr w:type="gramEnd"/>
      <w:r w:rsidRPr="00BD541D">
        <w:rPr>
          <w:rFonts w:ascii="Book Antiqua" w:hAnsi="Book Antiqua"/>
          <w:sz w:val="16"/>
          <w:szCs w:val="16"/>
        </w:rPr>
        <w:t xml:space="preserve"> </w:t>
      </w:r>
      <w:proofErr w:type="gramStart"/>
      <w:r w:rsidRPr="00BD541D">
        <w:rPr>
          <w:rFonts w:ascii="Book Antiqua" w:hAnsi="Book Antiqua"/>
          <w:sz w:val="16"/>
          <w:szCs w:val="16"/>
        </w:rPr>
        <w:t xml:space="preserve">(See for example: </w:t>
      </w:r>
      <w:hyperlink r:id="rId1066" w:history="1">
        <w:r w:rsidRPr="00BD541D">
          <w:rPr>
            <w:rStyle w:val="Hyperlink"/>
            <w:rFonts w:ascii="Book Antiqua" w:hAnsi="Book Antiqua"/>
            <w:szCs w:val="16"/>
          </w:rPr>
          <w:t>http://en.wikipedia.org/wiki/2013_Russian_meteor_event</w:t>
        </w:r>
      </w:hyperlink>
      <w:r w:rsidRPr="00BD541D">
        <w:rPr>
          <w:rFonts w:ascii="Book Antiqua" w:hAnsi="Book Antiqua"/>
          <w:sz w:val="16"/>
          <w:szCs w:val="16"/>
        </w:rPr>
        <w:t xml:space="preserve"> and report by Jacob Aron in </w:t>
      </w:r>
      <w:r w:rsidRPr="00BD541D">
        <w:rPr>
          <w:rFonts w:ascii="Book Antiqua" w:hAnsi="Book Antiqua"/>
          <w:i/>
          <w:sz w:val="16"/>
          <w:szCs w:val="16"/>
        </w:rPr>
        <w:t>New Scientist</w:t>
      </w:r>
      <w:r w:rsidRPr="00BD541D">
        <w:rPr>
          <w:rFonts w:ascii="Book Antiqua" w:hAnsi="Book Antiqua"/>
          <w:sz w:val="16"/>
          <w:szCs w:val="16"/>
        </w:rPr>
        <w:t>, Feb.23 – Mar.1, 2013, pp. 8-9.)</w:t>
      </w:r>
      <w:proofErr w:type="gramEnd"/>
      <w:r w:rsidRPr="00BD541D">
        <w:rPr>
          <w:rFonts w:ascii="Book Antiqua" w:hAnsi="Book Antiqua"/>
          <w:sz w:val="16"/>
          <w:szCs w:val="16"/>
        </w:rPr>
        <w:t xml:space="preserve"> However, that explanation does not bear examination. In 30 seconds, heat could not be transmitted to the interior of the object. Rather, thin surface layers melt and the molten material streams away in the slipstream, just as with the heat shields of the old Apollo capsules. The reason for the blast according to plasma </w:t>
      </w:r>
      <w:proofErr w:type="gramStart"/>
      <w:r w:rsidRPr="00BD541D">
        <w:rPr>
          <w:rFonts w:ascii="Book Antiqua" w:hAnsi="Book Antiqua"/>
          <w:sz w:val="16"/>
          <w:szCs w:val="16"/>
        </w:rPr>
        <w:t>physicists,</w:t>
      </w:r>
      <w:proofErr w:type="gramEnd"/>
      <w:r w:rsidRPr="00BD541D">
        <w:rPr>
          <w:rFonts w:ascii="Book Antiqua" w:hAnsi="Book Antiqua"/>
          <w:sz w:val="16"/>
          <w:szCs w:val="16"/>
        </w:rPr>
        <w:t xml:space="preserve"> is that the object from the asteroid belt was at a more negative potential than exists inside the Earth’s plasmasphere. The closer it got to the surface, the greater the potential difference. Even at the surface of the earth, the potential gradient has been measured at 80 to 100 volts per meter. For the bolide, the difference became so great that it exploded like an overcharged capacitor. Thus electrical effects will usually accompany large bolides and so may be expected at the times of catastrophic impact events.</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b/>
          <w:sz w:val="16"/>
          <w:szCs w:val="16"/>
        </w:rPr>
      </w:pPr>
      <w:r w:rsidRPr="00BD541D">
        <w:rPr>
          <w:rFonts w:ascii="Book Antiqua" w:hAnsi="Book Antiqua"/>
          <w:b/>
          <w:sz w:val="16"/>
          <w:szCs w:val="16"/>
        </w:rPr>
        <w:t xml:space="preserve">Figure References </w:t>
      </w:r>
      <w:r w:rsidRPr="00BD541D">
        <w:rPr>
          <w:rFonts w:ascii="Book Antiqua" w:hAnsi="Book Antiqua"/>
          <w:i/>
          <w:sz w:val="16"/>
          <w:szCs w:val="16"/>
        </w:rPr>
        <w:t>– All URL’s retrieved 9/13/12</w:t>
      </w:r>
    </w:p>
    <w:p w:rsidR="00700009" w:rsidRPr="00BD541D" w:rsidRDefault="00700009" w:rsidP="00700009">
      <w:pPr>
        <w:pStyle w:val="NoSpacing"/>
        <w:rPr>
          <w:rFonts w:ascii="Book Antiqua" w:hAnsi="Book Antiqua"/>
          <w:sz w:val="16"/>
          <w:szCs w:val="16"/>
        </w:rPr>
      </w:pPr>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 The geological column. </w:t>
      </w:r>
      <w:hyperlink r:id="rId1067" w:history="1">
        <w:r w:rsidRPr="00BD541D">
          <w:rPr>
            <w:rStyle w:val="Hyperlink"/>
            <w:rFonts w:ascii="Book Antiqua" w:hAnsi="Book Antiqua"/>
            <w:i/>
            <w:szCs w:val="16"/>
          </w:rPr>
          <w:t>http://www.emc.maricopa.edu/faculty/farabee/biobk/biobookevoli.html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 The MAPCIS structure in Australia. </w:t>
      </w:r>
      <w:hyperlink r:id="rId1068" w:history="1">
        <w:r w:rsidRPr="00BD541D">
          <w:rPr>
            <w:rStyle w:val="Hyperlink"/>
            <w:rFonts w:ascii="Book Antiqua" w:hAnsi="Book Antiqua"/>
            <w:i/>
            <w:szCs w:val="16"/>
          </w:rPr>
          <w:t>http://www.mapcis.net/mapcis_case.html</w:t>
        </w:r>
      </w:hyperlink>
    </w:p>
    <w:p w:rsidR="00700009" w:rsidRPr="00BD541D" w:rsidRDefault="00700009" w:rsidP="00700009">
      <w:pPr>
        <w:pStyle w:val="NoSpacing"/>
        <w:rPr>
          <w:rFonts w:ascii="Book Antiqua" w:hAnsi="Book Antiqua"/>
          <w:i/>
          <w:sz w:val="16"/>
          <w:szCs w:val="16"/>
        </w:rPr>
      </w:pPr>
      <w:proofErr w:type="gramStart"/>
      <w:r w:rsidRPr="00BD541D">
        <w:rPr>
          <w:rFonts w:ascii="Book Antiqua" w:hAnsi="Book Antiqua"/>
          <w:sz w:val="16"/>
          <w:szCs w:val="16"/>
        </w:rPr>
        <w:t>and</w:t>
      </w:r>
      <w:proofErr w:type="gramEnd"/>
      <w:r w:rsidRPr="00BD541D">
        <w:rPr>
          <w:rFonts w:ascii="Book Antiqua" w:hAnsi="Book Antiqua"/>
          <w:sz w:val="16"/>
          <w:szCs w:val="16"/>
        </w:rPr>
        <w:t xml:space="preserve"> </w:t>
      </w:r>
      <w:hyperlink r:id="rId1069" w:history="1">
        <w:r w:rsidRPr="00BD541D">
          <w:rPr>
            <w:rStyle w:val="Hyperlink"/>
            <w:rFonts w:ascii="Book Antiqua" w:hAnsi="Book Antiqua"/>
            <w:i/>
            <w:szCs w:val="16"/>
          </w:rPr>
          <w:t>http://englishclass.jp/reading/topic/Impact_structure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3: Wilkes Land structure, Antarctica. Left: </w:t>
      </w:r>
      <w:hyperlink r:id="rId1070" w:history="1">
        <w:r w:rsidRPr="00BD541D">
          <w:rPr>
            <w:rStyle w:val="Hyperlink"/>
            <w:rFonts w:ascii="Book Antiqua" w:hAnsi="Book Antiqua"/>
            <w:i/>
            <w:szCs w:val="16"/>
          </w:rPr>
          <w:t>http://www.thunderbolts.info/forum/phpBB3/viewtopic.php?p=38601</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Right: </w:t>
      </w:r>
      <w:hyperlink r:id="rId1071" w:history="1">
        <w:r w:rsidRPr="00BD541D">
          <w:rPr>
            <w:rStyle w:val="Hyperlink"/>
            <w:rFonts w:ascii="Book Antiqua" w:hAnsi="Book Antiqua"/>
            <w:i/>
            <w:szCs w:val="16"/>
          </w:rPr>
          <w:t>http://www.msnbc.msn.com/id/13089686/ns/technology_and_science-space/t/antarctic-crater-linked-ancient-die-off/</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4: Chicxulub structure, Yucatan.Left: </w:t>
      </w:r>
      <w:hyperlink r:id="rId1072" w:history="1">
        <w:r w:rsidRPr="00BD541D">
          <w:rPr>
            <w:rStyle w:val="Hyperlink"/>
            <w:rFonts w:ascii="Book Antiqua" w:hAnsi="Book Antiqua"/>
            <w:i/>
            <w:szCs w:val="16"/>
          </w:rPr>
          <w:t>http://en.wikipedia.org/wiki/Chicxulub_crater</w:t>
        </w:r>
      </w:hyperlink>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Center: </w:t>
      </w:r>
      <w:hyperlink r:id="rId1073" w:history="1">
        <w:r w:rsidRPr="00BD541D">
          <w:rPr>
            <w:rStyle w:val="Hyperlink"/>
            <w:rFonts w:ascii="Book Antiqua" w:hAnsi="Book Antiqua"/>
            <w:i/>
            <w:szCs w:val="16"/>
          </w:rPr>
          <w:t>http://palaeo.gly.bris.ac.uk/communication/hanks/eff.html</w:t>
        </w:r>
      </w:hyperlink>
      <w:r w:rsidRPr="00BD541D">
        <w:rPr>
          <w:rFonts w:ascii="Book Antiqua" w:hAnsi="Book Antiqua"/>
          <w:sz w:val="16"/>
          <w:szCs w:val="16"/>
        </w:rPr>
        <w:t xml:space="preserve">. </w:t>
      </w:r>
    </w:p>
    <w:p w:rsidR="00700009" w:rsidRPr="00BD541D" w:rsidRDefault="00700009" w:rsidP="00700009">
      <w:pPr>
        <w:pStyle w:val="Els-body-text"/>
        <w:jc w:val="left"/>
        <w:rPr>
          <w:rFonts w:ascii="Book Antiqua" w:hAnsi="Book Antiqua"/>
          <w:sz w:val="16"/>
          <w:szCs w:val="16"/>
        </w:rPr>
      </w:pPr>
      <w:r w:rsidRPr="00BD541D">
        <w:rPr>
          <w:rFonts w:ascii="Book Antiqua" w:hAnsi="Book Antiqua"/>
          <w:sz w:val="16"/>
          <w:szCs w:val="16"/>
        </w:rPr>
        <w:t xml:space="preserve">Right: </w:t>
      </w:r>
      <w:hyperlink r:id="rId1074" w:history="1">
        <w:r w:rsidRPr="00BD541D">
          <w:rPr>
            <w:rStyle w:val="Hyperlink"/>
            <w:rFonts w:ascii="Book Antiqua" w:hAnsi="Book Antiqua"/>
            <w:i/>
            <w:szCs w:val="16"/>
          </w:rPr>
          <w:t>http://www.our-earth.net/Model-of-Chicxulub-Crater.asp</w:t>
        </w:r>
      </w:hyperlink>
      <w:r w:rsidRPr="00BD541D">
        <w:rPr>
          <w:rFonts w:ascii="Book Antiqua" w:hAnsi="Book Antiqua"/>
          <w:i/>
          <w:sz w:val="16"/>
          <w:szCs w:val="16"/>
        </w:rPr>
        <w:t xml:space="preserve"> .</w:t>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5: Left – Saturn’s moon </w:t>
      </w:r>
      <w:proofErr w:type="gramStart"/>
      <w:r w:rsidRPr="00BD541D">
        <w:rPr>
          <w:rFonts w:ascii="Book Antiqua" w:hAnsi="Book Antiqua"/>
          <w:sz w:val="16"/>
          <w:szCs w:val="16"/>
        </w:rPr>
        <w:t xml:space="preserve">Iapetus  </w:t>
      </w:r>
      <w:proofErr w:type="gramEnd"/>
      <w:r w:rsidR="007B3EBC">
        <w:fldChar w:fldCharType="begin"/>
      </w:r>
      <w:r>
        <w:instrText>HYPERLINK "http://en.wikipedia.org/wiki/Iapetus_(moon)"</w:instrText>
      </w:r>
      <w:r w:rsidR="007B3EBC">
        <w:fldChar w:fldCharType="separate"/>
      </w:r>
      <w:r w:rsidRPr="00BD541D">
        <w:rPr>
          <w:rStyle w:val="Hyperlink"/>
          <w:rFonts w:ascii="Book Antiqua" w:hAnsi="Book Antiqua"/>
          <w:i/>
          <w:szCs w:val="16"/>
        </w:rPr>
        <w:t>http://en.wikipedia.org/wiki/Iapetus_(moon)</w:t>
      </w:r>
      <w:r w:rsidR="007B3EBC">
        <w:fldChar w:fldCharType="end"/>
      </w:r>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5: Right – Asteroid Itokawa.</w:t>
      </w:r>
    </w:p>
    <w:p w:rsidR="00700009" w:rsidRPr="00BD541D" w:rsidRDefault="007B3EBC" w:rsidP="00700009">
      <w:pPr>
        <w:pStyle w:val="NoSpacing"/>
        <w:rPr>
          <w:rFonts w:ascii="Book Antiqua" w:hAnsi="Book Antiqua"/>
          <w:i/>
          <w:sz w:val="16"/>
          <w:szCs w:val="16"/>
        </w:rPr>
      </w:pPr>
      <w:hyperlink r:id="rId1075" w:history="1">
        <w:r w:rsidR="00700009" w:rsidRPr="00BD541D">
          <w:rPr>
            <w:rStyle w:val="Hyperlink"/>
            <w:rFonts w:ascii="Book Antiqua" w:hAnsi="Book Antiqua"/>
            <w:i/>
            <w:szCs w:val="16"/>
          </w:rPr>
          <w:t>http://glacialtill.wordpress.com/2011/09/05/meteorite-monday-asteroid-itokawa-and-the-hayabusa-probe/</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6: Orbits of debris from Fengyun-1C exploded satellite. </w:t>
      </w:r>
      <w:hyperlink r:id="rId1076" w:history="1">
        <w:r w:rsidRPr="00BD541D">
          <w:rPr>
            <w:rStyle w:val="Hyperlink"/>
            <w:rFonts w:ascii="Book Antiqua" w:hAnsi="Book Antiqua"/>
            <w:i/>
            <w:szCs w:val="16"/>
          </w:rPr>
          <w:t>http://www.sciencedirect.com/science/article/pii/S0094576507003281</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10: Major impact basins on Mars. </w:t>
      </w:r>
      <w:hyperlink r:id="rId1077" w:history="1">
        <w:r w:rsidRPr="00BD541D">
          <w:rPr>
            <w:rStyle w:val="Hyperlink"/>
            <w:rFonts w:ascii="Book Antiqua" w:hAnsi="Book Antiqua"/>
            <w:i/>
            <w:szCs w:val="16"/>
          </w:rPr>
          <w:t>http://www.psrd.hawaii.edu/May10/YoungerALH84001.html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11: Elevation map of Mars. </w:t>
      </w:r>
      <w:hyperlink r:id="rId1078" w:history="1">
        <w:r w:rsidRPr="00BD541D">
          <w:rPr>
            <w:rStyle w:val="Hyperlink"/>
            <w:rFonts w:ascii="Book Antiqua" w:hAnsi="Book Antiqua"/>
            <w:i/>
            <w:szCs w:val="16"/>
          </w:rPr>
          <w:t>http://www.visionsofthecosmos.co.uk/Planet%20Mars.htm</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12: The Moon with major features labeled.</w:t>
      </w:r>
    </w:p>
    <w:p w:rsidR="00700009" w:rsidRPr="00BD541D" w:rsidRDefault="007B3EBC" w:rsidP="00700009">
      <w:pPr>
        <w:pStyle w:val="NoSpacing"/>
        <w:rPr>
          <w:rFonts w:ascii="Book Antiqua" w:hAnsi="Book Antiqua"/>
          <w:i/>
          <w:sz w:val="16"/>
          <w:szCs w:val="16"/>
        </w:rPr>
      </w:pPr>
      <w:hyperlink r:id="rId1079" w:history="1">
        <w:r w:rsidR="00700009" w:rsidRPr="00BD541D">
          <w:rPr>
            <w:rStyle w:val="Hyperlink"/>
            <w:rFonts w:ascii="Book Antiqua" w:hAnsi="Book Antiqua"/>
            <w:i/>
            <w:szCs w:val="16"/>
          </w:rPr>
          <w:t>http://www.space-pictures.com/view/pictures-of-earth/pictures-of-the-moon/moon-pictures/the-moon-2010-features.php</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13: Map of Venus. </w:t>
      </w:r>
      <w:hyperlink r:id="rId1080" w:history="1">
        <w:r w:rsidRPr="00BD541D">
          <w:rPr>
            <w:rStyle w:val="Hyperlink"/>
            <w:rFonts w:ascii="Book Antiqua" w:hAnsi="Book Antiqua"/>
            <w:i/>
            <w:szCs w:val="16"/>
          </w:rPr>
          <w:t>http://www.fas.org/irp/imint/docs/rst/Sect19/Sect19_7.html</w:t>
        </w:r>
      </w:hyperlink>
      <w:r w:rsidRPr="00BD541D">
        <w:rPr>
          <w:rFonts w:ascii="Book Antiqua" w:hAnsi="Book Antiqua"/>
          <w:i/>
          <w:sz w:val="16"/>
          <w:szCs w:val="16"/>
        </w:rPr>
        <w:br/>
      </w:r>
      <w:r w:rsidRPr="00BD541D">
        <w:rPr>
          <w:rFonts w:ascii="Book Antiqua" w:hAnsi="Book Antiqua"/>
          <w:sz w:val="16"/>
          <w:szCs w:val="16"/>
        </w:rPr>
        <w:t xml:space="preserve">Figure 14: Caloris Basin event on Mercury. </w:t>
      </w:r>
      <w:hyperlink r:id="rId1081" w:history="1">
        <w:r w:rsidRPr="00BD541D">
          <w:rPr>
            <w:rStyle w:val="Hyperlink"/>
            <w:rFonts w:ascii="Book Antiqua" w:hAnsi="Book Antiqua"/>
            <w:i/>
            <w:szCs w:val="16"/>
          </w:rPr>
          <w:t>http://astronomy.nju.edu.cn/~lixd/GA/AT4/AT408/HTML/AT40806.htm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15: Mercury’s chaotic terrain opposite the Caloris Basin. </w:t>
      </w:r>
      <w:hyperlink r:id="rId1082" w:history="1">
        <w:r w:rsidRPr="00BD541D">
          <w:rPr>
            <w:rStyle w:val="Hyperlink"/>
            <w:rFonts w:ascii="Book Antiqua" w:hAnsi="Book Antiqua"/>
            <w:i/>
            <w:szCs w:val="16"/>
          </w:rPr>
          <w:t>http://astroprofspage.com/archives/1479</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Figure 16: Stable cratons or geological shield areas of Earth.</w:t>
      </w:r>
    </w:p>
    <w:p w:rsidR="00700009" w:rsidRPr="00BD541D" w:rsidRDefault="007B3EBC" w:rsidP="00700009">
      <w:pPr>
        <w:pStyle w:val="NoSpacing"/>
        <w:rPr>
          <w:rFonts w:ascii="Book Antiqua" w:hAnsi="Book Antiqua"/>
          <w:i/>
          <w:sz w:val="16"/>
          <w:szCs w:val="16"/>
        </w:rPr>
      </w:pPr>
      <w:hyperlink r:id="rId1083" w:history="1">
        <w:r w:rsidR="00700009" w:rsidRPr="00BD541D">
          <w:rPr>
            <w:rStyle w:val="Hyperlink"/>
            <w:rFonts w:ascii="Book Antiqua" w:hAnsi="Book Antiqua"/>
            <w:i/>
            <w:szCs w:val="16"/>
          </w:rPr>
          <w:t>http://www.earthsciences.hku.hk/shmuseum/earth_evo_03_archean_intro.php</w:t>
        </w:r>
      </w:hyperlink>
    </w:p>
    <w:p w:rsidR="00700009" w:rsidRPr="00BD541D" w:rsidRDefault="00700009" w:rsidP="00700009">
      <w:pPr>
        <w:pStyle w:val="NoSpacing"/>
        <w:rPr>
          <w:rFonts w:ascii="Book Antiqua" w:hAnsi="Book Antiqua"/>
          <w:sz w:val="16"/>
          <w:szCs w:val="16"/>
        </w:rPr>
      </w:pPr>
      <w:r w:rsidRPr="00BD541D">
        <w:rPr>
          <w:rFonts w:ascii="Book Antiqua" w:hAnsi="Book Antiqua"/>
          <w:sz w:val="16"/>
          <w:szCs w:val="16"/>
        </w:rPr>
        <w:t xml:space="preserve">Figure 17: Details of the MAPCIS structure in Australia. </w:t>
      </w:r>
      <w:hyperlink r:id="rId1084" w:tgtFrame="_blank" w:history="1">
        <w:r w:rsidRPr="00BD541D">
          <w:rPr>
            <w:rFonts w:ascii="Book Antiqua" w:hAnsi="Book Antiqua"/>
            <w:i/>
            <w:sz w:val="16"/>
            <w:szCs w:val="16"/>
          </w:rPr>
          <w:t>http://www.austhrutime.com/mapcis.htm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18: Map of Adelaide geosyncline region. </w:t>
      </w:r>
      <w:hyperlink r:id="rId1085" w:history="1">
        <w:r w:rsidRPr="00BD541D">
          <w:rPr>
            <w:rStyle w:val="Hyperlink"/>
            <w:rFonts w:ascii="Book Antiqua" w:hAnsi="Book Antiqua"/>
            <w:i/>
            <w:szCs w:val="16"/>
          </w:rPr>
          <w:t>http://web.missouri.edu/~appoldm/research/flinders.html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21: Map of Siberian Traps. </w:t>
      </w:r>
      <w:hyperlink r:id="rId1086"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22: Typical view of Siberian Traps. </w:t>
      </w:r>
      <w:hyperlink r:id="rId1087" w:history="1">
        <w:r w:rsidRPr="00BD541D">
          <w:rPr>
            <w:rStyle w:val="Hyperlink"/>
            <w:rFonts w:ascii="Book Antiqua" w:hAnsi="Book Antiqua"/>
            <w:i/>
            <w:szCs w:val="16"/>
          </w:rPr>
          <w:t>http://www.earthlyissues.com/supervolcano.htm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Late Cretaceous Impact Craters. </w:t>
      </w:r>
      <w:hyperlink r:id="rId1088" w:history="1">
        <w:r w:rsidRPr="00BD541D">
          <w:rPr>
            <w:rStyle w:val="Hyperlink"/>
            <w:rFonts w:ascii="Book Antiqua" w:hAnsi="Book Antiqua"/>
            <w:i/>
            <w:szCs w:val="16"/>
          </w:rPr>
          <w:t>http://www.auburn.edu/~kingdat/wetumpkawebpage3.htm</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23: Mid-ocean ridge system. </w:t>
      </w:r>
      <w:hyperlink r:id="rId1089" w:history="1">
        <w:r w:rsidRPr="00BD541D">
          <w:rPr>
            <w:rStyle w:val="Hyperlink"/>
            <w:rFonts w:ascii="Book Antiqua" w:hAnsi="Book Antiqua"/>
            <w:i/>
            <w:szCs w:val="16"/>
          </w:rPr>
          <w:t>http://www.waterencyclopedia.com/Mi-Oc/Mid-Ocean-Ridges.html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24: Location of the Deccan Traps, India. </w:t>
      </w:r>
      <w:hyperlink r:id="rId1090" w:history="1">
        <w:r w:rsidRPr="00BD541D">
          <w:rPr>
            <w:rStyle w:val="Hyperlink"/>
            <w:rFonts w:ascii="Book Antiqua" w:hAnsi="Book Antiqua"/>
            <w:i/>
            <w:szCs w:val="16"/>
          </w:rPr>
          <w:t>http://www.setterfield.org/Genesis%201-11/part_13_Peleg.html</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25: Typical Deccan Traps scene. </w:t>
      </w:r>
      <w:hyperlink r:id="rId1091" w:history="1">
        <w:r w:rsidRPr="00BD541D">
          <w:rPr>
            <w:rStyle w:val="Hyperlink"/>
            <w:rFonts w:ascii="Book Antiqua" w:hAnsi="Book Antiqua"/>
            <w:i/>
            <w:szCs w:val="16"/>
          </w:rPr>
          <w:t>http://arstechnica.com/science/2008/03/of-dinosaurs-and-volcanoes/</w:t>
        </w:r>
      </w:hyperlink>
    </w:p>
    <w:p w:rsidR="00700009" w:rsidRPr="00BD541D" w:rsidRDefault="00700009" w:rsidP="00700009">
      <w:pPr>
        <w:pStyle w:val="NoSpacing"/>
        <w:rPr>
          <w:rFonts w:ascii="Book Antiqua" w:hAnsi="Book Antiqua"/>
          <w:i/>
          <w:sz w:val="16"/>
          <w:szCs w:val="16"/>
        </w:rPr>
      </w:pPr>
      <w:r w:rsidRPr="00BD541D">
        <w:rPr>
          <w:rFonts w:ascii="Book Antiqua" w:hAnsi="Book Antiqua"/>
          <w:sz w:val="16"/>
          <w:szCs w:val="16"/>
        </w:rPr>
        <w:t xml:space="preserve">Figure 26: Supercontinent of Pangea. </w:t>
      </w:r>
      <w:hyperlink r:id="rId1092" w:history="1">
        <w:r w:rsidRPr="00BD541D">
          <w:rPr>
            <w:rStyle w:val="Hyperlink"/>
            <w:rFonts w:ascii="Book Antiqua" w:hAnsi="Book Antiqua"/>
            <w:i/>
            <w:szCs w:val="16"/>
          </w:rPr>
          <w:t>http://www.fossils.me.uk/html/pangea.html</w:t>
        </w:r>
      </w:hyperlink>
    </w:p>
    <w:p w:rsidR="00700009" w:rsidRPr="00BD541D" w:rsidRDefault="00700009" w:rsidP="00700009">
      <w:pPr>
        <w:pStyle w:val="NoSpacing"/>
        <w:rPr>
          <w:rFonts w:ascii="Book Antiqua" w:hAnsi="Book Antiqua"/>
          <w:sz w:val="16"/>
          <w:szCs w:val="16"/>
        </w:rPr>
      </w:pPr>
    </w:p>
    <w:p w:rsidR="00700009" w:rsidRDefault="00700009" w:rsidP="00700009">
      <w:pPr>
        <w:pStyle w:val="Els-body-text"/>
        <w:ind w:firstLine="0"/>
        <w:jc w:val="center"/>
      </w:pPr>
      <w:r w:rsidRPr="00666CE0">
        <w:rPr>
          <w:rFonts w:ascii="Book Antiqua" w:hAnsi="Book Antiqua"/>
          <w:b/>
          <w:sz w:val="28"/>
          <w:szCs w:val="28"/>
        </w:rPr>
        <w:t>*  *  *  *  *  *  *</w:t>
      </w:r>
    </w:p>
    <w:p w:rsidR="00BF4349" w:rsidRDefault="00BF4349" w:rsidP="00700009">
      <w:pPr>
        <w:widowControl/>
        <w:spacing w:after="200" w:line="276" w:lineRule="auto"/>
        <w:jc w:val="center"/>
        <w:rPr>
          <w:rFonts w:ascii="Book Antiqua" w:hAnsi="Book Antiqua"/>
          <w:b/>
          <w:sz w:val="28"/>
          <w:szCs w:val="28"/>
          <w:lang w:val="en-US"/>
        </w:rPr>
      </w:pPr>
      <w:r>
        <w:rPr>
          <w:rFonts w:ascii="Book Antiqua" w:hAnsi="Book Antiqua"/>
          <w:b/>
          <w:sz w:val="28"/>
          <w:szCs w:val="28"/>
        </w:rPr>
        <w:br w:type="page"/>
      </w:r>
    </w:p>
    <w:p w:rsidR="0014236D" w:rsidRPr="00923ECC" w:rsidRDefault="0014236D" w:rsidP="0014236D">
      <w:pPr>
        <w:pStyle w:val="NoSpacing"/>
        <w:jc w:val="center"/>
        <w:rPr>
          <w:rFonts w:ascii="Book Antiqua" w:hAnsi="Book Antiqua"/>
          <w:b/>
          <w:bCs/>
          <w:i/>
          <w:iCs/>
          <w:color w:val="000000"/>
          <w:szCs w:val="24"/>
        </w:rPr>
      </w:pPr>
      <w:r w:rsidRPr="00923ECC">
        <w:rPr>
          <w:rFonts w:ascii="Book Antiqua" w:hAnsi="Book Antiqua"/>
          <w:b/>
          <w:bCs/>
          <w:iCs/>
          <w:color w:val="000000"/>
          <w:szCs w:val="24"/>
        </w:rPr>
        <w:lastRenderedPageBreak/>
        <w:t xml:space="preserve">Chapter 10: </w:t>
      </w:r>
      <w:r w:rsidRPr="00923ECC">
        <w:rPr>
          <w:rFonts w:ascii="Book Antiqua" w:hAnsi="Book Antiqua"/>
          <w:b/>
          <w:bCs/>
          <w:i/>
          <w:iCs/>
          <w:color w:val="000000"/>
          <w:szCs w:val="24"/>
        </w:rPr>
        <w:t>The ZPE, Fossil Gigantism and Other Paleontological Puzzles</w:t>
      </w:r>
    </w:p>
    <w:p w:rsidR="0014236D" w:rsidRPr="00923ECC" w:rsidRDefault="0014236D" w:rsidP="0014236D">
      <w:pPr>
        <w:pStyle w:val="NoSpacing"/>
        <w:rPr>
          <w:rFonts w:ascii="Book Antiqua" w:hAnsi="Book Antiqua"/>
          <w:b/>
          <w:bCs/>
          <w:iCs/>
          <w:color w:val="000000"/>
          <w:sz w:val="20"/>
        </w:rPr>
      </w:pPr>
    </w:p>
    <w:p w:rsidR="0014236D" w:rsidRPr="00923ECC" w:rsidRDefault="0014236D" w:rsidP="0014236D">
      <w:pPr>
        <w:pStyle w:val="NoSpacing"/>
        <w:rPr>
          <w:rFonts w:ascii="Book Antiqua" w:hAnsi="Book Antiqua"/>
          <w:b/>
          <w:bCs/>
          <w:iCs/>
          <w:color w:val="000000"/>
          <w:sz w:val="20"/>
        </w:rPr>
      </w:pPr>
      <w:r w:rsidRPr="00923ECC">
        <w:rPr>
          <w:rFonts w:ascii="Book Antiqua" w:hAnsi="Book Antiqua"/>
          <w:b/>
          <w:bCs/>
          <w:iCs/>
          <w:color w:val="000000"/>
          <w:sz w:val="20"/>
        </w:rPr>
        <w:t>1.  Introducing the Fossils</w:t>
      </w:r>
    </w:p>
    <w:p w:rsidR="0014236D" w:rsidRPr="00923ECC" w:rsidRDefault="0014236D" w:rsidP="0014236D">
      <w:pPr>
        <w:pStyle w:val="NoSpacing"/>
        <w:rPr>
          <w:rFonts w:ascii="Book Antiqua" w:hAnsi="Book Antiqua"/>
          <w:b/>
          <w:bCs/>
          <w:i/>
          <w:iCs/>
          <w:color w:val="000000"/>
          <w:sz w:val="20"/>
          <w:u w:val="single"/>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Examining the fossil record is fascinating. It contains a wealth of data, as well as</w:t>
      </w:r>
      <w:r w:rsidRPr="00923ECC">
        <w:rPr>
          <w:rFonts w:ascii="Book Antiqua" w:hAnsi="Book Antiqua"/>
          <w:color w:val="FF0000"/>
          <w:sz w:val="20"/>
        </w:rPr>
        <w:t xml:space="preserve"> </w:t>
      </w:r>
      <w:r w:rsidRPr="00923ECC">
        <w:rPr>
          <w:rFonts w:ascii="Book Antiqua" w:hAnsi="Book Antiqua"/>
          <w:sz w:val="20"/>
        </w:rPr>
        <w:t>a number of puzzles. One of these puzzles</w:t>
      </w:r>
      <w:r w:rsidRPr="00923ECC">
        <w:rPr>
          <w:rFonts w:ascii="Book Antiqua" w:hAnsi="Book Antiqua"/>
          <w:color w:val="FF0000"/>
          <w:sz w:val="20"/>
        </w:rPr>
        <w:t xml:space="preserve"> </w:t>
      </w:r>
      <w:r w:rsidRPr="00923ECC">
        <w:rPr>
          <w:rFonts w:ascii="Book Antiqua" w:hAnsi="Book Antiqua"/>
          <w:sz w:val="20"/>
        </w:rPr>
        <w:t>is the remarkable size of some of the life forms in the past -- not just the famous dinosaurs, but plants, insects, and even a number of mammals as well.</w:t>
      </w:r>
      <w:r w:rsidRPr="00923ECC">
        <w:rPr>
          <w:rFonts w:ascii="Book Antiqua" w:hAnsi="Book Antiqua"/>
          <w:color w:val="FF0000"/>
          <w:sz w:val="20"/>
        </w:rPr>
        <w:t xml:space="preserve">  </w:t>
      </w:r>
      <w:r w:rsidRPr="00923ECC">
        <w:rPr>
          <w:rFonts w:ascii="Book Antiqua" w:hAnsi="Book Antiqua"/>
          <w:sz w:val="20"/>
        </w:rPr>
        <w:t>The dinosaurs were prominent in the Mesozoic Era. But first</w:t>
      </w:r>
      <w:r w:rsidRPr="00923ECC">
        <w:rPr>
          <w:rFonts w:ascii="Book Antiqua" w:hAnsi="Book Antiqua"/>
          <w:color w:val="FF0000"/>
          <w:sz w:val="20"/>
        </w:rPr>
        <w:t xml:space="preserve"> </w:t>
      </w:r>
      <w:r w:rsidRPr="00923ECC">
        <w:rPr>
          <w:rFonts w:ascii="Book Antiqua" w:hAnsi="Book Antiqua"/>
          <w:sz w:val="20"/>
        </w:rPr>
        <w:t>let us consider the earlier Paleozoic Era.</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flora of the mid to late Paleozoic Era contains</w:t>
      </w:r>
      <w:r w:rsidRPr="00923ECC">
        <w:rPr>
          <w:rFonts w:ascii="Book Antiqua" w:hAnsi="Book Antiqua"/>
          <w:color w:val="FF0000"/>
          <w:sz w:val="20"/>
        </w:rPr>
        <w:t xml:space="preserve"> </w:t>
      </w:r>
      <w:r w:rsidRPr="00923ECC">
        <w:rPr>
          <w:rFonts w:ascii="Book Antiqua" w:hAnsi="Book Antiqua"/>
          <w:sz w:val="20"/>
        </w:rPr>
        <w:t xml:space="preserve">large forests of giant club-mosses (Lycopods), giant horse-tail plants (Equisetopsida or Sphenopsids), and huge ferns (Filicopsids). They comprised the majority of the forest fauna that made up the coal measures which formed at the end of the Paleozoic. The Lycopods, whose central genus was </w:t>
      </w:r>
      <w:r w:rsidRPr="00923ECC">
        <w:rPr>
          <w:rFonts w:ascii="Book Antiqua" w:hAnsi="Book Antiqua"/>
          <w:i/>
          <w:sz w:val="20"/>
        </w:rPr>
        <w:t>Lepidodendron</w:t>
      </w:r>
      <w:r w:rsidRPr="00923ECC">
        <w:rPr>
          <w:rFonts w:ascii="Book Antiqua" w:hAnsi="Book Antiqua"/>
          <w:sz w:val="20"/>
        </w:rPr>
        <w:t xml:space="preserve">, grew to heights approaching 45 meters. Today, the Lycopods, which we refer to as pendant tassel ferns, attain a maximum size of about 2 meters, but are usually much smaller. The Sphenopsids, whose significant species was </w:t>
      </w:r>
      <w:r w:rsidRPr="00923ECC">
        <w:rPr>
          <w:rFonts w:ascii="Book Antiqua" w:hAnsi="Book Antiqua"/>
          <w:i/>
          <w:sz w:val="20"/>
        </w:rPr>
        <w:t>Calamites</w:t>
      </w:r>
      <w:r w:rsidRPr="00923ECC">
        <w:rPr>
          <w:rFonts w:ascii="Book Antiqua" w:hAnsi="Book Antiqua"/>
          <w:sz w:val="20"/>
        </w:rPr>
        <w:t>, grew up to 18 meters. In comparison, their counterparts, the horsetails, today achieve a much more modest maximum of half a meter. The Filicopsid</w:t>
      </w:r>
      <w:r w:rsidRPr="00923ECC">
        <w:rPr>
          <w:rFonts w:ascii="Book Antiqua" w:hAnsi="Book Antiqua"/>
          <w:color w:val="FF0000"/>
          <w:sz w:val="20"/>
        </w:rPr>
        <w:t xml:space="preserve"> </w:t>
      </w:r>
      <w:r w:rsidRPr="00923ECC">
        <w:rPr>
          <w:rFonts w:ascii="Book Antiqua" w:hAnsi="Book Antiqua"/>
          <w:sz w:val="20"/>
        </w:rPr>
        <w:t>ferns, such as the tree fern Psaronius</w:t>
      </w:r>
      <w:r w:rsidRPr="00923ECC">
        <w:rPr>
          <w:rFonts w:ascii="Book Antiqua" w:hAnsi="Book Antiqua"/>
          <w:color w:val="FF0000"/>
          <w:sz w:val="20"/>
        </w:rPr>
        <w:t>,</w:t>
      </w:r>
      <w:r w:rsidRPr="00923ECC">
        <w:rPr>
          <w:rFonts w:ascii="Book Antiqua" w:hAnsi="Book Antiqua"/>
          <w:sz w:val="20"/>
        </w:rPr>
        <w:t xml:space="preserve"> grew 10 meters or more in height. This fern was very similar to the modern </w:t>
      </w:r>
      <w:r w:rsidRPr="00923ECC">
        <w:rPr>
          <w:rFonts w:ascii="Book Antiqua" w:hAnsi="Book Antiqua"/>
          <w:i/>
          <w:sz w:val="20"/>
        </w:rPr>
        <w:t>Dicksonia</w:t>
      </w:r>
      <w:r w:rsidRPr="00923ECC">
        <w:rPr>
          <w:rFonts w:ascii="Book Antiqua" w:hAnsi="Book Antiqua"/>
          <w:sz w:val="20"/>
        </w:rPr>
        <w:t xml:space="preserve"> or Tasmanian tree fern, whose maximum height today is about 4 meters [1, 2]. These are illustrated in Figure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color w:val="C00000"/>
          <w:sz w:val="20"/>
        </w:rPr>
        <w:drawing>
          <wp:inline distT="0" distB="0" distL="0" distR="0">
            <wp:extent cx="5191125" cy="4305300"/>
            <wp:effectExtent l="19050" t="0" r="9525" b="0"/>
            <wp:docPr id="138" name="Picture 7" descr="http://universe-review.ca/I10-68-Carbonifer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niverse-review.ca/I10-68-Carboniferous.jpg"/>
                    <pic:cNvPicPr>
                      <a:picLocks noChangeAspect="1" noChangeArrowheads="1"/>
                    </pic:cNvPicPr>
                  </pic:nvPicPr>
                  <pic:blipFill>
                    <a:blip r:embed="rId1093" cstate="print">
                      <a:lum bright="-40000" contrast="20000"/>
                    </a:blip>
                    <a:srcRect/>
                    <a:stretch>
                      <a:fillRect/>
                    </a:stretch>
                  </pic:blipFill>
                  <pic:spPr bwMode="auto">
                    <a:xfrm>
                      <a:off x="0" y="0"/>
                      <a:ext cx="5199661" cy="4312379"/>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color w:val="C00000"/>
          <w:sz w:val="18"/>
          <w:szCs w:val="18"/>
        </w:rPr>
      </w:pPr>
    </w:p>
    <w:p w:rsidR="0014236D" w:rsidRPr="001203CB" w:rsidRDefault="0014236D" w:rsidP="0014236D">
      <w:pPr>
        <w:pStyle w:val="NoSpacing"/>
        <w:rPr>
          <w:rFonts w:ascii="Book Antiqua" w:hAnsi="Book Antiqua"/>
          <w:i/>
          <w:sz w:val="20"/>
        </w:rPr>
      </w:pPr>
      <w:r w:rsidRPr="001203CB">
        <w:rPr>
          <w:rFonts w:ascii="Book Antiqua" w:hAnsi="Book Antiqua"/>
          <w:b/>
          <w:i/>
          <w:sz w:val="18"/>
          <w:szCs w:val="18"/>
        </w:rPr>
        <w:t>Figure 1:</w:t>
      </w:r>
      <w:r w:rsidRPr="001203CB">
        <w:rPr>
          <w:rFonts w:ascii="Book Antiqua" w:hAnsi="Book Antiqua"/>
          <w:i/>
          <w:sz w:val="18"/>
          <w:szCs w:val="18"/>
        </w:rPr>
        <w:t xml:space="preserve"> Typical late Paleozoic scene. Top right corner is the Lepidodendron, middle right is Calamites, while on the left is the Psaronius. The fallen trunk in the foreground is Lepidodendron. Today, these flora attain </w:t>
      </w:r>
      <w:r>
        <w:rPr>
          <w:rFonts w:ascii="Book Antiqua" w:hAnsi="Book Antiqua"/>
          <w:i/>
          <w:sz w:val="18"/>
          <w:szCs w:val="18"/>
        </w:rPr>
        <w:t>about 3</w:t>
      </w:r>
      <w:r w:rsidRPr="001203CB">
        <w:rPr>
          <w:rFonts w:ascii="Book Antiqua" w:hAnsi="Book Antiqua"/>
          <w:i/>
          <w:sz w:val="18"/>
          <w:szCs w:val="18"/>
        </w:rPr>
        <w:t xml:space="preserve"> feet</w:t>
      </w:r>
      <w:r>
        <w:rPr>
          <w:rFonts w:ascii="Book Antiqua" w:hAnsi="Book Antiqua"/>
          <w:i/>
          <w:sz w:val="18"/>
          <w:szCs w:val="18"/>
        </w:rPr>
        <w:t xml:space="preserve"> (1 meter</w:t>
      </w:r>
      <w:proofErr w:type="gramStart"/>
      <w:r>
        <w:rPr>
          <w:rFonts w:ascii="Book Antiqua" w:hAnsi="Book Antiqua"/>
          <w:i/>
          <w:sz w:val="18"/>
          <w:szCs w:val="18"/>
        </w:rPr>
        <w:t>)</w:t>
      </w:r>
      <w:r w:rsidRPr="001203CB">
        <w:rPr>
          <w:rFonts w:ascii="Book Antiqua" w:hAnsi="Book Antiqua"/>
          <w:i/>
          <w:sz w:val="18"/>
          <w:szCs w:val="18"/>
        </w:rPr>
        <w:t xml:space="preserve"> ;</w:t>
      </w:r>
      <w:proofErr w:type="gramEnd"/>
      <w:r w:rsidRPr="001203CB">
        <w:rPr>
          <w:rFonts w:ascii="Book Antiqua" w:hAnsi="Book Antiqua"/>
          <w:i/>
          <w:sz w:val="18"/>
          <w:szCs w:val="18"/>
        </w:rPr>
        <w:t xml:space="preserve"> back then 60 feet</w:t>
      </w:r>
      <w:r>
        <w:rPr>
          <w:rFonts w:ascii="Book Antiqua" w:hAnsi="Book Antiqua"/>
          <w:i/>
          <w:sz w:val="18"/>
          <w:szCs w:val="18"/>
        </w:rPr>
        <w:t xml:space="preserve"> (about 20 meters) </w:t>
      </w:r>
      <w:r w:rsidRPr="001203CB">
        <w:rPr>
          <w:rFonts w:ascii="Book Antiqua" w:hAnsi="Book Antiqua"/>
          <w:i/>
          <w:sz w:val="18"/>
          <w:szCs w:val="18"/>
        </w:rPr>
        <w:t xml:space="preserve"> was usual.</w:t>
      </w: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lastRenderedPageBreak/>
        <w:drawing>
          <wp:inline distT="0" distB="0" distL="0" distR="0">
            <wp:extent cx="3137867" cy="3534770"/>
            <wp:effectExtent l="19050" t="0" r="5383" b="0"/>
            <wp:docPr id="139" name="il_fi" descr="http://www.sciencefriday.com/news/images/icons/seascorp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friday.com/news/images/icons/seascorpion1.jpg"/>
                    <pic:cNvPicPr>
                      <a:picLocks noChangeAspect="1" noChangeArrowheads="1"/>
                    </pic:cNvPicPr>
                  </pic:nvPicPr>
                  <pic:blipFill>
                    <a:blip r:embed="rId26" cstate="print"/>
                    <a:srcRect b="30589"/>
                    <a:stretch>
                      <a:fillRect/>
                    </a:stretch>
                  </pic:blipFill>
                  <pic:spPr bwMode="auto">
                    <a:xfrm>
                      <a:off x="0" y="0"/>
                      <a:ext cx="3142719" cy="3540236"/>
                    </a:xfrm>
                    <a:prstGeom prst="rect">
                      <a:avLst/>
                    </a:prstGeom>
                    <a:noFill/>
                    <a:ln w="9525">
                      <a:noFill/>
                      <a:miter lim="800000"/>
                      <a:headEnd/>
                      <a:tailEnd/>
                    </a:ln>
                  </pic:spPr>
                </pic:pic>
              </a:graphicData>
            </a:graphic>
          </wp:inline>
        </w:drawing>
      </w:r>
    </w:p>
    <w:p w:rsidR="0014236D" w:rsidRPr="00923ECC" w:rsidRDefault="0014236D" w:rsidP="00D1626D">
      <w:pPr>
        <w:pStyle w:val="NoSpacing"/>
        <w:jc w:val="center"/>
        <w:rPr>
          <w:rFonts w:ascii="Book Antiqua" w:hAnsi="Book Antiqua"/>
          <w:b/>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2:</w:t>
      </w:r>
      <w:r w:rsidRPr="001203CB">
        <w:rPr>
          <w:rFonts w:ascii="Book Antiqua" w:hAnsi="Book Antiqua"/>
          <w:i/>
          <w:sz w:val="18"/>
          <w:szCs w:val="18"/>
        </w:rPr>
        <w:t xml:space="preserve"> Above and below – size comparison of Paleozoic flora and fauna.</w:t>
      </w:r>
    </w:p>
    <w:p w:rsidR="0014236D" w:rsidRPr="00923ECC" w:rsidRDefault="0014236D" w:rsidP="00D1626D">
      <w:pPr>
        <w:pStyle w:val="NoSpacing"/>
        <w:jc w:val="center"/>
        <w:rPr>
          <w:rFonts w:ascii="Book Antiqua" w:hAnsi="Book Antiqua"/>
          <w:sz w:val="20"/>
        </w:rPr>
      </w:pPr>
    </w:p>
    <w:p w:rsidR="0014236D" w:rsidRPr="00923ECC" w:rsidRDefault="0014236D" w:rsidP="0014236D">
      <w:pPr>
        <w:pStyle w:val="NoSpacing"/>
        <w:jc w:val="center"/>
        <w:rPr>
          <w:rFonts w:ascii="Book Antiqua" w:hAnsi="Book Antiqua"/>
          <w:sz w:val="20"/>
        </w:rPr>
      </w:pPr>
      <w:r w:rsidRPr="0056617C">
        <w:rPr>
          <w:rFonts w:ascii="Book Antiqua" w:hAnsi="Book Antiqua"/>
          <w:noProof/>
          <w:sz w:val="20"/>
        </w:rPr>
        <w:drawing>
          <wp:inline distT="0" distB="0" distL="0" distR="0">
            <wp:extent cx="5674819" cy="3404027"/>
            <wp:effectExtent l="19050" t="0" r="2081" b="0"/>
            <wp:docPr id="140" name="Picture 5" descr="http://www.search4dinosaurs.com/rb_carboniferous.jpg"/>
            <wp:cNvGraphicFramePr/>
            <a:graphic xmlns:a="http://schemas.openxmlformats.org/drawingml/2006/main">
              <a:graphicData uri="http://schemas.openxmlformats.org/drawingml/2006/picture">
                <pic:pic xmlns:pic="http://schemas.openxmlformats.org/drawingml/2006/picture">
                  <pic:nvPicPr>
                    <pic:cNvPr id="124930" name="Picture 2" descr="http://www.search4dinosaurs.com/rb_carboniferous.jpg"/>
                    <pic:cNvPicPr>
                      <a:picLocks noChangeAspect="1" noChangeArrowheads="1"/>
                    </pic:cNvPicPr>
                  </pic:nvPicPr>
                  <pic:blipFill>
                    <a:blip r:embed="rId1094" cstate="print"/>
                    <a:srcRect/>
                    <a:stretch>
                      <a:fillRect/>
                    </a:stretch>
                  </pic:blipFill>
                  <pic:spPr bwMode="auto">
                    <a:xfrm>
                      <a:off x="0" y="0"/>
                      <a:ext cx="5675561" cy="3404472"/>
                    </a:xfrm>
                    <a:prstGeom prst="rect">
                      <a:avLst/>
                    </a:prstGeom>
                    <a:noFill/>
                  </pic:spPr>
                </pic:pic>
              </a:graphicData>
            </a:graphic>
          </wp:inline>
        </w:drawing>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We find similar gigantism</w:t>
      </w:r>
      <w:r w:rsidRPr="00923ECC">
        <w:rPr>
          <w:rFonts w:ascii="Book Antiqua" w:hAnsi="Book Antiqua"/>
          <w:color w:val="FF0000"/>
          <w:sz w:val="20"/>
        </w:rPr>
        <w:t xml:space="preserve"> </w:t>
      </w:r>
      <w:r w:rsidRPr="00923ECC">
        <w:rPr>
          <w:rFonts w:ascii="Book Antiqua" w:hAnsi="Book Antiqua"/>
          <w:sz w:val="20"/>
        </w:rPr>
        <w:t xml:space="preserve">with the invertebrates that existed during the Paleozoic Era. R. Khamsi reported an important example in New Scientist for the 21 November </w:t>
      </w:r>
      <w:proofErr w:type="gramStart"/>
      <w:r w:rsidRPr="00923ECC">
        <w:rPr>
          <w:rFonts w:ascii="Book Antiqua" w:hAnsi="Book Antiqua"/>
          <w:sz w:val="20"/>
        </w:rPr>
        <w:t>2007  [</w:t>
      </w:r>
      <w:proofErr w:type="gramEnd"/>
      <w:r w:rsidRPr="00923ECC">
        <w:rPr>
          <w:rFonts w:ascii="Book Antiqua" w:hAnsi="Book Antiqua"/>
          <w:sz w:val="20"/>
        </w:rPr>
        <w:t xml:space="preserve">3]. The article stated that, in Germany, strata from the Devonian Period of the Paleozoic </w:t>
      </w:r>
      <w:proofErr w:type="gramStart"/>
      <w:r w:rsidRPr="00923ECC">
        <w:rPr>
          <w:rFonts w:ascii="Book Antiqua" w:hAnsi="Book Antiqua"/>
          <w:sz w:val="20"/>
        </w:rPr>
        <w:t>Era,</w:t>
      </w:r>
      <w:proofErr w:type="gramEnd"/>
      <w:r w:rsidRPr="00923ECC">
        <w:rPr>
          <w:rFonts w:ascii="Book Antiqua" w:hAnsi="Book Antiqua"/>
          <w:sz w:val="20"/>
        </w:rPr>
        <w:t xml:space="preserve"> yielded the fossilized remains of a giant sea scorpion. The total length of this Eurypterid was conservatively estimated to be 2.5 meters or around 8.3 feet [4]. A number of paleontologists believe that this type of Eurypterid, </w:t>
      </w:r>
      <w:r w:rsidRPr="00923ECC">
        <w:rPr>
          <w:rFonts w:ascii="Book Antiqua" w:hAnsi="Book Antiqua"/>
          <w:i/>
          <w:iCs/>
          <w:sz w:val="20"/>
        </w:rPr>
        <w:t>Jaekelopterus rhenaniae</w:t>
      </w:r>
      <w:r w:rsidRPr="00923ECC">
        <w:rPr>
          <w:rFonts w:ascii="Book Antiqua" w:hAnsi="Book Antiqua"/>
          <w:sz w:val="20"/>
        </w:rPr>
        <w:t>, was the ancestor of modern land scorpions, though some question this conclusion. Since modern scorpions attain a maximum size of about 30 centimeters or about one foot, the size of these early specimens presents a huge puzzle.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noProof/>
          <w:sz w:val="20"/>
        </w:rPr>
      </w:pPr>
      <w:r w:rsidRPr="00923ECC">
        <w:rPr>
          <w:rFonts w:ascii="Book Antiqua" w:hAnsi="Book Antiqua"/>
          <w:sz w:val="20"/>
        </w:rPr>
        <w:t xml:space="preserve">However, the sea scorpions were only one of a number of giant invertebrates. The team that found this sea scorpion fossil was quoted on the BBC News as saying </w:t>
      </w:r>
      <w:r w:rsidRPr="00923ECC">
        <w:rPr>
          <w:rFonts w:ascii="Book Antiqua" w:hAnsi="Book Antiqua"/>
          <w:i/>
          <w:sz w:val="20"/>
        </w:rPr>
        <w:t>"The size of the beast suggests that spiders, insects, crabs and similar creatures were much larger in the past than previously thought."</w:t>
      </w:r>
      <w:r w:rsidRPr="00923ECC">
        <w:rPr>
          <w:rFonts w:ascii="Book Antiqua" w:hAnsi="Book Antiqua"/>
          <w:sz w:val="20"/>
        </w:rPr>
        <w:t>[5</w:t>
      </w:r>
      <w:proofErr w:type="gramStart"/>
      <w:r w:rsidRPr="00923ECC">
        <w:rPr>
          <w:rFonts w:ascii="Book Antiqua" w:hAnsi="Book Antiqua"/>
          <w:sz w:val="20"/>
        </w:rPr>
        <w:t xml:space="preserve">] </w:t>
      </w:r>
      <w:r w:rsidRPr="00923ECC">
        <w:rPr>
          <w:rFonts w:ascii="Book Antiqua" w:hAnsi="Book Antiqua"/>
          <w:i/>
          <w:sz w:val="20"/>
        </w:rPr>
        <w:t xml:space="preserve"> </w:t>
      </w:r>
      <w:r w:rsidRPr="00923ECC">
        <w:rPr>
          <w:rFonts w:ascii="Book Antiqua" w:hAnsi="Book Antiqua"/>
          <w:sz w:val="20"/>
        </w:rPr>
        <w:t>The</w:t>
      </w:r>
      <w:proofErr w:type="gramEnd"/>
      <w:r w:rsidRPr="00923ECC">
        <w:rPr>
          <w:rFonts w:ascii="Book Antiqua" w:hAnsi="Book Antiqua"/>
          <w:sz w:val="20"/>
        </w:rPr>
        <w:t xml:space="preserve"> team, headed by Dr. Simon Braddy, also mentioned that monster millipedes, giant cockroaches, and jumbo dragonflies also appear in this segment of the fossil record. The giant millipede, Arthropleura, was over 2 meters (6.6 feet) long and is considered to be related to the centipedes and millipedes we have today. A size comparison appears in Fig. 2 top &amp; bottom.</w:t>
      </w:r>
      <w:r w:rsidRPr="00923ECC">
        <w:rPr>
          <w:rFonts w:ascii="Book Antiqua" w:hAnsi="Book Antiqua"/>
          <w:sz w:val="20"/>
        </w:rPr>
        <w:tab/>
      </w:r>
    </w:p>
    <w:p w:rsidR="0014236D" w:rsidRPr="00923ECC" w:rsidRDefault="0014236D" w:rsidP="0014236D">
      <w:pPr>
        <w:pStyle w:val="NoSpacing"/>
        <w:jc w:val="both"/>
        <w:rPr>
          <w:rFonts w:ascii="Book Antiqua" w:hAnsi="Book Antiqua"/>
          <w:noProof/>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largest Paleozoic dragonfly found so far was Meganeura with a wingspans ranging up to 75 centimeters (2.5 feet), and an estimated weight of 450 grams (1 pound). In comparison, the largest dragonfly today has a wingspan of only 7 inches. In fact, Meganeura appears to have been the largest airborne insect of all time [5]. The largest single wing width found measured 33 centimeters, which means a full span would be close to 70 cm, as shown in Fig.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Gigantic fauna is not limited to the Paleozoic Era. In Mesozoic strata we find gigantism among invertebrates. </w:t>
      </w:r>
      <w:proofErr w:type="gramStart"/>
      <w:r w:rsidRPr="00923ECC">
        <w:rPr>
          <w:rFonts w:ascii="Book Antiqua" w:hAnsi="Book Antiqua"/>
          <w:sz w:val="20"/>
        </w:rPr>
        <w:t>For example, fleas, attained lengths of up to 2.06 centimeters or so [6].</w:t>
      </w:r>
      <w:proofErr w:type="gramEnd"/>
      <w:r w:rsidRPr="00923ECC">
        <w:rPr>
          <w:rFonts w:ascii="Book Antiqua" w:hAnsi="Book Antiqua"/>
          <w:sz w:val="20"/>
        </w:rPr>
        <w:t xml:space="preserve">  It is also in the Mesozoic where the famous dinosaurs are found</w:t>
      </w:r>
      <w:proofErr w:type="gramStart"/>
      <w:r w:rsidRPr="00923ECC">
        <w:rPr>
          <w:rFonts w:ascii="Book Antiqua" w:hAnsi="Book Antiqua"/>
          <w:sz w:val="20"/>
        </w:rPr>
        <w:t>,  dinosaurs</w:t>
      </w:r>
      <w:proofErr w:type="gramEnd"/>
      <w:r w:rsidRPr="00923ECC">
        <w:rPr>
          <w:rFonts w:ascii="Book Antiqua" w:hAnsi="Book Antiqua"/>
          <w:sz w:val="20"/>
        </w:rPr>
        <w:t xml:space="preserve"> such as Diplodocus which was 90 feet (27 meters) long, 16 feet (5 meters) tall at the hips, and weighed from 10 to 20 tons. Apatosaurus was up to 40 meters (130 feet) long, over 17 meters (55 feet) tall and weighed over 30 tons. An approximate size comparison for some Mesozoic fauna is given in Figure 3.</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115050" cy="3371850"/>
            <wp:effectExtent l="19050" t="0" r="0" b="0"/>
            <wp:docPr id="141"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095" cstate="print"/>
                    <a:srcRect/>
                    <a:stretch>
                      <a:fillRect/>
                    </a:stretch>
                  </pic:blipFill>
                  <pic:spPr bwMode="auto">
                    <a:xfrm>
                      <a:off x="0" y="0"/>
                      <a:ext cx="6125667" cy="3377704"/>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3:</w:t>
      </w:r>
      <w:r w:rsidRPr="001203CB">
        <w:rPr>
          <w:rFonts w:ascii="Book Antiqua" w:hAnsi="Book Antiqua"/>
          <w:i/>
          <w:sz w:val="18"/>
          <w:szCs w:val="18"/>
        </w:rPr>
        <w:t xml:space="preserve"> Some large Mesozoic dinosaurs compared in size with a human.</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The Cenozoic Era also presents us with gigantism, but in a different set of dominant fauna. The Megatherium, or giant ground sloth, weighed 5 tons and, standing on its hind legs and tail, could reach a height of 20 feet. It may have been one of the largest mammals to walk the earth. In similar fashion, the giant wombat, Diprotodon, the size of a rhinoceros, may have been the largest marsupial to ever inhabit this planet. In Australia today, wombats are </w:t>
      </w:r>
      <w:proofErr w:type="gramStart"/>
      <w:r w:rsidRPr="00923ECC">
        <w:rPr>
          <w:rFonts w:ascii="Book Antiqua" w:hAnsi="Book Antiqua"/>
          <w:sz w:val="20"/>
        </w:rPr>
        <w:t>under</w:t>
      </w:r>
      <w:proofErr w:type="gramEnd"/>
      <w:r w:rsidRPr="00923ECC">
        <w:rPr>
          <w:rFonts w:ascii="Book Antiqua" w:hAnsi="Book Antiqua"/>
          <w:sz w:val="20"/>
        </w:rPr>
        <w:t xml:space="preserve"> three feet long. Giant kangaroos stood 10 feet (3 meters) tall and weighed 450 pounds (200 kilograms), and there is evidence of an 1100 pound (500 kg) flightless bird, whose fossils have recently </w:t>
      </w:r>
      <w:proofErr w:type="gramStart"/>
      <w:r w:rsidRPr="00923ECC">
        <w:rPr>
          <w:rFonts w:ascii="Book Antiqua" w:hAnsi="Book Antiqua"/>
          <w:sz w:val="20"/>
        </w:rPr>
        <w:t>been</w:t>
      </w:r>
      <w:proofErr w:type="gramEnd"/>
      <w:r w:rsidRPr="00923ECC">
        <w:rPr>
          <w:rFonts w:ascii="Book Antiqua" w:hAnsi="Book Antiqua"/>
          <w:sz w:val="20"/>
        </w:rPr>
        <w:t xml:space="preserve"> discussed [7]. Some other comparisons are given in Figure 4.</w:t>
      </w:r>
    </w:p>
    <w:p w:rsidR="0014236D" w:rsidRPr="00923ECC" w:rsidRDefault="0014236D" w:rsidP="0014236D">
      <w:pPr>
        <w:pStyle w:val="NoSpacing"/>
        <w:ind w:firstLine="720"/>
        <w:jc w:val="both"/>
        <w:rPr>
          <w:rFonts w:ascii="Book Antiqua" w:hAnsi="Book Antiqua"/>
          <w:sz w:val="20"/>
        </w:rPr>
      </w:pPr>
    </w:p>
    <w:p w:rsidR="0014236D" w:rsidRPr="00923ECC" w:rsidRDefault="0014236D" w:rsidP="0014236D">
      <w:pPr>
        <w:pStyle w:val="NoSpacing"/>
        <w:jc w:val="center"/>
        <w:rPr>
          <w:rFonts w:ascii="Book Antiqua" w:hAnsi="Book Antiqua"/>
          <w:color w:val="C00000"/>
          <w:sz w:val="20"/>
        </w:rPr>
      </w:pPr>
      <w:r w:rsidRPr="00923ECC">
        <w:rPr>
          <w:rFonts w:ascii="Book Antiqua" w:hAnsi="Book Antiqua"/>
          <w:noProof/>
          <w:sz w:val="20"/>
        </w:rPr>
        <w:drawing>
          <wp:inline distT="0" distB="0" distL="0" distR="0">
            <wp:extent cx="6571750" cy="3629025"/>
            <wp:effectExtent l="19050" t="0" r="500" b="0"/>
            <wp:docPr id="142" name="gmi-ResViewSizer_img" descr="http://fc07.deviantart.net/fs71/i/2011/326/7/c/megafauna_sizes_by_pantherasonya-d4h0f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i-ResViewSizer_img" descr="http://fc07.deviantart.net/fs71/i/2011/326/7/c/megafauna_sizes_by_pantherasonya-d4h0fr6.jpg"/>
                    <pic:cNvPicPr>
                      <a:picLocks noChangeAspect="1" noChangeArrowheads="1"/>
                    </pic:cNvPicPr>
                  </pic:nvPicPr>
                  <pic:blipFill>
                    <a:blip r:embed="rId1096" cstate="print"/>
                    <a:srcRect t="7812" r="426"/>
                    <a:stretch>
                      <a:fillRect/>
                    </a:stretch>
                  </pic:blipFill>
                  <pic:spPr bwMode="auto">
                    <a:xfrm>
                      <a:off x="0" y="0"/>
                      <a:ext cx="6566191" cy="362595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color w:val="C00000"/>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4:</w:t>
      </w:r>
      <w:r w:rsidRPr="001203CB">
        <w:rPr>
          <w:rFonts w:ascii="Book Antiqua" w:hAnsi="Book Antiqua"/>
          <w:i/>
          <w:sz w:val="18"/>
          <w:szCs w:val="18"/>
        </w:rPr>
        <w:t xml:space="preserve"> Cenozoic fauna and megafauna approximate size comparisons.</w:t>
      </w:r>
    </w:p>
    <w:p w:rsidR="0014236D" w:rsidRPr="00923ECC" w:rsidRDefault="0014236D" w:rsidP="0014236D">
      <w:pPr>
        <w:pStyle w:val="NoSpacing"/>
        <w:jc w:val="both"/>
        <w:rPr>
          <w:rFonts w:ascii="Book Antiqua" w:hAnsi="Book Antiqua"/>
          <w:color w:val="C00000"/>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color w:val="C00000"/>
          <w:sz w:val="20"/>
        </w:rPr>
        <w:tab/>
      </w:r>
      <w:r w:rsidRPr="00923ECC">
        <w:rPr>
          <w:rFonts w:ascii="Book Antiqua" w:hAnsi="Book Antiqua"/>
          <w:sz w:val="20"/>
        </w:rPr>
        <w:t xml:space="preserve">In other words, gigantism appears to be a significant part of the fossil record, but it is not something we see today.  The plants and animals we see in our world are usually very much smaller than their early relatives, which we find only in fossils.  At present no satisfactory explanation has been offered for either why things were so large before or, conversely perhaps, why things are so small now.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sidRPr="00923ECC">
        <w:rPr>
          <w:rFonts w:ascii="Book Antiqua" w:hAnsi="Book Antiqua"/>
          <w:b/>
          <w:sz w:val="20"/>
        </w:rPr>
        <w:t xml:space="preserve">2.  Problems </w:t>
      </w:r>
      <w:proofErr w:type="gramStart"/>
      <w:r w:rsidRPr="00923ECC">
        <w:rPr>
          <w:rFonts w:ascii="Book Antiqua" w:hAnsi="Book Antiqua"/>
          <w:b/>
          <w:sz w:val="20"/>
        </w:rPr>
        <w:t>With</w:t>
      </w:r>
      <w:proofErr w:type="gramEnd"/>
      <w:r w:rsidRPr="00923ECC">
        <w:rPr>
          <w:rFonts w:ascii="Book Antiqua" w:hAnsi="Book Antiqua"/>
          <w:b/>
          <w:sz w:val="20"/>
        </w:rPr>
        <w:t xml:space="preserve"> Fossil Fauna</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2. 1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a Sheath Around Nerves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Nerves in all vertebrate animals conduct electrical impulses.  In the same way a wire must be insulated to keep the electrical current from dissipating, nerves are insulated by a fatty layer called myelin (see figure 5). This myelin coating allows the nerve impulses to travel at a very high speed.</w:t>
      </w:r>
      <w:r w:rsidRPr="00923ECC">
        <w:rPr>
          <w:rFonts w:ascii="Book Antiqua" w:hAnsi="Book Antiqua"/>
          <w:color w:val="FF0000"/>
          <w:sz w:val="20"/>
        </w:rPr>
        <w:t xml:space="preserve"> </w:t>
      </w:r>
      <w:r w:rsidRPr="00923ECC">
        <w:rPr>
          <w:rFonts w:ascii="Book Antiqua" w:hAnsi="Book Antiqua"/>
          <w:sz w:val="20"/>
        </w:rPr>
        <w:t>This speed rises from about 1 meter per second for a bare nerve fiber, perhaps about 10 microns in diameter, to over 50 meters per second for the same axon sheathed in myelin. (A micron is one millionth of a meter.)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lastRenderedPageBreak/>
        <w:t>This leads us to a difficulty where some of the giants are concerned. Dr. David Colman, Director of Montreal Neurological Institute and Hospital responded to an article by Sander and Claus in</w:t>
      </w:r>
      <w:r w:rsidRPr="00923ECC">
        <w:rPr>
          <w:rFonts w:ascii="Book Antiqua" w:hAnsi="Book Antiqua"/>
          <w:i/>
          <w:sz w:val="20"/>
        </w:rPr>
        <w:t xml:space="preserve"> Science</w:t>
      </w:r>
      <w:r w:rsidRPr="00923ECC">
        <w:rPr>
          <w:rFonts w:ascii="Book Antiqua" w:hAnsi="Book Antiqua"/>
          <w:sz w:val="20"/>
        </w:rPr>
        <w:t xml:space="preserve">, 322 (2007), pp.200-201 where they discussed the means of development of a variety of attributes in dinosaurs. In response, Dr Coleman said: </w:t>
      </w:r>
      <w:r w:rsidRPr="00923ECC">
        <w:rPr>
          <w:rFonts w:ascii="Book Antiqua" w:hAnsi="Book Antiqua"/>
          <w:i/>
          <w:sz w:val="20"/>
        </w:rPr>
        <w:t>"... it is curious that the authors [Sander and Clauss] missed what must have been the ... prerequisite for all these other attributes to develop - the myelin sheath [around the nerve fibers], which is the most important specialization of the vertebrate nervous system after the synapse."</w:t>
      </w:r>
      <w:r w:rsidRPr="00923ECC">
        <w:rPr>
          <w:rFonts w:ascii="Book Antiqua" w:hAnsi="Book Antiqua"/>
          <w:sz w:val="20"/>
        </w:rPr>
        <w:t>[8]</w:t>
      </w:r>
      <w:r w:rsidRPr="00923ECC">
        <w:rPr>
          <w:rFonts w:ascii="Book Antiqua" w:hAnsi="Book Antiqua"/>
          <w:i/>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color w:val="FF0000"/>
          <w:sz w:val="20"/>
        </w:rPr>
      </w:pPr>
      <w:r w:rsidRPr="00923ECC">
        <w:rPr>
          <w:rFonts w:ascii="Book Antiqua" w:hAnsi="Book Antiqua"/>
          <w:noProof/>
          <w:sz w:val="20"/>
        </w:rPr>
        <w:drawing>
          <wp:inline distT="0" distB="0" distL="0" distR="0">
            <wp:extent cx="4425962" cy="2505075"/>
            <wp:effectExtent l="19050" t="0" r="0" b="0"/>
            <wp:docPr id="143" name="il_fi"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euron"/>
                    <pic:cNvPicPr>
                      <a:picLocks noChangeAspect="1" noChangeArrowheads="1"/>
                    </pic:cNvPicPr>
                  </pic:nvPicPr>
                  <pic:blipFill>
                    <a:blip r:embed="rId1097" cstate="print"/>
                    <a:srcRect t="6638"/>
                    <a:stretch>
                      <a:fillRect/>
                    </a:stretch>
                  </pic:blipFill>
                  <pic:spPr bwMode="auto">
                    <a:xfrm>
                      <a:off x="0" y="0"/>
                      <a:ext cx="4425962" cy="25050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b/>
          <w:i/>
          <w:sz w:val="20"/>
        </w:rPr>
      </w:pPr>
    </w:p>
    <w:p w:rsidR="0014236D" w:rsidRPr="001203CB" w:rsidRDefault="0014236D" w:rsidP="00D1626D">
      <w:pPr>
        <w:pStyle w:val="NoSpacing"/>
        <w:jc w:val="center"/>
        <w:rPr>
          <w:rFonts w:ascii="Book Antiqua" w:hAnsi="Book Antiqua"/>
          <w:i/>
          <w:sz w:val="18"/>
          <w:szCs w:val="18"/>
        </w:rPr>
      </w:pPr>
      <w:r w:rsidRPr="001203CB">
        <w:rPr>
          <w:rFonts w:ascii="Book Antiqua" w:hAnsi="Book Antiqua"/>
          <w:b/>
          <w:i/>
          <w:sz w:val="18"/>
          <w:szCs w:val="18"/>
        </w:rPr>
        <w:t>Figure 5:</w:t>
      </w:r>
      <w:r w:rsidRPr="001203CB">
        <w:rPr>
          <w:rFonts w:ascii="Book Antiqua" w:hAnsi="Book Antiqua"/>
          <w:i/>
          <w:sz w:val="18"/>
          <w:szCs w:val="18"/>
        </w:rPr>
        <w:t xml:space="preserve"> Typical nerve cell (neuron). Schwan's cells make myelin.</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i/>
          <w:sz w:val="20"/>
        </w:rPr>
        <w:tab/>
      </w:r>
      <w:r w:rsidRPr="00923ECC">
        <w:rPr>
          <w:rFonts w:ascii="Book Antiqua" w:hAnsi="Book Antiqua"/>
          <w:sz w:val="20"/>
        </w:rPr>
        <w:t xml:space="preserve">Dr. Coleman goes on: </w:t>
      </w:r>
      <w:r w:rsidRPr="00923ECC">
        <w:rPr>
          <w:rFonts w:ascii="Book Antiqua" w:hAnsi="Book Antiqua"/>
          <w:i/>
          <w:sz w:val="20"/>
        </w:rPr>
        <w:t>"Imagine a giant sauropod whose nerves were not myelinated. Bitten in the tail by a predator, it would take a full 40 seconds for action potentials [nerve impulses] to ascend the length of the tail, body and neck to reach the brain, and another 40 seconds for the signal to return to the tail muscles. Is there any doubt that this reaction time would be incompatible with a successful defensive or escape response?"</w:t>
      </w:r>
      <w:r w:rsidRPr="00923ECC">
        <w:rPr>
          <w:rFonts w:ascii="Book Antiqua" w:hAnsi="Book Antiqua"/>
          <w:sz w:val="20"/>
        </w:rPr>
        <w:t>[8] On the figures given in that article, myelinated nerves of the same diameter would require about 1.6 seconds for the round trip reaction time.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Dr, Coleman continues:</w:t>
      </w:r>
      <w:r w:rsidRPr="00923ECC">
        <w:rPr>
          <w:rFonts w:ascii="Book Antiqua" w:hAnsi="Book Antiqua"/>
          <w:i/>
          <w:sz w:val="20"/>
        </w:rPr>
        <w:t xml:space="preserve"> "The [myelin] sheath is segmented, and there are openings [nodes of Ranvier] where the axon is 'bare' and where sodium channels cluster. The action potential [nerve impulse] jumps from node to node at great speed (saltatory conduction), much greater than if the nerve were nonmyelinated." </w:t>
      </w:r>
      <w:r w:rsidRPr="00923ECC">
        <w:rPr>
          <w:rFonts w:ascii="Book Antiqua" w:hAnsi="Book Antiqua"/>
          <w:sz w:val="20"/>
        </w:rPr>
        <w:t>Dr. Colman finalizes by saying,</w:t>
      </w:r>
      <w:r w:rsidRPr="00923ECC">
        <w:rPr>
          <w:rFonts w:ascii="Book Antiqua" w:hAnsi="Book Antiqua"/>
          <w:i/>
          <w:sz w:val="20"/>
        </w:rPr>
        <w:t xml:space="preserve"> "Thus, we have to conclude that by myelinating the nervous system, massive body size became possible; it permitted survival by organisms that then became progressively larger, possibly because of </w:t>
      </w:r>
      <w:r w:rsidRPr="00923ECC">
        <w:rPr>
          <w:rFonts w:ascii="Book Antiqua" w:hAnsi="Book Antiqua"/>
          <w:b/>
          <w:i/>
          <w:sz w:val="20"/>
        </w:rPr>
        <w:t>secondary</w:t>
      </w:r>
      <w:r w:rsidRPr="00923ECC">
        <w:rPr>
          <w:rFonts w:ascii="Book Antiqua" w:hAnsi="Book Antiqua"/>
          <w:i/>
          <w:sz w:val="20"/>
        </w:rPr>
        <w:t xml:space="preserve"> factors such as those proposed by Sander and Clauss."</w:t>
      </w:r>
      <w:r w:rsidRPr="00923ECC">
        <w:rPr>
          <w:rFonts w:ascii="Book Antiqua" w:hAnsi="Book Antiqua"/>
          <w:sz w:val="20"/>
        </w:rPr>
        <w:t>[8]</w:t>
      </w:r>
      <w:r w:rsidRPr="00923ECC">
        <w:rPr>
          <w:rFonts w:ascii="Book Antiqua" w:hAnsi="Book Antiqua"/>
          <w:i/>
          <w:sz w:val="20"/>
        </w:rPr>
        <w:t xml:space="preserve"> </w:t>
      </w: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at this point that an important fact need be noted. A.S. Hill et al. state: </w:t>
      </w:r>
      <w:r w:rsidRPr="00923ECC">
        <w:rPr>
          <w:rFonts w:ascii="Book Antiqua" w:hAnsi="Book Antiqua"/>
          <w:i/>
          <w:sz w:val="20"/>
        </w:rPr>
        <w:t>"Most animals, from jellyfish to man, rely on electrical impulses called action potentials (APs) for rapid, long distance neuronal signaling. ... In jawed vertebrates (i.e. sharks, jawed bony fish, and tetrapods), the rate of AP propagation along nerve fibers, or axons, is markedly increased by myelin. ... By contrast, invertebrate neurons typically lack myelinated axons ..."</w:t>
      </w:r>
      <w:r w:rsidRPr="00923ECC">
        <w:rPr>
          <w:rFonts w:ascii="Book Antiqua" w:hAnsi="Book Antiqua"/>
          <w:sz w:val="20"/>
        </w:rPr>
        <w:t>[9]</w:t>
      </w:r>
      <w:r w:rsidRPr="00923ECC">
        <w:rPr>
          <w:rFonts w:ascii="Book Antiqua" w:hAnsi="Book Antiqua"/>
          <w:i/>
          <w:sz w:val="20"/>
        </w:rPr>
        <w:t xml:space="preserve"> </w:t>
      </w:r>
      <w:proofErr w:type="gramStart"/>
      <w:r w:rsidRPr="00923ECC">
        <w:rPr>
          <w:rFonts w:ascii="Book Antiqua" w:hAnsi="Book Antiqua"/>
          <w:sz w:val="20"/>
        </w:rPr>
        <w:t>Their</w:t>
      </w:r>
      <w:proofErr w:type="gramEnd"/>
      <w:r w:rsidRPr="00923ECC">
        <w:rPr>
          <w:rFonts w:ascii="Book Antiqua" w:hAnsi="Book Antiqua"/>
          <w:sz w:val="20"/>
        </w:rPr>
        <w:t xml:space="preserve"> paper illustrated the difference between the myelinated nerves of the jawed vertebrates and the unmyelinated nerves of the invertebrates (non chordates).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2. 2 </w:t>
      </w:r>
      <w:proofErr w:type="gramStart"/>
      <w:r w:rsidRPr="00923ECC">
        <w:rPr>
          <w:rFonts w:ascii="Book Antiqua" w:hAnsi="Book Antiqua"/>
          <w:i/>
          <w:sz w:val="20"/>
          <w:szCs w:val="20"/>
        </w:rPr>
        <w:t>The</w:t>
      </w:r>
      <w:proofErr w:type="gramEnd"/>
      <w:r w:rsidRPr="00923ECC">
        <w:rPr>
          <w:rFonts w:ascii="Book Antiqua" w:hAnsi="Book Antiqua"/>
          <w:i/>
          <w:sz w:val="20"/>
          <w:szCs w:val="20"/>
        </w:rPr>
        <w:t xml:space="preserve"> Importance of Bio-Electro-Magnetism</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For both vertebrates and invertebrates, then, it is important to know how nerves conduct their messages.  Zalc et al. summarize the situation as follows.</w:t>
      </w:r>
      <w:r w:rsidRPr="00923ECC">
        <w:rPr>
          <w:rFonts w:ascii="Book Antiqua" w:hAnsi="Book Antiqua"/>
          <w:i/>
          <w:sz w:val="20"/>
        </w:rPr>
        <w:t xml:space="preserve"> "The myelin sheath was a transformative vertebrate acquisition, enabling great increases in impulse propagation velocity along axons. ... In non-myelinated axons, the propagation speed of the action potential [nerve signal] is directly proportional to the axon diameter. In both vertebrates and invertebrates, axon diameter averages between 0.5 and 30 microns. As a consequence, action potentials along non-myelinated invertebrate axons propagate at about 1 m sec</w:t>
      </w:r>
      <w:r w:rsidRPr="00923ECC">
        <w:rPr>
          <w:rFonts w:ascii="Book Antiqua" w:hAnsi="Book Antiqua"/>
          <w:i/>
          <w:sz w:val="20"/>
          <w:vertAlign w:val="superscript"/>
        </w:rPr>
        <w:t>−1</w:t>
      </w:r>
      <w:r w:rsidRPr="00923ECC">
        <w:rPr>
          <w:rFonts w:ascii="Book Antiqua" w:hAnsi="Book Antiqua"/>
          <w:i/>
          <w:sz w:val="20"/>
        </w:rPr>
        <w:t xml:space="preserve"> or less for an axon of </w:t>
      </w:r>
      <w:r w:rsidRPr="00923ECC">
        <w:rPr>
          <w:rFonts w:ascii="Book Antiqua" w:hAnsi="Book Antiqua"/>
          <w:i/>
          <w:noProof/>
          <w:sz w:val="20"/>
        </w:rPr>
        <w:drawing>
          <wp:inline distT="0" distB="0" distL="0" distR="0">
            <wp:extent cx="127000" cy="38100"/>
            <wp:effectExtent l="19050" t="0" r="6350" b="0"/>
            <wp:docPr id="144" name="Picture 54" descr="not, vert, simi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t, vert, similar"/>
                    <pic:cNvPicPr>
                      <a:picLocks noChangeAspect="1" noChangeArrowheads="1"/>
                    </pic:cNvPicPr>
                  </pic:nvPicPr>
                  <pic:blipFill>
                    <a:blip r:embed="rId1098" cstate="print"/>
                    <a:srcRect/>
                    <a:stretch>
                      <a:fillRect/>
                    </a:stretch>
                  </pic:blipFill>
                  <pic:spPr bwMode="auto">
                    <a:xfrm>
                      <a:off x="0" y="0"/>
                      <a:ext cx="127000" cy="38100"/>
                    </a:xfrm>
                    <a:prstGeom prst="rect">
                      <a:avLst/>
                    </a:prstGeom>
                    <a:noFill/>
                    <a:ln w="9525">
                      <a:noFill/>
                      <a:miter lim="800000"/>
                      <a:headEnd/>
                      <a:tailEnd/>
                    </a:ln>
                  </pic:spPr>
                </pic:pic>
              </a:graphicData>
            </a:graphic>
          </wp:inline>
        </w:drawing>
      </w:r>
      <w:r w:rsidRPr="00923ECC">
        <w:rPr>
          <w:rFonts w:ascii="Book Antiqua" w:hAnsi="Book Antiqua"/>
          <w:i/>
          <w:sz w:val="20"/>
        </w:rPr>
        <w:t xml:space="preserve">10 </w:t>
      </w:r>
      <w:r w:rsidRPr="00923ECC">
        <w:rPr>
          <w:rFonts w:ascii="Book Antiqua" w:hAnsi="Book Antiqua"/>
          <w:i/>
          <w:sz w:val="20"/>
        </w:rPr>
        <w:lastRenderedPageBreak/>
        <w:t>microns in diameter. This is sufficient, however, for routine conduction within the framework of animals of relatively small size (between 0.1 and 30 cm)."</w:t>
      </w:r>
      <w:r w:rsidRPr="00923ECC">
        <w:rPr>
          <w:rFonts w:ascii="Book Antiqua" w:hAnsi="Book Antiqua"/>
          <w:sz w:val="20"/>
        </w:rPr>
        <w:t>[10] It is thus important to know how the nerve operates.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J. Malmivuo and R. Plonsey have made some key comments which have a bearing on our problem. In [11], page 33, they state: </w:t>
      </w:r>
      <w:r w:rsidRPr="00923ECC">
        <w:rPr>
          <w:rFonts w:ascii="Book Antiqua" w:hAnsi="Book Antiqua"/>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923ECC">
        <w:rPr>
          <w:rFonts w:ascii="Book Antiqua" w:hAnsi="Book Antiqua"/>
          <w:i/>
          <w:sz w:val="20"/>
        </w:rPr>
        <w:t>phenomena</w:t>
      </w:r>
      <w:proofErr w:type="gramEnd"/>
      <w:r w:rsidRPr="00923ECC">
        <w:rPr>
          <w:rFonts w:ascii="Book Antiqua" w:hAnsi="Book Antiqua"/>
          <w:i/>
          <w:sz w:val="20"/>
        </w:rPr>
        <w:t xml:space="preserve"> is also associated with the contraction of the cell [the working of the muscle]. In other cells, such as gland cells and ciliated cells, it is believed that the membrane voltage is important to the execution of cell function."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Malmivuo and Plonsey continue [11]</w:t>
      </w:r>
      <w:r w:rsidRPr="00923ECC">
        <w:rPr>
          <w:rFonts w:ascii="Book Antiqua" w:hAnsi="Book Antiqua"/>
          <w:i/>
          <w:sz w:val="20"/>
        </w:rPr>
        <w:t>, "The origin of the membrane voltage is the same in nerve cells as in muscle cells. In both cell types, the membrane generates an impulse as a consequence of excitation. This impulse propagates in both cell types in the same manner."</w:t>
      </w:r>
      <w:r w:rsidRPr="00923ECC">
        <w:rPr>
          <w:rFonts w:ascii="Book Antiqua" w:hAnsi="Book Antiqua"/>
          <w:sz w:val="20"/>
        </w:rPr>
        <w:t xml:space="preserve"> Then in [11] page 39 they explain, </w:t>
      </w:r>
      <w:r w:rsidRPr="00923ECC">
        <w:rPr>
          <w:rFonts w:ascii="Book Antiqua" w:hAnsi="Book Antiqua"/>
          <w:i/>
          <w:sz w:val="20"/>
        </w:rPr>
        <w:t>"If the excitatory stimulus is strong enough, the transmembrane potential [voltage] reaches the threshold, and the membrane produces a characteristic electric impulse,</w:t>
      </w:r>
      <w:r w:rsidRPr="00923ECC">
        <w:rPr>
          <w:rFonts w:ascii="Book Antiqua" w:hAnsi="Book Antiqua"/>
          <w:sz w:val="20"/>
        </w:rPr>
        <w:t xml:space="preserve"> the </w:t>
      </w:r>
      <w:r w:rsidRPr="00923ECC">
        <w:rPr>
          <w:rFonts w:ascii="Book Antiqua" w:hAnsi="Book Antiqua"/>
          <w:b/>
          <w:i/>
          <w:sz w:val="20"/>
        </w:rPr>
        <w:t>nerve impulse.</w:t>
      </w:r>
      <w:r w:rsidRPr="00923ECC">
        <w:rPr>
          <w:rFonts w:ascii="Book Antiqua" w:hAnsi="Book Antiqua"/>
          <w:i/>
          <w:sz w:val="20"/>
        </w:rPr>
        <w:t xml:space="preserve"> This potential [voltage] response follows a[n] ... all-or-nothing law."</w:t>
      </w:r>
      <w:r w:rsidRPr="00923ECC">
        <w:rPr>
          <w:rFonts w:ascii="Book Antiqua" w:hAnsi="Book Antiqua"/>
          <w:sz w:val="20"/>
        </w:rPr>
        <w:t xml:space="preserve"> (</w:t>
      </w:r>
      <w:proofErr w:type="gramStart"/>
      <w:r w:rsidRPr="00923ECC">
        <w:rPr>
          <w:rFonts w:ascii="Book Antiqua" w:hAnsi="Book Antiqua"/>
          <w:sz w:val="20"/>
        </w:rPr>
        <w:t>emphasis</w:t>
      </w:r>
      <w:proofErr w:type="gramEnd"/>
      <w:r w:rsidRPr="00923ECC">
        <w:rPr>
          <w:rFonts w:ascii="Book Antiqua" w:hAnsi="Book Antiqua"/>
          <w:sz w:val="20"/>
        </w:rPr>
        <w:t xml:space="preserve"> in the original) In other words, if the stimulus is not strong enough, there will be no response. It is only once the stimulus is strong enough to rise above a threshold voltage that any signal will be sent.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it is the voltage difference across the cell membrane which initiates an electric current. As early as 1905, Ludvig Hermann suggested that the voltage difference between excited and unexcited regions of the axon would cause small currents to flow between them in such a direction that they stimulate the unexcited region. This has proved to be correct and these currents are now called 'local circuit currents.'</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3 More About Axons </w:t>
      </w:r>
    </w:p>
    <w:p w:rsidR="0014236D" w:rsidRPr="00923ECC" w:rsidRDefault="0014236D" w:rsidP="0014236D">
      <w:pPr>
        <w:pStyle w:val="NoSpacing"/>
        <w:jc w:val="both"/>
        <w:rPr>
          <w:rFonts w:ascii="Book Antiqua" w:hAnsi="Book Antiqua"/>
          <w:sz w:val="20"/>
          <w:u w:val="single"/>
        </w:rPr>
      </w:pPr>
      <w:r w:rsidRPr="00923ECC">
        <w:rPr>
          <w:rFonts w:ascii="Book Antiqua" w:hAnsi="Book Antiqua"/>
          <w:sz w:val="20"/>
        </w:rPr>
        <w:tab/>
        <w:t xml:space="preserve">Malmivuo and Plonsey outline in [11] on page 42 what actually happens as follows: </w:t>
      </w:r>
      <w:r w:rsidRPr="00923ECC">
        <w:rPr>
          <w:rFonts w:ascii="Book Antiqua" w:hAnsi="Book Antiqua"/>
          <w:i/>
          <w:sz w:val="20"/>
        </w:rPr>
        <w:t>"Activation in the form of the nerve impulse (action potential) is first seen in the root of the axon - the initial segment of the axon, often called the axon hillock."</w:t>
      </w:r>
      <w:r w:rsidRPr="00923ECC">
        <w:rPr>
          <w:rFonts w:ascii="Book Antiqua" w:hAnsi="Book Antiqua"/>
          <w:sz w:val="20"/>
        </w:rPr>
        <w:t xml:space="preserve"> Note that this segment of the axon is unmyelinated. </w:t>
      </w:r>
      <w:r w:rsidRPr="00923ECC">
        <w:rPr>
          <w:rFonts w:ascii="Book Antiqua" w:hAnsi="Book Antiqua"/>
          <w:i/>
          <w:sz w:val="20"/>
        </w:rPr>
        <w:t xml:space="preserve">"From there it propagates along the axon. ... </w:t>
      </w:r>
      <w:r w:rsidRPr="00923ECC">
        <w:rPr>
          <w:rFonts w:ascii="Book Antiqua" w:hAnsi="Book Antiqua"/>
          <w:i/>
          <w:sz w:val="20"/>
          <w:u w:val="single"/>
        </w:rPr>
        <w:t>The conduction velocity depends on the electric properties and the geometry of the axon."</w:t>
      </w:r>
      <w:r w:rsidRPr="00923ECC">
        <w:rPr>
          <w:rFonts w:ascii="Book Antiqua" w:hAnsi="Book Antiqua"/>
          <w:i/>
          <w:sz w:val="20"/>
        </w:rPr>
        <w:t xml:space="preserve"> </w:t>
      </w:r>
      <w:r w:rsidRPr="00923ECC">
        <w:rPr>
          <w:rFonts w:ascii="Book Antiqua" w:hAnsi="Book Antiqua"/>
          <w:sz w:val="20"/>
        </w:rPr>
        <w:t>[</w:t>
      </w:r>
      <w:proofErr w:type="gramStart"/>
      <w:r w:rsidRPr="00923ECC">
        <w:rPr>
          <w:rFonts w:ascii="Book Antiqua" w:hAnsi="Book Antiqua"/>
          <w:sz w:val="20"/>
        </w:rPr>
        <w:t>emphasis</w:t>
      </w:r>
      <w:proofErr w:type="gramEnd"/>
      <w:r w:rsidRPr="00923ECC">
        <w:rPr>
          <w:rFonts w:ascii="Book Antiqua" w:hAnsi="Book Antiqua"/>
          <w:sz w:val="20"/>
        </w:rPr>
        <w:t xml:space="preserve"> added].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Malmivuo and Plonsey point out that those two properties are the electrical capacitance per unit length of the axon, and the diameter of the axon. The membrane capacitance per unit length determines the amount of charge required to achieve a certain potential or voltage and therefore the rate of flow of electric current. Large capacitance values mean slower conduction velocities if other factors remain the same. The capacitance is much smaller in myelinated axons than in unmyelinated versions and, as a consequence, the nerve conduction velocity is higher in myelinated axons.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other factor affecting conduction velocity is the diameter of the axon. Signal propagation is linearly dependent upon the diameter of the myelinated axon. In the case of myelinated axons, the nerve impulse propagates by jumping from one node of Ranvier (see Figure 5) to the next. In other words, the speed of electrical transmission through the nerve depends on both the capacitance and diameter of the axon.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 xml:space="preserve">2. 4 How Voltage Differences Arise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Between the inside and outside of a cell, there can </w:t>
      </w:r>
      <w:proofErr w:type="gramStart"/>
      <w:r w:rsidRPr="00923ECC">
        <w:rPr>
          <w:rFonts w:ascii="Book Antiqua" w:hAnsi="Book Antiqua"/>
          <w:sz w:val="20"/>
        </w:rPr>
        <w:t>exist</w:t>
      </w:r>
      <w:proofErr w:type="gramEnd"/>
      <w:r w:rsidRPr="00923ECC">
        <w:rPr>
          <w:rFonts w:ascii="Book Antiqua" w:hAnsi="Book Antiqua"/>
          <w:sz w:val="20"/>
        </w:rPr>
        <w:t xml:space="preserve"> a voltage difference. This occurs because the fluids inside and outside a cell are highly conductive, while the cell's membrane is highly resistive. The voltage change therefore occurs across the width of the cell membrane itself. The voltage difference arises from the action of ionized atoms. The main ions involved with nerve conduction are the sodium </w:t>
      </w:r>
      <m:oMath>
        <m:sSup>
          <m:sSupPr>
            <m:ctrlPr>
              <w:rPr>
                <w:rFonts w:ascii="Cambria Math" w:hAnsi="Book Antiqua"/>
                <w:i/>
                <w:sz w:val="20"/>
              </w:rPr>
            </m:ctrlPr>
          </m:sSupPr>
          <m:e>
            <m:r>
              <w:rPr>
                <w:rFonts w:ascii="Cambria Math" w:hAnsi="Cambria Math"/>
                <w:sz w:val="20"/>
              </w:rPr>
              <m:t>Na</m:t>
            </m:r>
          </m:e>
          <m:sup>
            <m:r>
              <w:rPr>
                <w:rFonts w:ascii="Cambria Math" w:hAnsi="Book Antiqua"/>
                <w:sz w:val="20"/>
              </w:rPr>
              <m:t>+</m:t>
            </m:r>
          </m:sup>
        </m:sSup>
      </m:oMath>
      <w:r w:rsidRPr="00923ECC">
        <w:rPr>
          <w:rFonts w:ascii="Book Antiqua" w:hAnsi="Book Antiqua"/>
          <w:sz w:val="20"/>
        </w:rPr>
        <w:t xml:space="preserve"> ion and potassium </w:t>
      </w:r>
      <m:oMath>
        <m:sSup>
          <m:sSupPr>
            <m:ctrlPr>
              <w:rPr>
                <w:rFonts w:ascii="Cambria Math" w:hAnsi="Book Antiqua"/>
                <w:i/>
                <w:sz w:val="20"/>
              </w:rPr>
            </m:ctrlPr>
          </m:sSupPr>
          <m:e>
            <m:r>
              <w:rPr>
                <w:rFonts w:ascii="Cambria Math" w:hAnsi="Cambria Math"/>
                <w:sz w:val="20"/>
              </w:rPr>
              <m:t>K</m:t>
            </m:r>
          </m:e>
          <m:sup>
            <m:r>
              <w:rPr>
                <w:rFonts w:ascii="Cambria Math" w:hAnsi="Book Antiqua"/>
                <w:sz w:val="20"/>
              </w:rPr>
              <m:t>+</m:t>
            </m:r>
          </m:sup>
        </m:sSup>
      </m:oMath>
      <w:r w:rsidRPr="00923ECC">
        <w:rPr>
          <w:rFonts w:ascii="Book Antiqua" w:hAnsi="Book Antiqua"/>
          <w:sz w:val="20"/>
        </w:rPr>
        <w:t xml:space="preserve"> ion. Both of these ions have a positive (+) charge since one electron has been removed from each. The movement of these ions and their concentrations </w:t>
      </w:r>
      <w:proofErr w:type="gramStart"/>
      <w:r w:rsidRPr="00923ECC">
        <w:rPr>
          <w:rFonts w:ascii="Book Antiqua" w:hAnsi="Book Antiqua"/>
          <w:sz w:val="20"/>
        </w:rPr>
        <w:t>on  either</w:t>
      </w:r>
      <w:proofErr w:type="gramEnd"/>
      <w:r w:rsidRPr="00923ECC">
        <w:rPr>
          <w:rFonts w:ascii="Book Antiqua" w:hAnsi="Book Antiqua"/>
          <w:sz w:val="20"/>
        </w:rPr>
        <w:t xml:space="preserve"> side of the cell membrane result in changing voltage. Their movement is achieved through the agency of ion channels, ion pumps and ion transporters, which are embedded in the membrane itself. These agencies maintain different </w:t>
      </w:r>
      <w:r w:rsidRPr="00923ECC">
        <w:rPr>
          <w:rFonts w:ascii="Book Antiqua" w:hAnsi="Book Antiqua"/>
          <w:sz w:val="20"/>
        </w:rPr>
        <w:lastRenderedPageBreak/>
        <w:t xml:space="preserve">ion concentrations inside and outside the cell. With myelinated nerves, the presence of dense clusters of sodium ion channels on the initial axon segment and at the nodes of Ranvier is </w:t>
      </w:r>
      <w:proofErr w:type="gramStart"/>
      <w:r w:rsidRPr="00923ECC">
        <w:rPr>
          <w:rFonts w:ascii="Book Antiqua" w:hAnsi="Book Antiqua"/>
          <w:sz w:val="20"/>
        </w:rPr>
        <w:t>key</w:t>
      </w:r>
      <w:proofErr w:type="gramEnd"/>
      <w:r w:rsidRPr="00923ECC">
        <w:rPr>
          <w:rFonts w:ascii="Book Antiqua" w:hAnsi="Book Antiqua"/>
          <w:sz w:val="20"/>
        </w:rPr>
        <w:t xml:space="preserve"> in the production of rapidly conducted electrical impulses.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Thus, with nerves,</w:t>
      </w:r>
      <w:r w:rsidRPr="00923ECC">
        <w:rPr>
          <w:rFonts w:ascii="Book Antiqua" w:hAnsi="Book Antiqua"/>
          <w:color w:val="FF0000"/>
          <w:sz w:val="20"/>
        </w:rPr>
        <w:t xml:space="preserve"> </w:t>
      </w:r>
      <w:r w:rsidRPr="00923ECC">
        <w:rPr>
          <w:rFonts w:ascii="Book Antiqua" w:hAnsi="Book Antiqua"/>
          <w:sz w:val="20"/>
        </w:rPr>
        <w:t xml:space="preserve">we are speaking about electric charges, voltage differences, and the movement of charges (which constitute an electric current). That means we are dealing with the laws of physics generally and electro-magnetism in particular.  </w:t>
      </w:r>
    </w:p>
    <w:p w:rsidR="0014236D" w:rsidRPr="00923ECC" w:rsidRDefault="0014236D" w:rsidP="0014236D">
      <w:pPr>
        <w:pStyle w:val="NormalWeb"/>
        <w:jc w:val="both"/>
        <w:rPr>
          <w:rFonts w:ascii="Book Antiqua" w:hAnsi="Book Antiqua"/>
          <w:i/>
          <w:sz w:val="20"/>
          <w:szCs w:val="20"/>
        </w:rPr>
      </w:pPr>
      <w:r w:rsidRPr="00923ECC">
        <w:rPr>
          <w:rFonts w:ascii="Book Antiqua" w:hAnsi="Book Antiqua"/>
          <w:i/>
          <w:sz w:val="20"/>
          <w:szCs w:val="20"/>
        </w:rPr>
        <w:t>2. 5 Influence of the Zero Point Energy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electric and magnetic phenomena are dependent upon the strength of a massive field of electro-magnetic energy which pervades the entire universe – the Zero Point Energy [12]. It is call the Zero Point Energy (ZPE) because it has been found to be present even when a vacuum has been cooled to as close to absolute </w:t>
      </w:r>
      <w:proofErr w:type="gramStart"/>
      <w:r w:rsidRPr="00923ECC">
        <w:rPr>
          <w:rFonts w:ascii="Book Antiqua" w:hAnsi="Book Antiqua"/>
          <w:sz w:val="20"/>
        </w:rPr>
        <w:t>zero</w:t>
      </w:r>
      <w:proofErr w:type="gramEnd"/>
      <w:r w:rsidRPr="00923ECC">
        <w:rPr>
          <w:rFonts w:ascii="Book Antiqua" w:hAnsi="Book Antiqua"/>
          <w:sz w:val="20"/>
        </w:rPr>
        <w:t xml:space="preserve"> as possible.  It is made up of all different wavelengths going in every direction at once [13].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All currently accepted cosmological models agree there was an initial expansion of the universe.  (Whether or not that expansion continues is not part of this discussion).  This initial expansion resulted in an enormous amount of potential energy being invested in the fabric of space in the same way a stretched rubber band possesses potential energy </w:t>
      </w:r>
      <w:proofErr w:type="gramStart"/>
      <w:r w:rsidRPr="00923ECC">
        <w:rPr>
          <w:rFonts w:ascii="Book Antiqua" w:hAnsi="Book Antiqua"/>
          <w:sz w:val="20"/>
        </w:rPr>
        <w:t>When</w:t>
      </w:r>
      <w:proofErr w:type="gramEnd"/>
      <w:r w:rsidRPr="00923ECC">
        <w:rPr>
          <w:rFonts w:ascii="Book Antiqua" w:hAnsi="Book Antiqua"/>
          <w:sz w:val="20"/>
        </w:rPr>
        <w:t xml:space="preserve"> released, the potential energy in the rubber band will convert to kinetic, or active energy.  This conversion process is very rapid at first and then slows down and the potential energy begins to run out.   Similarly, the potential energy invested in the fabric of space during its expansion converted into kinetic energy.  It appears as this universally pervasive energy we call the Zero Point Energy.  And, like the rubber band, the conversion rate from potential to kinetic energy was extremely rapid at first, and then slowed down dramatically [14].   This process of conversion did continue for some time, and while it was continuing, the electro-magnetic ZPE field was becoming stronger as evidenced by astronomical data [15].</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change in the strength of the ZPE, as it built up, had two major effects. First, both the (electric) permittivity and (magnetic) permeability of space increased. Second, it has also been shown that, while electrostatic forces remained unchanged, the field strength of an electric charge is inversely proportional to the square root of the ZPE strength [12]. This same proportionality applies to currents.  This also means that when the ZPE strength was lower, all capacitances were also lower in direct proportion. </w:t>
      </w:r>
    </w:p>
    <w:p w:rsidR="0014236D" w:rsidRDefault="0014236D" w:rsidP="0014236D">
      <w:pPr>
        <w:pStyle w:val="NormalWeb"/>
        <w:numPr>
          <w:ilvl w:val="0"/>
          <w:numId w:val="44"/>
        </w:numPr>
        <w:jc w:val="both"/>
        <w:rPr>
          <w:rFonts w:ascii="Book Antiqua" w:hAnsi="Book Antiqua"/>
          <w:b/>
          <w:sz w:val="20"/>
          <w:szCs w:val="20"/>
        </w:rPr>
      </w:pPr>
      <w:r w:rsidRPr="00477A64">
        <w:rPr>
          <w:rFonts w:ascii="Book Antiqua" w:hAnsi="Book Antiqua"/>
          <w:b/>
          <w:sz w:val="20"/>
          <w:szCs w:val="20"/>
        </w:rPr>
        <w:t>The Zero Point Energy</w:t>
      </w:r>
      <w:r>
        <w:rPr>
          <w:rFonts w:ascii="Book Antiqua" w:hAnsi="Book Antiqua"/>
          <w:b/>
          <w:sz w:val="20"/>
          <w:szCs w:val="20"/>
        </w:rPr>
        <w:t>,</w:t>
      </w:r>
      <w:r w:rsidRPr="00477A64">
        <w:rPr>
          <w:rFonts w:ascii="Book Antiqua" w:hAnsi="Book Antiqua"/>
          <w:b/>
          <w:sz w:val="20"/>
          <w:szCs w:val="20"/>
        </w:rPr>
        <w:t xml:space="preserve"> and Biological Effects</w:t>
      </w:r>
      <w:r>
        <w:rPr>
          <w:rFonts w:ascii="Book Antiqua" w:hAnsi="Book Antiqua"/>
          <w:b/>
          <w:sz w:val="20"/>
          <w:szCs w:val="20"/>
        </w:rPr>
        <w:t xml:space="preserve"> from Bio-Electro-Magnetism</w:t>
      </w:r>
    </w:p>
    <w:p w:rsidR="0014236D" w:rsidRPr="00477A64" w:rsidRDefault="0014236D" w:rsidP="0014236D">
      <w:pPr>
        <w:pStyle w:val="NormalWeb"/>
        <w:ind w:left="720"/>
        <w:jc w:val="both"/>
        <w:rPr>
          <w:rFonts w:ascii="Book Antiqua" w:hAnsi="Book Antiqua"/>
          <w:i/>
          <w:sz w:val="20"/>
          <w:szCs w:val="20"/>
        </w:rPr>
      </w:pPr>
      <w:r w:rsidRPr="00477A64">
        <w:rPr>
          <w:rFonts w:ascii="Book Antiqua" w:hAnsi="Book Antiqua"/>
          <w:i/>
          <w:sz w:val="20"/>
          <w:szCs w:val="20"/>
        </w:rPr>
        <w:t>3.1 Introduction</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result of this, biologically, is that, in the early days of life on earth,</w:t>
      </w:r>
      <w:r w:rsidRPr="00923ECC">
        <w:rPr>
          <w:rFonts w:ascii="Book Antiqua" w:hAnsi="Book Antiqua"/>
          <w:color w:val="FF0000"/>
          <w:sz w:val="20"/>
          <w:szCs w:val="20"/>
        </w:rPr>
        <w:t xml:space="preserve"> </w:t>
      </w:r>
      <w:r w:rsidRPr="00923ECC">
        <w:rPr>
          <w:rFonts w:ascii="Book Antiqua" w:hAnsi="Book Antiqua"/>
          <w:sz w:val="20"/>
          <w:szCs w:val="20"/>
        </w:rPr>
        <w:t xml:space="preserve">when ZPE strength was lower, the field strengths of both </w:t>
      </w:r>
      <m:oMath>
        <m:sSup>
          <m:sSupPr>
            <m:ctrlPr>
              <w:rPr>
                <w:rFonts w:ascii="Cambria Math" w:hAnsi="Book Antiqua"/>
                <w:i/>
                <w:sz w:val="20"/>
                <w:szCs w:val="20"/>
              </w:rPr>
            </m:ctrlPr>
          </m:sSupPr>
          <m:e>
            <m:r>
              <w:rPr>
                <w:rFonts w:ascii="Cambria Math" w:hAnsi="Cambria Math"/>
                <w:sz w:val="20"/>
                <w:szCs w:val="20"/>
              </w:rPr>
              <m:t>Na</m:t>
            </m:r>
          </m:e>
          <m:sup>
            <m:r>
              <w:rPr>
                <w:rFonts w:ascii="Cambria Math" w:hAnsi="Book Antiqua"/>
                <w:sz w:val="20"/>
                <w:szCs w:val="20"/>
              </w:rPr>
              <m:t>+</m:t>
            </m:r>
          </m:sup>
        </m:sSup>
      </m:oMath>
      <w:r w:rsidRPr="00923ECC">
        <w:rPr>
          <w:rFonts w:ascii="Book Antiqua" w:hAnsi="Book Antiqua"/>
          <w:sz w:val="20"/>
          <w:szCs w:val="20"/>
        </w:rPr>
        <w:t xml:space="preserve"> and </w:t>
      </w:r>
      <m:oMath>
        <m:sSup>
          <m:sSupPr>
            <m:ctrlPr>
              <w:rPr>
                <w:rFonts w:ascii="Cambria Math" w:hAnsi="Book Antiqua"/>
                <w:i/>
                <w:sz w:val="20"/>
                <w:szCs w:val="20"/>
              </w:rPr>
            </m:ctrlPr>
          </m:sSupPr>
          <m:e>
            <m:r>
              <w:rPr>
                <w:rFonts w:ascii="Cambria Math" w:hAnsi="Cambria Math"/>
                <w:sz w:val="20"/>
                <w:szCs w:val="20"/>
              </w:rPr>
              <m:t>K</m:t>
            </m:r>
          </m:e>
          <m:sup>
            <m:r>
              <w:rPr>
                <w:rFonts w:ascii="Cambria Math" w:hAnsi="Book Antiqua"/>
                <w:sz w:val="20"/>
                <w:szCs w:val="20"/>
              </w:rPr>
              <m:t>+</m:t>
            </m:r>
          </m:sup>
        </m:sSup>
      </m:oMath>
      <w:r w:rsidRPr="00923ECC">
        <w:rPr>
          <w:rFonts w:ascii="Book Antiqua" w:hAnsi="Book Antiqua"/>
          <w:sz w:val="20"/>
          <w:szCs w:val="20"/>
        </w:rPr>
        <w:t xml:space="preserve"> ions were stronger.  Stronger field strengths resulted in stronger currents, as previously mentioned. More importantly, the capacitance of the axons was also lower. It is this which is the determining factor in the rate of signal conduction in the axon. On page 42 of [11], Malmivuo and Plonsey show in equation (2.1) that signal conduction velocity along the axon is inversely proportional to the capacitance of the axon. Mathematically, all other terms which would be variable under changing ZPE conditions cancel out. This leaves capacitance as the sole player where nerve conduction velocities are concerned.  Thus, when the ZPE strength was 1/10th of its current value, so was the capacitance of the axons. Under these conditions, then, the nerve signals were not only stronger, but traveled 10 times as fast down the axon.  When data from both astronomical and geological observations are coordinated, it is evident that the strength of the ZPE during the development of life on earth was significantly lower than 1/10 of what it is now.  So both nerve signal velocities and reaction times would have been much faster </w:t>
      </w:r>
      <w:r>
        <w:rPr>
          <w:rFonts w:ascii="Book Antiqua" w:hAnsi="Book Antiqua"/>
          <w:sz w:val="20"/>
          <w:szCs w:val="20"/>
        </w:rPr>
        <w:t xml:space="preserve">in the past </w:t>
      </w:r>
      <w:r w:rsidRPr="00923ECC">
        <w:rPr>
          <w:rFonts w:ascii="Book Antiqua" w:hAnsi="Book Antiqua"/>
          <w:sz w:val="20"/>
          <w:szCs w:val="20"/>
        </w:rPr>
        <w:t>as a result.</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Invertebrates such as the giant fauna of the Paleozoic, the great sea scorpions, the monster millipedes, the immense dragonflies, all had non-myelinated nerves.  As will be mentioned by Dr. Zalc, today there appears to be a </w:t>
      </w:r>
      <w:r w:rsidRPr="00923ECC">
        <w:rPr>
          <w:rFonts w:ascii="Book Antiqua" w:hAnsi="Book Antiqua"/>
          <w:sz w:val="20"/>
        </w:rPr>
        <w:lastRenderedPageBreak/>
        <w:t xml:space="preserve">limiting size of about 30 centimeters for these organisms [10].  Yet these animals must have been efficient in order to have survived.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a lower ZPE, and thus a lower capacitance, unmyelinated axons would present no problem to invertebrates. The significantly faster nerve signal velocities would allow them to grow to the enormous sizes seen in the fossil record and still be efficient creatures. This also applies to the large dinosaurs. Theoretical problems regarding their reaction times are no longer relevant under these conditions.  If, during their time, the ZPE was only 1/10 its current strength, their reaction times would be only 0.16 seconds.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w:t>
      </w:r>
      <w:r w:rsidRPr="00923ECC">
        <w:rPr>
          <w:rFonts w:ascii="Book Antiqua" w:hAnsi="Book Antiqua"/>
          <w:i/>
          <w:sz w:val="20"/>
          <w:szCs w:val="20"/>
        </w:rPr>
        <w:t>2 The Role of the Synapse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time-delay in the transmission of nerve signals across the synapse also needs to be considered. The synapse, or synaptic cleft, is the gap between two nerve cells. These synapses also operate as a gateway where signals are passed on to other cells such as muscles or glands. In effect, there is a transmitting terminal on the end of an axon and a receiving terminal at the beginning of the adjacent cell. Nerve signals must travel across this synaptic cleft to get to the next cell or neuron. Today this process may take as long as 1 millisecond.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are two forms of transmission across the synapse: electrical and chemical. Both forms are used throughout the nervous system, but the most common form today is chemical transmission.  However, when the synaptic cleft is very small (about 0.0035 microns wide) electrical transmission is more common.  This narrow gap allows direct electrical coupling between the neurons. In this case, the signal crosses the cleft essentially instantaneously. In contrast, the synapse depending on chemical transmission is about 0.01 to 0.05 microns, or about 10 times the width of the smaller synapses. Chemical transmission rates are much slower than electrical transmission rates.  The question is</w:t>
      </w:r>
      <w:proofErr w:type="gramStart"/>
      <w:r w:rsidRPr="00923ECC">
        <w:rPr>
          <w:rFonts w:ascii="Book Antiqua" w:hAnsi="Book Antiqua"/>
          <w:sz w:val="20"/>
        </w:rPr>
        <w:t>,</w:t>
      </w:r>
      <w:proofErr w:type="gramEnd"/>
      <w:r w:rsidRPr="00923ECC">
        <w:rPr>
          <w:rFonts w:ascii="Book Antiqua" w:hAnsi="Book Antiqua"/>
          <w:sz w:val="20"/>
        </w:rPr>
        <w:t xml:space="preserve"> has this always been the case? </w:t>
      </w:r>
    </w:p>
    <w:p w:rsidR="0014236D"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Several steps are involved in the transmission of signals through the nervous system. First, the electrical signal progresses down the axon to its terminal. This terminal is a swelling in the axon and contains neurotransmitter molecules (which include glutamate, acetylcholine, seratonin, histamine, γ-aminiobutyric acid and others). The electric signal depolarizes the axon terminal, and this opens a voltage-dependent channel which allows </w:t>
      </w:r>
      <m:oMath>
        <m:sSup>
          <m:sSupPr>
            <m:ctrlPr>
              <w:rPr>
                <w:rFonts w:ascii="Cambria Math" w:hAnsi="Book Antiqua"/>
                <w:i/>
                <w:sz w:val="20"/>
              </w:rPr>
            </m:ctrlPr>
          </m:sSupPr>
          <m:e>
            <m:r>
              <w:rPr>
                <w:rFonts w:ascii="Cambria Math" w:hAnsi="Cambria Math"/>
                <w:sz w:val="20"/>
              </w:rPr>
              <m:t>Ca</m:t>
            </m:r>
          </m:e>
          <m:sup>
            <m:r>
              <w:rPr>
                <w:rFonts w:ascii="Cambria Math" w:hAnsi="Book Antiqua"/>
                <w:sz w:val="20"/>
              </w:rPr>
              <m:t>++</m:t>
            </m:r>
          </m:sup>
        </m:sSup>
      </m:oMath>
      <w:r w:rsidRPr="00923ECC">
        <w:rPr>
          <w:rFonts w:ascii="Book Antiqua" w:hAnsi="Book Antiqua"/>
          <w:sz w:val="20"/>
        </w:rPr>
        <w:t xml:space="preserve"> calcium ions to flow into the terminal.  This causes the terminal to expel the neurotransmitter molecules into the synaptic cleft.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neurotransmitters diffuse across the cleft and then attach to the receptors on the other side of the synaptic gap. This attachment then excites the receiving neuron, which opens a voltage-gated sodium ion channel in response, and so the electric current continues. In the meantime, the neurotransmitter molecules, or "ligands", are expelled from the receptors and recycled back to the axon terminal.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3.3</w:t>
      </w:r>
      <w:r w:rsidRPr="00923ECC">
        <w:rPr>
          <w:rFonts w:ascii="Book Antiqua" w:hAnsi="Book Antiqua"/>
          <w:i/>
          <w:sz w:val="20"/>
          <w:szCs w:val="20"/>
        </w:rPr>
        <w:t xml:space="preserve"> Electro-Magnetism in Synapse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An important point that has emerged from experiments is that the apparently simple diffusion of the neurotransmitter molecule across the synapse, and its subsequent "docking" in the specifically designed receptor, is actually facilitated by electromagnetism. The initial research and experimentation was done by R.F. Stewart and B. M. Craven on the neurotransmitter gamma-aminobutyric acid (GABA). As they examined that molecule in detail, they found that </w:t>
      </w:r>
      <w:r w:rsidRPr="00923ECC">
        <w:rPr>
          <w:rFonts w:ascii="Book Antiqua" w:hAnsi="Book Antiqua"/>
          <w:i/>
          <w:sz w:val="20"/>
        </w:rPr>
        <w:t>"there is an extensive region of electropositivity around the ammonium group, and an electronegative region around the carboxylate group."</w:t>
      </w:r>
      <w:r w:rsidRPr="00923ECC">
        <w:rPr>
          <w:rFonts w:ascii="Book Antiqua" w:hAnsi="Book Antiqua"/>
          <w:sz w:val="20"/>
        </w:rPr>
        <w:t xml:space="preserve">[16] It is therefore apparent that this neurotransmitter molecule has a dipole field with a negatively charged end and a positively charged end.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was confirmed by later studies. T. Shikata and K. Hashimoto detailed their experimental results with the neurotransmitters GABA and L-Glutamate [17]. They confirmed that large dipole moments existed with both of these molecules, and that the receptors for these molecules detect differences in both magnitude and direction of these dipole </w:t>
      </w:r>
      <w:r w:rsidRPr="00923ECC">
        <w:rPr>
          <w:rFonts w:ascii="Book Antiqua" w:hAnsi="Book Antiqua"/>
          <w:sz w:val="20"/>
        </w:rPr>
        <w:lastRenderedPageBreak/>
        <w:t xml:space="preserve">electric fields. They explain, </w:t>
      </w:r>
      <w:r w:rsidRPr="00923ECC">
        <w:rPr>
          <w:rFonts w:ascii="Book Antiqua" w:hAnsi="Book Antiqua"/>
          <w:i/>
          <w:sz w:val="20"/>
        </w:rPr>
        <w:t>"</w:t>
      </w:r>
      <w:proofErr w:type="gramStart"/>
      <w:r w:rsidRPr="00923ECC">
        <w:rPr>
          <w:rFonts w:ascii="Book Antiqua" w:hAnsi="Book Antiqua"/>
          <w:i/>
          <w:sz w:val="20"/>
        </w:rPr>
        <w:t>the</w:t>
      </w:r>
      <w:proofErr w:type="gramEnd"/>
      <w:r w:rsidRPr="00923ECC">
        <w:rPr>
          <w:rFonts w:ascii="Book Antiqua" w:hAnsi="Book Antiqua"/>
          <w:i/>
          <w:sz w:val="20"/>
        </w:rPr>
        <w:t xml:space="preserve"> receptors effectively control the orientation of GABA and L-Glutamate via dipole-dipole interaction ... i.e. an electric field is generated between the binding sites and the [ligands]."</w:t>
      </w:r>
      <w:r w:rsidRPr="00923ECC">
        <w:rPr>
          <w:rFonts w:ascii="Book Antiqua" w:hAnsi="Book Antiqua"/>
          <w:sz w:val="20"/>
        </w:rPr>
        <w:t>[17]</w:t>
      </w:r>
      <w:r w:rsidRPr="00923ECC">
        <w:rPr>
          <w:rFonts w:ascii="Book Antiqua" w:hAnsi="Book Antiqua"/>
          <w:i/>
          <w:sz w:val="20"/>
        </w:rPr>
        <w:t xml:space="preserve"> </w:t>
      </w:r>
      <w:r w:rsidRPr="00923ECC">
        <w:rPr>
          <w:rFonts w:ascii="Book Antiqua" w:hAnsi="Book Antiqua"/>
          <w:sz w:val="20"/>
        </w:rPr>
        <w:t>In other words, the apparently simple diffusion of the ligand or neuro-transmitter molecule across the synapse is in fact facilitated by electrostatic attraction, and so, too, is the "docking" procedure.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has been confirmed recently by research performed by P. Kovacic, R. Posos, and C. D. Draskovich. In their key paper regarding this, "Unifying Electrostatic Mechanism for Receptor - Ligand Activity," [18] they elaborate on an earlier electrostatic mechanism discovered for the receptor-ligand activity. They write </w:t>
      </w:r>
      <w:r w:rsidRPr="00923ECC">
        <w:rPr>
          <w:rFonts w:ascii="Book Antiqua" w:hAnsi="Book Antiqua"/>
          <w:i/>
          <w:sz w:val="20"/>
        </w:rPr>
        <w:t>"The fundamental aspect entails the presence of molecular electrostatic potential [voltage] associated with ions and dipoles in the ligand. The ligand can be regarded as an electrical link that joins prevalent electrostatic fields present in the surrounding protein matrix. ... A summary of receptor biology is also provided, including receptors for acetylcholine (nicotinic and muscarinic), GABA, adrenergic, and glutamate."</w:t>
      </w:r>
      <w:r w:rsidRPr="00923ECC">
        <w:rPr>
          <w:rFonts w:ascii="Book Antiqua" w:hAnsi="Book Antiqua"/>
          <w:sz w:val="20"/>
        </w:rPr>
        <w:t>[18]</w:t>
      </w:r>
      <w:r w:rsidRPr="00923ECC">
        <w:rPr>
          <w:rFonts w:ascii="Book Antiqua" w:hAnsi="Book Antiqua"/>
          <w:i/>
          <w:sz w:val="20"/>
        </w:rPr>
        <w:t xml:space="preserve"> </w:t>
      </w:r>
      <w:r w:rsidRPr="00923ECC">
        <w:rPr>
          <w:rFonts w:ascii="Book Antiqua" w:hAnsi="Book Antiqua"/>
          <w:sz w:val="20"/>
        </w:rPr>
        <w:t xml:space="preserve">In other words, in all the ligands studied, it has been found that the action of dipoles, electrostatic fields and voltage on both ligands and receptors are responsible for the diffusion across the synapse.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3.4</w:t>
      </w:r>
      <w:r w:rsidRPr="00923ECC">
        <w:rPr>
          <w:rFonts w:ascii="Book Antiqua" w:hAnsi="Book Antiqua"/>
          <w:i/>
          <w:sz w:val="20"/>
          <w:szCs w:val="20"/>
        </w:rPr>
        <w:t xml:space="preserve"> Voltage-Driven Diffusion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Therefore, even in the case of chemical transmission,</w:t>
      </w:r>
      <w:r w:rsidRPr="00923ECC">
        <w:rPr>
          <w:rFonts w:ascii="Book Antiqua" w:hAnsi="Book Antiqua"/>
          <w:color w:val="FF0000"/>
          <w:sz w:val="20"/>
        </w:rPr>
        <w:t xml:space="preserve"> </w:t>
      </w:r>
      <w:r w:rsidRPr="00923ECC">
        <w:rPr>
          <w:rFonts w:ascii="Book Antiqua" w:hAnsi="Book Antiqua"/>
          <w:sz w:val="20"/>
        </w:rPr>
        <w:t>we are dealing with electrically driven or voltage-driven diffusion for the transmission of nerve signals across the synapse. We have already noted that the field strength of an electric charge is inversely proportional to the square-root of the strength of the ZPE. This also applies to dipole fields. As a consequence, these ligands would be more strongly attracted to their receptors when the ZPE strength was lower.</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 This attraction, and hence the rate of movement of the diffusing molecule, will be proportional to the voltages involved. Since the voltage from such charges is inversely proportional to the square-root of ZPE strength, the rate of voltage-driven diffusion will be inversely proportional in the same way. Therefore, when the ZPE was at 1/10th of its present strength, the rate of diffusion across the synapse was about 3.2 times faster. All biological voltages would change in proportion to this.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3.5</w:t>
      </w:r>
      <w:r w:rsidRPr="00923ECC">
        <w:rPr>
          <w:rFonts w:ascii="Book Antiqua" w:hAnsi="Book Antiqua"/>
          <w:i/>
          <w:sz w:val="20"/>
          <w:szCs w:val="20"/>
        </w:rPr>
        <w:t xml:space="preserve"> Conclusion on Gigantism in Fossil Fauna</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It thus appears that the whole process of nerve transmission, including voltage-driven diffusion, may have been more efficient in earlier times when the strength of the ZPE was lower. Other published research of Kovacic, Posos, and Draskovich has indicated that voltage driven diffusion may be operating in a variety of other biological applications. This conclusion is enhanced by the work of Malmivuo and Plonsey [11].  Their studies show that everything from cell behavior to muscular and gland behavior is related to bio-electro-magnetics.  A lower ZPE would result, as mentioned, in greater voltage differences, and it is this which would promote faster and more efficient ion transfers, be they within the cells themselves or between cells such as nerves.</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There are some important ideas to consider in this regard.  Both muscular systems and glands, in particular, are dependent upon both the strength of electrical impulses and the associated ion transfers.  Bio-electro-magnetics, dealing with both these areas, affect almost every part of an organism’s functioning.  Thus, it may well follow that a number of the biological problems we see today would not have been common, or perhaps not even existed, in times past.  For instance, if biological systems were more efficient with lower ZPE strengths, resulting in more efficient muscular systems, many heart problems we see today might not have existed before.  If glandular activity was also more efficient, immune systems would have also been stronger and more quickly reactive.  This type of thing may then indicate a potential for not only gigantism, but longer life spans as well, which would have been necessary for some of the animals to attain the sizes they did.  </w:t>
      </w:r>
    </w:p>
    <w:p w:rsidR="00D1626D" w:rsidRDefault="00D1626D" w:rsidP="0014236D">
      <w:pPr>
        <w:pStyle w:val="NoSpacing"/>
        <w:jc w:val="both"/>
        <w:rPr>
          <w:rFonts w:ascii="Book Antiqua" w:hAnsi="Book Antiqua"/>
          <w:sz w:val="20"/>
        </w:rPr>
      </w:pPr>
    </w:p>
    <w:p w:rsidR="00D1626D" w:rsidRDefault="00D1626D" w:rsidP="0014236D">
      <w:pPr>
        <w:pStyle w:val="NoSpacing"/>
        <w:jc w:val="both"/>
        <w:rPr>
          <w:rFonts w:ascii="Book Antiqua" w:hAnsi="Book Antiqua"/>
          <w:sz w:val="20"/>
        </w:rPr>
      </w:pPr>
    </w:p>
    <w:p w:rsidR="00D1626D" w:rsidRDefault="00D1626D" w:rsidP="0014236D">
      <w:pPr>
        <w:pStyle w:val="NoSpacing"/>
        <w:jc w:val="both"/>
        <w:rPr>
          <w:rFonts w:ascii="Book Antiqua" w:hAnsi="Book Antiqua"/>
          <w:sz w:val="20"/>
        </w:rPr>
      </w:pPr>
    </w:p>
    <w:p w:rsidR="00D1626D" w:rsidRPr="00923ECC" w:rsidRDefault="00D1626D" w:rsidP="0014236D">
      <w:pPr>
        <w:pStyle w:val="NoSpacing"/>
        <w:jc w:val="both"/>
        <w:rPr>
          <w:rFonts w:ascii="Book Antiqua" w:hAnsi="Book Antiqua"/>
          <w:sz w:val="20"/>
        </w:rPr>
      </w:pP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lastRenderedPageBreak/>
        <w:t>3.6</w:t>
      </w:r>
      <w:r w:rsidRPr="00923ECC">
        <w:rPr>
          <w:rFonts w:ascii="Book Antiqua" w:hAnsi="Book Antiqua"/>
          <w:i/>
          <w:sz w:val="20"/>
          <w:szCs w:val="20"/>
        </w:rPr>
        <w:t xml:space="preserve"> Cenozoic Extinction of Megafauna</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There are a number of theories as to why the megafauna became extinct in the Cenozoic Era. Large mammals are prominent in fossil strata from the Eocene to the end of the Miocene, that is, from 55 million down to 5 million atomic years. In the interval from 5 million down to 2.6 million atomic years the extinction of these creatures becomes apparent. During the ice-age the process continued until the last stragglers disappear in the interval between 50,000 and 15,000 atomic years ago. There has been speculation that both human expansion and climate changes were responsible. However, another factor may also have been at work; the behavior of the ZPE.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curve describing the increase of the ZPE has been shown to be the inverse of the curve that astronomical redshift data follow. This was detailed in a paper presented at the 17th NPA Conference in 2010 [15].  This same astronomical curve describes the rapidity of transmission of bio-electro-magnetic phenomena since that, too, is inversely related to ZPE strength. It flattens out with increasing time, but at a fairly high level. Then, as the present era approached, there was a sudden drop in red shift values until they reach their present point. We can pick up this drop in the astronomical data as our Local Group of galaxies is approached. The time-frame for this drop starts from about 10 million down to about 3 million atomic years ago. This is in good accord with fossil data. So a key factor in the </w:t>
      </w:r>
      <w:proofErr w:type="gramStart"/>
      <w:r w:rsidRPr="00923ECC">
        <w:rPr>
          <w:rFonts w:ascii="Book Antiqua" w:hAnsi="Book Antiqua"/>
          <w:sz w:val="20"/>
        </w:rPr>
        <w:t>megafauna</w:t>
      </w:r>
      <w:proofErr w:type="gramEnd"/>
      <w:r w:rsidRPr="00923ECC">
        <w:rPr>
          <w:rFonts w:ascii="Book Antiqua" w:hAnsi="Book Antiqua"/>
          <w:sz w:val="20"/>
        </w:rPr>
        <w:t xml:space="preserve"> extinction may have been related to the sudden increase in the strength of the ZPE at that point, which would have produced an equally rapid decline in the efficiency, strength, and propagation rates of bio-electro-magnetic effects.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b/>
          <w:sz w:val="20"/>
        </w:rPr>
      </w:pPr>
      <w:r>
        <w:rPr>
          <w:rFonts w:ascii="Book Antiqua" w:hAnsi="Book Antiqua"/>
          <w:b/>
          <w:sz w:val="20"/>
        </w:rPr>
        <w:t>4</w:t>
      </w:r>
      <w:r w:rsidRPr="00923ECC">
        <w:rPr>
          <w:rFonts w:ascii="Book Antiqua" w:hAnsi="Book Antiqua"/>
          <w:b/>
          <w:sz w:val="20"/>
        </w:rPr>
        <w:t>.  Fossil Flora</w:t>
      </w:r>
      <w:r>
        <w:rPr>
          <w:rFonts w:ascii="Book Antiqua" w:hAnsi="Book Antiqua"/>
          <w:b/>
          <w:sz w:val="20"/>
        </w:rPr>
        <w:t>, the ZPE, and the Behavior of Light Amplitudes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Because flora were so prolific in both size and numbers in the fossil record, it may well be that some factor or factors promoting plant growth also changed. To understand possible causes for any change in plant size and numbers, we must examine the basic processes involved in plant growth. This means we must examine both photosynthesis in plants, which uses light energy, and the behavior of light with time.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4</w:t>
      </w:r>
      <w:r w:rsidRPr="00923ECC">
        <w:rPr>
          <w:rFonts w:ascii="Book Antiqua" w:hAnsi="Book Antiqua"/>
          <w:i/>
          <w:sz w:val="20"/>
          <w:szCs w:val="20"/>
        </w:rPr>
        <w:t xml:space="preserve">. 1 Light </w:t>
      </w:r>
      <w:proofErr w:type="gramStart"/>
      <w:r w:rsidRPr="00923ECC">
        <w:rPr>
          <w:rFonts w:ascii="Book Antiqua" w:hAnsi="Book Antiqua"/>
          <w:i/>
          <w:sz w:val="20"/>
          <w:szCs w:val="20"/>
        </w:rPr>
        <w:t>Through</w:t>
      </w:r>
      <w:proofErr w:type="gramEnd"/>
      <w:r w:rsidRPr="00923ECC">
        <w:rPr>
          <w:rFonts w:ascii="Book Antiqua" w:hAnsi="Book Antiqua"/>
          <w:i/>
          <w:sz w:val="20"/>
          <w:szCs w:val="20"/>
        </w:rPr>
        <w:t xml:space="preserve"> Time</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A photon of light is released when an electron on any atom, from any element, is forced out of position relative to the nucleus and then snaps back into position.  The energy it took to force it out of position is the energy released as a photon of light when it snaps back into position. Data indicate that the speed of light was much faster in the past [19, 20]. It was subsequently demonstrated that the speed of light is inversely dependent upon the strength of the Zero Point Energy (ZPE) [13].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increase in the strength of the ZPE through time had two effects on light.  First, a stronger ZPE slowed light down.  Since ZPE waves go in all directions, they impact each other in somewhat the same way as the wake of a speedboat impacts waves in the ocean. Where waves meet, they crest and form whitecaps which die down quickly.  When ZPE waves meet, they create a concentration of energy which results in the formation of a positive and negative pair of particles.  These virtual particles flash into existence momentarily, then re-combine and annihilate. While they exist, they can absorb a photon of light the same way any other particle can. However their almost instantaneous recombination releases the photon to continue on its way.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more virtual particles a photon of light must navigate, the longer it takes to reach its final destination, or point of final absorption. It has been estimated that today, in any given second, there are about </w:t>
      </w:r>
      <m:oMath>
        <m:sSup>
          <m:sSupPr>
            <m:ctrlPr>
              <w:rPr>
                <w:rFonts w:ascii="Cambria Math" w:hAnsi="Book Antiqua"/>
                <w:i/>
                <w:sz w:val="20"/>
              </w:rPr>
            </m:ctrlPr>
          </m:sSupPr>
          <m:e>
            <m:r>
              <w:rPr>
                <w:rFonts w:ascii="Cambria Math" w:hAnsi="Book Antiqua"/>
                <w:sz w:val="20"/>
              </w:rPr>
              <m:t>10</m:t>
            </m:r>
          </m:e>
          <m:sup>
            <m:r>
              <w:rPr>
                <w:rFonts w:ascii="Cambria Math" w:hAnsi="Book Antiqua"/>
                <w:sz w:val="20"/>
              </w:rPr>
              <m:t>63</m:t>
            </m:r>
          </m:sup>
        </m:sSup>
        <m:r>
          <w:rPr>
            <w:rFonts w:ascii="Cambria Math" w:hAnsi="Book Antiqua"/>
            <w:sz w:val="20"/>
          </w:rPr>
          <m:t xml:space="preserve"> </m:t>
        </m:r>
      </m:oMath>
      <w:r w:rsidRPr="00923ECC">
        <w:rPr>
          <w:rFonts w:ascii="Book Antiqua" w:hAnsi="Book Antiqua"/>
          <w:sz w:val="20"/>
        </w:rPr>
        <w:t>virtual particles flashing into and out of existence in any given cubic meter. Consequently, light photons encounter huge numbers of these virtual particles even over very short distances.  When the ZPE was weaker, there were fewer virtual particles at any one time in any given volume to slow down the passage of a photon of light.  As the ZPE built up, then, the speed of light necessarily slowed.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 xml:space="preserve">Effectively, the vacuum has become "thicker" with these virtual particles over time.  This means that before, with a lower ZPE, and hence fewer virtual particles, the speed of light was higher and therefore more photons of light were arriving at any location at any given instant. It has also be shown that light generation processes in stars, such as our sun, were correspondingly more rapid [21].  </w:t>
      </w:r>
    </w:p>
    <w:p w:rsidR="0014236D" w:rsidRPr="00923ECC" w:rsidRDefault="0014236D" w:rsidP="0014236D">
      <w:pPr>
        <w:pStyle w:val="NormalWeb"/>
        <w:jc w:val="both"/>
        <w:rPr>
          <w:rFonts w:ascii="Book Antiqua" w:hAnsi="Book Antiqua"/>
          <w:i/>
          <w:sz w:val="20"/>
          <w:szCs w:val="20"/>
        </w:rPr>
      </w:pPr>
      <w:proofErr w:type="gramStart"/>
      <w:r>
        <w:rPr>
          <w:rFonts w:ascii="Book Antiqua" w:hAnsi="Book Antiqua"/>
          <w:i/>
          <w:sz w:val="20"/>
          <w:szCs w:val="20"/>
        </w:rPr>
        <w:t>4</w:t>
      </w:r>
      <w:r w:rsidRPr="00923ECC">
        <w:rPr>
          <w:rFonts w:ascii="Book Antiqua" w:hAnsi="Book Antiqua"/>
          <w:i/>
          <w:sz w:val="20"/>
          <w:szCs w:val="20"/>
        </w:rPr>
        <w:t>. 2 Higher Light-Speed</w:t>
      </w:r>
      <w:proofErr w:type="gramEnd"/>
      <w:r w:rsidRPr="00923ECC">
        <w:rPr>
          <w:rFonts w:ascii="Book Antiqua" w:hAnsi="Book Antiqua"/>
          <w:i/>
          <w:sz w:val="20"/>
          <w:szCs w:val="20"/>
        </w:rPr>
        <w:t xml:space="preserve"> Also Means Softer Light</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With greater numbers of light waves, or photons, reaching them, it might be thought that plants and trees would burn up. However, this is not the case. To understand why, it is necessary to understand something about waves in motion.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basic formula applies in such cases. It states that for any given wave, the square of the wave amplitude (or height) multiplied by the wave velocity is a constant [22]. So initially, when the speed (the velocity) of light was high, the heights or amplitudes of these light waves had to be quite small. As the speed of light reduced, the heights or amplitudes of these light waves increased. A similar situation can be seen in a tsunami wave. When traveling fast in the middle of the ocean, it may only be a meter high. As it nears land, the changes it encounters simultaneously reduce its speed and increase its height.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brightness, or intensity, of light is determined by the wave amplitude or height (see Figure 6). The amplitude changes with the speed.  When the speed of light was higher, the amplitude was lower – thus the light per photon from the sun was less bright.  But there were proportionally more photons arriving per second with this lower amplitude. The result was that the total brightness would have been the same as now. When light speed slowed, amplitude increased.  Today, the light from each photon is very bright, but there are fewer photons arriving per second.  The result is that the overall brightness has not changed.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3542866" cy="3076575"/>
            <wp:effectExtent l="19050" t="0" r="434" b="0"/>
            <wp:docPr id="145" name="il_fi" descr="http://www.nasa.gov/images/content/56474main_amplit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asa.gov/images/content/56474main_amplitude.jpg"/>
                    <pic:cNvPicPr>
                      <a:picLocks noChangeAspect="1" noChangeArrowheads="1"/>
                    </pic:cNvPicPr>
                  </pic:nvPicPr>
                  <pic:blipFill>
                    <a:blip r:embed="rId27" cstate="print">
                      <a:lum contrast="30000"/>
                    </a:blip>
                    <a:srcRect/>
                    <a:stretch>
                      <a:fillRect/>
                    </a:stretch>
                  </pic:blipFill>
                  <pic:spPr bwMode="auto">
                    <a:xfrm>
                      <a:off x="0" y="0"/>
                      <a:ext cx="3549217" cy="3082090"/>
                    </a:xfrm>
                    <a:prstGeom prst="rect">
                      <a:avLst/>
                    </a:prstGeom>
                    <a:noFill/>
                    <a:ln w="9525">
                      <a:noFill/>
                      <a:miter lim="800000"/>
                      <a:headEnd/>
                      <a:tailEnd/>
                    </a:ln>
                  </pic:spPr>
                </pic:pic>
              </a:graphicData>
            </a:graphic>
          </wp:inline>
        </w:drawing>
      </w:r>
    </w:p>
    <w:p w:rsidR="0014236D" w:rsidRPr="00923ECC" w:rsidRDefault="0014236D" w:rsidP="0014236D">
      <w:pPr>
        <w:pStyle w:val="NoSpacing"/>
        <w:rPr>
          <w:rFonts w:ascii="Book Antiqua" w:hAnsi="Book Antiqua"/>
          <w:sz w:val="18"/>
          <w:szCs w:val="18"/>
        </w:rPr>
      </w:pPr>
    </w:p>
    <w:p w:rsidR="0014236D" w:rsidRPr="001203CB" w:rsidRDefault="0014236D" w:rsidP="0014236D">
      <w:pPr>
        <w:pStyle w:val="NoSpacing"/>
        <w:rPr>
          <w:rFonts w:ascii="Book Antiqua" w:hAnsi="Book Antiqua"/>
          <w:i/>
          <w:sz w:val="18"/>
          <w:szCs w:val="18"/>
        </w:rPr>
      </w:pPr>
      <w:r w:rsidRPr="001203CB">
        <w:rPr>
          <w:rFonts w:ascii="Book Antiqua" w:hAnsi="Book Antiqua"/>
          <w:b/>
          <w:i/>
          <w:sz w:val="18"/>
          <w:szCs w:val="18"/>
        </w:rPr>
        <w:t>Figure 6:</w:t>
      </w:r>
      <w:r w:rsidRPr="001203CB">
        <w:rPr>
          <w:rFonts w:ascii="Book Antiqua" w:hAnsi="Book Antiqua"/>
          <w:i/>
          <w:sz w:val="18"/>
          <w:szCs w:val="18"/>
        </w:rPr>
        <w:t xml:space="preserve"> Waves of the same wavelength (energy or color) but with different amplitudes (heights or brightness). The top wave is the least bright of the three while the bottom wave is the brightest. When lightspeed was higher, wave heights were lower, so individual waves were less bright. The diagram illustrates what would happen to the same wave with three successively slower speeds of light from top to bottom.</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It is important to note that the changes in the ZPE, and therefore in the amplitude and velocity of the light, did not alter the wave lengths themselves; they were the same from maximum point to maximum point [13].  This means the colors were not different, as colors are a result of wave length, not wave height or speed.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It is the height of the light wave that indicates its brightness, and it seemed intuitive for a long time to associate the brightness with the energy of the light itself.  In the early twentieth century, however, something called the photoelectric effect was discovered.  It was already known that if a ray of light hit a bit of metal, an electron could be discharged and </w:t>
      </w:r>
      <w:proofErr w:type="gramStart"/>
      <w:r w:rsidRPr="00923ECC">
        <w:rPr>
          <w:rFonts w:ascii="Book Antiqua" w:hAnsi="Book Antiqua"/>
          <w:sz w:val="20"/>
        </w:rPr>
        <w:t>initiate</w:t>
      </w:r>
      <w:proofErr w:type="gramEnd"/>
      <w:r w:rsidRPr="00923ECC">
        <w:rPr>
          <w:rFonts w:ascii="Book Antiqua" w:hAnsi="Book Antiqua"/>
          <w:sz w:val="20"/>
        </w:rPr>
        <w:t xml:space="preserve"> an electric current.  However, there was a surprise involved:  some light, no matter how brightly it was concentrated on the metal, failed to activate an electric current.  On the other hand, certain colors of light, no matter how faint, did activate the current.  Light color is determined by wavelength, and therefore is the determining factor in the amount of light energy any light wave contains.  The energy is not a matter of brightness, but of color.</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A unifying way of looking at this difference might be to consider light as being composed of a series of photons instead of waves. For light of a fixed wavelength, we can consider all photons to have the same size. So, as the unbroken stream of photons slows down, the photon size remains the same, but the photon becomes “denser,” or has a greater mass. This is done on the basis that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oMath>
      <w:r w:rsidRPr="00923ECC">
        <w:rPr>
          <w:rFonts w:ascii="Book Antiqua" w:hAnsi="Book Antiqua"/>
          <w:sz w:val="20"/>
        </w:rPr>
        <w:t xml:space="preserve"> is a constant. Its total energy</w:t>
      </w:r>
      <w:proofErr w:type="gramStart"/>
      <w:r w:rsidRPr="00923ECC">
        <w:rPr>
          <w:rFonts w:ascii="Book Antiqua" w:hAnsi="Book Antiqua"/>
          <w:sz w:val="20"/>
        </w:rPr>
        <w:t xml:space="preserve">, </w:t>
      </w:r>
      <m:oMath>
        <w:proofErr w:type="gramEnd"/>
        <m:r>
          <w:rPr>
            <w:rFonts w:ascii="Cambria Math" w:hAnsi="Cambria Math"/>
            <w:sz w:val="20"/>
          </w:rPr>
          <m:t>E</m:t>
        </m:r>
      </m:oMath>
      <w:r w:rsidRPr="00923ECC">
        <w:rPr>
          <w:rFonts w:ascii="Book Antiqua" w:hAnsi="Book Antiqua"/>
          <w:sz w:val="20"/>
        </w:rPr>
        <w:t xml:space="preserve">, remains constant, but as its speed, </w:t>
      </w:r>
      <m:oMath>
        <m:r>
          <w:rPr>
            <w:rFonts w:ascii="Cambria Math" w:hAnsi="Cambria Math"/>
            <w:sz w:val="20"/>
          </w:rPr>
          <m:t>c</m:t>
        </m:r>
      </m:oMath>
      <w:r w:rsidRPr="00923ECC">
        <w:rPr>
          <w:rFonts w:ascii="Book Antiqua" w:hAnsi="Book Antiqua"/>
          <w:sz w:val="20"/>
        </w:rPr>
        <w:t xml:space="preserve">, drops its effective “mass,” </w:t>
      </w:r>
      <m:oMath>
        <m:r>
          <w:rPr>
            <w:rFonts w:ascii="Cambria Math" w:hAnsi="Cambria Math"/>
            <w:sz w:val="20"/>
          </w:rPr>
          <m:t>m</m:t>
        </m:r>
      </m:oMath>
      <w:r w:rsidRPr="00923ECC">
        <w:rPr>
          <w:rFonts w:ascii="Book Antiqua" w:hAnsi="Book Antiqua"/>
          <w:sz w:val="20"/>
        </w:rPr>
        <w:t xml:space="preserve">, increases. Thus, as an analogy, when the speed of light was high, a photon might be considered to have the density, or mass, of a snowflake. However, as c decreased, and the number of photons arriving at an observer per second decreased, the density, or mass, of each photon increased in compensation so it was now more like that of a hailstone, even though its size was unaltered. This change in “density” or mass occurred as ε and µ changed.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Thus light photons, while more numerous originally, were each “softer.”</w:t>
      </w:r>
      <w:r w:rsidRPr="00923ECC">
        <w:rPr>
          <w:rFonts w:ascii="Book Antiqua" w:hAnsi="Book Antiqua"/>
          <w:sz w:val="20"/>
        </w:rPr>
        <w:tab/>
        <w:t xml:space="preserve">This means that as far as early plants were concerned, the strength of each photon’s impact on a leaf was less, even though its energy (color) was the same as now.  So while there were more photons hitting each leaf at any given time, it was more like being bathed in this soft light. Today the overall brightness of the light is the same, but the impact of each photon individually is greater.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In summary, the indication is that, in times past, plants received more photons of light of a given energy per unit area per second than they do now.  However there is no difference in the total amount of brightness through time.  Was there, then, a difference in the manner photosynthesis operated before which would result in gigantism in plants?</w:t>
      </w:r>
    </w:p>
    <w:p w:rsidR="0014236D" w:rsidRPr="0072042F" w:rsidRDefault="0014236D" w:rsidP="0014236D">
      <w:pPr>
        <w:pStyle w:val="NormalWeb"/>
        <w:ind w:left="360"/>
        <w:rPr>
          <w:rFonts w:ascii="Book Antiqua" w:hAnsi="Book Antiqua"/>
          <w:b/>
          <w:sz w:val="20"/>
          <w:szCs w:val="20"/>
        </w:rPr>
      </w:pPr>
      <w:r>
        <w:rPr>
          <w:rFonts w:ascii="Book Antiqua" w:hAnsi="Book Antiqua"/>
          <w:b/>
          <w:sz w:val="20"/>
          <w:szCs w:val="20"/>
        </w:rPr>
        <w:t xml:space="preserve">5  </w:t>
      </w:r>
      <w:r w:rsidRPr="0072042F">
        <w:rPr>
          <w:rFonts w:ascii="Book Antiqua" w:hAnsi="Book Antiqua"/>
          <w:b/>
          <w:sz w:val="20"/>
          <w:szCs w:val="20"/>
        </w:rPr>
        <w:t xml:space="preserve"> Overview of Photosynthesis</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Photosynthesis is the basic process whereby plants, algae, and some bacteria use energy from sunlight to convert water and carbon-dioxide to oxygen and sugars. A basic equation which describes the overall process is as follows: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sz w:val="20"/>
        </w:rPr>
      </w:pPr>
      <m:oMath>
        <m:r>
          <w:rPr>
            <w:rFonts w:ascii="Cambria Math" w:hAnsi="Book Antiqua"/>
            <w:sz w:val="20"/>
          </w:rPr>
          <m:t>6</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6</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r>
          <w:rPr>
            <w:rFonts w:ascii="Cambria Math" w:hAnsi="Book Antiqua"/>
            <w:sz w:val="20"/>
          </w:rPr>
          <m:t xml:space="preserve">  </m:t>
        </m:r>
        <m:r>
          <w:rPr>
            <w:rFonts w:ascii="Cambria Math" w:hAnsi="Book Antiqua"/>
            <w:i/>
            <w:sz w:val="20"/>
          </w:rPr>
          <w:sym w:font="Wingdings" w:char="F0E0"/>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C</m:t>
            </m:r>
          </m:e>
          <m:sub>
            <m:r>
              <w:rPr>
                <w:rFonts w:ascii="Cambria Math" w:hAnsi="Book Antiqua"/>
                <w:sz w:val="20"/>
              </w:rPr>
              <m:t>6</m:t>
            </m:r>
          </m:sub>
        </m:sSub>
        <m:sSub>
          <m:sSubPr>
            <m:ctrlPr>
              <w:rPr>
                <w:rFonts w:ascii="Cambria Math" w:hAnsi="Book Antiqua"/>
                <w:i/>
                <w:sz w:val="20"/>
              </w:rPr>
            </m:ctrlPr>
          </m:sSubPr>
          <m:e>
            <m:r>
              <w:rPr>
                <w:rFonts w:ascii="Cambria Math" w:hAnsi="Cambria Math"/>
                <w:sz w:val="20"/>
              </w:rPr>
              <m:t>H</m:t>
            </m:r>
          </m:e>
          <m:sub>
            <m:r>
              <w:rPr>
                <w:rFonts w:ascii="Cambria Math" w:hAnsi="Book Antiqua"/>
                <w:sz w:val="20"/>
              </w:rPr>
              <m:t>12</m:t>
            </m:r>
          </m:sub>
        </m:sSub>
        <m:sSub>
          <m:sSubPr>
            <m:ctrlPr>
              <w:rPr>
                <w:rFonts w:ascii="Cambria Math" w:hAnsi="Book Antiqua"/>
                <w:i/>
                <w:sz w:val="20"/>
              </w:rPr>
            </m:ctrlPr>
          </m:sSubPr>
          <m:e>
            <m:r>
              <w:rPr>
                <w:rFonts w:ascii="Cambria Math" w:hAnsi="Cambria Math"/>
                <w:sz w:val="20"/>
              </w:rPr>
              <m:t>O</m:t>
            </m:r>
          </m:e>
          <m:sub>
            <m:r>
              <w:rPr>
                <w:rFonts w:ascii="Cambria Math" w:hAnsi="Book Antiqua"/>
                <w:sz w:val="20"/>
              </w:rPr>
              <m:t>6</m:t>
            </m:r>
          </m:sub>
        </m:sSub>
        <m:r>
          <w:rPr>
            <w:rFonts w:ascii="Cambria Math" w:hAnsi="Book Antiqua"/>
            <w:sz w:val="20"/>
          </w:rPr>
          <m:t xml:space="preserve">  +  6</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(1)</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Photosynthesis is made possible when the energy in photons of light is converted to chemical energy by the organism.  This conversion occurs in two stages. The first stage is called photophosphorylation. The processes which occur with photophosphorylation are sometimes referred to as the "light reactions" since they can only take place during daylight hours. The second stage, known as the Calvin Cycle, or the carbon fixation process, takes products of the light reactions, combines them with carbon dioxide, and fixes the carbon into sugars used for plant growth.  This stage of photosynthesis does not require a light source to be present. Let us begin with the light reactions.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5.1</w:t>
      </w:r>
      <w:r w:rsidRPr="00923ECC">
        <w:rPr>
          <w:rFonts w:ascii="Book Antiqua" w:hAnsi="Book Antiqua"/>
          <w:i/>
          <w:sz w:val="20"/>
          <w:szCs w:val="20"/>
        </w:rPr>
        <w:t xml:space="preserve"> The ‘Light Reactions’</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One basic difference between animal cells and plant cells is the existence of something called chloroplasts in the plant cells. The structure of a chloroplast is shown in Figure 7. In plants and algae, (the eukaryotes), the light reactions all occur within the chloroplast. The chloroplast is a specialized component of certain cells which not only contains </w:t>
      </w:r>
      <w:r w:rsidRPr="00923ECC">
        <w:rPr>
          <w:rFonts w:ascii="Book Antiqua" w:hAnsi="Book Antiqua"/>
          <w:sz w:val="20"/>
        </w:rPr>
        <w:lastRenderedPageBreak/>
        <w:t>chlorophyll but also the systems responsible for photosynthesis (see Figure 7). The matrix of the chloroplast is a thick fluid where various ions, enzymes and molecules are found. This matrix is called the stroma. Bacteria (prokaryotes) have a slightly different arrangement but with a similar purpose.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4302337" cy="2113109"/>
            <wp:effectExtent l="19050" t="0" r="2963" b="0"/>
            <wp:docPr id="146"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pic:cNvPicPr>
                      <a:picLocks noChangeAspect="1" noChangeArrowheads="1"/>
                    </pic:cNvPicPr>
                  </pic:nvPicPr>
                  <pic:blipFill>
                    <a:blip r:embed="rId1099" cstate="print"/>
                    <a:srcRect/>
                    <a:stretch>
                      <a:fillRect/>
                    </a:stretch>
                  </pic:blipFill>
                  <pic:spPr bwMode="auto">
                    <a:xfrm>
                      <a:off x="0" y="0"/>
                      <a:ext cx="4313490" cy="2118587"/>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80"/>
        <w:ind w:firstLine="0"/>
        <w:jc w:val="left"/>
        <w:rPr>
          <w:szCs w:val="18"/>
        </w:rPr>
      </w:pPr>
    </w:p>
    <w:p w:rsidR="0014236D" w:rsidRPr="001203CB" w:rsidRDefault="0014236D" w:rsidP="00D1626D">
      <w:pPr>
        <w:pStyle w:val="NormPara"/>
        <w:spacing w:before="80" w:after="80"/>
        <w:ind w:firstLine="0"/>
        <w:jc w:val="center"/>
        <w:rPr>
          <w:i/>
          <w:szCs w:val="18"/>
        </w:rPr>
      </w:pPr>
      <w:r w:rsidRPr="00F02364">
        <w:rPr>
          <w:b/>
          <w:i/>
          <w:szCs w:val="18"/>
        </w:rPr>
        <w:t>Figure 7:</w:t>
      </w:r>
      <w:r w:rsidRPr="001203CB">
        <w:rPr>
          <w:i/>
          <w:szCs w:val="18"/>
        </w:rPr>
        <w:t xml:space="preserve">  Structure of a chloroplast.</w:t>
      </w:r>
    </w:p>
    <w:p w:rsidR="0014236D" w:rsidRPr="00923ECC" w:rsidRDefault="0014236D" w:rsidP="0014236D">
      <w:pPr>
        <w:pStyle w:val="NormalWeb"/>
        <w:rPr>
          <w:rFonts w:ascii="Book Antiqua" w:hAnsi="Book Antiqua"/>
          <w:i/>
          <w:sz w:val="20"/>
          <w:szCs w:val="20"/>
        </w:rPr>
      </w:pPr>
      <w:r>
        <w:rPr>
          <w:rFonts w:ascii="Book Antiqua" w:hAnsi="Book Antiqua"/>
          <w:i/>
          <w:sz w:val="20"/>
          <w:szCs w:val="20"/>
        </w:rPr>
        <w:t>5.2</w:t>
      </w:r>
      <w:r w:rsidRPr="00923ECC">
        <w:rPr>
          <w:rFonts w:ascii="Book Antiqua" w:hAnsi="Book Antiqua"/>
          <w:i/>
          <w:sz w:val="20"/>
          <w:szCs w:val="20"/>
        </w:rPr>
        <w:t xml:space="preserve"> Processes </w:t>
      </w:r>
      <w:proofErr w:type="gramStart"/>
      <w:r w:rsidRPr="00923ECC">
        <w:rPr>
          <w:rFonts w:ascii="Book Antiqua" w:hAnsi="Book Antiqua"/>
          <w:i/>
          <w:sz w:val="20"/>
          <w:szCs w:val="20"/>
        </w:rPr>
        <w:t>Inside</w:t>
      </w:r>
      <w:proofErr w:type="gramEnd"/>
      <w:r w:rsidRPr="00923ECC">
        <w:rPr>
          <w:rFonts w:ascii="Book Antiqua" w:hAnsi="Book Antiqua"/>
          <w:i/>
          <w:sz w:val="20"/>
          <w:szCs w:val="20"/>
        </w:rPr>
        <w:t xml:space="preserve"> a Chloroplast</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The process begins when light photons are collected and absorbed by the surface ‘antenna pigments’ (see Figure 8). These pigments contain chlorophyll, but they do not use the light energy themselves.  They collect light energy and transfer it deeper into the plant cell where a series of pigment molecules and proteins together, called the ‘reaction center,’ begin the actual energy conversion in the thylakoid membrane.</w:t>
      </w:r>
    </w:p>
    <w:p w:rsidR="0014236D" w:rsidRPr="00923ECC" w:rsidRDefault="0014236D" w:rsidP="0014236D">
      <w:pPr>
        <w:pStyle w:val="NormPara"/>
        <w:spacing w:before="80" w:after="80"/>
        <w:ind w:firstLine="0"/>
        <w:jc w:val="center"/>
        <w:rPr>
          <w:sz w:val="20"/>
        </w:rPr>
      </w:pPr>
      <w:r w:rsidRPr="00923ECC">
        <w:rPr>
          <w:noProof/>
          <w:sz w:val="20"/>
        </w:rPr>
        <w:drawing>
          <wp:inline distT="0" distB="0" distL="0" distR="0">
            <wp:extent cx="4490907" cy="2896881"/>
            <wp:effectExtent l="19050" t="0" r="4893" b="0"/>
            <wp:docPr id="974" name="il_fi" descr="http://image.wistatutor.com/content/feed/tvc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age.wistatutor.com/content/feed/tvcs/po.JPG"/>
                    <pic:cNvPicPr>
                      <a:picLocks noChangeAspect="1" noChangeArrowheads="1"/>
                    </pic:cNvPicPr>
                  </pic:nvPicPr>
                  <pic:blipFill>
                    <a:blip r:embed="rId1100" cstate="print">
                      <a:lum/>
                    </a:blip>
                    <a:srcRect l="3726" t="5913" r="7137" b="9225"/>
                    <a:stretch>
                      <a:fillRect/>
                    </a:stretch>
                  </pic:blipFill>
                  <pic:spPr bwMode="auto">
                    <a:xfrm>
                      <a:off x="0" y="0"/>
                      <a:ext cx="4482976" cy="2891765"/>
                    </a:xfrm>
                    <a:prstGeom prst="rect">
                      <a:avLst/>
                    </a:prstGeom>
                    <a:noFill/>
                    <a:ln w="9525">
                      <a:noFill/>
                      <a:miter lim="800000"/>
                      <a:headEnd/>
                      <a:tailEnd/>
                    </a:ln>
                  </pic:spPr>
                </pic:pic>
              </a:graphicData>
            </a:graphic>
          </wp:inline>
        </w:drawing>
      </w:r>
    </w:p>
    <w:p w:rsidR="0014236D" w:rsidRPr="00923ECC" w:rsidRDefault="0014236D" w:rsidP="0014236D">
      <w:pPr>
        <w:pStyle w:val="NormPara"/>
        <w:spacing w:before="80" w:after="120"/>
        <w:ind w:firstLine="0"/>
        <w:jc w:val="left"/>
        <w:rPr>
          <w:szCs w:val="18"/>
        </w:rPr>
      </w:pPr>
    </w:p>
    <w:p w:rsidR="0014236D" w:rsidRPr="00F02364" w:rsidRDefault="0014236D" w:rsidP="00D1626D">
      <w:pPr>
        <w:pStyle w:val="NormPara"/>
        <w:spacing w:before="80" w:after="120"/>
        <w:ind w:firstLine="0"/>
        <w:jc w:val="center"/>
        <w:rPr>
          <w:i/>
          <w:szCs w:val="18"/>
        </w:rPr>
      </w:pPr>
      <w:r w:rsidRPr="00F02364">
        <w:rPr>
          <w:b/>
          <w:i/>
          <w:szCs w:val="18"/>
        </w:rPr>
        <w:t>Figure 8:</w:t>
      </w:r>
      <w:r w:rsidRPr="00F02364">
        <w:rPr>
          <w:i/>
          <w:szCs w:val="18"/>
        </w:rPr>
        <w:t xml:space="preserve">  Antenna system and reaction center in thylakoid membrane.</w:t>
      </w:r>
    </w:p>
    <w:p w:rsidR="0014236D" w:rsidRPr="00923ECC" w:rsidRDefault="0014236D" w:rsidP="0014236D">
      <w:pPr>
        <w:pStyle w:val="NormPara"/>
        <w:spacing w:before="80" w:after="120"/>
        <w:ind w:firstLine="0"/>
        <w:jc w:val="left"/>
        <w:rPr>
          <w:szCs w:val="18"/>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The antenna </w:t>
      </w:r>
      <w:proofErr w:type="gramStart"/>
      <w:r w:rsidRPr="00923ECC">
        <w:rPr>
          <w:rFonts w:ascii="Book Antiqua" w:hAnsi="Book Antiqua"/>
          <w:sz w:val="20"/>
        </w:rPr>
        <w:t>pigments,</w:t>
      </w:r>
      <w:proofErr w:type="gramEnd"/>
      <w:r w:rsidRPr="00923ECC">
        <w:rPr>
          <w:rFonts w:ascii="Book Antiqua" w:hAnsi="Book Antiqua"/>
          <w:sz w:val="20"/>
        </w:rPr>
        <w:t xml:space="preserve"> are made up of chlorophyll </w:t>
      </w:r>
      <w:r w:rsidRPr="00923ECC">
        <w:rPr>
          <w:rFonts w:ascii="Book Antiqua" w:hAnsi="Book Antiqua"/>
          <w:b/>
          <w:i/>
          <w:sz w:val="20"/>
        </w:rPr>
        <w:t>a</w:t>
      </w:r>
      <w:r w:rsidRPr="00923ECC">
        <w:rPr>
          <w:rFonts w:ascii="Book Antiqua" w:hAnsi="Book Antiqua"/>
          <w:sz w:val="20"/>
        </w:rPr>
        <w:t xml:space="preserve"> and chlorophyll</w:t>
      </w:r>
      <w:r w:rsidRPr="00923ECC">
        <w:rPr>
          <w:rFonts w:ascii="Book Antiqua" w:hAnsi="Book Antiqua"/>
          <w:b/>
          <w:sz w:val="20"/>
        </w:rPr>
        <w:t xml:space="preserve"> </w:t>
      </w:r>
      <w:r w:rsidRPr="00923ECC">
        <w:rPr>
          <w:rFonts w:ascii="Book Antiqua" w:hAnsi="Book Antiqua"/>
          <w:b/>
          <w:i/>
          <w:sz w:val="20"/>
        </w:rPr>
        <w:t>b</w:t>
      </w:r>
      <w:r w:rsidRPr="00923ECC">
        <w:rPr>
          <w:rFonts w:ascii="Book Antiqua" w:hAnsi="Book Antiqua"/>
          <w:sz w:val="20"/>
        </w:rPr>
        <w:t xml:space="preserve"> as well as some carotenoid molecules. Chlorophylls </w:t>
      </w:r>
      <w:r w:rsidRPr="00923ECC">
        <w:rPr>
          <w:rFonts w:ascii="Book Antiqua" w:hAnsi="Book Antiqua"/>
          <w:b/>
          <w:i/>
          <w:sz w:val="20"/>
        </w:rPr>
        <w:t>a</w:t>
      </w:r>
      <w:r w:rsidRPr="00923ECC">
        <w:rPr>
          <w:rFonts w:ascii="Book Antiqua" w:hAnsi="Book Antiqua"/>
          <w:b/>
          <w:sz w:val="20"/>
        </w:rPr>
        <w:t xml:space="preserve"> </w:t>
      </w:r>
      <w:r w:rsidRPr="00923ECC">
        <w:rPr>
          <w:rFonts w:ascii="Book Antiqua" w:hAnsi="Book Antiqua"/>
          <w:sz w:val="20"/>
        </w:rPr>
        <w:t xml:space="preserve">and </w:t>
      </w:r>
      <w:r w:rsidRPr="00923ECC">
        <w:rPr>
          <w:rFonts w:ascii="Book Antiqua" w:hAnsi="Book Antiqua"/>
          <w:b/>
          <w:i/>
          <w:sz w:val="20"/>
        </w:rPr>
        <w:t>b</w:t>
      </w:r>
      <w:r w:rsidRPr="00923ECC">
        <w:rPr>
          <w:rFonts w:ascii="Book Antiqua" w:hAnsi="Book Antiqua"/>
          <w:sz w:val="20"/>
        </w:rPr>
        <w:t xml:space="preserve"> differ in the wavelengths they absorb best, but both absorb red and blue much better than yellow and green. However, the carotenoids fill this gap by preferentially absorbing green light. The entire antenna complex, comprising from 100 to 5000 molecules, ensures that the majority of light photons will be trapped and passed on to their associated reaction centers. The number of pigment molecules in the antenna complex is flexible.  It is usual for systems growing in low light or shady conditions to have more antenna molecules connected to each reaction center than those in full sun.</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 xml:space="preserve">The process by which energy is passed down to the thylakoid reaction centers is via electron transfer.  There are two photo-systems with which the antenna complexes and their reaction centers are associated. In Photosystem II (PS II) the reaction center contains chlorophyll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vertAlign w:val="subscript"/>
        </w:rPr>
        <w:t xml:space="preserve"> </w:t>
      </w:r>
      <w:r w:rsidRPr="00923ECC">
        <w:rPr>
          <w:rFonts w:ascii="Book Antiqua" w:hAnsi="Book Antiqua"/>
          <w:sz w:val="20"/>
        </w:rPr>
        <w:t xml:space="preserve">while Photosystem I (PS I) contains chlorophyll </w:t>
      </w:r>
      <w:r w:rsidRPr="00923ECC">
        <w:rPr>
          <w:rFonts w:ascii="Book Antiqua" w:hAnsi="Book Antiqua"/>
          <w:b/>
          <w:sz w:val="20"/>
        </w:rPr>
        <w:t>P</w:t>
      </w:r>
      <w:r w:rsidRPr="00923ECC">
        <w:rPr>
          <w:rFonts w:ascii="Book Antiqua" w:hAnsi="Book Antiqua"/>
          <w:b/>
          <w:sz w:val="20"/>
          <w:vertAlign w:val="subscript"/>
        </w:rPr>
        <w:t>700</w:t>
      </w:r>
      <w:r w:rsidRPr="00923ECC">
        <w:rPr>
          <w:rFonts w:ascii="Book Antiqua" w:hAnsi="Book Antiqua"/>
          <w:sz w:val="20"/>
        </w:rPr>
        <w:t>. Absorption of one photon of light by PS II removes one electron from</w:t>
      </w:r>
      <w:r w:rsidRPr="00923ECC">
        <w:rPr>
          <w:rFonts w:ascii="Book Antiqua" w:hAnsi="Book Antiqua"/>
          <w:b/>
          <w:sz w:val="20"/>
        </w:rPr>
        <w:t xml:space="preserve"> P</w:t>
      </w:r>
      <w:r w:rsidRPr="00923ECC">
        <w:rPr>
          <w:rFonts w:ascii="Book Antiqua" w:hAnsi="Book Antiqua"/>
          <w:b/>
          <w:sz w:val="20"/>
          <w:vertAlign w:val="subscript"/>
        </w:rPr>
        <w:t>680</w:t>
      </w:r>
      <w:r w:rsidRPr="00923ECC">
        <w:rPr>
          <w:rFonts w:ascii="Book Antiqua" w:hAnsi="Book Antiqua"/>
          <w:sz w:val="20"/>
        </w:rPr>
        <w:t xml:space="preserve">. With its resulting positive charge, </w:t>
      </w:r>
      <w:r w:rsidRPr="00923ECC">
        <w:rPr>
          <w:rFonts w:ascii="Book Antiqua" w:hAnsi="Book Antiqua"/>
          <w:b/>
          <w:sz w:val="20"/>
        </w:rPr>
        <w:t>P</w:t>
      </w:r>
      <w:r w:rsidRPr="00923ECC">
        <w:rPr>
          <w:rFonts w:ascii="Book Antiqua" w:hAnsi="Book Antiqua"/>
          <w:b/>
          <w:sz w:val="20"/>
          <w:vertAlign w:val="subscript"/>
        </w:rPr>
        <w:t>680</w:t>
      </w:r>
      <w:r w:rsidRPr="00923ECC">
        <w:rPr>
          <w:rFonts w:ascii="Book Antiqua" w:hAnsi="Book Antiqua"/>
          <w:sz w:val="20"/>
        </w:rPr>
        <w:t xml:space="preserve"> can remove one electron from a molecule of water. When this process has occurred four times (using two molecules of water), one molecule of oxygen is released and the hydrogen has been split into four electrons and four protons. The following equation describes this: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Book Antiqua"/>
            <w:sz w:val="20"/>
          </w:rPr>
          <m:t>2</m:t>
        </m:r>
        <m:sSub>
          <m:sSubPr>
            <m:ctrlPr>
              <w:rPr>
                <w:rFonts w:ascii="Cambria Math" w:hAnsi="Book Antiqua"/>
                <w:i/>
                <w:sz w:val="20"/>
              </w:rPr>
            </m:ctrlPr>
          </m:sSubPr>
          <m:e>
            <m:r>
              <w:rPr>
                <w:rFonts w:ascii="Cambria Math" w:hAnsi="Cambria Math"/>
                <w:sz w:val="20"/>
              </w:rPr>
              <m:t>H</m:t>
            </m:r>
          </m:e>
          <m:sub>
            <m:r>
              <w:rPr>
                <w:rFonts w:ascii="Cambria Math" w:hAnsi="Book Antiqua"/>
                <w:sz w:val="20"/>
              </w:rPr>
              <m:t>2</m:t>
            </m:r>
          </m:sub>
        </m:sSub>
        <m:r>
          <w:rPr>
            <w:rFonts w:ascii="Cambria Math" w:hAnsi="Cambria Math"/>
            <w:sz w:val="20"/>
          </w:rPr>
          <m:t>O</m:t>
        </m:r>
        <m:r>
          <w:rPr>
            <w:rFonts w:ascii="Cambria Math" w:hAnsi="Book Antiqua"/>
            <w:sz w:val="20"/>
          </w:rPr>
          <m:t xml:space="preserve"> + 4 </m:t>
        </m:r>
        <m:r>
          <w:rPr>
            <w:rFonts w:ascii="Cambria Math" w:hAnsi="Cambria Math"/>
            <w:sz w:val="20"/>
          </w:rPr>
          <m:t>p</m:t>
        </m:r>
        <m:r>
          <w:rPr>
            <w:rFonts w:ascii="Book Antiqua" w:hAnsi="Cambria Math"/>
            <w:sz w:val="20"/>
          </w:rPr>
          <m:t>h</m:t>
        </m:r>
        <m:r>
          <w:rPr>
            <w:rFonts w:ascii="Cambria Math" w:hAnsi="Cambria Math"/>
            <w:sz w:val="20"/>
          </w:rPr>
          <m:t>otons</m:t>
        </m:r>
        <m:r>
          <w:rPr>
            <w:rFonts w:ascii="Cambria Math" w:hAnsi="Book Antiqua"/>
            <w:sz w:val="20"/>
          </w:rPr>
          <m:t xml:space="preserve"> </m:t>
        </m:r>
        <m:r>
          <w:rPr>
            <w:rFonts w:ascii="Book Antiqua" w:hAnsi="Book Antiqua"/>
            <w:sz w:val="20"/>
          </w:rPr>
          <m:t>-----</m:t>
        </m:r>
        <m:r>
          <w:rPr>
            <w:rFonts w:ascii="Cambria Math" w:hAnsi="Book Antiqua"/>
            <w:sz w:val="20"/>
          </w:rPr>
          <m:t>&gt; 4</m:t>
        </m:r>
        <m:sSup>
          <m:sSupPr>
            <m:ctrlPr>
              <w:rPr>
                <w:rFonts w:ascii="Cambria Math" w:hAnsi="Book Antiqua"/>
                <w:i/>
                <w:sz w:val="20"/>
              </w:rPr>
            </m:ctrlPr>
          </m:sSupPr>
          <m:e>
            <m:r>
              <w:rPr>
                <w:rFonts w:ascii="Cambria Math" w:hAnsi="Cambria Math"/>
                <w:sz w:val="20"/>
              </w:rPr>
              <m:t>H</m:t>
            </m:r>
          </m:e>
          <m:sup>
            <m:r>
              <w:rPr>
                <w:rFonts w:ascii="Cambria Math" w:hAnsi="Book Antiqua"/>
                <w:sz w:val="20"/>
              </w:rPr>
              <m:t>+</m:t>
            </m:r>
          </m:sup>
        </m:sSup>
        <m:r>
          <w:rPr>
            <w:rFonts w:ascii="Cambria Math" w:hAnsi="Book Antiqua"/>
            <w:sz w:val="20"/>
          </w:rPr>
          <m:t xml:space="preserve"> + 4</m:t>
        </m:r>
        <m:sSup>
          <m:sSupPr>
            <m:ctrlPr>
              <w:rPr>
                <w:rFonts w:ascii="Cambria Math" w:hAnsi="Book Antiqua"/>
                <w:i/>
                <w:sz w:val="20"/>
              </w:rPr>
            </m:ctrlPr>
          </m:sSupPr>
          <m:e>
            <m:r>
              <w:rPr>
                <w:rFonts w:ascii="Cambria Math" w:hAnsi="Cambria Math"/>
                <w:sz w:val="20"/>
              </w:rPr>
              <m:t>e</m:t>
            </m:r>
          </m:e>
          <m:sup>
            <m:r>
              <w:rPr>
                <w:rFonts w:ascii="Book Antiqua" w:hAnsi="Book Antiqua"/>
                <w:sz w:val="20"/>
              </w:rPr>
              <m:t>-</m:t>
            </m:r>
          </m:sup>
        </m:sSup>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vertAlign w:val="subscript"/>
        </w:rPr>
        <w:t xml:space="preserve"> </w:t>
      </w:r>
      <w:r w:rsidRPr="00923ECC">
        <w:rPr>
          <w:rFonts w:ascii="Book Antiqua" w:hAnsi="Book Antiqua"/>
          <w:sz w:val="20"/>
        </w:rPr>
        <w:t xml:space="preserve"> </w:t>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sz w:val="20"/>
        </w:rPr>
        <w:tab/>
      </w:r>
      <w:r w:rsidRPr="00923ECC">
        <w:rPr>
          <w:rFonts w:ascii="Book Antiqua" w:hAnsi="Book Antiqua"/>
          <w:i/>
          <w:sz w:val="20"/>
        </w:rPr>
        <w:t xml:space="preserve">     (2)</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electrons then pass down the potential gradient between PS II and PS I, effectively producing an electric current. In the process, the electrons pass through a cytachrome complex. This cytachrome complex uses the energy from the electron current to pump the protons, liberated from the water molecule, against their concentration gradient and out of the fluid stroma, into the interior of the thylakoid. The energy released as these protons move back down the concentration gradient, and back into the stroma again, is then specifically channeled to synthesize the ATP molecule (Adenosine Tri-Phosphate).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conversion of ADP (the Di-Phosphate form) to ATP (the Tri-Phosphate) involves the addition of one more phosphate group to the original molecule.  The energy required to attach this third phosphate is where the energy is stored.  Finally, electrons are transferred via Photosystem I to </w:t>
      </w:r>
      <m:oMath>
        <m:sSup>
          <m:sSupPr>
            <m:ctrlPr>
              <w:rPr>
                <w:rFonts w:ascii="Cambria Math" w:hAnsi="Book Antiqua"/>
                <w:i/>
                <w:sz w:val="20"/>
              </w:rPr>
            </m:ctrlPr>
          </m:sSupPr>
          <m:e>
            <m:r>
              <w:rPr>
                <w:rFonts w:ascii="Cambria Math" w:hAnsi="Cambria Math"/>
                <w:sz w:val="20"/>
              </w:rPr>
              <m:t>NADP</m:t>
            </m:r>
          </m:e>
          <m:sup>
            <m:r>
              <w:rPr>
                <w:rFonts w:ascii="Cambria Math" w:hAnsi="Book Antiqua"/>
                <w:sz w:val="20"/>
              </w:rPr>
              <m:t>+</m:t>
            </m:r>
          </m:sup>
        </m:sSup>
      </m:oMath>
      <w:r w:rsidRPr="00923ECC">
        <w:rPr>
          <w:rFonts w:ascii="Book Antiqua" w:hAnsi="Book Antiqua"/>
          <w:sz w:val="20"/>
        </w:rPr>
        <w:t xml:space="preserve"> to make NADPH, which is the reduced form of nicotinamide adenine </w:t>
      </w:r>
      <w:proofErr w:type="gramStart"/>
      <w:r w:rsidRPr="00923ECC">
        <w:rPr>
          <w:rFonts w:ascii="Book Antiqua" w:hAnsi="Book Antiqua"/>
          <w:sz w:val="20"/>
        </w:rPr>
        <w:t>dinucleotide</w:t>
      </w:r>
      <w:proofErr w:type="gramEnd"/>
      <w:r w:rsidRPr="00923ECC">
        <w:rPr>
          <w:rFonts w:ascii="Book Antiqua" w:hAnsi="Book Antiqua"/>
          <w:sz w:val="20"/>
        </w:rPr>
        <w:t xml:space="preserve"> phosphate. Again, the addition of the hydrogen requires energy, and it is in this bonding that the energy is stored for the cell to use later.  The two products resulting from these photon driven reactions are therefore NADPH and ATP, both of which supply energy for metabolic processes, and, as a result, are sometimes called the energy currency for cells.</w:t>
      </w:r>
    </w:p>
    <w:p w:rsidR="0014236D" w:rsidRPr="00923ECC" w:rsidRDefault="0014236D" w:rsidP="0014236D">
      <w:pPr>
        <w:pStyle w:val="NoSpacing"/>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rate of energy transfer between antenna pigments on the way to the reaction centers is very rapid,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15</m:t>
            </m:r>
          </m:sup>
        </m:sSup>
      </m:oMath>
      <w:r w:rsidRPr="00923ECC">
        <w:rPr>
          <w:rFonts w:ascii="Book Antiqua" w:hAnsi="Book Antiqua"/>
          <w:sz w:val="20"/>
        </w:rPr>
        <w:t xml:space="preserve"> seconds down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923ECC">
        <w:rPr>
          <w:rFonts w:ascii="Book Antiqua" w:hAnsi="Book Antiqua"/>
          <w:sz w:val="20"/>
        </w:rPr>
        <w:t xml:space="preserve"> seconds. In the reaction centers, the charge separation reaction occurs in times that typically range from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12</m:t>
            </m:r>
          </m:sup>
        </m:sSup>
      </m:oMath>
      <w:r w:rsidRPr="00923ECC">
        <w:rPr>
          <w:rFonts w:ascii="Book Antiqua" w:hAnsi="Book Antiqua"/>
          <w:sz w:val="20"/>
        </w:rPr>
        <w:t xml:space="preserve"> to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11</m:t>
            </m:r>
          </m:sup>
        </m:sSup>
      </m:oMath>
      <w:r w:rsidRPr="00923ECC">
        <w:rPr>
          <w:rFonts w:ascii="Book Antiqua" w:hAnsi="Book Antiqua"/>
          <w:sz w:val="20"/>
        </w:rPr>
        <w:t xml:space="preserve"> seconds. The synthesis of ATP and NADPH is much slower, taking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6</m:t>
            </m:r>
          </m:sup>
        </m:sSup>
      </m:oMath>
      <w:r w:rsidRPr="00923ECC">
        <w:rPr>
          <w:rFonts w:ascii="Book Antiqua" w:hAnsi="Book Antiqua"/>
          <w:sz w:val="20"/>
        </w:rPr>
        <w:t xml:space="preserve"> down to </w:t>
      </w:r>
      <m:oMath>
        <m:r>
          <w:rPr>
            <w:rFonts w:ascii="Cambria Math" w:hAnsi="Book Antiqua"/>
            <w:sz w:val="20"/>
          </w:rPr>
          <m:t xml:space="preserve">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r>
          <w:rPr>
            <w:rFonts w:ascii="Cambria Math" w:hAnsi="Book Antiqua"/>
            <w:sz w:val="20"/>
          </w:rPr>
          <m:t xml:space="preserve"> </m:t>
        </m:r>
      </m:oMath>
      <w:r w:rsidRPr="00923ECC">
        <w:rPr>
          <w:rFonts w:ascii="Book Antiqua" w:hAnsi="Book Antiqua"/>
          <w:sz w:val="20"/>
        </w:rPr>
        <w:t xml:space="preserve">seconds [23]. This means that the electron transport chain is fast enough to utilize the majority of the incoming photons.  However, in today’s full sunlight the formation of ATP and NADPH cannot keep up with the amount of light the plant absorbs. This is not due to the amount of light received, but to the limiting speed of the reactions. The result is photo-inhibition, causing the plant to shut down part of the electron transport chain.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Pr>
          <w:rFonts w:ascii="Book Antiqua" w:hAnsi="Book Antiqua"/>
          <w:i/>
          <w:sz w:val="20"/>
        </w:rPr>
        <w:t>5.3</w:t>
      </w:r>
      <w:r w:rsidRPr="00923ECC">
        <w:rPr>
          <w:rFonts w:ascii="Book Antiqua" w:hAnsi="Book Antiqua"/>
          <w:i/>
          <w:sz w:val="20"/>
        </w:rPr>
        <w:t xml:space="preserve"> Photo-Inhibition</w:t>
      </w:r>
    </w:p>
    <w:p w:rsidR="0014236D" w:rsidRPr="00923ECC" w:rsidRDefault="0014236D" w:rsidP="0014236D">
      <w:pPr>
        <w:pStyle w:val="NoSpacing"/>
        <w:ind w:left="360"/>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Normally, the chlorophyll molecule itself has two electrons in its outer shell, and they will be spinning in opposite directions.  More light than the plant can handle tends to cause the formation of "triplet state" chlorophyll. In this state, the two electrons in the outer shell have identical spin orientations instead of opposite spins. This triplet chlorophyll readily reacts with oxygen which leads to a very reactive single oxygen atom being released (these are called free radicals in our own bodies).  These oxygen atoms damage proteins. This damage then slows down the formation of ATP and NADPH.  However, experiments have shown the problem can be countered when carotenoids are in close proximity to </w:t>
      </w:r>
      <w:r w:rsidRPr="00923ECC">
        <w:rPr>
          <w:rFonts w:ascii="Book Antiqua" w:hAnsi="Book Antiqua"/>
          <w:sz w:val="20"/>
        </w:rPr>
        <w:lastRenderedPageBreak/>
        <w:t>the chlorophylls. This counter-action occurs because carotenoids efficiently "quench" the triplet states of chlorophyll and so avoid the formation of the singlet, or free radical, oxygen.</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Carotenoids are fat-soluble pigments found primarily in plants.  They are critical to the photosynthesis processes.  Carotenoids are anti-oxidants, protecting against not only free radical oxygen atoms, but over-exposure to light as well.  Plants produce carotenoids in response to exposure to light; the more the exposure, the more the carotenoid production occurs up to what appear to be certain limits [24, 25]. There is no reason to doubt that the same protection which is afforded plants today would also have been in operation in times past. In support of this, it has been shown through experiments and research that ATP and NADPH production will increase when more light photons are available.</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When we put this information together, we are left with the interesting hypothesis that, in times past, when the speed of light was faster, the increased number of light photons reaching plants was prevented from doing possible damage due to increased carotenoid production.  At the same time, the plants’ abilities to store more energy were increased.  As the speed of light decreased with time, plants received fewer photons of light per unit of time and carotenoid production would have dropped proportionately, as would the ability to store energy via the production of ATP and NADPH.  </w:t>
      </w:r>
    </w:p>
    <w:p w:rsidR="0014236D" w:rsidRPr="00B47A71" w:rsidRDefault="0014236D" w:rsidP="0014236D">
      <w:pPr>
        <w:pStyle w:val="NormalWeb"/>
        <w:jc w:val="both"/>
        <w:rPr>
          <w:rFonts w:ascii="Book Antiqua" w:hAnsi="Book Antiqua"/>
          <w:b/>
          <w:sz w:val="20"/>
          <w:szCs w:val="20"/>
        </w:rPr>
      </w:pPr>
      <w:r w:rsidRPr="00B47A71">
        <w:rPr>
          <w:rFonts w:ascii="Book Antiqua" w:hAnsi="Book Antiqua"/>
          <w:b/>
          <w:sz w:val="20"/>
          <w:szCs w:val="20"/>
        </w:rPr>
        <w:t>6 The Carbon Fixation Process</w:t>
      </w:r>
    </w:p>
    <w:p w:rsidR="0014236D" w:rsidRPr="00923ECC"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Carbon fixation through the Calvin cycle is the second phase of photosynthesis and is sometimes labeled the “dark phase,” or "dark reactions". These reactions take carbon dioxide from the air and, using the energy stored in ATP and NADPH, convert the energy to sugars. This cycle uses a catalyst which changes carbon dioxide into two identical molecules each containing 3-carbon atoms. These 3-carbon molecules are then the basis for the synthesis of glucose and other sugars. Because there are 3-carbon atoms in the molecules produced by the catalyst, this process is referred to as the </w:t>
      </w:r>
      <m:oMath>
        <m:sSub>
          <m:sSubPr>
            <m:ctrlPr>
              <w:rPr>
                <w:rFonts w:ascii="Cambria Math" w:hAnsi="Book Antiqua"/>
                <w:b/>
                <w:i/>
                <w:sz w:val="20"/>
                <w:szCs w:val="20"/>
              </w:rPr>
            </m:ctrlPr>
          </m:sSubPr>
          <m:e>
            <m:r>
              <m:rPr>
                <m:sty m:val="bi"/>
              </m:rPr>
              <w:rPr>
                <w:rFonts w:ascii="Cambria Math" w:hAnsi="Cambria Math"/>
                <w:sz w:val="20"/>
                <w:szCs w:val="20"/>
              </w:rPr>
              <m:t>C</m:t>
            </m:r>
          </m:e>
          <m:sub>
            <m:r>
              <m:rPr>
                <m:sty m:val="bi"/>
              </m:rPr>
              <w:rPr>
                <w:rFonts w:ascii="Cambria Math" w:hAnsi="Cambria Math"/>
                <w:sz w:val="20"/>
                <w:szCs w:val="20"/>
              </w:rPr>
              <m:t>3</m:t>
            </m:r>
          </m:sub>
        </m:sSub>
      </m:oMath>
      <w:r w:rsidRPr="00923ECC">
        <w:rPr>
          <w:rFonts w:ascii="Book Antiqua" w:hAnsi="Book Antiqua"/>
          <w:b/>
          <w:sz w:val="20"/>
          <w:szCs w:val="20"/>
        </w:rPr>
        <w:t xml:space="preserve"> </w:t>
      </w:r>
      <w:r w:rsidRPr="00923ECC">
        <w:rPr>
          <w:rFonts w:ascii="Book Antiqua" w:hAnsi="Book Antiqua"/>
          <w:sz w:val="20"/>
          <w:szCs w:val="20"/>
        </w:rPr>
        <w:t xml:space="preserve">pathway. </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catalyst that is used in this process is the enzyme ribulose biphosphate carboxylase oxygenase, which is usually referred to (for obvious reasons) as Rubisco.  Rubisco is capable of catalyzing two different reactions. The Calvin cycle, as explained above, is the primary reaction using Rubisco.  In it carbon dioxide is converted to sugars.  However, when carbon dioxide concentrations are low, Rubisco enables a different reaction by taking available oxygen and, combining it with the plant’s carbon, producing carbon dioxide.  This is called photorespiration, and effectively reverses all the hard work the plant has done using carbon dioxide to form sugars.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In order to avoid robbing the plant of its own sugars, relatively high carbon dioxide concentrations are desirable so that reactions proceed along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pathway instead reverting to photorespiration. Interestingly, the fossil record indicates that carbon dioxide concentrations were about 0.3% of the total atmospheric content at the time of plant gigantism.  This is about ten times the amount in our atmosphere today (which is 0.025%). When carbon dioxide was at that high level, photorespiration would have been extremely rare.  This, then, is one part of the explanation for the gigantism in fossil plants.</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 carbon dioxide content of our atmosphere remained at 10 times its current level throughout the Paleozoic and Mesozoic Eras.  But shortly after the onset of the Cenozoic Era, nearly 60 million atomic years ago,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in the atmosphere began dropping until 20 million atomic years ago when it reached today's concentration. About the time that the</w:t>
      </w:r>
      <m:oMath>
        <m:r>
          <w:rPr>
            <w:rFonts w:ascii="Cambria Math" w:hAnsi="Book Antiqua"/>
            <w:sz w:val="20"/>
          </w:rPr>
          <m:t xml:space="preserve">  </m:t>
        </m:r>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concentration dropped, about 10,000 species of flowering plants, or angiosperms, in 19 different families became prominent, including some 4500 species of grasses, or Poaceae. These plants all have a mechanism which increases their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w:t>
      </w:r>
      <w:r w:rsidRPr="00923ECC">
        <w:rPr>
          <w:rFonts w:ascii="Book Antiqua" w:hAnsi="Book Antiqua"/>
          <w:sz w:val="20"/>
          <w:vertAlign w:val="subscript"/>
        </w:rPr>
        <w:t xml:space="preserve"> </w:t>
      </w:r>
      <w:r w:rsidRPr="00923ECC">
        <w:rPr>
          <w:rFonts w:ascii="Book Antiqua" w:hAnsi="Book Antiqua"/>
          <w:sz w:val="20"/>
        </w:rPr>
        <w:t xml:space="preserve">concentrations before the Rubisco catalysis occurs, enabling them to thrive in a low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content.  This may be a major reason the angiosperms became so prominent in the Cenozoic.</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angiosperms employ a supplementary method of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uptake in addition to the usual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sz w:val="20"/>
        </w:rPr>
        <w:t xml:space="preserve">pathway. This method produces oxaloacetic, malic and aspartic acids which all contain 4-carbon molecules. As a consequence, these </w:t>
      </w:r>
      <w:r w:rsidRPr="00923ECC">
        <w:rPr>
          <w:rFonts w:ascii="Book Antiqua" w:hAnsi="Book Antiqua"/>
          <w:sz w:val="20"/>
        </w:rPr>
        <w:lastRenderedPageBreak/>
        <w:t xml:space="preserve">plants are called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plants. They have structural changes in their leaf anatomy so that their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and</w:t>
      </w:r>
      <w:r w:rsidRPr="00923ECC">
        <w:rPr>
          <w:rFonts w:ascii="Book Antiqua" w:hAnsi="Book Antiqua"/>
          <w:b/>
          <w:sz w:val="20"/>
        </w:rPr>
        <w:t xml:space="preserv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pathways are separated to allow their reactions to occur in different parts of the leaf.</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is the situation with horsetails. They show up as giants in fossils.  But they have so little leaf surface to capture the light and provide energy to the plant; how did they grow so tall? The answer may be hinted at in an article by Hibberd and Quick in </w:t>
      </w:r>
      <w:r w:rsidRPr="00923ECC">
        <w:rPr>
          <w:rFonts w:ascii="Book Antiqua" w:hAnsi="Book Antiqua"/>
          <w:i/>
          <w:sz w:val="20"/>
        </w:rPr>
        <w:t>Nature</w:t>
      </w:r>
      <w:r w:rsidRPr="00923ECC">
        <w:rPr>
          <w:rFonts w:ascii="Book Antiqua" w:hAnsi="Book Antiqua"/>
          <w:sz w:val="20"/>
        </w:rPr>
        <w:t xml:space="preserve"> [26]. In that article, they report some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3</m:t>
            </m:r>
          </m:sub>
        </m:sSub>
      </m:oMath>
      <w:r w:rsidRPr="00923ECC">
        <w:rPr>
          <w:rFonts w:ascii="Book Antiqua" w:hAnsi="Book Antiqua"/>
          <w:b/>
          <w:sz w:val="20"/>
        </w:rPr>
        <w:t xml:space="preserve"> </w:t>
      </w:r>
      <w:r w:rsidRPr="00923ECC">
        <w:rPr>
          <w:rFonts w:ascii="Book Antiqua" w:hAnsi="Book Antiqua"/>
          <w:b/>
          <w:sz w:val="20"/>
          <w:vertAlign w:val="subscript"/>
        </w:rPr>
        <w:t xml:space="preserve"> </w:t>
      </w:r>
      <w:r w:rsidRPr="00923ECC">
        <w:rPr>
          <w:rFonts w:ascii="Book Antiqua" w:hAnsi="Book Antiqua"/>
          <w:sz w:val="20"/>
        </w:rPr>
        <w:t xml:space="preserve">plants, notably celery and tobacco, also had a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type of mechanism for fixing carbon in their stems and leaf stalks. In this case, </w:t>
      </w:r>
      <w:proofErr w:type="gramStart"/>
      <w:r w:rsidRPr="00923ECC">
        <w:rPr>
          <w:rFonts w:ascii="Book Antiqua" w:hAnsi="Book Antiqua"/>
          <w:sz w:val="20"/>
        </w:rPr>
        <w:t xml:space="preserve">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from</w:t>
      </w:r>
      <w:proofErr w:type="gramEnd"/>
      <w:r w:rsidRPr="00923ECC">
        <w:rPr>
          <w:rFonts w:ascii="Book Antiqua" w:hAnsi="Book Antiqua"/>
          <w:sz w:val="20"/>
        </w:rPr>
        <w:t xml:space="preserve"> root respiration diffuses into the sap at concentrations considerably higher than air. The </w:t>
      </w:r>
      <m:oMath>
        <m:r>
          <w:rPr>
            <w:rFonts w:ascii="Cambria Math" w:hAnsi="Cambria Math"/>
            <w:sz w:val="20"/>
          </w:rPr>
          <m:t>C</m:t>
        </m:r>
        <m:sSub>
          <m:sSubPr>
            <m:ctrlPr>
              <w:rPr>
                <w:rFonts w:ascii="Cambria Math" w:hAnsi="Book Antiqua"/>
                <w:i/>
                <w:sz w:val="20"/>
              </w:rPr>
            </m:ctrlPr>
          </m:sSubPr>
          <m:e>
            <m:r>
              <w:rPr>
                <w:rFonts w:ascii="Cambria Math" w:hAnsi="Cambria Math"/>
                <w:sz w:val="20"/>
              </w:rPr>
              <m:t>O</m:t>
            </m:r>
          </m:e>
          <m:sub>
            <m:r>
              <w:rPr>
                <w:rFonts w:ascii="Cambria Math" w:hAnsi="Book Antiqua"/>
                <w:sz w:val="20"/>
              </w:rPr>
              <m:t>2</m:t>
            </m:r>
          </m:sub>
        </m:sSub>
      </m:oMath>
      <w:r w:rsidRPr="00923ECC">
        <w:rPr>
          <w:rFonts w:ascii="Book Antiqua" w:hAnsi="Book Antiqua"/>
          <w:sz w:val="20"/>
        </w:rPr>
        <w:t xml:space="preserve"> rises up in the plant, and is fixed, using Rubisco, by this </w:t>
      </w:r>
      <m:oMath>
        <m:sSub>
          <m:sSubPr>
            <m:ctrlPr>
              <w:rPr>
                <w:rFonts w:ascii="Cambria Math" w:hAnsi="Book Antiqua"/>
                <w:b/>
                <w:i/>
                <w:sz w:val="20"/>
              </w:rPr>
            </m:ctrlPr>
          </m:sSubPr>
          <m:e>
            <m:r>
              <m:rPr>
                <m:sty m:val="bi"/>
              </m:rPr>
              <w:rPr>
                <w:rFonts w:ascii="Cambria Math" w:hAnsi="Cambria Math"/>
                <w:sz w:val="20"/>
              </w:rPr>
              <m:t>C</m:t>
            </m:r>
          </m:e>
          <m:sub>
            <m:r>
              <m:rPr>
                <m:sty m:val="bi"/>
              </m:rPr>
              <w:rPr>
                <w:rFonts w:ascii="Cambria Math" w:hAnsi="Cambria Math"/>
                <w:sz w:val="20"/>
              </w:rPr>
              <m:t>4</m:t>
            </m:r>
          </m:sub>
        </m:sSub>
      </m:oMath>
      <w:r w:rsidRPr="00923ECC">
        <w:rPr>
          <w:rFonts w:ascii="Book Antiqua" w:hAnsi="Book Antiqua"/>
          <w:sz w:val="20"/>
        </w:rPr>
        <w:t xml:space="preserve"> </w:t>
      </w:r>
      <w:r w:rsidRPr="00923ECC">
        <w:rPr>
          <w:rFonts w:ascii="Book Antiqua" w:hAnsi="Book Antiqua"/>
          <w:b/>
          <w:sz w:val="20"/>
        </w:rPr>
        <w:t xml:space="preserve"> </w:t>
      </w:r>
      <w:r w:rsidRPr="00923ECC">
        <w:rPr>
          <w:rFonts w:ascii="Book Antiqua" w:hAnsi="Book Antiqua"/>
          <w:sz w:val="20"/>
        </w:rPr>
        <w:t xml:space="preserve">mechanism, in the stems and leaf stalks rather than diffusing out to the atmosphere.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This occurs in the exact positions that would allow carbon fixation and lignin synthesis in the early horsetails and club mosses. Hibberd and Quick’s data also show that this process occurs at a high rate because the production of the intermediate PEP molecule in the veins was 18 times greater than in the leaves. The indication was that this may be a more general phenomenon than otherwise expected. The reason is that large quantities of light are needed for this mechanism to activate and begin operation. Since there would be an abundance of light photons in the Paleozoic Era due to a lower ZPE, then we have a very plausible explanation for the size of club mosses and horsetails in the fossil record. </w:t>
      </w:r>
    </w:p>
    <w:p w:rsidR="0014236D" w:rsidRDefault="0014236D" w:rsidP="0014236D">
      <w:pPr>
        <w:pStyle w:val="NormalWeb"/>
        <w:jc w:val="both"/>
        <w:rPr>
          <w:rFonts w:ascii="Book Antiqua" w:hAnsi="Book Antiqua"/>
          <w:b/>
          <w:sz w:val="20"/>
          <w:szCs w:val="20"/>
        </w:rPr>
      </w:pPr>
      <w:r w:rsidRPr="00B47A71">
        <w:rPr>
          <w:rFonts w:ascii="Book Antiqua" w:hAnsi="Book Antiqua"/>
          <w:b/>
          <w:sz w:val="20"/>
          <w:szCs w:val="20"/>
        </w:rPr>
        <w:t>7 Activating the Rubisco Enzyme</w:t>
      </w:r>
    </w:p>
    <w:p w:rsidR="0014236D" w:rsidRPr="00B47A71" w:rsidRDefault="0014236D" w:rsidP="0014236D">
      <w:pPr>
        <w:pStyle w:val="NormalWeb"/>
        <w:jc w:val="both"/>
        <w:rPr>
          <w:rFonts w:ascii="Book Antiqua" w:hAnsi="Book Antiqua"/>
          <w:i/>
          <w:sz w:val="20"/>
          <w:szCs w:val="20"/>
        </w:rPr>
      </w:pPr>
      <w:r w:rsidRPr="00B47A71">
        <w:rPr>
          <w:rFonts w:ascii="Book Antiqua" w:hAnsi="Book Antiqua"/>
          <w:i/>
          <w:sz w:val="20"/>
          <w:szCs w:val="20"/>
        </w:rPr>
        <w:t>7.1 The Rate-Limiting Step of Rubisco</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As noted, as long as the concentration of carotenoids is maintained at a suitable level, there is no photo-inhibition and “light reactions” can all proceed rapidly. When the flux of photons from the sun was higher, the production rate of carotenoids, ATP and NADPH would have been correspondingly greater, in line with what experiments today show.  However, the carbon fixation reactions of the Calvin cycle, which use ATP and NADPH, only export stable products to the plant in times ranging from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3</m:t>
            </m:r>
          </m:sup>
        </m:sSup>
      </m:oMath>
      <w:r w:rsidRPr="00923ECC">
        <w:rPr>
          <w:rFonts w:ascii="Book Antiqua" w:hAnsi="Book Antiqua"/>
          <w:sz w:val="20"/>
        </w:rPr>
        <w:t xml:space="preserve"> seconds down about 0.3 seconds. Examination of these reactions indicates that the rate limiting step is the performance of the Rubisco enzyme.  Rubisco is readily de-activated. Since catalysis itself is rapid, the problem is to get the Rubisco enzyme activated so that catalysis can occur.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Up until 1987 it had been thought that the absence of either or both the </w:t>
      </w:r>
      <m:oMath>
        <m:sSup>
          <m:sSupPr>
            <m:ctrlPr>
              <w:rPr>
                <w:rFonts w:ascii="Cambria Math" w:hAnsi="Book Antiqua"/>
                <w:i/>
                <w:sz w:val="20"/>
              </w:rPr>
            </m:ctrlPr>
          </m:sSupPr>
          <m:e>
            <m:r>
              <w:rPr>
                <w:rFonts w:ascii="Cambria Math" w:hAnsi="Cambria Math"/>
                <w:sz w:val="20"/>
              </w:rPr>
              <m:t>Mg</m:t>
            </m:r>
          </m:e>
          <m:sup>
            <m:r>
              <w:rPr>
                <w:rFonts w:ascii="Cambria Math" w:hAnsi="Book Antiqua"/>
                <w:sz w:val="20"/>
              </w:rPr>
              <m:t>++</m:t>
            </m:r>
          </m:sup>
        </m:sSup>
      </m:oMath>
      <w:r w:rsidRPr="00923ECC">
        <w:rPr>
          <w:rFonts w:ascii="Book Antiqua" w:hAnsi="Book Antiqua"/>
          <w:sz w:val="20"/>
        </w:rPr>
        <w:t xml:space="preserve"> ion and a special carbamate group was the cause of Rubisco deactivation. But then it was found that an enzyme, subsequently called rubisco activase, was vital to the process of activation. It was then verified that all the other problems with activation of the Rubisco enzyme were secondary, and that activation depended entirely on the concentrations of both Rubisco and rubisco activase.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Several important conclusions came from two other studies [27, 28].  In the first, it is stated that the presence of ATP leads to Rubisco activation through the action of rubisco activase.  Since ATP is a product of the "light reactions", its concentration would have been higher long ago, when photon reception rates were higher. Thus Rubisco activation would also have been higher.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 second conclusion from the follow-up study involves a data-based equation for the rate of Rubisco activity which stated that</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right"/>
        <w:rPr>
          <w:rFonts w:ascii="Book Antiqua" w:hAnsi="Book Antiqua"/>
          <w:i/>
          <w:sz w:val="20"/>
        </w:rPr>
      </w:pPr>
      <m:oMath>
        <m:r>
          <w:rPr>
            <w:rFonts w:ascii="Cambria Math" w:hAnsi="Cambria Math"/>
            <w:sz w:val="20"/>
          </w:rPr>
          <m:t>Act</m:t>
        </m:r>
        <m:r>
          <w:rPr>
            <w:rFonts w:ascii="Cambria Math" w:hAnsi="Cambria Math"/>
            <w:sz w:val="20"/>
          </w:rPr>
          <m:t>ivation</m:t>
        </m:r>
        <m:r>
          <w:rPr>
            <w:rFonts w:ascii="Cambria Math" w:hAnsi="Book Antiqua"/>
            <w:sz w:val="20"/>
          </w:rPr>
          <m:t xml:space="preserve"> </m:t>
        </m:r>
        <m:r>
          <w:rPr>
            <w:rFonts w:ascii="Cambria Math" w:hAnsi="Cambria Math"/>
            <w:sz w:val="20"/>
          </w:rPr>
          <m:t>Rate</m:t>
        </m:r>
        <m:r>
          <w:rPr>
            <w:rFonts w:ascii="Cambria Math" w:hAnsi="Book Antiqua"/>
            <w:sz w:val="20"/>
          </w:rPr>
          <m:t xml:space="preserve"> = </m:t>
        </m:r>
        <m:r>
          <w:rPr>
            <w:rFonts w:ascii="Cambria Math" w:hAnsi="Cambria Math"/>
            <w:sz w:val="20"/>
          </w:rPr>
          <m:t>k</m:t>
        </m:r>
        <m:r>
          <w:rPr>
            <w:rFonts w:ascii="Cambria Math" w:hAnsi="Book Antiqua"/>
            <w:sz w:val="20"/>
          </w:rPr>
          <m:t>. [</m:t>
        </m:r>
        <m:r>
          <w:rPr>
            <w:rFonts w:ascii="Cambria Math" w:hAnsi="Cambria Math"/>
            <w:sz w:val="20"/>
          </w:rPr>
          <m:t>Rubisco</m:t>
        </m:r>
        <m:r>
          <w:rPr>
            <w:rFonts w:ascii="Cambria Math" w:hAnsi="Book Antiqua"/>
            <w:sz w:val="20"/>
          </w:rPr>
          <m:t>] . [</m:t>
        </m:r>
        <m:r>
          <w:rPr>
            <w:rFonts w:ascii="Cambria Math" w:hAnsi="Cambria Math"/>
            <w:sz w:val="20"/>
          </w:rPr>
          <m:t>rubisco</m:t>
        </m:r>
        <m:r>
          <w:rPr>
            <w:rFonts w:ascii="Cambria Math" w:hAnsi="Book Antiqua"/>
            <w:sz w:val="20"/>
          </w:rPr>
          <m:t xml:space="preserve"> </m:t>
        </m:r>
        <m:r>
          <w:rPr>
            <w:rFonts w:ascii="Cambria Math" w:hAnsi="Cambria Math"/>
            <w:sz w:val="20"/>
          </w:rPr>
          <m:t>activase</m:t>
        </m:r>
        <m:r>
          <w:rPr>
            <w:rFonts w:ascii="Cambria Math" w:hAnsi="Book Antiqua"/>
            <w:sz w:val="20"/>
          </w:rPr>
          <m:t>]</m:t>
        </m:r>
      </m:oMath>
      <w:r w:rsidRPr="00923ECC">
        <w:rPr>
          <w:rFonts w:ascii="Book Antiqua" w:hAnsi="Book Antiqua"/>
          <w:i/>
          <w:sz w:val="20"/>
        </w:rPr>
        <w:t xml:space="preserve"> </w:t>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r>
      <w:r w:rsidRPr="00923ECC">
        <w:rPr>
          <w:rFonts w:ascii="Book Antiqua" w:hAnsi="Book Antiqua"/>
          <w:i/>
          <w:sz w:val="20"/>
        </w:rPr>
        <w:tab/>
        <w:t>(3)</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 xml:space="preserve">The quantities inside the square brackets are the concentrations with </w:t>
      </w:r>
      <m:oMath>
        <m:r>
          <w:rPr>
            <w:rFonts w:ascii="Cambria Math" w:hAnsi="Cambria Math"/>
            <w:sz w:val="20"/>
          </w:rPr>
          <m:t>k</m:t>
        </m:r>
      </m:oMath>
      <w:r w:rsidRPr="00923ECC">
        <w:rPr>
          <w:rFonts w:ascii="Book Antiqua" w:hAnsi="Book Antiqua"/>
          <w:sz w:val="20"/>
        </w:rPr>
        <w:t xml:space="preserve"> being a constant of proportionality. Therefore, based on experimental data, this means that when the rubisco activase concentrations are higher, so are the activation rates. It is in this context that the authors of the follow-up report noted that there was only one rubisco activase site for every 72 Rubisco sites. However, as mentioned, rubisco activase is directly dependent upon the amount of ATP produced.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lastRenderedPageBreak/>
        <w:tab/>
        <w:t xml:space="preserve">The increased number of photons available to the plant at any one time in the past would have not only increased production of ATP, and therefore the activity of the rubisco </w:t>
      </w:r>
      <w:proofErr w:type="gramStart"/>
      <w:r w:rsidRPr="00923ECC">
        <w:rPr>
          <w:rFonts w:ascii="Book Antiqua" w:hAnsi="Book Antiqua"/>
          <w:sz w:val="20"/>
        </w:rPr>
        <w:t>activase,</w:t>
      </w:r>
      <w:proofErr w:type="gramEnd"/>
      <w:r w:rsidRPr="00923ECC">
        <w:rPr>
          <w:rFonts w:ascii="Book Antiqua" w:hAnsi="Book Antiqua"/>
          <w:sz w:val="20"/>
        </w:rPr>
        <w:t xml:space="preserve"> it may well have meant there were more rubisco activase sites per Rubisco sites. This combination would have made for a much more efficient series of processes, which would then contribute to a greater reaction rate and thus more plant growth. </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7.2</w:t>
      </w:r>
      <w:r w:rsidRPr="00923ECC">
        <w:rPr>
          <w:rFonts w:ascii="Book Antiqua" w:hAnsi="Book Antiqua"/>
          <w:i/>
          <w:sz w:val="20"/>
          <w:szCs w:val="20"/>
        </w:rPr>
        <w:t xml:space="preserve"> Changes in the Rubisco Enzyme</w:t>
      </w: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There is another clue which needs to be followed.  Today we have identified three forms of Rubisco and a Rubisco-like protein (RLP).  Are they descendents of an original form of Rubisco, or have all four always been present?  Each of today's forms is missing something that one of the other forms has.  In the same way we see speciation in animals, perhaps Rubisco itself has degenerated into four sub-forms which started as a much more complete and efficient original.</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i/>
          <w:sz w:val="20"/>
        </w:rPr>
      </w:pPr>
      <w:r w:rsidRPr="00923ECC">
        <w:rPr>
          <w:rFonts w:ascii="Book Antiqua" w:hAnsi="Book Antiqua"/>
          <w:sz w:val="20"/>
        </w:rPr>
        <w:tab/>
        <w:t xml:space="preserve">Indeed, this is not an unusual suggestion. F. R. Tabita et al. noted in their abstract that </w:t>
      </w:r>
      <w:r w:rsidRPr="00923ECC">
        <w:rPr>
          <w:rFonts w:ascii="Book Antiqua" w:hAnsi="Book Antiqua"/>
          <w:i/>
          <w:sz w:val="20"/>
        </w:rPr>
        <w:t xml:space="preserve">"Phylogenetic analyses indicate that there are three classes of bona fide RubisCO proteins, forms I, II and III, which all catalyse the same reactions. In addition, there exists another form of RubisCO, form IV, which...is actually a homologue of RubisCO and is called the RubisCO-like protein (RLP). Both RubisCO and RLP appear to have evolved from an ancestor protein ..., and comprehensive analyses indicate that the different forms (I, II, III and IV) contain various subgroups, with individual sequences derived from representatives of all three kingdoms of life." </w:t>
      </w:r>
      <w:r w:rsidRPr="00923ECC">
        <w:rPr>
          <w:rFonts w:ascii="Book Antiqua" w:hAnsi="Book Antiqua"/>
          <w:sz w:val="20"/>
        </w:rPr>
        <w:t>[29]</w:t>
      </w:r>
      <w:r w:rsidRPr="00923ECC">
        <w:rPr>
          <w:rFonts w:ascii="Book Antiqua" w:hAnsi="Book Antiqua"/>
          <w:i/>
          <w:sz w:val="20"/>
        </w:rPr>
        <w:t>.</w:t>
      </w:r>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i/>
          <w:sz w:val="20"/>
        </w:rPr>
        <w:tab/>
        <w:t xml:space="preserve"> </w:t>
      </w:r>
      <w:r w:rsidRPr="00923ECC">
        <w:rPr>
          <w:rFonts w:ascii="Book Antiqua" w:hAnsi="Book Antiqua"/>
          <w:sz w:val="20"/>
        </w:rPr>
        <w:t xml:space="preserve">This indicates that there was probably an ancestor from which the three Rubiscos and Rubisco-like proteins were derived which was free from the problems that </w:t>
      </w:r>
      <w:r w:rsidRPr="00555FC2">
        <w:rPr>
          <w:rFonts w:ascii="Book Antiqua" w:hAnsi="Book Antiqua"/>
          <w:sz w:val="20"/>
        </w:rPr>
        <w:t>each form of</w:t>
      </w:r>
      <w:r w:rsidRPr="0052635B">
        <w:rPr>
          <w:rFonts w:ascii="Book Antiqua" w:hAnsi="Book Antiqua"/>
          <w:color w:val="FF0000"/>
          <w:sz w:val="20"/>
        </w:rPr>
        <w:t xml:space="preserve"> </w:t>
      </w:r>
      <w:r w:rsidRPr="00923ECC">
        <w:rPr>
          <w:rFonts w:ascii="Book Antiqua" w:hAnsi="Book Antiqua"/>
          <w:sz w:val="20"/>
        </w:rPr>
        <w:t>Rubisco currently has.</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i/>
          <w:sz w:val="20"/>
        </w:rPr>
      </w:pPr>
      <w:r>
        <w:rPr>
          <w:rFonts w:ascii="Book Antiqua" w:hAnsi="Book Antiqua"/>
          <w:b/>
          <w:sz w:val="20"/>
        </w:rPr>
        <w:t>8</w:t>
      </w:r>
      <w:r w:rsidRPr="00923ECC">
        <w:rPr>
          <w:rFonts w:ascii="Book Antiqua" w:hAnsi="Book Antiqua"/>
          <w:b/>
          <w:sz w:val="20"/>
        </w:rPr>
        <w:t>.  Other implications for the fossil record</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These conclusions have implications in other areas as well. For example, in the ocean, </w:t>
      </w:r>
      <w:proofErr w:type="gramStart"/>
      <w:r w:rsidRPr="00923ECC">
        <w:rPr>
          <w:rFonts w:ascii="Book Antiqua" w:hAnsi="Book Antiqua"/>
          <w:sz w:val="20"/>
        </w:rPr>
        <w:t>phytoplankton also fix</w:t>
      </w:r>
      <w:proofErr w:type="gramEnd"/>
      <w:r w:rsidRPr="00923ECC">
        <w:rPr>
          <w:rFonts w:ascii="Book Antiqua" w:hAnsi="Book Antiqua"/>
          <w:sz w:val="20"/>
        </w:rPr>
        <w:t xml:space="preserve"> carbon by photosynthesis. </w:t>
      </w:r>
      <w:proofErr w:type="gramStart"/>
      <w:r w:rsidRPr="00923ECC">
        <w:rPr>
          <w:rFonts w:ascii="Book Antiqua" w:hAnsi="Book Antiqua"/>
          <w:sz w:val="20"/>
        </w:rPr>
        <w:t>These</w:t>
      </w:r>
      <w:proofErr w:type="gramEnd"/>
      <w:r w:rsidRPr="00923ECC">
        <w:rPr>
          <w:rFonts w:ascii="Book Antiqua" w:hAnsi="Book Antiqua"/>
          <w:sz w:val="20"/>
        </w:rPr>
        <w:t xml:space="preserve"> plankton are made up of autotrophic, prokaryotic, and eukaryotic algae such as diatoms, cyanobacteria, dinoflagelletes, and coccolithophores which</w:t>
      </w:r>
      <w:r>
        <w:rPr>
          <w:rFonts w:ascii="Book Antiqua" w:hAnsi="Book Antiqua"/>
          <w:sz w:val="20"/>
        </w:rPr>
        <w:t xml:space="preserve"> </w:t>
      </w:r>
      <w:r w:rsidRPr="00923ECC">
        <w:rPr>
          <w:rFonts w:ascii="Book Antiqua" w:hAnsi="Book Antiqua"/>
          <w:sz w:val="20"/>
        </w:rPr>
        <w:t xml:space="preserve">inhabit the near surface regions of the ocean. Because photosynthesis plays an important role in the growth and reproduction of these algae, it </w:t>
      </w:r>
      <w:r>
        <w:rPr>
          <w:rFonts w:ascii="Book Antiqua" w:hAnsi="Book Antiqua"/>
          <w:sz w:val="20"/>
        </w:rPr>
        <w:t>is to be</w:t>
      </w:r>
      <w:r w:rsidRPr="00923ECC">
        <w:rPr>
          <w:rFonts w:ascii="Book Antiqua" w:hAnsi="Book Antiqua"/>
          <w:sz w:val="20"/>
        </w:rPr>
        <w:t xml:space="preserve"> expected that all these forms would proliferate under conditions of both higher photon counts and more available carbon dioxide.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This</w:t>
      </w:r>
      <w:r>
        <w:rPr>
          <w:rFonts w:ascii="Book Antiqua" w:hAnsi="Book Antiqua"/>
          <w:sz w:val="20"/>
        </w:rPr>
        <w:t>,</w:t>
      </w:r>
      <w:r w:rsidRPr="00923ECC">
        <w:rPr>
          <w:rFonts w:ascii="Book Antiqua" w:hAnsi="Book Antiqua"/>
          <w:sz w:val="20"/>
        </w:rPr>
        <w:t xml:space="preserve"> in turn</w:t>
      </w:r>
      <w:r>
        <w:rPr>
          <w:rFonts w:ascii="Book Antiqua" w:hAnsi="Book Antiqua"/>
          <w:sz w:val="20"/>
        </w:rPr>
        <w:t>,</w:t>
      </w:r>
      <w:r w:rsidRPr="00923ECC">
        <w:rPr>
          <w:rFonts w:ascii="Book Antiqua" w:hAnsi="Book Antiqua"/>
          <w:sz w:val="20"/>
        </w:rPr>
        <w:t xml:space="preserve"> would support larger numbers of zooplankton which feed on the phytoplankton. Scientists working for the Census of Marine Life reported in a News Release for 4th May, 2006, that zooplankton represent a fundamental link in the food chain between ocean plant life and larger organisms [30]. Literally thousands of tiny animal species are involved. Consequently, since the food supply may well have been more plentiful in the past, larger populations of marine species could have been supported. </w:t>
      </w:r>
    </w:p>
    <w:p w:rsidR="0014236D"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A study by M. Mitra and A Melis mentions an additional factor. They reported that experiments with algae have shown that, under high photon counts, chlorophyll antenna sizes in algae will individually reduce. When this happened, it was found that there was greater transmittance of light deeper into the culture, photo inhibition was reduced, and efficiency significantly improved [31]. Under conditions of higher photon counts, this process would assist algae to utilize all available photons without photo-inhibition.</w:t>
      </w:r>
    </w:p>
    <w:p w:rsidR="0014236D" w:rsidRPr="00923ECC" w:rsidRDefault="0014236D" w:rsidP="0014236D">
      <w:pPr>
        <w:pStyle w:val="NoSpacing"/>
        <w:jc w:val="both"/>
        <w:rPr>
          <w:rFonts w:ascii="Book Antiqua" w:hAnsi="Book Antiqua"/>
          <w:sz w:val="20"/>
        </w:rPr>
      </w:pPr>
    </w:p>
    <w:p w:rsidR="0014236D" w:rsidRDefault="0014236D" w:rsidP="0014236D">
      <w:pPr>
        <w:pStyle w:val="NoSpacing"/>
        <w:jc w:val="both"/>
        <w:rPr>
          <w:rFonts w:ascii="Book Antiqua" w:hAnsi="Book Antiqua"/>
          <w:sz w:val="20"/>
        </w:rPr>
      </w:pPr>
      <w:r w:rsidRPr="00923ECC">
        <w:rPr>
          <w:rFonts w:ascii="Book Antiqua" w:hAnsi="Book Antiqua"/>
          <w:sz w:val="20"/>
        </w:rPr>
        <w:tab/>
        <w:t xml:space="preserve">To give some idea of the consequences of this in earlier times, consider the Paleozoic trilobites. Many are described as either filter feeders, or pelagic planktonivores, or considered to have grazed on beds of algae. These are the very food items that would have proliferated due to a high photon count. As a consequence, the huge colonies of trilobites which appear in the fossil record no longer present an enigma, but rather are a testimony, along with Paleozoic forests, of a much higher photon reception rate as well as </w:t>
      </w:r>
      <w:proofErr w:type="gramStart"/>
      <w:r w:rsidRPr="00923ECC">
        <w:rPr>
          <w:rFonts w:ascii="Book Antiqua" w:hAnsi="Book Antiqua"/>
          <w:sz w:val="20"/>
        </w:rPr>
        <w:t>a higher</w:t>
      </w:r>
      <w:proofErr w:type="gramEnd"/>
      <w:r w:rsidRPr="00923ECC">
        <w:rPr>
          <w:rFonts w:ascii="Book Antiqua" w:hAnsi="Book Antiqua"/>
          <w:sz w:val="20"/>
        </w:rPr>
        <w:t xml:space="preserve"> carbon dioxide content. Indeed, the whole ecosystem would have been more vigorous and robust. Since this ecosystem is the basis of the oceanic food chain, it might be expected that the numbers of ocean creatures would also have been higher.</w:t>
      </w:r>
    </w:p>
    <w:p w:rsidR="0014236D" w:rsidRDefault="0014236D" w:rsidP="0014236D">
      <w:pPr>
        <w:pStyle w:val="NoSpacing"/>
        <w:jc w:val="both"/>
        <w:rPr>
          <w:rFonts w:ascii="Book Antiqua" w:hAnsi="Book Antiqua"/>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It should also be noted that the bacterio-plankton are involved in re-mineralizing the water, so this process would have been enhanced as well. </w:t>
      </w:r>
      <w:r>
        <w:rPr>
          <w:rFonts w:ascii="Book Antiqua" w:hAnsi="Book Antiqua"/>
          <w:sz w:val="20"/>
        </w:rPr>
        <w:t xml:space="preserve">As noted in the book, </w:t>
      </w:r>
      <w:r w:rsidRPr="008767C6">
        <w:rPr>
          <w:rFonts w:ascii="Book Antiqua" w:hAnsi="Book Antiqua"/>
          <w:b/>
          <w:i/>
          <w:sz w:val="20"/>
        </w:rPr>
        <w:t>Plankton of Inland Waters</w:t>
      </w:r>
      <w:r>
        <w:rPr>
          <w:rFonts w:ascii="Book Antiqua" w:hAnsi="Book Antiqua"/>
          <w:sz w:val="20"/>
        </w:rPr>
        <w:t xml:space="preserve">, </w:t>
      </w:r>
      <w:r w:rsidRPr="008767C6">
        <w:rPr>
          <w:rFonts w:ascii="Book Antiqua" w:hAnsi="Book Antiqua"/>
          <w:i/>
          <w:sz w:val="20"/>
        </w:rPr>
        <w:t>“as decomposers, bacterioplankton degrade dissolved organic matter, assimilate the byproduct into their cell (bacterial production), and remineralize carbon and nutrients back to the water through respiration.”</w:t>
      </w:r>
      <w:r>
        <w:rPr>
          <w:rFonts w:ascii="Book Antiqua" w:hAnsi="Book Antiqua"/>
          <w:sz w:val="20"/>
        </w:rPr>
        <w:t xml:space="preserve">  As the authors also point out, the bacterioplankton are important in the cycling of phosphorus, nitrogen and other elements [32].</w:t>
      </w:r>
    </w:p>
    <w:p w:rsidR="0014236D" w:rsidRDefault="0014236D" w:rsidP="0014236D">
      <w:pPr>
        <w:pStyle w:val="NormalWeb"/>
        <w:numPr>
          <w:ilvl w:val="1"/>
          <w:numId w:val="55"/>
        </w:numPr>
        <w:jc w:val="both"/>
        <w:rPr>
          <w:rFonts w:ascii="Book Antiqua" w:hAnsi="Book Antiqua"/>
          <w:i/>
          <w:sz w:val="20"/>
          <w:szCs w:val="20"/>
        </w:rPr>
      </w:pPr>
      <w:r w:rsidRPr="00923ECC">
        <w:rPr>
          <w:rFonts w:ascii="Book Antiqua" w:hAnsi="Book Antiqua"/>
          <w:i/>
          <w:sz w:val="20"/>
          <w:szCs w:val="20"/>
        </w:rPr>
        <w:t>The Growth of Stromatolites</w:t>
      </w:r>
    </w:p>
    <w:p w:rsidR="0014236D" w:rsidRDefault="0014236D" w:rsidP="0014236D">
      <w:pPr>
        <w:pStyle w:val="NoSpacing"/>
        <w:jc w:val="both"/>
        <w:rPr>
          <w:rFonts w:ascii="Book Antiqua" w:hAnsi="Book Antiqua"/>
          <w:noProof/>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274174" cy="2581836"/>
            <wp:effectExtent l="19050" t="0" r="0" b="0"/>
            <wp:docPr id="975" name="Picture 53" descr="stromatol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tromatolites"/>
                    <pic:cNvPicPr>
                      <a:picLocks noChangeAspect="1" noChangeArrowheads="1"/>
                    </pic:cNvPicPr>
                  </pic:nvPicPr>
                  <pic:blipFill>
                    <a:blip r:embed="rId1101" cstate="print"/>
                    <a:srcRect t="11783" r="-7" b="20914"/>
                    <a:stretch>
                      <a:fillRect/>
                    </a:stretch>
                  </pic:blipFill>
                  <pic:spPr bwMode="auto">
                    <a:xfrm>
                      <a:off x="0" y="0"/>
                      <a:ext cx="6285447" cy="2586475"/>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D1626D">
      <w:pPr>
        <w:pStyle w:val="NoSpacing"/>
        <w:jc w:val="center"/>
        <w:rPr>
          <w:rFonts w:ascii="Book Antiqua" w:hAnsi="Book Antiqua"/>
          <w:i/>
          <w:sz w:val="18"/>
          <w:szCs w:val="18"/>
        </w:rPr>
      </w:pPr>
      <w:r w:rsidRPr="00F02364">
        <w:rPr>
          <w:rFonts w:ascii="Book Antiqua" w:hAnsi="Book Antiqua"/>
          <w:b/>
          <w:i/>
          <w:sz w:val="18"/>
          <w:szCs w:val="18"/>
        </w:rPr>
        <w:t>Figure 9:</w:t>
      </w:r>
      <w:r w:rsidRPr="00F02364">
        <w:rPr>
          <w:rFonts w:ascii="Book Antiqua" w:hAnsi="Book Antiqua"/>
          <w:i/>
          <w:sz w:val="18"/>
          <w:szCs w:val="18"/>
        </w:rPr>
        <w:t xml:space="preserve"> Living stromatolites in Shark Bay, Western Australia. </w:t>
      </w:r>
      <w:proofErr w:type="gramStart"/>
      <w:r w:rsidRPr="00F02364">
        <w:rPr>
          <w:rFonts w:ascii="Book Antiqua" w:hAnsi="Book Antiqua"/>
          <w:i/>
          <w:sz w:val="18"/>
          <w:szCs w:val="18"/>
        </w:rPr>
        <w:t>Top - with the tide in.</w:t>
      </w:r>
      <w:proofErr w:type="gramEnd"/>
      <w:r w:rsidRPr="00F02364">
        <w:rPr>
          <w:rFonts w:ascii="Book Antiqua" w:hAnsi="Book Antiqua"/>
          <w:i/>
          <w:sz w:val="18"/>
          <w:szCs w:val="18"/>
        </w:rPr>
        <w:t xml:space="preserve">  </w:t>
      </w:r>
      <w:proofErr w:type="gramStart"/>
      <w:r w:rsidRPr="00F02364">
        <w:rPr>
          <w:rFonts w:ascii="Book Antiqua" w:hAnsi="Book Antiqua"/>
          <w:i/>
          <w:sz w:val="18"/>
          <w:szCs w:val="18"/>
        </w:rPr>
        <w:t>Bottom – with the tide out.</w:t>
      </w:r>
      <w:proofErr w:type="gramEnd"/>
    </w:p>
    <w:p w:rsidR="0014236D" w:rsidRPr="00923ECC" w:rsidRDefault="0014236D" w:rsidP="0014236D">
      <w:pPr>
        <w:pStyle w:val="NoSpacing"/>
        <w:jc w:val="both"/>
        <w:rPr>
          <w:rFonts w:ascii="Book Antiqua" w:hAnsi="Book Antiqua"/>
          <w:i/>
          <w:sz w:val="20"/>
        </w:rPr>
      </w:pPr>
    </w:p>
    <w:p w:rsidR="0014236D" w:rsidRPr="00923ECC" w:rsidRDefault="0014236D" w:rsidP="0014236D">
      <w:pPr>
        <w:pStyle w:val="NoSpacing"/>
        <w:jc w:val="center"/>
        <w:rPr>
          <w:rFonts w:ascii="Book Antiqua" w:hAnsi="Book Antiqua"/>
          <w:i/>
          <w:sz w:val="20"/>
        </w:rPr>
      </w:pPr>
      <w:r w:rsidRPr="00923ECC">
        <w:rPr>
          <w:rFonts w:ascii="Book Antiqua" w:hAnsi="Book Antiqua"/>
          <w:noProof/>
          <w:sz w:val="20"/>
        </w:rPr>
        <w:drawing>
          <wp:inline distT="0" distB="0" distL="0" distR="0">
            <wp:extent cx="6180122" cy="3004457"/>
            <wp:effectExtent l="19050" t="0" r="0" b="0"/>
            <wp:docPr id="976" name="il_fi" descr="http://www.outbacktours.info/Stromatolites,%20Hamelin%20Pool,%20Shark%20B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utbacktours.info/Stromatolites,%20Hamelin%20Pool,%20Shark%20Bay.jpg"/>
                    <pic:cNvPicPr>
                      <a:picLocks noChangeAspect="1" noChangeArrowheads="1"/>
                    </pic:cNvPicPr>
                  </pic:nvPicPr>
                  <pic:blipFill>
                    <a:blip r:embed="rId1102" cstate="print"/>
                    <a:srcRect t="14820" r="2038" b="28670"/>
                    <a:stretch>
                      <a:fillRect/>
                    </a:stretch>
                  </pic:blipFill>
                  <pic:spPr bwMode="auto">
                    <a:xfrm>
                      <a:off x="0" y="0"/>
                      <a:ext cx="6183250" cy="3005978"/>
                    </a:xfrm>
                    <a:prstGeom prst="rect">
                      <a:avLst/>
                    </a:prstGeom>
                    <a:noFill/>
                    <a:ln w="9525">
                      <a:noFill/>
                      <a:miter lim="800000"/>
                      <a:headEnd/>
                      <a:tailEnd/>
                    </a:ln>
                  </pic:spPr>
                </pic:pic>
              </a:graphicData>
            </a:graphic>
          </wp:inline>
        </w:drawing>
      </w:r>
    </w:p>
    <w:p w:rsidR="0014236D" w:rsidRPr="00923ECC" w:rsidRDefault="0014236D" w:rsidP="0014236D">
      <w:pPr>
        <w:pStyle w:val="NoSpacing"/>
        <w:jc w:val="center"/>
        <w:rPr>
          <w:rFonts w:ascii="Book Antiqua" w:hAnsi="Book Antiqua"/>
          <w:i/>
          <w:sz w:val="20"/>
        </w:rPr>
      </w:pP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lastRenderedPageBreak/>
        <w:t xml:space="preserve">Stromatolite fossils </w:t>
      </w:r>
      <w:r>
        <w:rPr>
          <w:rFonts w:ascii="Book Antiqua" w:hAnsi="Book Antiqua"/>
          <w:sz w:val="20"/>
        </w:rPr>
        <w:t xml:space="preserve">are an excellent </w:t>
      </w:r>
      <w:r w:rsidRPr="00923ECC">
        <w:rPr>
          <w:rFonts w:ascii="Book Antiqua" w:hAnsi="Book Antiqua"/>
          <w:sz w:val="20"/>
        </w:rPr>
        <w:t xml:space="preserve">example.  </w:t>
      </w:r>
      <w:r>
        <w:rPr>
          <w:rFonts w:ascii="Book Antiqua" w:hAnsi="Book Antiqua"/>
          <w:sz w:val="20"/>
        </w:rPr>
        <w:t xml:space="preserve">These are the first true fossils known to exist in the geologic column. There are some chemically formed structures that appear similar to true stromatolites and may be mistaken for them. However, analysis shows that there is </w:t>
      </w:r>
      <w:proofErr w:type="gramStart"/>
      <w:r>
        <w:rPr>
          <w:rFonts w:ascii="Book Antiqua" w:hAnsi="Book Antiqua"/>
          <w:sz w:val="20"/>
        </w:rPr>
        <w:t>a large majority that are</w:t>
      </w:r>
      <w:proofErr w:type="gramEnd"/>
      <w:r>
        <w:rPr>
          <w:rFonts w:ascii="Book Antiqua" w:hAnsi="Book Antiqua"/>
          <w:sz w:val="20"/>
        </w:rPr>
        <w:t xml:space="preserve"> true fossils.</w:t>
      </w:r>
      <w:r w:rsidRPr="00923ECC">
        <w:rPr>
          <w:rFonts w:ascii="Book Antiqua" w:hAnsi="Book Antiqua"/>
          <w:sz w:val="20"/>
        </w:rPr>
        <w:t xml:space="preserve"> </w:t>
      </w:r>
      <w:r>
        <w:rPr>
          <w:rFonts w:ascii="Book Antiqua" w:hAnsi="Book Antiqua"/>
          <w:sz w:val="20"/>
        </w:rPr>
        <w:t>Of the true stromatolite fossils,</w:t>
      </w:r>
      <w:r w:rsidRPr="00923ECC">
        <w:rPr>
          <w:rFonts w:ascii="Book Antiqua" w:hAnsi="Book Antiqua"/>
          <w:sz w:val="20"/>
        </w:rPr>
        <w:t xml:space="preserve"> analysis has shown that </w:t>
      </w:r>
      <w:r>
        <w:rPr>
          <w:rFonts w:ascii="Book Antiqua" w:hAnsi="Book Antiqua"/>
          <w:sz w:val="20"/>
        </w:rPr>
        <w:t>they</w:t>
      </w:r>
      <w:r w:rsidRPr="00923ECC">
        <w:rPr>
          <w:rFonts w:ascii="Book Antiqua" w:hAnsi="Book Antiqua"/>
          <w:sz w:val="20"/>
        </w:rPr>
        <w:t xml:space="preserve"> are formed by cyanobacteria (blue-green algae). Stromatolites are still growing in Shark Bay, Western Australia (Figure 9) and the Exuma Cays in the Bahamas. These structures may be domed</w:t>
      </w:r>
      <w:r>
        <w:rPr>
          <w:rFonts w:ascii="Book Antiqua" w:hAnsi="Book Antiqua"/>
          <w:sz w:val="20"/>
        </w:rPr>
        <w:t>,</w:t>
      </w:r>
      <w:r w:rsidRPr="00923ECC">
        <w:rPr>
          <w:rFonts w:ascii="Book Antiqua" w:hAnsi="Book Antiqua"/>
          <w:sz w:val="20"/>
        </w:rPr>
        <w:t xml:space="preserve"> branching</w:t>
      </w:r>
      <w:r>
        <w:rPr>
          <w:rFonts w:ascii="Book Antiqua" w:hAnsi="Book Antiqua"/>
          <w:sz w:val="20"/>
        </w:rPr>
        <w:t>,</w:t>
      </w:r>
      <w:r w:rsidRPr="00923ECC">
        <w:rPr>
          <w:rFonts w:ascii="Book Antiqua" w:hAnsi="Book Antiqua"/>
          <w:sz w:val="20"/>
        </w:rPr>
        <w:t xml:space="preserve"> vase-shaped, or a variety of similar mound-like shapes. The algae use water, carbon dioxide and sunlight to produce oxygen and calcium carbonate. A layer of mucus forms over mats of cyanobacterial cells. In these mats, sand, grit and other debris from the surrounding area are trapped in the mucus and become cemented with calcium carbonate. As a result, the structure is built up of thin laminations of limestone.</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ind w:firstLine="720"/>
        <w:jc w:val="both"/>
        <w:rPr>
          <w:rFonts w:ascii="Book Antiqua" w:hAnsi="Book Antiqua"/>
          <w:i/>
          <w:sz w:val="20"/>
        </w:rPr>
      </w:pPr>
      <w:r w:rsidRPr="00923ECC">
        <w:rPr>
          <w:rFonts w:ascii="Book Antiqua" w:hAnsi="Book Antiqua"/>
          <w:sz w:val="20"/>
        </w:rPr>
        <w:t>Stromatolites first appear in the Precambrian</w:t>
      </w:r>
      <w:r>
        <w:rPr>
          <w:rFonts w:ascii="Book Antiqua" w:hAnsi="Book Antiqua"/>
          <w:sz w:val="20"/>
        </w:rPr>
        <w:t xml:space="preserve"> strata</w:t>
      </w:r>
      <w:r w:rsidRPr="00923ECC">
        <w:rPr>
          <w:rFonts w:ascii="Book Antiqua" w:hAnsi="Book Antiqua"/>
          <w:sz w:val="20"/>
        </w:rPr>
        <w:t xml:space="preserve">, with the earliest confirmed microbial structure dating at 2.73 billion atomic years ago [32]. </w:t>
      </w:r>
      <w:r>
        <w:rPr>
          <w:rFonts w:ascii="Book Antiqua" w:hAnsi="Book Antiqua"/>
          <w:sz w:val="20"/>
        </w:rPr>
        <w:t>It is their growth rates today which</w:t>
      </w:r>
      <w:r w:rsidRPr="00923ECC">
        <w:rPr>
          <w:rFonts w:ascii="Book Antiqua" w:hAnsi="Book Antiqua"/>
          <w:sz w:val="20"/>
        </w:rPr>
        <w:t xml:space="preserve"> have been used as markers of the time needed for their sizes in the fossil record.  Once again, however,</w:t>
      </w:r>
      <w:r w:rsidRPr="00923ECC">
        <w:rPr>
          <w:rFonts w:ascii="Book Antiqua" w:hAnsi="Book Antiqua"/>
          <w:color w:val="FF0000"/>
          <w:sz w:val="20"/>
        </w:rPr>
        <w:t xml:space="preserve"> </w:t>
      </w:r>
      <w:r w:rsidRPr="00923ECC">
        <w:rPr>
          <w:rFonts w:ascii="Book Antiqua" w:hAnsi="Book Antiqua"/>
          <w:sz w:val="20"/>
        </w:rPr>
        <w:t>photosynthesis plays an important part in the growth and reproduction of the algae making up most stromatolites. Consequently, higher photon counts and more carbon dioxide would enhance their growth rate as well as their numbers. For this reason, the use of stromatolite colonies in the fossil record as markers of a long growing time, and hence an equally long interval without deposition, may have to be reassessed (see Figure 10).</w:t>
      </w:r>
    </w:p>
    <w:p w:rsidR="0014236D"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i/>
          <w:sz w:val="20"/>
        </w:rPr>
      </w:pPr>
    </w:p>
    <w:p w:rsidR="0014236D" w:rsidRPr="00923ECC" w:rsidRDefault="0014236D" w:rsidP="0014236D">
      <w:pPr>
        <w:pStyle w:val="NoSpacing"/>
        <w:jc w:val="center"/>
        <w:rPr>
          <w:rFonts w:ascii="Book Antiqua" w:hAnsi="Book Antiqua"/>
          <w:sz w:val="20"/>
        </w:rPr>
      </w:pPr>
      <w:r w:rsidRPr="00923ECC">
        <w:rPr>
          <w:rFonts w:ascii="Book Antiqua" w:hAnsi="Book Antiqua"/>
          <w:noProof/>
          <w:sz w:val="20"/>
        </w:rPr>
        <w:drawing>
          <wp:inline distT="0" distB="0" distL="0" distR="0">
            <wp:extent cx="6578838" cy="2724150"/>
            <wp:effectExtent l="19050" t="0" r="0" b="0"/>
            <wp:docPr id="977" name="il_fi" descr="http://farm7.staticflickr.com/6178/6189037338_9447e6c8b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arm7.staticflickr.com/6178/6189037338_9447e6c8b5_z.jpg"/>
                    <pic:cNvPicPr>
                      <a:picLocks noChangeAspect="1" noChangeArrowheads="1"/>
                    </pic:cNvPicPr>
                  </pic:nvPicPr>
                  <pic:blipFill>
                    <a:blip r:embed="rId1103" cstate="print"/>
                    <a:srcRect t="25505" r="-71" b="20253"/>
                    <a:stretch>
                      <a:fillRect/>
                    </a:stretch>
                  </pic:blipFill>
                  <pic:spPr bwMode="auto">
                    <a:xfrm>
                      <a:off x="0" y="0"/>
                      <a:ext cx="6587510" cy="2727741"/>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7C2647">
      <w:pPr>
        <w:pStyle w:val="NoSpacing"/>
        <w:jc w:val="center"/>
        <w:rPr>
          <w:rFonts w:ascii="Book Antiqua" w:hAnsi="Book Antiqua"/>
          <w:i/>
          <w:sz w:val="18"/>
          <w:szCs w:val="18"/>
        </w:rPr>
      </w:pPr>
      <w:r w:rsidRPr="00F02364">
        <w:rPr>
          <w:rFonts w:ascii="Book Antiqua" w:hAnsi="Book Antiqua"/>
          <w:b/>
          <w:i/>
          <w:sz w:val="18"/>
          <w:szCs w:val="18"/>
        </w:rPr>
        <w:t>Figure 10:</w:t>
      </w:r>
      <w:r w:rsidRPr="00F02364">
        <w:rPr>
          <w:rFonts w:ascii="Book Antiqua" w:hAnsi="Book Antiqua"/>
          <w:i/>
          <w:sz w:val="18"/>
          <w:szCs w:val="18"/>
        </w:rPr>
        <w:t xml:space="preserve"> Fossil stromatolite colony 460 million atomic years old in strata by the Ottawa River, Canada.</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8</w:t>
      </w:r>
      <w:r w:rsidRPr="00923ECC">
        <w:rPr>
          <w:rFonts w:ascii="Book Antiqua" w:hAnsi="Book Antiqua"/>
          <w:i/>
          <w:sz w:val="20"/>
          <w:szCs w:val="20"/>
        </w:rPr>
        <w:t>.2 Chalk Formation</w:t>
      </w:r>
    </w:p>
    <w:p w:rsidR="0014236D" w:rsidRDefault="0014236D" w:rsidP="0014236D">
      <w:pPr>
        <w:pStyle w:val="NormalWeb"/>
        <w:jc w:val="both"/>
        <w:rPr>
          <w:rFonts w:ascii="Book Antiqua" w:hAnsi="Book Antiqua"/>
          <w:sz w:val="20"/>
          <w:szCs w:val="20"/>
        </w:rPr>
      </w:pPr>
      <w:r w:rsidRPr="00923ECC">
        <w:rPr>
          <w:rFonts w:ascii="Book Antiqua" w:hAnsi="Book Antiqua"/>
          <w:sz w:val="20"/>
          <w:szCs w:val="20"/>
        </w:rPr>
        <w:tab/>
        <w:t xml:space="preserve">Microscopic green algae, known as coccolithophores, are also photosynthesizers. They also would grow </w:t>
      </w:r>
      <w:r>
        <w:rPr>
          <w:rFonts w:ascii="Book Antiqua" w:hAnsi="Book Antiqua"/>
          <w:sz w:val="20"/>
          <w:szCs w:val="20"/>
        </w:rPr>
        <w:t xml:space="preserve">and proliferate </w:t>
      </w:r>
      <w:r w:rsidRPr="00923ECC">
        <w:rPr>
          <w:rFonts w:ascii="Book Antiqua" w:hAnsi="Book Antiqua"/>
          <w:sz w:val="20"/>
          <w:szCs w:val="20"/>
        </w:rPr>
        <w:t xml:space="preserve">more rapidly with the higher photon count </w:t>
      </w:r>
      <w:r>
        <w:rPr>
          <w:rFonts w:ascii="Book Antiqua" w:hAnsi="Book Antiqua"/>
          <w:sz w:val="20"/>
          <w:szCs w:val="20"/>
        </w:rPr>
        <w:t>associated with a low ZPE</w:t>
      </w:r>
      <w:r w:rsidRPr="00923ECC">
        <w:rPr>
          <w:rFonts w:ascii="Book Antiqua" w:hAnsi="Book Antiqua"/>
          <w:sz w:val="20"/>
          <w:szCs w:val="20"/>
        </w:rPr>
        <w:t xml:space="preserve">. These coccoliths are the main </w:t>
      </w:r>
      <w:r>
        <w:rPr>
          <w:rFonts w:ascii="Book Antiqua" w:hAnsi="Book Antiqua"/>
          <w:sz w:val="20"/>
          <w:szCs w:val="20"/>
        </w:rPr>
        <w:t>components</w:t>
      </w:r>
      <w:r w:rsidRPr="00923ECC">
        <w:rPr>
          <w:rFonts w:ascii="Book Antiqua" w:hAnsi="Book Antiqua"/>
          <w:sz w:val="20"/>
          <w:szCs w:val="20"/>
        </w:rPr>
        <w:t xml:space="preserve"> of the Upper Cretaceous chalk beds in the UK and across </w:t>
      </w:r>
      <w:proofErr w:type="gramStart"/>
      <w:r w:rsidRPr="00923ECC">
        <w:rPr>
          <w:rFonts w:ascii="Book Antiqua" w:hAnsi="Book Antiqua"/>
          <w:sz w:val="20"/>
          <w:szCs w:val="20"/>
        </w:rPr>
        <w:t>western</w:t>
      </w:r>
      <w:proofErr w:type="gramEnd"/>
      <w:r w:rsidRPr="00923ECC">
        <w:rPr>
          <w:rFonts w:ascii="Book Antiqua" w:hAnsi="Book Antiqua"/>
          <w:sz w:val="20"/>
          <w:szCs w:val="20"/>
        </w:rPr>
        <w:t xml:space="preserve"> Europe. In England, the Chalk beds can total a thickness of 215 meters (700 feet)</w:t>
      </w:r>
      <w:r>
        <w:rPr>
          <w:rFonts w:ascii="Book Antiqua" w:hAnsi="Book Antiqua"/>
          <w:sz w:val="20"/>
          <w:szCs w:val="20"/>
        </w:rPr>
        <w:t>;</w:t>
      </w:r>
      <w:r w:rsidRPr="00923ECC">
        <w:rPr>
          <w:rFonts w:ascii="Book Antiqua" w:hAnsi="Book Antiqua"/>
          <w:sz w:val="20"/>
          <w:szCs w:val="20"/>
        </w:rPr>
        <w:t xml:space="preserve"> they form the White Cliffs of Dover (Figure 11). </w:t>
      </w:r>
      <w:r>
        <w:rPr>
          <w:rFonts w:ascii="Book Antiqua" w:hAnsi="Book Antiqua"/>
          <w:sz w:val="20"/>
          <w:szCs w:val="20"/>
        </w:rPr>
        <w:t>C</w:t>
      </w:r>
      <w:r w:rsidRPr="00923ECC">
        <w:rPr>
          <w:rFonts w:ascii="Book Antiqua" w:hAnsi="Book Antiqua"/>
          <w:sz w:val="20"/>
          <w:szCs w:val="20"/>
        </w:rPr>
        <w:t xml:space="preserve">occoliths make calcium carbonate shells which are the basic constituent of these chalk beds. </w:t>
      </w:r>
      <w:r>
        <w:rPr>
          <w:rFonts w:ascii="Book Antiqua" w:hAnsi="Book Antiqua"/>
          <w:sz w:val="20"/>
          <w:szCs w:val="20"/>
        </w:rPr>
        <w:t xml:space="preserve">Standard explanations are at a loss to explain the purity and depth of these deposits.  </w:t>
      </w:r>
      <w:r w:rsidRPr="00923ECC">
        <w:rPr>
          <w:rFonts w:ascii="Book Antiqua" w:hAnsi="Book Antiqua"/>
          <w:sz w:val="20"/>
          <w:szCs w:val="20"/>
        </w:rPr>
        <w:t xml:space="preserve"> </w:t>
      </w:r>
      <w:r>
        <w:rPr>
          <w:rFonts w:ascii="Book Antiqua" w:hAnsi="Book Antiqua"/>
          <w:sz w:val="20"/>
          <w:szCs w:val="20"/>
        </w:rPr>
        <w:t>If, however, we consider the conditions at the time they were alive, as described here, there is a potential solution to that problem.  The build-up of the strata forming these cliffs would have been much faster, which would also explain their purity.</w:t>
      </w:r>
    </w:p>
    <w:p w:rsidR="0014236D" w:rsidRPr="00923ECC" w:rsidRDefault="0014236D" w:rsidP="0014236D">
      <w:pPr>
        <w:pStyle w:val="NormalWeb"/>
        <w:jc w:val="both"/>
        <w:rPr>
          <w:rFonts w:ascii="Book Antiqua" w:hAnsi="Book Antiqua"/>
          <w:sz w:val="20"/>
        </w:rPr>
      </w:pPr>
    </w:p>
    <w:p w:rsidR="0014236D" w:rsidRPr="00923ECC" w:rsidRDefault="0014236D" w:rsidP="0014236D">
      <w:pPr>
        <w:pStyle w:val="NormalWeb"/>
        <w:jc w:val="center"/>
        <w:rPr>
          <w:rFonts w:ascii="Book Antiqua" w:hAnsi="Book Antiqua"/>
          <w:sz w:val="20"/>
        </w:rPr>
      </w:pPr>
      <w:r w:rsidRPr="00923ECC">
        <w:rPr>
          <w:rFonts w:ascii="Book Antiqua" w:hAnsi="Book Antiqua"/>
          <w:sz w:val="20"/>
          <w:szCs w:val="20"/>
        </w:rPr>
        <w:lastRenderedPageBreak/>
        <w:t>.</w:t>
      </w:r>
      <w:r w:rsidRPr="00923ECC">
        <w:rPr>
          <w:rFonts w:ascii="Book Antiqua" w:hAnsi="Book Antiqua"/>
          <w:noProof/>
          <w:sz w:val="20"/>
        </w:rPr>
        <w:drawing>
          <wp:inline distT="0" distB="0" distL="0" distR="0">
            <wp:extent cx="4838700" cy="2152650"/>
            <wp:effectExtent l="19050" t="0" r="0" b="0"/>
            <wp:docPr id="978" name="Picture 70" descr="White Cliffs of Dover"/>
            <wp:cNvGraphicFramePr/>
            <a:graphic xmlns:a="http://schemas.openxmlformats.org/drawingml/2006/main">
              <a:graphicData uri="http://schemas.openxmlformats.org/drawingml/2006/picture">
                <pic:pic xmlns:pic="http://schemas.openxmlformats.org/drawingml/2006/picture">
                  <pic:nvPicPr>
                    <pic:cNvPr id="4" name="ctl00_ContentPlaceHolder1_imgPictureLarge" descr="White Cliffs of Dover"/>
                    <pic:cNvPicPr/>
                  </pic:nvPicPr>
                  <pic:blipFill>
                    <a:blip r:embed="rId1104" cstate="print">
                      <a:lum contrast="30000"/>
                    </a:blip>
                    <a:srcRect t="31351" r="20077" b="21354"/>
                    <a:stretch>
                      <a:fillRect/>
                    </a:stretch>
                  </pic:blipFill>
                  <pic:spPr bwMode="auto">
                    <a:xfrm>
                      <a:off x="0" y="0"/>
                      <a:ext cx="4838700" cy="2152650"/>
                    </a:xfrm>
                    <a:prstGeom prst="rect">
                      <a:avLst/>
                    </a:prstGeom>
                    <a:noFill/>
                    <a:ln w="9525">
                      <a:noFill/>
                      <a:miter lim="800000"/>
                      <a:headEnd/>
                      <a:tailEnd/>
                    </a:ln>
                  </pic:spPr>
                </pic:pic>
              </a:graphicData>
            </a:graphic>
          </wp:inline>
        </w:drawing>
      </w:r>
    </w:p>
    <w:p w:rsidR="0014236D" w:rsidRPr="00923ECC" w:rsidRDefault="0014236D" w:rsidP="0014236D">
      <w:pPr>
        <w:pStyle w:val="NoSpacing"/>
        <w:jc w:val="both"/>
        <w:rPr>
          <w:rFonts w:ascii="Book Antiqua" w:hAnsi="Book Antiqua"/>
          <w:sz w:val="20"/>
        </w:rPr>
      </w:pPr>
    </w:p>
    <w:p w:rsidR="0014236D" w:rsidRPr="00F02364" w:rsidRDefault="0014236D" w:rsidP="00322CE8">
      <w:pPr>
        <w:pStyle w:val="NoSpacing"/>
        <w:jc w:val="center"/>
        <w:rPr>
          <w:rFonts w:ascii="Book Antiqua" w:hAnsi="Book Antiqua"/>
          <w:i/>
          <w:sz w:val="18"/>
          <w:szCs w:val="18"/>
        </w:rPr>
      </w:pPr>
      <w:r w:rsidRPr="00F02364">
        <w:rPr>
          <w:rFonts w:ascii="Book Antiqua" w:hAnsi="Book Antiqua"/>
          <w:b/>
          <w:i/>
          <w:sz w:val="18"/>
          <w:szCs w:val="18"/>
        </w:rPr>
        <w:t>Figure 11:</w:t>
      </w:r>
      <w:r w:rsidRPr="00F02364">
        <w:rPr>
          <w:rFonts w:ascii="Book Antiqua" w:hAnsi="Book Antiqua"/>
          <w:i/>
          <w:sz w:val="18"/>
          <w:szCs w:val="18"/>
        </w:rPr>
        <w:t xml:space="preserve"> The White Cliffs of Dover, England, are chalk beds.</w:t>
      </w:r>
    </w:p>
    <w:p w:rsidR="0014236D" w:rsidRPr="00923ECC" w:rsidRDefault="0014236D" w:rsidP="0014236D">
      <w:pPr>
        <w:pStyle w:val="NormalWeb"/>
        <w:jc w:val="both"/>
        <w:rPr>
          <w:rFonts w:ascii="Book Antiqua" w:hAnsi="Book Antiqua"/>
          <w:i/>
          <w:sz w:val="20"/>
          <w:szCs w:val="20"/>
        </w:rPr>
      </w:pPr>
      <w:r>
        <w:rPr>
          <w:rFonts w:ascii="Book Antiqua" w:hAnsi="Book Antiqua"/>
          <w:i/>
          <w:sz w:val="20"/>
          <w:szCs w:val="20"/>
        </w:rPr>
        <w:t>8</w:t>
      </w:r>
      <w:r w:rsidRPr="00923ECC">
        <w:rPr>
          <w:rFonts w:ascii="Book Antiqua" w:hAnsi="Book Antiqua"/>
          <w:i/>
          <w:sz w:val="20"/>
          <w:szCs w:val="20"/>
        </w:rPr>
        <w:t>.3 Coral Reefs</w:t>
      </w:r>
    </w:p>
    <w:p w:rsidR="0014236D" w:rsidRPr="00923ECC" w:rsidRDefault="0014236D" w:rsidP="0014236D">
      <w:pPr>
        <w:pStyle w:val="NormalWeb"/>
        <w:ind w:firstLine="720"/>
        <w:jc w:val="both"/>
        <w:rPr>
          <w:rFonts w:ascii="Book Antiqua" w:hAnsi="Book Antiqua"/>
          <w:i/>
          <w:sz w:val="20"/>
          <w:szCs w:val="20"/>
        </w:rPr>
      </w:pPr>
      <w:r w:rsidRPr="00923ECC">
        <w:rPr>
          <w:rFonts w:ascii="Book Antiqua" w:hAnsi="Book Antiqua"/>
          <w:sz w:val="20"/>
          <w:szCs w:val="20"/>
        </w:rPr>
        <w:t>There are some massive coral reefs that exist today</w:t>
      </w:r>
      <w:r>
        <w:rPr>
          <w:rFonts w:ascii="Book Antiqua" w:hAnsi="Book Antiqua"/>
          <w:sz w:val="20"/>
          <w:szCs w:val="20"/>
        </w:rPr>
        <w:t>.</w:t>
      </w:r>
      <w:r w:rsidRPr="00923ECC">
        <w:rPr>
          <w:rFonts w:ascii="Book Antiqua" w:hAnsi="Book Antiqua"/>
          <w:sz w:val="20"/>
          <w:szCs w:val="20"/>
        </w:rPr>
        <w:t xml:space="preserve"> </w:t>
      </w:r>
      <w:r>
        <w:rPr>
          <w:rFonts w:ascii="Book Antiqua" w:hAnsi="Book Antiqua"/>
          <w:sz w:val="20"/>
          <w:szCs w:val="20"/>
        </w:rPr>
        <w:t>The</w:t>
      </w:r>
      <w:r w:rsidRPr="00923ECC">
        <w:rPr>
          <w:rFonts w:ascii="Book Antiqua" w:hAnsi="Book Antiqua"/>
          <w:sz w:val="20"/>
          <w:szCs w:val="20"/>
        </w:rPr>
        <w:t xml:space="preserve"> Great Barrier Reef off Australia’s north-east coast which forms an under-water rampart some 2000 km long and up to 145 km wide</w:t>
      </w:r>
      <w:r>
        <w:rPr>
          <w:rFonts w:ascii="Book Antiqua" w:hAnsi="Book Antiqua"/>
          <w:sz w:val="20"/>
          <w:szCs w:val="20"/>
        </w:rPr>
        <w:t xml:space="preserve"> is, perhaps, the most famous</w:t>
      </w:r>
      <w:r w:rsidRPr="00923ECC">
        <w:rPr>
          <w:rFonts w:ascii="Book Antiqua" w:hAnsi="Book Antiqua"/>
          <w:sz w:val="20"/>
          <w:szCs w:val="20"/>
        </w:rPr>
        <w:t xml:space="preserve">. The depth of this structure can, in places, go down to 120 meters. Coral reefs also exist in the fossil record. A classic example of a fossilized coral </w:t>
      </w:r>
      <w:proofErr w:type="gramStart"/>
      <w:r w:rsidRPr="00923ECC">
        <w:rPr>
          <w:rFonts w:ascii="Book Antiqua" w:hAnsi="Book Antiqua"/>
          <w:sz w:val="20"/>
          <w:szCs w:val="20"/>
        </w:rPr>
        <w:t>reef, that existed during Silurian and Devonian times,</w:t>
      </w:r>
      <w:proofErr w:type="gramEnd"/>
      <w:r w:rsidRPr="00923ECC">
        <w:rPr>
          <w:rFonts w:ascii="Book Antiqua" w:hAnsi="Book Antiqua"/>
          <w:sz w:val="20"/>
          <w:szCs w:val="20"/>
        </w:rPr>
        <w:t xml:space="preserve"> can be seen in the Falls of the Ohio State Park. At this location in Jeffersonville, Indiana, the Ohio River has eroded a section of the reef shown in Figures 12 and 13 below. The reef itself covers hundreds of square miles in Kentucky and Indiana. Its full length stretches for about 1600 km and it is several hundred kilometers wide. In other words, this fossil reef is of similar size to the present Great Barrier Reef, but has an age ranging from about 425 to 380 million atomic years ago. </w:t>
      </w:r>
      <w:r>
        <w:rPr>
          <w:rFonts w:ascii="Book Antiqua" w:hAnsi="Book Antiqua"/>
          <w:sz w:val="20"/>
          <w:szCs w:val="20"/>
        </w:rPr>
        <w:t xml:space="preserve"> The evidence of fossil coral, bryozoans and reef layers indicate this reef </w:t>
      </w:r>
      <w:r w:rsidRPr="00923ECC">
        <w:rPr>
          <w:rFonts w:ascii="Book Antiqua" w:hAnsi="Book Antiqua"/>
          <w:sz w:val="20"/>
          <w:szCs w:val="20"/>
        </w:rPr>
        <w:t xml:space="preserve">was not merely washed into place as some would like to claim, but actually grew </w:t>
      </w:r>
      <w:r w:rsidRPr="00923ECC">
        <w:rPr>
          <w:rFonts w:ascii="Book Antiqua" w:hAnsi="Book Antiqua"/>
          <w:i/>
          <w:sz w:val="20"/>
          <w:szCs w:val="20"/>
        </w:rPr>
        <w:t>in situ</w:t>
      </w:r>
      <w:r>
        <w:rPr>
          <w:rFonts w:ascii="Book Antiqua" w:hAnsi="Book Antiqua"/>
          <w:i/>
          <w:sz w:val="20"/>
          <w:szCs w:val="20"/>
        </w:rPr>
        <w:t>,</w:t>
      </w:r>
      <w:r w:rsidRPr="00267A29">
        <w:rPr>
          <w:rFonts w:ascii="Book Antiqua" w:hAnsi="Book Antiqua"/>
          <w:sz w:val="20"/>
          <w:szCs w:val="20"/>
        </w:rPr>
        <w:t xml:space="preserve"> </w:t>
      </w:r>
      <w:r>
        <w:rPr>
          <w:rFonts w:ascii="Book Antiqua" w:hAnsi="Book Antiqua"/>
          <w:sz w:val="20"/>
          <w:szCs w:val="20"/>
        </w:rPr>
        <w:t xml:space="preserve">just </w:t>
      </w:r>
      <w:r w:rsidRPr="00267A29">
        <w:rPr>
          <w:rFonts w:ascii="Book Antiqua" w:hAnsi="Book Antiqua"/>
          <w:sz w:val="20"/>
          <w:szCs w:val="20"/>
        </w:rPr>
        <w:t>l</w:t>
      </w:r>
      <w:r>
        <w:rPr>
          <w:rFonts w:ascii="Book Antiqua" w:hAnsi="Book Antiqua"/>
          <w:sz w:val="20"/>
          <w:szCs w:val="20"/>
        </w:rPr>
        <w:t>ike the Barrier Reef.</w:t>
      </w:r>
    </w:p>
    <w:p w:rsidR="0014236D" w:rsidRPr="00923ECC" w:rsidRDefault="0014236D" w:rsidP="0014236D">
      <w:pPr>
        <w:pStyle w:val="NormalWeb"/>
        <w:jc w:val="center"/>
        <w:rPr>
          <w:rFonts w:ascii="Book Antiqua" w:hAnsi="Book Antiqua"/>
          <w:sz w:val="20"/>
          <w:szCs w:val="20"/>
        </w:rPr>
      </w:pPr>
      <w:r w:rsidRPr="00923ECC">
        <w:rPr>
          <w:rFonts w:ascii="Book Antiqua" w:hAnsi="Book Antiqua"/>
          <w:noProof/>
          <w:sz w:val="20"/>
          <w:szCs w:val="20"/>
        </w:rPr>
        <w:drawing>
          <wp:inline distT="0" distB="0" distL="0" distR="0">
            <wp:extent cx="5962650" cy="2238375"/>
            <wp:effectExtent l="19050" t="0" r="0" b="0"/>
            <wp:docPr id="979" name="Picture 8" descr="http://naturalishistoria.files.wordpress.com/2012/06/falls-ohio-coral-reef-devonian-fossil1.jpg?w=660&amp;h=437"/>
            <wp:cNvGraphicFramePr/>
            <a:graphic xmlns:a="http://schemas.openxmlformats.org/drawingml/2006/main">
              <a:graphicData uri="http://schemas.openxmlformats.org/drawingml/2006/picture">
                <pic:pic xmlns:pic="http://schemas.openxmlformats.org/drawingml/2006/picture">
                  <pic:nvPicPr>
                    <pic:cNvPr id="7" name="Picture 6" descr="http://naturalishistoria.files.wordpress.com/2012/06/falls-ohio-coral-reef-devonian-fossil1.jpg?w=660&amp;h=437"/>
                    <pic:cNvPicPr/>
                  </pic:nvPicPr>
                  <pic:blipFill>
                    <a:blip r:embed="rId1105" cstate="print"/>
                    <a:srcRect t="25782" r="-213" b="18530"/>
                    <a:stretch>
                      <a:fillRect/>
                    </a:stretch>
                  </pic:blipFill>
                  <pic:spPr bwMode="auto">
                    <a:xfrm>
                      <a:off x="0" y="0"/>
                      <a:ext cx="5962650" cy="2238375"/>
                    </a:xfrm>
                    <a:prstGeom prst="rect">
                      <a:avLst/>
                    </a:prstGeom>
                    <a:noFill/>
                    <a:ln w="9525">
                      <a:noFill/>
                      <a:miter lim="800000"/>
                      <a:headEnd/>
                      <a:tailEnd/>
                    </a:ln>
                  </pic:spPr>
                </pic:pic>
              </a:graphicData>
            </a:graphic>
          </wp:inline>
        </w:drawing>
      </w:r>
    </w:p>
    <w:p w:rsidR="0014236D" w:rsidRDefault="0014236D" w:rsidP="0014236D">
      <w:pPr>
        <w:pStyle w:val="NormalWeb"/>
        <w:rPr>
          <w:rFonts w:ascii="Book Antiqua" w:hAnsi="Book Antiqua"/>
          <w:i/>
          <w:sz w:val="18"/>
          <w:szCs w:val="18"/>
        </w:rPr>
      </w:pPr>
      <w:r w:rsidRPr="00F02364">
        <w:rPr>
          <w:rFonts w:ascii="Book Antiqua" w:hAnsi="Book Antiqua"/>
          <w:b/>
          <w:i/>
          <w:sz w:val="18"/>
          <w:szCs w:val="18"/>
        </w:rPr>
        <w:t>Figure 12:</w:t>
      </w:r>
      <w:r w:rsidRPr="00F02364">
        <w:rPr>
          <w:rFonts w:ascii="Book Antiqua" w:hAnsi="Book Antiqua"/>
          <w:i/>
          <w:sz w:val="18"/>
          <w:szCs w:val="18"/>
        </w:rPr>
        <w:t xml:space="preserve"> Part of a huge fossilized Devonian coral reef exposed by erosion of the Ohio River in Jeffersonville, Indiana. More is seen on the far side of the river.</w:t>
      </w:r>
    </w:p>
    <w:p w:rsidR="0014236D" w:rsidRPr="00F02364" w:rsidRDefault="0014236D" w:rsidP="0014236D">
      <w:pPr>
        <w:pStyle w:val="NormalWeb"/>
        <w:rPr>
          <w:rFonts w:ascii="Book Antiqua" w:hAnsi="Book Antiqua"/>
          <w:i/>
          <w:sz w:val="18"/>
          <w:szCs w:val="18"/>
        </w:rPr>
      </w:pP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lastRenderedPageBreak/>
        <w:t>Corals polyps have a basic structure similar to a sea anemone. These polyps manufacture their own massive calcareous skeletons made up of a form of calcium carbonate called aragonite (</w:t>
      </w:r>
      <m:oMath>
        <m:r>
          <w:rPr>
            <w:rFonts w:ascii="Cambria Math" w:hAnsi="Cambria Math"/>
            <w:sz w:val="20"/>
            <w:szCs w:val="20"/>
          </w:rPr>
          <m:t>CaC</m:t>
        </m:r>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oMath>
      <w:r w:rsidRPr="00923ECC">
        <w:rPr>
          <w:rFonts w:ascii="Book Antiqua" w:hAnsi="Book Antiqua"/>
          <w:sz w:val="20"/>
          <w:szCs w:val="20"/>
        </w:rPr>
        <w:t>). The size of the polyps themselves range from about one millimeter in diameter up to 20 centimeters. Their skeletons are composed of three-dimensional, fan-like structures that radiate from the centrally-located fibers that form the underside or basal unit of the polyp skin. This lining of the underside of the polyp is called the calicoblastic layer. This layer contains specialized cells which continually secrete both calcium ions (</w:t>
      </w:r>
      <m:oMath>
        <m:sSup>
          <m:sSupPr>
            <m:ctrlPr>
              <w:rPr>
                <w:rFonts w:ascii="Cambria Math" w:hAnsi="Book Antiqua"/>
                <w:i/>
                <w:sz w:val="20"/>
                <w:szCs w:val="20"/>
              </w:rPr>
            </m:ctrlPr>
          </m:sSupPr>
          <m:e>
            <m:r>
              <w:rPr>
                <w:rFonts w:ascii="Cambria Math" w:hAnsi="Cambria Math"/>
                <w:sz w:val="20"/>
                <w:szCs w:val="20"/>
              </w:rPr>
              <m:t>Ca</m:t>
            </m:r>
          </m:e>
          <m:sup>
            <m:r>
              <w:rPr>
                <w:rFonts w:ascii="Cambria Math" w:hAnsi="Book Antiqua"/>
                <w:sz w:val="20"/>
                <w:szCs w:val="20"/>
              </w:rPr>
              <m:t>2+</m:t>
            </m:r>
          </m:sup>
        </m:sSup>
      </m:oMath>
      <w:r w:rsidRPr="00923ECC">
        <w:rPr>
          <w:rFonts w:ascii="Book Antiqua" w:hAnsi="Book Antiqua"/>
          <w:sz w:val="20"/>
          <w:szCs w:val="20"/>
        </w:rPr>
        <w:t>) and bicarbonate ions (</w:t>
      </w:r>
      <m:oMath>
        <m:r>
          <w:rPr>
            <w:rFonts w:ascii="Cambria Math" w:hAnsi="Cambria Math"/>
            <w:sz w:val="20"/>
            <w:szCs w:val="20"/>
          </w:rPr>
          <m:t>HC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O</m:t>
                </m:r>
              </m:e>
              <m:sub>
                <m:r>
                  <w:rPr>
                    <w:rFonts w:ascii="Cambria Math" w:hAnsi="Book Antiqua"/>
                    <w:sz w:val="20"/>
                    <w:szCs w:val="20"/>
                  </w:rPr>
                  <m:t>3</m:t>
                </m:r>
              </m:sub>
            </m:sSub>
          </m:e>
          <m:sup>
            <m:r>
              <w:rPr>
                <w:rFonts w:ascii="Book Antiqua" w:hAnsi="Book Antiqua"/>
                <w:sz w:val="20"/>
                <w:szCs w:val="20"/>
              </w:rPr>
              <m:t>-</m:t>
            </m:r>
          </m:sup>
        </m:sSup>
      </m:oMath>
      <w:r w:rsidRPr="00923ECC">
        <w:rPr>
          <w:rFonts w:ascii="Book Antiqua" w:hAnsi="Book Antiqua"/>
          <w:sz w:val="20"/>
          <w:szCs w:val="20"/>
        </w:rPr>
        <w:t xml:space="preserve">). The calcium carbonate is deposited around the centrally-located fibers. Simply stated, these ions are obtained from the calcium and carbon-dioxide in the surrounding sea-water, although some carbon-dioxide comes from respiration. In any case, this results in the deposition of calcium carbonate; a process called calcification. </w:t>
      </w:r>
    </w:p>
    <w:p w:rsidR="0014236D"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However, this process is very energy demanding. The necessary energy is provided by the algae which reside in membrane-bound cavities in each of the cells of the stomach wall of the coral polyp. A group of algae from the genus </w:t>
      </w:r>
      <w:r w:rsidRPr="00923ECC">
        <w:rPr>
          <w:rFonts w:ascii="Book Antiqua" w:hAnsi="Book Antiqua"/>
          <w:i/>
          <w:sz w:val="20"/>
          <w:szCs w:val="20"/>
        </w:rPr>
        <w:t>Symbiodinium</w:t>
      </w:r>
      <w:r w:rsidRPr="00923ECC">
        <w:rPr>
          <w:rFonts w:ascii="Book Antiqua" w:hAnsi="Book Antiqua"/>
          <w:sz w:val="20"/>
          <w:szCs w:val="20"/>
        </w:rPr>
        <w:t xml:space="preserve"> has formed this partnership with the corals and are called </w:t>
      </w:r>
      <w:r w:rsidRPr="00923ECC">
        <w:rPr>
          <w:rFonts w:ascii="Book Antiqua" w:hAnsi="Book Antiqua"/>
          <w:i/>
          <w:sz w:val="20"/>
          <w:szCs w:val="20"/>
        </w:rPr>
        <w:t>zooxanthellae</w:t>
      </w:r>
      <w:r w:rsidRPr="00923ECC">
        <w:rPr>
          <w:rFonts w:ascii="Book Antiqua" w:hAnsi="Book Antiqua"/>
          <w:sz w:val="20"/>
          <w:szCs w:val="20"/>
        </w:rPr>
        <w:t xml:space="preserve">. Specific strains of zooxanthellae are adapted to specific coral species, though some corals are not discriminating about them. The zooxanthellae produce sugars by using the sun’s energy in the same way that the higher plants do. This straightforward photosynthesis provides over 95% of the energy needs of the corals [33]. </w:t>
      </w:r>
    </w:p>
    <w:tbl>
      <w:tblPr>
        <w:tblStyle w:val="TableGrid"/>
        <w:tblW w:w="0" w:type="auto"/>
        <w:jc w:val="center"/>
        <w:tblLook w:val="06A0"/>
      </w:tblPr>
      <w:tblGrid>
        <w:gridCol w:w="5496"/>
        <w:gridCol w:w="5256"/>
      </w:tblGrid>
      <w:tr w:rsidR="0014236D" w:rsidRPr="00923ECC" w:rsidTr="00322CE8">
        <w:trPr>
          <w:jc w:val="center"/>
        </w:trPr>
        <w:tc>
          <w:tcPr>
            <w:tcW w:w="549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333750" cy="2857500"/>
                  <wp:effectExtent l="19050" t="0" r="0" b="0"/>
                  <wp:docPr id="980" name="Picture 9" descr="http://naturalishistoria.files.wordpress.com/2012/06/large-coral-fossil-falls-ohio.jpg?w=660&amp;h=437"/>
                  <wp:cNvGraphicFramePr/>
                  <a:graphic xmlns:a="http://schemas.openxmlformats.org/drawingml/2006/main">
                    <a:graphicData uri="http://schemas.openxmlformats.org/drawingml/2006/picture">
                      <pic:pic xmlns:pic="http://schemas.openxmlformats.org/drawingml/2006/picture">
                        <pic:nvPicPr>
                          <pic:cNvPr id="8" name="Picture 7" descr="http://naturalishistoria.files.wordpress.com/2012/06/large-coral-fossil-falls-ohio.jpg?w=660&amp;h=437"/>
                          <pic:cNvPicPr/>
                        </pic:nvPicPr>
                        <pic:blipFill>
                          <a:blip r:embed="rId1106" cstate="print"/>
                          <a:srcRect r="12125"/>
                          <a:stretch>
                            <a:fillRect/>
                          </a:stretch>
                        </pic:blipFill>
                        <pic:spPr bwMode="auto">
                          <a:xfrm>
                            <a:off x="0" y="0"/>
                            <a:ext cx="3333750" cy="2857500"/>
                          </a:xfrm>
                          <a:prstGeom prst="rect">
                            <a:avLst/>
                          </a:prstGeom>
                          <a:noFill/>
                          <a:ln w="9525">
                            <a:noFill/>
                            <a:miter lim="800000"/>
                            <a:headEnd/>
                            <a:tailEnd/>
                          </a:ln>
                        </pic:spPr>
                      </pic:pic>
                    </a:graphicData>
                  </a:graphic>
                </wp:inline>
              </w:drawing>
            </w:r>
          </w:p>
        </w:tc>
        <w:tc>
          <w:tcPr>
            <w:tcW w:w="5256" w:type="dxa"/>
          </w:tcPr>
          <w:p w:rsidR="0014236D" w:rsidRPr="00923ECC" w:rsidRDefault="0014236D" w:rsidP="003442EA">
            <w:pPr>
              <w:pStyle w:val="NormalWeb"/>
              <w:jc w:val="both"/>
              <w:rPr>
                <w:rFonts w:ascii="Book Antiqua" w:hAnsi="Book Antiqua"/>
                <w:sz w:val="20"/>
                <w:szCs w:val="20"/>
              </w:rPr>
            </w:pPr>
            <w:r w:rsidRPr="00923ECC">
              <w:rPr>
                <w:rFonts w:ascii="Book Antiqua" w:hAnsi="Book Antiqua"/>
                <w:noProof/>
                <w:sz w:val="20"/>
                <w:szCs w:val="20"/>
              </w:rPr>
              <w:drawing>
                <wp:inline distT="0" distB="0" distL="0" distR="0">
                  <wp:extent cx="3173146" cy="2857500"/>
                  <wp:effectExtent l="19050" t="0" r="8204" b="0"/>
                  <wp:docPr id="981" name="il_fi" descr="http://floridanature.files.wordpress.com/2009/11/coral-polyps-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loridanature.files.wordpress.com/2009/11/coral-polyps-1280.jpg"/>
                          <pic:cNvPicPr>
                            <a:picLocks noChangeAspect="1" noChangeArrowheads="1"/>
                          </pic:cNvPicPr>
                        </pic:nvPicPr>
                        <pic:blipFill>
                          <a:blip r:embed="rId1107" cstate="print"/>
                          <a:srcRect l="46065" t="24507" r="28005" b="46318"/>
                          <a:stretch>
                            <a:fillRect/>
                          </a:stretch>
                        </pic:blipFill>
                        <pic:spPr bwMode="auto">
                          <a:xfrm>
                            <a:off x="0" y="0"/>
                            <a:ext cx="3181758" cy="2865255"/>
                          </a:xfrm>
                          <a:prstGeom prst="rect">
                            <a:avLst/>
                          </a:prstGeom>
                          <a:noFill/>
                          <a:ln w="9525">
                            <a:noFill/>
                            <a:miter lim="800000"/>
                            <a:headEnd/>
                            <a:tailEnd/>
                          </a:ln>
                        </pic:spPr>
                      </pic:pic>
                    </a:graphicData>
                  </a:graphic>
                </wp:inline>
              </w:drawing>
            </w:r>
          </w:p>
        </w:tc>
      </w:tr>
    </w:tbl>
    <w:p w:rsidR="0014236D" w:rsidRPr="00F02364" w:rsidRDefault="0014236D" w:rsidP="0014236D">
      <w:pPr>
        <w:pStyle w:val="NormalWeb"/>
        <w:rPr>
          <w:rFonts w:ascii="Book Antiqua" w:hAnsi="Book Antiqua"/>
          <w:i/>
          <w:sz w:val="18"/>
          <w:szCs w:val="18"/>
        </w:rPr>
      </w:pPr>
      <w:r w:rsidRPr="00F02364">
        <w:rPr>
          <w:rFonts w:ascii="Book Antiqua" w:hAnsi="Book Antiqua"/>
          <w:b/>
          <w:i/>
          <w:sz w:val="18"/>
          <w:szCs w:val="18"/>
        </w:rPr>
        <w:t>Figure 13 (Left):</w:t>
      </w:r>
      <w:r w:rsidRPr="00F02364">
        <w:rPr>
          <w:rFonts w:ascii="Book Antiqua" w:hAnsi="Book Antiqua"/>
          <w:i/>
          <w:sz w:val="18"/>
          <w:szCs w:val="18"/>
        </w:rPr>
        <w:t xml:space="preserve"> An excellent example of a fossil coral from the reef exposed by the Ohio River above. The reef dates from about 425 to 380 million atomic years old. </w:t>
      </w:r>
      <w:r w:rsidRPr="00F02364">
        <w:rPr>
          <w:rFonts w:ascii="Book Antiqua" w:hAnsi="Book Antiqua"/>
          <w:b/>
          <w:i/>
          <w:sz w:val="18"/>
          <w:szCs w:val="18"/>
        </w:rPr>
        <w:t>(Right):</w:t>
      </w:r>
      <w:r w:rsidRPr="00F02364">
        <w:rPr>
          <w:rFonts w:ascii="Book Antiqua" w:hAnsi="Book Antiqua"/>
          <w:i/>
          <w:sz w:val="18"/>
          <w:szCs w:val="18"/>
        </w:rPr>
        <w:t xml:space="preserve"> Some polyps of a modern coral </w:t>
      </w:r>
      <w:proofErr w:type="gramStart"/>
      <w:r w:rsidRPr="00F02364">
        <w:rPr>
          <w:rFonts w:ascii="Book Antiqua" w:hAnsi="Book Antiqua"/>
          <w:i/>
          <w:sz w:val="18"/>
          <w:szCs w:val="18"/>
        </w:rPr>
        <w:t>reef</w:t>
      </w:r>
      <w:r>
        <w:rPr>
          <w:rFonts w:ascii="Book Antiqua" w:hAnsi="Book Antiqua"/>
          <w:i/>
          <w:sz w:val="18"/>
          <w:szCs w:val="18"/>
        </w:rPr>
        <w:t xml:space="preserve"> </w:t>
      </w:r>
      <w:r w:rsidRPr="00F02364">
        <w:rPr>
          <w:rFonts w:ascii="Book Antiqua" w:hAnsi="Book Antiqua"/>
          <w:i/>
          <w:sz w:val="18"/>
          <w:szCs w:val="18"/>
        </w:rPr>
        <w:t xml:space="preserve"> for</w:t>
      </w:r>
      <w:proofErr w:type="gramEnd"/>
      <w:r w:rsidRPr="00F02364">
        <w:rPr>
          <w:rFonts w:ascii="Book Antiqua" w:hAnsi="Book Antiqua"/>
          <w:i/>
          <w:sz w:val="18"/>
          <w:szCs w:val="18"/>
        </w:rPr>
        <w:t xml:space="preserve"> comparison.</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 xml:space="preserve">Since </w:t>
      </w:r>
      <w:r>
        <w:rPr>
          <w:rFonts w:ascii="Book Antiqua" w:hAnsi="Book Antiqua"/>
          <w:sz w:val="20"/>
          <w:szCs w:val="20"/>
        </w:rPr>
        <w:t>the algal respiration</w:t>
      </w:r>
      <w:r w:rsidRPr="00923ECC">
        <w:rPr>
          <w:rFonts w:ascii="Book Antiqua" w:hAnsi="Book Antiqua"/>
          <w:sz w:val="20"/>
          <w:szCs w:val="20"/>
        </w:rPr>
        <w:t xml:space="preserve"> functions via photosynthesis, </w:t>
      </w:r>
      <w:r>
        <w:rPr>
          <w:rFonts w:ascii="Book Antiqua" w:hAnsi="Book Antiqua"/>
          <w:sz w:val="20"/>
          <w:szCs w:val="20"/>
        </w:rPr>
        <w:t>it</w:t>
      </w:r>
      <w:r w:rsidRPr="00923ECC">
        <w:rPr>
          <w:rFonts w:ascii="Book Antiqua" w:hAnsi="Book Antiqua"/>
          <w:sz w:val="20"/>
          <w:szCs w:val="20"/>
        </w:rPr>
        <w:t xml:space="preserve"> is very dependent on light. Indoor experiments have shown that [34], </w:t>
      </w:r>
      <w:r w:rsidRPr="00923ECC">
        <w:rPr>
          <w:rFonts w:ascii="Book Antiqua" w:hAnsi="Book Antiqua"/>
          <w:i/>
          <w:sz w:val="20"/>
          <w:szCs w:val="20"/>
        </w:rPr>
        <w:t>“when exposed to light, quality growth of the skeleton takes place at a rate that is three to five times faster than in darkness. This period of strengthening is known as ‘light enhanced calcification’ [35].</w:t>
      </w:r>
      <w:r w:rsidRPr="00923ECC">
        <w:rPr>
          <w:rFonts w:ascii="Book Antiqua" w:hAnsi="Book Antiqua"/>
          <w:sz w:val="20"/>
          <w:szCs w:val="20"/>
        </w:rPr>
        <w:t xml:space="preserve">” Experiments done in sunlight have shown that </w:t>
      </w:r>
      <w:r w:rsidRPr="00923ECC">
        <w:rPr>
          <w:rFonts w:ascii="Book Antiqua" w:hAnsi="Book Antiqua"/>
          <w:i/>
          <w:sz w:val="20"/>
          <w:szCs w:val="20"/>
        </w:rPr>
        <w:t>“The growth of the coral skeleton is on average 14 times faster in sunlight than it is in darkness… Even daily variations in light intensity have a measurable effect on the calcification rate; the uptake of calcium is fastest at noon on a clear, sunny day, is reduced by 50 percent on a cloudy day and by nearly 90 percent in total darkness.”</w:t>
      </w:r>
      <w:r w:rsidRPr="00923ECC">
        <w:rPr>
          <w:rFonts w:ascii="Book Antiqua" w:hAnsi="Book Antiqua"/>
          <w:sz w:val="20"/>
          <w:szCs w:val="20"/>
        </w:rPr>
        <w:t xml:space="preserve"> [36] </w:t>
      </w:r>
    </w:p>
    <w:p w:rsidR="0014236D" w:rsidRPr="00923ECC" w:rsidRDefault="0014236D" w:rsidP="0014236D">
      <w:pPr>
        <w:pStyle w:val="NormalWeb"/>
        <w:ind w:firstLine="720"/>
        <w:jc w:val="both"/>
        <w:rPr>
          <w:rFonts w:ascii="Book Antiqua" w:hAnsi="Book Antiqua"/>
          <w:sz w:val="20"/>
          <w:szCs w:val="20"/>
        </w:rPr>
      </w:pPr>
      <w:r w:rsidRPr="00923ECC">
        <w:rPr>
          <w:rFonts w:ascii="Book Antiqua" w:hAnsi="Book Antiqua"/>
          <w:sz w:val="20"/>
          <w:szCs w:val="20"/>
        </w:rPr>
        <w:t>The situation that exists with lower ZPE strengths in the past, and therefore higher photon counts per second from all light sources, ha</w:t>
      </w:r>
      <w:r>
        <w:rPr>
          <w:rFonts w:ascii="Book Antiqua" w:hAnsi="Book Antiqua"/>
          <w:sz w:val="20"/>
          <w:szCs w:val="20"/>
        </w:rPr>
        <w:t>s</w:t>
      </w:r>
      <w:r w:rsidRPr="00923ECC">
        <w:rPr>
          <w:rFonts w:ascii="Book Antiqua" w:hAnsi="Book Antiqua"/>
          <w:sz w:val="20"/>
          <w:szCs w:val="20"/>
        </w:rPr>
        <w:t xml:space="preserve"> been outlined earlier. As this is applied to the formation of coral reefs, it would seem that a very favorable environment exist</w:t>
      </w:r>
      <w:r>
        <w:rPr>
          <w:rFonts w:ascii="Book Antiqua" w:hAnsi="Book Antiqua"/>
          <w:sz w:val="20"/>
          <w:szCs w:val="20"/>
        </w:rPr>
        <w:t>ed</w:t>
      </w:r>
      <w:r w:rsidRPr="00923ECC">
        <w:rPr>
          <w:rFonts w:ascii="Book Antiqua" w:hAnsi="Book Antiqua"/>
          <w:sz w:val="20"/>
          <w:szCs w:val="20"/>
        </w:rPr>
        <w:t xml:space="preserve"> for a reef formation rate which was considerably more rapid than exists today. Therefore </w:t>
      </w:r>
      <w:r w:rsidRPr="00923ECC">
        <w:rPr>
          <w:rFonts w:ascii="Book Antiqua" w:hAnsi="Book Antiqua"/>
          <w:sz w:val="20"/>
          <w:szCs w:val="20"/>
        </w:rPr>
        <w:lastRenderedPageBreak/>
        <w:t xml:space="preserve">we need to be careful when ascribing excessively long times to the formation of some of the massive reef systems seen in the fossil record. </w:t>
      </w:r>
    </w:p>
    <w:p w:rsidR="0014236D" w:rsidRPr="00703A0F" w:rsidRDefault="0014236D" w:rsidP="0014236D">
      <w:pPr>
        <w:pStyle w:val="NormalWeb"/>
        <w:jc w:val="both"/>
        <w:rPr>
          <w:rFonts w:ascii="Book Antiqua" w:hAnsi="Book Antiqua"/>
          <w:b/>
          <w:sz w:val="20"/>
          <w:szCs w:val="20"/>
        </w:rPr>
      </w:pPr>
      <w:r w:rsidRPr="00703A0F">
        <w:rPr>
          <w:rFonts w:ascii="Book Antiqua" w:hAnsi="Book Antiqua"/>
          <w:b/>
          <w:sz w:val="20"/>
          <w:szCs w:val="20"/>
        </w:rPr>
        <w:t>9 The Oklo reactor and banded iron formtions</w:t>
      </w: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the case of the Oklo reactor, discussed in Chapter 8, the detailed picture that emerges is that of </w:t>
      </w:r>
      <w:r>
        <w:rPr>
          <w:rFonts w:ascii="Book Antiqua" w:hAnsi="Book Antiqua"/>
          <w:sz w:val="20"/>
        </w:rPr>
        <w:t>large</w:t>
      </w:r>
      <w:r w:rsidRPr="00F84121">
        <w:rPr>
          <w:rFonts w:ascii="Book Antiqua" w:hAnsi="Book Antiqua"/>
          <w:sz w:val="20"/>
        </w:rPr>
        <w:t xml:space="preserve"> pulsing geyser</w:t>
      </w:r>
      <w:r>
        <w:rPr>
          <w:rFonts w:ascii="Book Antiqua" w:hAnsi="Book Antiqua"/>
          <w:sz w:val="20"/>
        </w:rPr>
        <w:t>s</w:t>
      </w:r>
      <w:r w:rsidRPr="00F84121">
        <w:rPr>
          <w:rFonts w:ascii="Book Antiqua" w:hAnsi="Book Antiqua"/>
          <w:sz w:val="20"/>
        </w:rPr>
        <w:t xml:space="preserve"> whose water was being acted on by algae</w:t>
      </w:r>
      <w:r>
        <w:rPr>
          <w:rFonts w:ascii="Book Antiqua" w:hAnsi="Book Antiqua"/>
          <w:sz w:val="20"/>
        </w:rPr>
        <w:t xml:space="preserve"> in a large lake or body of water</w:t>
      </w:r>
      <w:r w:rsidRPr="00F84121">
        <w:rPr>
          <w:rFonts w:ascii="Book Antiqua" w:hAnsi="Book Antiqua"/>
          <w:sz w:val="20"/>
        </w:rPr>
        <w:t>. The evidence presented in Chapter 9 is that water was being driven out from deep in the earth</w:t>
      </w:r>
      <w:r>
        <w:rPr>
          <w:rFonts w:ascii="Book Antiqua" w:hAnsi="Book Antiqua"/>
          <w:sz w:val="20"/>
        </w:rPr>
        <w:t>’s</w:t>
      </w:r>
      <w:r w:rsidRPr="00F84121">
        <w:rPr>
          <w:rFonts w:ascii="Book Antiqua" w:hAnsi="Book Antiqua"/>
          <w:sz w:val="20"/>
        </w:rPr>
        <w:t xml:space="preserve"> interior by radioactive heating. This water </w:t>
      </w:r>
      <w:r>
        <w:rPr>
          <w:rFonts w:ascii="Book Antiqua" w:hAnsi="Book Antiqua"/>
          <w:sz w:val="20"/>
        </w:rPr>
        <w:t>continued to build</w:t>
      </w:r>
      <w:r w:rsidRPr="00F84121">
        <w:rPr>
          <w:rFonts w:ascii="Book Antiqua" w:hAnsi="Book Antiqua"/>
          <w:sz w:val="20"/>
        </w:rPr>
        <w:t xml:space="preserve"> under the crust until the pressure was </w:t>
      </w:r>
      <w:r>
        <w:rPr>
          <w:rFonts w:ascii="Book Antiqua" w:hAnsi="Book Antiqua"/>
          <w:sz w:val="20"/>
        </w:rPr>
        <w:t>first</w:t>
      </w:r>
      <w:r w:rsidRPr="00F84121">
        <w:rPr>
          <w:rFonts w:ascii="Book Antiqua" w:hAnsi="Book Antiqua"/>
          <w:sz w:val="20"/>
        </w:rPr>
        <w:t xml:space="preserve"> released catastrophic</w:t>
      </w:r>
      <w:r>
        <w:rPr>
          <w:rFonts w:ascii="Book Antiqua" w:hAnsi="Book Antiqua"/>
          <w:sz w:val="20"/>
        </w:rPr>
        <w:t>ally by the</w:t>
      </w:r>
      <w:r w:rsidRPr="00F84121">
        <w:rPr>
          <w:rFonts w:ascii="Book Antiqua" w:hAnsi="Book Antiqua"/>
          <w:sz w:val="20"/>
        </w:rPr>
        <w:t xml:space="preserve"> out-gassing event of Snowball Earth.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Pr>
          <w:rFonts w:ascii="Book Antiqua" w:hAnsi="Book Antiqua"/>
          <w:sz w:val="20"/>
        </w:rPr>
        <w:t>Throughout</w:t>
      </w:r>
      <w:r w:rsidRPr="00F84121">
        <w:rPr>
          <w:rFonts w:ascii="Book Antiqua" w:hAnsi="Book Antiqua"/>
          <w:sz w:val="20"/>
        </w:rPr>
        <w:t xml:space="preserve"> the Archaeozoic, </w:t>
      </w:r>
      <w:r>
        <w:rPr>
          <w:rFonts w:ascii="Book Antiqua" w:hAnsi="Book Antiqua"/>
          <w:sz w:val="20"/>
        </w:rPr>
        <w:t xml:space="preserve">then, </w:t>
      </w:r>
      <w:r w:rsidRPr="00F84121">
        <w:rPr>
          <w:rFonts w:ascii="Book Antiqua" w:hAnsi="Book Antiqua"/>
          <w:sz w:val="20"/>
        </w:rPr>
        <w:t xml:space="preserve">water under pressure was building up under the crust and being expelled in a system of geysers on the surface. Under the ocean the process </w:t>
      </w:r>
      <w:r>
        <w:rPr>
          <w:rFonts w:ascii="Book Antiqua" w:hAnsi="Book Antiqua"/>
          <w:sz w:val="20"/>
        </w:rPr>
        <w:t>would have been</w:t>
      </w:r>
      <w:r w:rsidRPr="00F84121">
        <w:rPr>
          <w:rFonts w:ascii="Book Antiqua" w:hAnsi="Book Antiqua"/>
          <w:sz w:val="20"/>
        </w:rPr>
        <w:t xml:space="preserve"> similar to the black smokers we have today in the south-east Pacific Rise, only much more prolific. </w:t>
      </w:r>
    </w:p>
    <w:p w:rsidR="0014236D" w:rsidRPr="00F84121" w:rsidRDefault="0014236D" w:rsidP="0014236D">
      <w:pPr>
        <w:pStyle w:val="NoSpacing"/>
        <w:jc w:val="both"/>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Since there are 16 separate reaction sites in the extensive Oklo region, it is possible that there may have been </w:t>
      </w:r>
      <w:r>
        <w:rPr>
          <w:rFonts w:ascii="Book Antiqua" w:hAnsi="Book Antiqua"/>
          <w:sz w:val="20"/>
        </w:rPr>
        <w:t>a number of</w:t>
      </w:r>
      <w:r w:rsidRPr="00F84121">
        <w:rPr>
          <w:rFonts w:ascii="Book Antiqua" w:hAnsi="Book Antiqua"/>
          <w:sz w:val="20"/>
        </w:rPr>
        <w:t xml:space="preserve"> separate geysers each bringing up water rich in minerals, including uranium</w:t>
      </w:r>
      <w:r>
        <w:rPr>
          <w:rFonts w:ascii="Book Antiqua" w:hAnsi="Book Antiqua"/>
          <w:sz w:val="20"/>
        </w:rPr>
        <w:t>,</w:t>
      </w:r>
      <w:r w:rsidRPr="00F84121">
        <w:rPr>
          <w:rFonts w:ascii="Book Antiqua" w:hAnsi="Book Antiqua"/>
          <w:sz w:val="20"/>
        </w:rPr>
        <w:t xml:space="preserve"> from the earth’s interior. </w:t>
      </w:r>
      <w:r>
        <w:rPr>
          <w:rFonts w:ascii="Book Antiqua" w:hAnsi="Book Antiqua"/>
          <w:sz w:val="20"/>
        </w:rPr>
        <w:t>On the surface, these</w:t>
      </w:r>
      <w:r w:rsidRPr="00F84121">
        <w:rPr>
          <w:rFonts w:ascii="Book Antiqua" w:hAnsi="Book Antiqua"/>
          <w:sz w:val="20"/>
        </w:rPr>
        <w:t xml:space="preserve"> algae</w:t>
      </w:r>
      <w:r>
        <w:rPr>
          <w:rFonts w:ascii="Book Antiqua" w:hAnsi="Book Antiqua"/>
          <w:sz w:val="20"/>
        </w:rPr>
        <w:t xml:space="preserve"> </w:t>
      </w:r>
      <w:r w:rsidRPr="00F84121">
        <w:rPr>
          <w:rFonts w:ascii="Book Antiqua" w:hAnsi="Book Antiqua"/>
          <w:sz w:val="20"/>
        </w:rPr>
        <w:t>act</w:t>
      </w:r>
      <w:r>
        <w:rPr>
          <w:rFonts w:ascii="Book Antiqua" w:hAnsi="Book Antiqua"/>
          <w:sz w:val="20"/>
        </w:rPr>
        <w:t>ed</w:t>
      </w:r>
      <w:r w:rsidRPr="00F84121">
        <w:rPr>
          <w:rFonts w:ascii="Book Antiqua" w:hAnsi="Book Antiqua"/>
          <w:sz w:val="20"/>
        </w:rPr>
        <w:t xml:space="preserve"> to concentrate the uranium</w:t>
      </w:r>
      <w:r>
        <w:rPr>
          <w:rFonts w:ascii="Book Antiqua" w:hAnsi="Book Antiqua"/>
          <w:sz w:val="20"/>
        </w:rPr>
        <w:t xml:space="preserve"> from the water</w:t>
      </w:r>
      <w:r w:rsidRPr="00F84121">
        <w:rPr>
          <w:rFonts w:ascii="Book Antiqua" w:hAnsi="Book Antiqua"/>
          <w:sz w:val="20"/>
        </w:rPr>
        <w:t xml:space="preserve"> in the Oklo region</w:t>
      </w:r>
      <w:r>
        <w:rPr>
          <w:rFonts w:ascii="Book Antiqua" w:hAnsi="Book Antiqua"/>
          <w:sz w:val="20"/>
        </w:rPr>
        <w:t>.</w:t>
      </w:r>
      <w:r w:rsidRPr="00F84121">
        <w:rPr>
          <w:rFonts w:ascii="Book Antiqua" w:hAnsi="Book Antiqua"/>
          <w:sz w:val="20"/>
        </w:rPr>
        <w:t xml:space="preserve"> Since the algae were </w:t>
      </w:r>
      <w:r>
        <w:rPr>
          <w:rFonts w:ascii="Book Antiqua" w:hAnsi="Book Antiqua"/>
          <w:sz w:val="20"/>
        </w:rPr>
        <w:t>photosynthesizing much more quickly</w:t>
      </w:r>
      <w:r w:rsidRPr="00F84121">
        <w:rPr>
          <w:rFonts w:ascii="Book Antiqua" w:hAnsi="Book Antiqua"/>
          <w:sz w:val="20"/>
        </w:rPr>
        <w:t xml:space="preserve"> </w:t>
      </w:r>
      <w:r>
        <w:rPr>
          <w:rFonts w:ascii="Book Antiqua" w:hAnsi="Book Antiqua"/>
          <w:sz w:val="20"/>
        </w:rPr>
        <w:t>due to the</w:t>
      </w:r>
      <w:r w:rsidRPr="00F84121">
        <w:rPr>
          <w:rFonts w:ascii="Book Antiqua" w:hAnsi="Book Antiqua"/>
          <w:sz w:val="20"/>
        </w:rPr>
        <w:t xml:space="preserve"> low ZPE</w:t>
      </w:r>
      <w:r>
        <w:rPr>
          <w:rFonts w:ascii="Book Antiqua" w:hAnsi="Book Antiqua"/>
          <w:sz w:val="20"/>
        </w:rPr>
        <w:t xml:space="preserve"> at the time</w:t>
      </w:r>
      <w:r w:rsidRPr="00F84121">
        <w:rPr>
          <w:rFonts w:ascii="Book Antiqua" w:hAnsi="Book Antiqua"/>
          <w:sz w:val="20"/>
        </w:rPr>
        <w:t xml:space="preserve">, the uranium concentration process would have been quicker and more efficient. </w:t>
      </w:r>
      <w:r>
        <w:rPr>
          <w:rFonts w:ascii="Book Antiqua" w:hAnsi="Book Antiqua"/>
          <w:sz w:val="20"/>
        </w:rPr>
        <w:t>The</w:t>
      </w:r>
      <w:r w:rsidRPr="00F84121">
        <w:rPr>
          <w:rFonts w:ascii="Book Antiqua" w:hAnsi="Book Antiqua"/>
          <w:sz w:val="20"/>
        </w:rPr>
        <w:t xml:space="preserve"> high percentage of clay particles </w:t>
      </w:r>
      <w:r>
        <w:rPr>
          <w:rFonts w:ascii="Book Antiqua" w:hAnsi="Book Antiqua"/>
          <w:sz w:val="20"/>
        </w:rPr>
        <w:t xml:space="preserve">which </w:t>
      </w:r>
      <w:r w:rsidRPr="00F84121">
        <w:rPr>
          <w:rFonts w:ascii="Book Antiqua" w:hAnsi="Book Antiqua"/>
          <w:sz w:val="20"/>
        </w:rPr>
        <w:t>were also involved may have been from the geysers themselves or from the adjacent environment.</w:t>
      </w:r>
    </w:p>
    <w:p w:rsidR="0014236D" w:rsidRPr="00F84121" w:rsidRDefault="0014236D" w:rsidP="0014236D">
      <w:pPr>
        <w:pStyle w:val="NoSpacing"/>
        <w:rPr>
          <w:rFonts w:ascii="Book Antiqua" w:hAnsi="Book Antiqua"/>
          <w:sz w:val="20"/>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t xml:space="preserve">In a similar way the banded iron formations are typical of this </w:t>
      </w:r>
      <w:r>
        <w:rPr>
          <w:rFonts w:ascii="Book Antiqua" w:hAnsi="Book Antiqua"/>
          <w:sz w:val="20"/>
        </w:rPr>
        <w:t xml:space="preserve">Archaeozoic </w:t>
      </w:r>
      <w:r w:rsidRPr="00F84121">
        <w:rPr>
          <w:rFonts w:ascii="Book Antiqua" w:hAnsi="Book Antiqua"/>
          <w:sz w:val="20"/>
        </w:rPr>
        <w:t xml:space="preserve">period. </w:t>
      </w:r>
      <w:r>
        <w:rPr>
          <w:rFonts w:ascii="Book Antiqua" w:hAnsi="Book Antiqua"/>
          <w:sz w:val="20"/>
        </w:rPr>
        <w:t xml:space="preserve">Today these iron-rich deposits are mined on land.  But when they were formed, it was done under water. </w:t>
      </w:r>
      <w:r w:rsidRPr="00F84121">
        <w:rPr>
          <w:rFonts w:ascii="Book Antiqua" w:hAnsi="Book Antiqua"/>
          <w:sz w:val="20"/>
        </w:rPr>
        <w:t xml:space="preserve">The iron is thought to </w:t>
      </w:r>
      <w:r>
        <w:rPr>
          <w:rFonts w:ascii="Book Antiqua" w:hAnsi="Book Antiqua"/>
          <w:sz w:val="20"/>
        </w:rPr>
        <w:t xml:space="preserve">have </w:t>
      </w:r>
      <w:r w:rsidRPr="00F84121">
        <w:rPr>
          <w:rFonts w:ascii="Book Antiqua" w:hAnsi="Book Antiqua"/>
          <w:sz w:val="20"/>
        </w:rPr>
        <w:t>originate</w:t>
      </w:r>
      <w:r>
        <w:rPr>
          <w:rFonts w:ascii="Book Antiqua" w:hAnsi="Book Antiqua"/>
          <w:sz w:val="20"/>
        </w:rPr>
        <w:t>d</w:t>
      </w:r>
      <w:r w:rsidRPr="00F84121">
        <w:rPr>
          <w:rFonts w:ascii="Book Antiqua" w:hAnsi="Book Antiqua"/>
          <w:sz w:val="20"/>
        </w:rPr>
        <w:t xml:space="preserve"> </w:t>
      </w:r>
      <w:r>
        <w:rPr>
          <w:rFonts w:ascii="Book Antiqua" w:hAnsi="Book Antiqua"/>
          <w:sz w:val="20"/>
        </w:rPr>
        <w:t>in</w:t>
      </w:r>
      <w:r w:rsidRPr="00F84121">
        <w:rPr>
          <w:rFonts w:ascii="Book Antiqua" w:hAnsi="Book Antiqua"/>
          <w:sz w:val="20"/>
        </w:rPr>
        <w:t xml:space="preserve"> </w:t>
      </w:r>
      <w:r>
        <w:rPr>
          <w:rFonts w:ascii="Book Antiqua" w:hAnsi="Book Antiqua"/>
          <w:sz w:val="20"/>
        </w:rPr>
        <w:t xml:space="preserve">the </w:t>
      </w:r>
      <w:r w:rsidRPr="00F84121">
        <w:rPr>
          <w:rFonts w:ascii="Book Antiqua" w:hAnsi="Book Antiqua"/>
          <w:sz w:val="20"/>
        </w:rPr>
        <w:t xml:space="preserve">hydrothermal outpourings </w:t>
      </w:r>
      <w:r>
        <w:rPr>
          <w:rFonts w:ascii="Book Antiqua" w:hAnsi="Book Antiqua"/>
          <w:sz w:val="20"/>
        </w:rPr>
        <w:t>of</w:t>
      </w:r>
      <w:r w:rsidRPr="00F84121">
        <w:rPr>
          <w:rFonts w:ascii="Book Antiqua" w:hAnsi="Book Antiqua"/>
          <w:sz w:val="20"/>
        </w:rPr>
        <w:t xml:space="preserve"> ocean geysers. These geysers outpoured a solution which was rich in silica as well as being rich in the soluble </w:t>
      </w:r>
      <w:proofErr w:type="gramStart"/>
      <w:r w:rsidRPr="00F84121">
        <w:rPr>
          <w:rFonts w:ascii="Book Antiqua" w:hAnsi="Book Antiqua"/>
          <w:sz w:val="20"/>
        </w:rPr>
        <w:t>Fe(</w:t>
      </w:r>
      <w:proofErr w:type="gramEnd"/>
      <w:r w:rsidRPr="00F84121">
        <w:rPr>
          <w:rFonts w:ascii="Book Antiqua" w:hAnsi="Book Antiqua"/>
          <w:sz w:val="20"/>
        </w:rPr>
        <w:t xml:space="preserve">II) form of iron [37]. </w:t>
      </w:r>
      <w:r>
        <w:rPr>
          <w:rFonts w:ascii="Book Antiqua" w:hAnsi="Book Antiqua"/>
          <w:sz w:val="20"/>
        </w:rPr>
        <w:t xml:space="preserve"> Again we find phototropic bacteria, including the blue-green algae, playing an important role.  They supplied the high oxygen content to the water which then precipitated the soluble iron as the insoluble </w:t>
      </w:r>
      <w:proofErr w:type="gramStart"/>
      <w:r>
        <w:rPr>
          <w:rFonts w:ascii="Book Antiqua" w:hAnsi="Book Antiqua"/>
          <w:sz w:val="20"/>
        </w:rPr>
        <w:t>Fe(</w:t>
      </w:r>
      <w:proofErr w:type="gramEnd"/>
      <w:r>
        <w:rPr>
          <w:rFonts w:ascii="Book Antiqua" w:hAnsi="Book Antiqua"/>
          <w:sz w:val="20"/>
        </w:rPr>
        <w:t xml:space="preserve">III).  Several processes by which this may occur are discussed in </w:t>
      </w:r>
      <w:r w:rsidRPr="00BD5A13">
        <w:rPr>
          <w:rFonts w:ascii="Book Antiqua" w:hAnsi="Book Antiqua"/>
          <w:i/>
          <w:sz w:val="20"/>
        </w:rPr>
        <w:t>Deposition of Banded Formations by Oxidizing Bacteria</w:t>
      </w:r>
      <w:r w:rsidRPr="00BD5A13">
        <w:rPr>
          <w:rFonts w:ascii="Book Antiqua" w:hAnsi="Book Antiqua"/>
          <w:sz w:val="20"/>
        </w:rPr>
        <w:t xml:space="preserve"> [38].</w:t>
      </w:r>
      <w:r w:rsidRPr="00F84121">
        <w:rPr>
          <w:rFonts w:ascii="Book Antiqua" w:hAnsi="Book Antiqua"/>
          <w:sz w:val="20"/>
        </w:rPr>
        <w:t xml:space="preserve"> </w:t>
      </w:r>
    </w:p>
    <w:p w:rsidR="0014236D" w:rsidRPr="00F84121" w:rsidRDefault="0014236D" w:rsidP="0014236D">
      <w:pPr>
        <w:pStyle w:val="NoSpacing"/>
        <w:jc w:val="both"/>
        <w:rPr>
          <w:rFonts w:ascii="Book Antiqua" w:hAnsi="Book Antiqua"/>
          <w:sz w:val="20"/>
        </w:rPr>
      </w:pPr>
    </w:p>
    <w:p w:rsidR="0014236D" w:rsidRPr="00923ECC" w:rsidRDefault="0014236D" w:rsidP="0014236D">
      <w:pPr>
        <w:shd w:val="clear" w:color="auto" w:fill="FFFFFF"/>
        <w:jc w:val="center"/>
        <w:rPr>
          <w:rFonts w:ascii="Book Antiqua" w:eastAsia="Times New Roman" w:hAnsi="Book Antiqua"/>
          <w:color w:val="000000"/>
        </w:rPr>
      </w:pPr>
      <w:r w:rsidRPr="00923ECC">
        <w:rPr>
          <w:rFonts w:ascii="Book Antiqua" w:eastAsia="Times New Roman" w:hAnsi="Book Antiqua"/>
          <w:noProof/>
          <w:color w:val="000000"/>
          <w:lang w:val="en-US"/>
        </w:rPr>
        <w:drawing>
          <wp:inline distT="0" distB="0" distL="0" distR="0">
            <wp:extent cx="5949603" cy="2689411"/>
            <wp:effectExtent l="19050" t="0" r="0" b="0"/>
            <wp:docPr id="982" name="Picture 2" descr="http://2.bp.blogspot.com/_2AKQ_gFjQeo/TUZoD4EDNDI/AAAAAAAAAEU/zA5aFvKRVjY/s1600/BIFphoto.png"/>
            <wp:cNvGraphicFramePr/>
            <a:graphic xmlns:a="http://schemas.openxmlformats.org/drawingml/2006/main">
              <a:graphicData uri="http://schemas.openxmlformats.org/drawingml/2006/picture">
                <pic:pic xmlns:pic="http://schemas.openxmlformats.org/drawingml/2006/picture">
                  <pic:nvPicPr>
                    <pic:cNvPr id="4" name="irc_mi" descr="http://2.bp.blogspot.com/_2AKQ_gFjQeo/TUZoD4EDNDI/AAAAAAAAAEU/zA5aFvKRVjY/s1600/BIFphoto.png"/>
                    <pic:cNvPicPr/>
                  </pic:nvPicPr>
                  <pic:blipFill>
                    <a:blip r:embed="rId1108" cstate="print"/>
                    <a:srcRect t="9061"/>
                    <a:stretch>
                      <a:fillRect/>
                    </a:stretch>
                  </pic:blipFill>
                  <pic:spPr bwMode="auto">
                    <a:xfrm>
                      <a:off x="0" y="0"/>
                      <a:ext cx="5953125" cy="2691003"/>
                    </a:xfrm>
                    <a:prstGeom prst="rect">
                      <a:avLst/>
                    </a:prstGeom>
                    <a:noFill/>
                    <a:ln w="9525">
                      <a:noFill/>
                      <a:miter lim="800000"/>
                      <a:headEnd/>
                      <a:tailEnd/>
                    </a:ln>
                  </pic:spPr>
                </pic:pic>
              </a:graphicData>
            </a:graphic>
          </wp:inline>
        </w:drawing>
      </w:r>
    </w:p>
    <w:p w:rsidR="0014236D" w:rsidRPr="00923ECC" w:rsidRDefault="0014236D" w:rsidP="0014236D">
      <w:pPr>
        <w:shd w:val="clear" w:color="auto" w:fill="FFFFFF"/>
        <w:jc w:val="both"/>
        <w:rPr>
          <w:rFonts w:ascii="Book Antiqua" w:eastAsia="Times New Roman" w:hAnsi="Book Antiqua"/>
          <w:color w:val="000000"/>
          <w:sz w:val="18"/>
          <w:szCs w:val="18"/>
        </w:rPr>
      </w:pPr>
    </w:p>
    <w:p w:rsidR="0014236D" w:rsidRPr="00F02364" w:rsidRDefault="0014236D" w:rsidP="00322CE8">
      <w:pPr>
        <w:shd w:val="clear" w:color="auto" w:fill="FFFFFF"/>
        <w:jc w:val="center"/>
        <w:rPr>
          <w:rFonts w:ascii="Book Antiqua" w:eastAsia="Times New Roman" w:hAnsi="Book Antiqua"/>
          <w:i/>
          <w:color w:val="000000"/>
          <w:sz w:val="18"/>
          <w:szCs w:val="18"/>
        </w:rPr>
      </w:pPr>
      <w:r w:rsidRPr="00F02364">
        <w:rPr>
          <w:rFonts w:ascii="Book Antiqua" w:eastAsia="Times New Roman" w:hAnsi="Book Antiqua"/>
          <w:b/>
          <w:i/>
          <w:color w:val="000000"/>
          <w:sz w:val="18"/>
          <w:szCs w:val="18"/>
        </w:rPr>
        <w:t>Figure 14:</w:t>
      </w:r>
      <w:r w:rsidRPr="00F02364">
        <w:rPr>
          <w:rFonts w:ascii="Book Antiqua" w:eastAsia="Times New Roman" w:hAnsi="Book Antiqua"/>
          <w:i/>
          <w:color w:val="000000"/>
          <w:sz w:val="18"/>
          <w:szCs w:val="18"/>
        </w:rPr>
        <w:t xml:space="preserve"> On</w:t>
      </w:r>
      <w:r w:rsidR="000B50E1">
        <w:rPr>
          <w:rFonts w:ascii="Book Antiqua" w:eastAsia="Times New Roman" w:hAnsi="Book Antiqua"/>
          <w:i/>
          <w:color w:val="000000"/>
          <w:sz w:val="18"/>
          <w:szCs w:val="18"/>
        </w:rPr>
        <w:t>e scenario for the formation of</w:t>
      </w:r>
      <w:r w:rsidRPr="00F02364">
        <w:rPr>
          <w:rFonts w:ascii="Book Antiqua" w:eastAsia="Times New Roman" w:hAnsi="Book Antiqua"/>
          <w:i/>
          <w:color w:val="000000"/>
          <w:sz w:val="18"/>
          <w:szCs w:val="18"/>
        </w:rPr>
        <w:t xml:space="preserve"> banded iron.</w:t>
      </w:r>
    </w:p>
    <w:p w:rsidR="0014236D" w:rsidRPr="00923ECC" w:rsidRDefault="0014236D" w:rsidP="0014236D">
      <w:pPr>
        <w:shd w:val="clear" w:color="auto" w:fill="FFFFFF"/>
        <w:jc w:val="both"/>
        <w:rPr>
          <w:rFonts w:ascii="Book Antiqua" w:eastAsia="Times New Roman" w:hAnsi="Book Antiqua"/>
          <w:color w:val="000000"/>
          <w:sz w:val="18"/>
          <w:szCs w:val="18"/>
        </w:rPr>
      </w:pPr>
    </w:p>
    <w:p w:rsidR="0014236D" w:rsidRPr="00F84121" w:rsidRDefault="0014236D" w:rsidP="0014236D">
      <w:pPr>
        <w:pStyle w:val="NoSpacing"/>
        <w:ind w:firstLine="720"/>
        <w:jc w:val="both"/>
        <w:rPr>
          <w:rFonts w:ascii="Book Antiqua" w:hAnsi="Book Antiqua"/>
          <w:sz w:val="20"/>
        </w:rPr>
      </w:pPr>
      <w:r w:rsidRPr="00F84121">
        <w:rPr>
          <w:rFonts w:ascii="Book Antiqua" w:hAnsi="Book Antiqua"/>
          <w:sz w:val="20"/>
        </w:rPr>
        <w:lastRenderedPageBreak/>
        <w:t xml:space="preserve">The cyclical nature of the banded iron deposits may reflect either the diurnal tidal situation in a near-shore environment, or, alternately, the diurnal sequence of daylight and darkness which affected the bacterial production of oxygen needed for the precipitation of the iron. During the period when the bacteria lay dormant and produced little oxygen, no iron </w:t>
      </w:r>
      <w:r>
        <w:rPr>
          <w:rFonts w:ascii="Book Antiqua" w:hAnsi="Book Antiqua"/>
          <w:sz w:val="20"/>
        </w:rPr>
        <w:t>precipitated due to the lack of oxygen.  Instead,</w:t>
      </w:r>
      <w:r w:rsidRPr="00F84121">
        <w:rPr>
          <w:rFonts w:ascii="Book Antiqua" w:hAnsi="Book Antiqua"/>
          <w:sz w:val="20"/>
        </w:rPr>
        <w:t xml:space="preserve"> the silica rich solution formed layers of chert. Figure 14 illustrates one of several possible scenarios.</w:t>
      </w:r>
      <w:r>
        <w:rPr>
          <w:rFonts w:ascii="Book Antiqua" w:hAnsi="Book Antiqua"/>
          <w:sz w:val="20"/>
        </w:rPr>
        <w:t xml:space="preserve"> Figure 15 shows some banded iron formations in detail.</w:t>
      </w:r>
    </w:p>
    <w:p w:rsidR="0014236D" w:rsidRPr="00923ECC" w:rsidRDefault="0014236D" w:rsidP="0014236D">
      <w:pPr>
        <w:shd w:val="clear" w:color="auto" w:fill="FFFFFF"/>
        <w:jc w:val="both"/>
        <w:rPr>
          <w:rFonts w:ascii="Book Antiqua" w:eastAsia="Times New Roman" w:hAnsi="Book Antiqua"/>
          <w:color w:val="000000"/>
          <w:sz w:val="18"/>
          <w:szCs w:val="18"/>
        </w:rPr>
      </w:pPr>
    </w:p>
    <w:tbl>
      <w:tblPr>
        <w:tblStyle w:val="TableGrid"/>
        <w:tblW w:w="0" w:type="auto"/>
        <w:jc w:val="center"/>
        <w:tblLook w:val="04A0"/>
      </w:tblPr>
      <w:tblGrid>
        <w:gridCol w:w="5106"/>
        <w:gridCol w:w="5646"/>
      </w:tblGrid>
      <w:tr w:rsidR="0014236D" w:rsidRPr="00923ECC" w:rsidTr="00322CE8">
        <w:trPr>
          <w:jc w:val="center"/>
        </w:trPr>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086100" cy="2886075"/>
                  <wp:effectExtent l="19050" t="0" r="0" b="0"/>
                  <wp:docPr id="983" name="Picture 4" descr="http://www.nordcee.dk/uploads/images/Full_size/AustraliaBIF.JPG"/>
                  <wp:cNvGraphicFramePr/>
                  <a:graphic xmlns:a="http://schemas.openxmlformats.org/drawingml/2006/main">
                    <a:graphicData uri="http://schemas.openxmlformats.org/drawingml/2006/picture">
                      <pic:pic xmlns:pic="http://schemas.openxmlformats.org/drawingml/2006/picture">
                        <pic:nvPicPr>
                          <pic:cNvPr id="135170" name="Picture 2" descr="http://www.nordcee.dk/uploads/images/Full_size/AustraliaBIF.JPG"/>
                          <pic:cNvPicPr>
                            <a:picLocks noChangeAspect="1" noChangeArrowheads="1"/>
                          </pic:cNvPicPr>
                        </pic:nvPicPr>
                        <pic:blipFill>
                          <a:blip r:embed="rId1109" cstate="print"/>
                          <a:srcRect l="13369"/>
                          <a:stretch>
                            <a:fillRect/>
                          </a:stretch>
                        </pic:blipFill>
                        <pic:spPr bwMode="auto">
                          <a:xfrm>
                            <a:off x="0" y="0"/>
                            <a:ext cx="3086100" cy="2886075"/>
                          </a:xfrm>
                          <a:prstGeom prst="rect">
                            <a:avLst/>
                          </a:prstGeom>
                          <a:noFill/>
                        </pic:spPr>
                      </pic:pic>
                    </a:graphicData>
                  </a:graphic>
                </wp:inline>
              </w:drawing>
            </w:r>
          </w:p>
        </w:tc>
        <w:tc>
          <w:tcPr>
            <w:tcW w:w="4360" w:type="dxa"/>
          </w:tcPr>
          <w:p w:rsidR="0014236D" w:rsidRPr="00923ECC" w:rsidRDefault="0014236D" w:rsidP="003442EA">
            <w:pPr>
              <w:jc w:val="both"/>
              <w:rPr>
                <w:rFonts w:ascii="Book Antiqua" w:hAnsi="Book Antiqua"/>
                <w:color w:val="000000"/>
              </w:rPr>
            </w:pPr>
            <w:r w:rsidRPr="00923ECC">
              <w:rPr>
                <w:rFonts w:ascii="Book Antiqua" w:hAnsi="Book Antiqua"/>
                <w:noProof/>
                <w:color w:val="000000"/>
                <w:lang w:val="en-US"/>
              </w:rPr>
              <w:drawing>
                <wp:inline distT="0" distB="0" distL="0" distR="0">
                  <wp:extent cx="3428999" cy="2886075"/>
                  <wp:effectExtent l="19050" t="0" r="1" b="0"/>
                  <wp:docPr id="984" name="Picture 3" descr="http://scienceillustrated.com.au/blog/wp-content/uploads/2011/10/BIF1.gif"/>
                  <wp:cNvGraphicFramePr/>
                  <a:graphic xmlns:a="http://schemas.openxmlformats.org/drawingml/2006/main">
                    <a:graphicData uri="http://schemas.openxmlformats.org/drawingml/2006/picture">
                      <pic:pic xmlns:pic="http://schemas.openxmlformats.org/drawingml/2006/picture">
                        <pic:nvPicPr>
                          <pic:cNvPr id="35842" name="Picture 2" descr="http://scienceillustrated.com.au/blog/wp-content/uploads/2011/10/BIF1.gif"/>
                          <pic:cNvPicPr>
                            <a:picLocks noChangeAspect="1" noChangeArrowheads="1"/>
                          </pic:cNvPicPr>
                        </pic:nvPicPr>
                        <pic:blipFill>
                          <a:blip r:embed="rId1110" cstate="print"/>
                          <a:srcRect l="8482" r="6293"/>
                          <a:stretch>
                            <a:fillRect/>
                          </a:stretch>
                        </pic:blipFill>
                        <pic:spPr bwMode="auto">
                          <a:xfrm>
                            <a:off x="0" y="0"/>
                            <a:ext cx="3430460" cy="2887304"/>
                          </a:xfrm>
                          <a:prstGeom prst="rect">
                            <a:avLst/>
                          </a:prstGeom>
                          <a:noFill/>
                        </pic:spPr>
                      </pic:pic>
                    </a:graphicData>
                  </a:graphic>
                </wp:inline>
              </w:drawing>
            </w:r>
          </w:p>
        </w:tc>
      </w:tr>
    </w:tbl>
    <w:p w:rsidR="0014236D" w:rsidRPr="00923ECC" w:rsidRDefault="0014236D" w:rsidP="0014236D">
      <w:pPr>
        <w:shd w:val="clear" w:color="auto" w:fill="FFFFFF"/>
        <w:jc w:val="both"/>
        <w:rPr>
          <w:rFonts w:ascii="Book Antiqua" w:eastAsia="Times New Roman" w:hAnsi="Book Antiqua"/>
          <w:color w:val="000000"/>
        </w:rPr>
      </w:pPr>
    </w:p>
    <w:p w:rsidR="0014236D" w:rsidRPr="00F02364" w:rsidRDefault="0014236D" w:rsidP="0014236D">
      <w:pPr>
        <w:shd w:val="clear" w:color="auto" w:fill="FFFFFF"/>
        <w:rPr>
          <w:rFonts w:ascii="Book Antiqua" w:eastAsia="Times New Roman" w:hAnsi="Book Antiqua"/>
          <w:i/>
          <w:color w:val="000000"/>
          <w:sz w:val="18"/>
          <w:szCs w:val="18"/>
        </w:rPr>
      </w:pPr>
      <w:r w:rsidRPr="00F02364">
        <w:rPr>
          <w:rFonts w:ascii="Book Antiqua" w:eastAsia="Times New Roman" w:hAnsi="Book Antiqua"/>
          <w:b/>
          <w:i/>
          <w:color w:val="000000"/>
          <w:sz w:val="18"/>
          <w:szCs w:val="18"/>
        </w:rPr>
        <w:t>Figure 15:</w:t>
      </w:r>
      <w:r w:rsidRPr="00F02364">
        <w:rPr>
          <w:rFonts w:ascii="Book Antiqua" w:eastAsia="Times New Roman" w:hAnsi="Book Antiqua"/>
          <w:i/>
          <w:color w:val="000000"/>
          <w:sz w:val="18"/>
          <w:szCs w:val="18"/>
        </w:rPr>
        <w:t xml:space="preserve"> Banded iron formation, Western Australia. (Left) </w:t>
      </w:r>
      <w:proofErr w:type="gramStart"/>
      <w:r w:rsidRPr="00F02364">
        <w:rPr>
          <w:rFonts w:ascii="Book Antiqua" w:eastAsia="Times New Roman" w:hAnsi="Book Antiqua"/>
          <w:i/>
          <w:color w:val="000000"/>
          <w:sz w:val="18"/>
          <w:szCs w:val="18"/>
        </w:rPr>
        <w:t>Medium scale view.</w:t>
      </w:r>
      <w:proofErr w:type="gramEnd"/>
      <w:r w:rsidRPr="00F02364">
        <w:rPr>
          <w:rFonts w:ascii="Book Antiqua" w:eastAsia="Times New Roman" w:hAnsi="Book Antiqua"/>
          <w:i/>
          <w:color w:val="000000"/>
          <w:sz w:val="18"/>
          <w:szCs w:val="18"/>
        </w:rPr>
        <w:t xml:space="preserve"> </w:t>
      </w:r>
      <w:proofErr w:type="gramStart"/>
      <w:r w:rsidRPr="00F02364">
        <w:rPr>
          <w:rFonts w:ascii="Book Antiqua" w:eastAsia="Times New Roman" w:hAnsi="Book Antiqua"/>
          <w:i/>
          <w:color w:val="000000"/>
          <w:sz w:val="18"/>
          <w:szCs w:val="18"/>
        </w:rPr>
        <w:t>(Right) smaller detail showing red iron oxide bands separated by dark layers of chert (silica).</w:t>
      </w:r>
      <w:proofErr w:type="gramEnd"/>
    </w:p>
    <w:p w:rsidR="0014236D" w:rsidRPr="00923ECC" w:rsidRDefault="0014236D" w:rsidP="0014236D">
      <w:pPr>
        <w:pStyle w:val="NormalWeb"/>
        <w:jc w:val="both"/>
        <w:rPr>
          <w:rFonts w:ascii="Book Antiqua" w:hAnsi="Book Antiqua"/>
          <w:b/>
          <w:sz w:val="20"/>
          <w:szCs w:val="20"/>
        </w:rPr>
      </w:pPr>
      <w:r>
        <w:rPr>
          <w:rFonts w:ascii="Book Antiqua" w:hAnsi="Book Antiqua"/>
          <w:b/>
          <w:sz w:val="20"/>
          <w:szCs w:val="20"/>
        </w:rPr>
        <w:t>10</w:t>
      </w:r>
      <w:r w:rsidRPr="00923ECC">
        <w:rPr>
          <w:rFonts w:ascii="Book Antiqua" w:hAnsi="Book Antiqua"/>
          <w:b/>
          <w:sz w:val="20"/>
          <w:szCs w:val="20"/>
        </w:rPr>
        <w:t>.  Summary</w:t>
      </w:r>
    </w:p>
    <w:p w:rsidR="0014236D" w:rsidRPr="00923ECC" w:rsidRDefault="0014236D" w:rsidP="0014236D">
      <w:pPr>
        <w:pStyle w:val="NoSpacing"/>
        <w:ind w:firstLine="720"/>
        <w:jc w:val="both"/>
        <w:rPr>
          <w:rFonts w:ascii="Book Antiqua" w:hAnsi="Book Antiqua"/>
          <w:sz w:val="20"/>
        </w:rPr>
      </w:pPr>
      <w:r w:rsidRPr="00923ECC">
        <w:rPr>
          <w:rFonts w:ascii="Book Antiqua" w:hAnsi="Book Antiqua"/>
          <w:sz w:val="20"/>
        </w:rPr>
        <w:t>The gigantism we see in fossils has always puzzled palaeontologists.  Was there something genetic going on, or was it something to do with the environment itself?  As we have examined some of this material, we have looked at environmental causes, with only a moment’s question regarding the genetics of Rubisco itself.  But it looks as though we can attribute most of what we see in the gigantism in fossils to</w:t>
      </w:r>
      <w:r>
        <w:rPr>
          <w:rFonts w:ascii="Book Antiqua" w:hAnsi="Book Antiqua"/>
          <w:sz w:val="20"/>
        </w:rPr>
        <w:t xml:space="preserve"> the</w:t>
      </w:r>
      <w:r w:rsidRPr="00923ECC">
        <w:rPr>
          <w:rFonts w:ascii="Book Antiqua" w:hAnsi="Book Antiqua"/>
          <w:sz w:val="20"/>
        </w:rPr>
        <w:t xml:space="preserve"> environmental effects of a lower Zero Point Energy.</w:t>
      </w:r>
    </w:p>
    <w:p w:rsidR="0014236D" w:rsidRPr="00923ECC" w:rsidRDefault="0014236D" w:rsidP="0014236D">
      <w:pPr>
        <w:pStyle w:val="NoSpacing"/>
        <w:jc w:val="both"/>
        <w:rPr>
          <w:rFonts w:ascii="Book Antiqua" w:hAnsi="Book Antiqua"/>
          <w:b/>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Because ZPE strength was lower in the past, the electric and magnetic properties of the vacuum were different from now. </w:t>
      </w:r>
      <w:r>
        <w:rPr>
          <w:rFonts w:ascii="Book Antiqua" w:hAnsi="Book Antiqua"/>
          <w:sz w:val="20"/>
        </w:rPr>
        <w:t>V</w:t>
      </w:r>
      <w:r w:rsidRPr="00923ECC">
        <w:rPr>
          <w:rFonts w:ascii="Book Antiqua" w:hAnsi="Book Antiqua"/>
          <w:sz w:val="20"/>
        </w:rPr>
        <w:t xml:space="preserve">oltages and currents were inherently stronger and electric and magnetic interactions were much faster.  Because </w:t>
      </w:r>
      <w:r>
        <w:rPr>
          <w:rFonts w:ascii="Book Antiqua" w:hAnsi="Book Antiqua"/>
          <w:sz w:val="20"/>
        </w:rPr>
        <w:t>many processes</w:t>
      </w:r>
      <w:r w:rsidRPr="00923ECC">
        <w:rPr>
          <w:rFonts w:ascii="Book Antiqua" w:hAnsi="Book Antiqua"/>
          <w:sz w:val="20"/>
        </w:rPr>
        <w:t xml:space="preserve"> in both plants and animals are based upon some form of electric (ion) transfers,</w:t>
      </w:r>
      <w:r>
        <w:rPr>
          <w:rFonts w:ascii="Book Antiqua" w:hAnsi="Book Antiqua"/>
          <w:sz w:val="20"/>
        </w:rPr>
        <w:t xml:space="preserve"> or bio-electro-magnetics,</w:t>
      </w:r>
      <w:r w:rsidRPr="00923ECC">
        <w:rPr>
          <w:rFonts w:ascii="Book Antiqua" w:hAnsi="Book Antiqua"/>
          <w:sz w:val="20"/>
        </w:rPr>
        <w:t xml:space="preserve"> they react to the properties of space itself, and thus to the Zero Point Energy. So when the ZPE itself was lower, the</w:t>
      </w:r>
      <w:r>
        <w:rPr>
          <w:rFonts w:ascii="Book Antiqua" w:hAnsi="Book Antiqua"/>
          <w:sz w:val="20"/>
        </w:rPr>
        <w:t>se</w:t>
      </w:r>
      <w:r w:rsidRPr="00923ECC">
        <w:rPr>
          <w:rFonts w:ascii="Book Antiqua" w:hAnsi="Book Antiqua"/>
          <w:sz w:val="20"/>
        </w:rPr>
        <w:t xml:space="preserve"> processes were both faster and more efficient.   This means that the </w:t>
      </w:r>
      <w:r w:rsidRPr="007F5F84">
        <w:rPr>
          <w:rFonts w:ascii="Book Antiqua" w:hAnsi="Book Antiqua"/>
          <w:sz w:val="20"/>
        </w:rPr>
        <w:t>possible</w:t>
      </w:r>
      <w:r>
        <w:rPr>
          <w:rFonts w:ascii="Book Antiqua" w:hAnsi="Book Antiqua"/>
          <w:color w:val="FF0000"/>
          <w:sz w:val="20"/>
        </w:rPr>
        <w:t xml:space="preserve"> </w:t>
      </w:r>
      <w:r w:rsidRPr="00923ECC">
        <w:rPr>
          <w:rFonts w:ascii="Book Antiqua" w:hAnsi="Book Antiqua"/>
          <w:sz w:val="20"/>
        </w:rPr>
        <w:t xml:space="preserve">lack of myelin on the nerves of </w:t>
      </w:r>
      <w:r>
        <w:rPr>
          <w:rFonts w:ascii="Book Antiqua" w:hAnsi="Book Antiqua"/>
          <w:sz w:val="20"/>
        </w:rPr>
        <w:t>dinosaurs</w:t>
      </w:r>
      <w:r w:rsidRPr="00923ECC">
        <w:rPr>
          <w:rFonts w:ascii="Book Antiqua" w:hAnsi="Book Antiqua"/>
          <w:sz w:val="20"/>
        </w:rPr>
        <w:t xml:space="preserve">, for instance, did not stand in the way of their continued growth, as nerve impulses were much faster </w:t>
      </w:r>
      <w:r>
        <w:rPr>
          <w:rFonts w:ascii="Book Antiqua" w:hAnsi="Book Antiqua"/>
          <w:sz w:val="20"/>
        </w:rPr>
        <w:t>because the</w:t>
      </w:r>
      <w:r w:rsidRPr="00923ECC">
        <w:rPr>
          <w:rFonts w:ascii="Book Antiqua" w:hAnsi="Book Antiqua"/>
          <w:sz w:val="20"/>
        </w:rPr>
        <w:t xml:space="preserve"> capacitances </w:t>
      </w:r>
      <w:r>
        <w:rPr>
          <w:rFonts w:ascii="Book Antiqua" w:hAnsi="Book Antiqua"/>
          <w:sz w:val="20"/>
        </w:rPr>
        <w:t xml:space="preserve">of the nerve fibers were </w:t>
      </w:r>
      <w:r w:rsidRPr="00923ECC">
        <w:rPr>
          <w:rFonts w:ascii="Book Antiqua" w:hAnsi="Book Antiqua"/>
          <w:sz w:val="20"/>
        </w:rPr>
        <w:t xml:space="preserve">proportionately lower, allowing the animal to respond quickly to stimuli.  </w:t>
      </w: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NoSpacing"/>
        <w:jc w:val="both"/>
        <w:rPr>
          <w:rFonts w:ascii="Book Antiqua" w:hAnsi="Book Antiqua"/>
          <w:sz w:val="20"/>
        </w:rPr>
      </w:pPr>
      <w:r w:rsidRPr="00923ECC">
        <w:rPr>
          <w:rFonts w:ascii="Book Antiqua" w:hAnsi="Book Antiqua"/>
          <w:sz w:val="20"/>
        </w:rPr>
        <w:tab/>
        <w:t xml:space="preserve">A lower ZPE also meant there were more light photons arriving per second with lower amplitudes.  So although the overall brightness was constant, and the photon energy (color) was unchanged, photosynthesis itself was more efficient.  The outcome was that flora could grow larger and more prolifically.  Thus, while genetic factors may also have been involved, there is strong evidence that it was the environment itself which was primarily responsible for the gigantism we see in the fossil record. </w:t>
      </w:r>
    </w:p>
    <w:p w:rsidR="0014236D" w:rsidRPr="00923ECC" w:rsidRDefault="0014236D" w:rsidP="0014236D">
      <w:pPr>
        <w:pStyle w:val="NoSpacing"/>
        <w:jc w:val="both"/>
        <w:rPr>
          <w:rFonts w:ascii="Book Antiqua" w:hAnsi="Book Antiqua"/>
          <w:sz w:val="20"/>
        </w:rPr>
      </w:pPr>
    </w:p>
    <w:p w:rsidR="0014236D" w:rsidRDefault="0014236D" w:rsidP="0014236D">
      <w:pPr>
        <w:pStyle w:val="NoSpacing"/>
        <w:ind w:firstLine="720"/>
        <w:jc w:val="both"/>
        <w:rPr>
          <w:rFonts w:ascii="Book Antiqua" w:hAnsi="Book Antiqua"/>
          <w:sz w:val="20"/>
        </w:rPr>
      </w:pPr>
      <w:r w:rsidRPr="00923ECC">
        <w:rPr>
          <w:rFonts w:ascii="Book Antiqua" w:hAnsi="Book Antiqua"/>
          <w:sz w:val="20"/>
        </w:rPr>
        <w:t xml:space="preserve">The final point that has been noted, with photosynthesis being more efficient, has other implications for the fossil record. The rate of growth of stromatolites and coral reefs is expected to </w:t>
      </w:r>
      <w:r>
        <w:rPr>
          <w:rFonts w:ascii="Book Antiqua" w:hAnsi="Book Antiqua"/>
          <w:sz w:val="20"/>
        </w:rPr>
        <w:t>have been</w:t>
      </w:r>
      <w:r w:rsidRPr="00923ECC">
        <w:rPr>
          <w:rFonts w:ascii="Book Antiqua" w:hAnsi="Book Antiqua"/>
          <w:sz w:val="20"/>
        </w:rPr>
        <w:t xml:space="preserve"> faster with lower ZPE strengths. </w:t>
      </w:r>
      <w:r>
        <w:rPr>
          <w:rFonts w:ascii="Book Antiqua" w:hAnsi="Book Antiqua"/>
          <w:sz w:val="20"/>
        </w:rPr>
        <w:t>T</w:t>
      </w:r>
      <w:r w:rsidRPr="00923ECC">
        <w:rPr>
          <w:rFonts w:ascii="Book Antiqua" w:hAnsi="Book Antiqua"/>
          <w:sz w:val="20"/>
        </w:rPr>
        <w:t xml:space="preserve">he </w:t>
      </w:r>
      <w:proofErr w:type="gramStart"/>
      <w:r w:rsidRPr="00923ECC">
        <w:rPr>
          <w:rFonts w:ascii="Book Antiqua" w:hAnsi="Book Antiqua"/>
          <w:sz w:val="20"/>
        </w:rPr>
        <w:lastRenderedPageBreak/>
        <w:t>coccolithophores</w:t>
      </w:r>
      <w:proofErr w:type="gramEnd"/>
      <w:r w:rsidRPr="00923ECC">
        <w:rPr>
          <w:rFonts w:ascii="Book Antiqua" w:hAnsi="Book Antiqua"/>
          <w:sz w:val="20"/>
        </w:rPr>
        <w:t xml:space="preserve"> from which chalk beds are built up, were also simple photosynthesizers, </w:t>
      </w:r>
      <w:r>
        <w:rPr>
          <w:rFonts w:ascii="Book Antiqua" w:hAnsi="Book Antiqua"/>
          <w:sz w:val="20"/>
        </w:rPr>
        <w:t>which means</w:t>
      </w:r>
      <w:r w:rsidRPr="00923ECC">
        <w:rPr>
          <w:rFonts w:ascii="Book Antiqua" w:hAnsi="Book Antiqua"/>
          <w:sz w:val="20"/>
        </w:rPr>
        <w:t xml:space="preserve"> that they proliferated more rapidly. </w:t>
      </w:r>
      <w:r>
        <w:rPr>
          <w:rFonts w:ascii="Book Antiqua" w:hAnsi="Book Antiqua"/>
          <w:sz w:val="20"/>
        </w:rPr>
        <w:t xml:space="preserve">The rapid photosynthesis of blue-green algae and other bacteria also helps explain the Oklo phenomena as well as the deposition of the banded iron formations. </w:t>
      </w:r>
      <w:r w:rsidRPr="00923ECC">
        <w:rPr>
          <w:rFonts w:ascii="Book Antiqua" w:hAnsi="Book Antiqua"/>
          <w:sz w:val="20"/>
        </w:rPr>
        <w:t xml:space="preserve">These developments require a re-assessment of the time taken to form some important features in the geological column. </w:t>
      </w:r>
    </w:p>
    <w:p w:rsidR="0014236D" w:rsidRDefault="0014236D" w:rsidP="0014236D">
      <w:pPr>
        <w:pStyle w:val="NoSpacing"/>
        <w:ind w:firstLine="720"/>
        <w:jc w:val="both"/>
        <w:rPr>
          <w:rFonts w:ascii="Book Antiqua" w:hAnsi="Book Antiqua"/>
          <w:sz w:val="20"/>
        </w:rPr>
      </w:pPr>
    </w:p>
    <w:p w:rsidR="0014236D" w:rsidRPr="00923ECC" w:rsidRDefault="0014236D" w:rsidP="0014236D">
      <w:pPr>
        <w:pStyle w:val="NoSpacing"/>
        <w:jc w:val="both"/>
        <w:rPr>
          <w:rFonts w:ascii="Book Antiqua" w:hAnsi="Book Antiqua"/>
          <w:sz w:val="20"/>
        </w:rPr>
      </w:pPr>
    </w:p>
    <w:p w:rsidR="0014236D" w:rsidRPr="00923ECC" w:rsidRDefault="0014236D" w:rsidP="0014236D">
      <w:pPr>
        <w:pStyle w:val="Els-body-text"/>
        <w:ind w:firstLine="0"/>
        <w:jc w:val="left"/>
        <w:rPr>
          <w:rFonts w:ascii="Book Antiqua" w:hAnsi="Book Antiqua"/>
          <w:b/>
        </w:rPr>
      </w:pPr>
      <w:r w:rsidRPr="00923ECC">
        <w:rPr>
          <w:rFonts w:ascii="Book Antiqua" w:hAnsi="Book Antiqua"/>
          <w:b/>
        </w:rPr>
        <w:t>References</w:t>
      </w:r>
    </w:p>
    <w:p w:rsidR="0014236D" w:rsidRPr="00923ECC" w:rsidRDefault="0014236D" w:rsidP="0014236D">
      <w:pPr>
        <w:pStyle w:val="Els-body-text"/>
        <w:jc w:val="left"/>
        <w:rPr>
          <w:rFonts w:ascii="Book Antiqua" w:hAnsi="Book Antiqua"/>
        </w:rPr>
      </w:pP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 M. E. White, </w:t>
      </w:r>
      <w:r w:rsidRPr="00923ECC">
        <w:rPr>
          <w:rFonts w:ascii="Book Antiqua" w:hAnsi="Book Antiqua"/>
          <w:i/>
          <w:sz w:val="16"/>
          <w:szCs w:val="16"/>
        </w:rPr>
        <w:t>The Greening of Gondwana,</w:t>
      </w:r>
      <w:r w:rsidRPr="00923ECC">
        <w:rPr>
          <w:rFonts w:ascii="Book Antiqua" w:hAnsi="Book Antiqua"/>
          <w:sz w:val="16"/>
          <w:szCs w:val="16"/>
        </w:rPr>
        <w:t xml:space="preserve"> p.75, Reed Books</w:t>
      </w:r>
      <w:proofErr w:type="gramStart"/>
      <w:r w:rsidRPr="00923ECC">
        <w:rPr>
          <w:rFonts w:ascii="Book Antiqua" w:hAnsi="Book Antiqua"/>
          <w:sz w:val="16"/>
          <w:szCs w:val="16"/>
        </w:rPr>
        <w:t>,  Australia</w:t>
      </w:r>
      <w:proofErr w:type="gramEnd"/>
      <w:r w:rsidRPr="00923ECC">
        <w:rPr>
          <w:rFonts w:ascii="Book Antiqua" w:hAnsi="Book Antiqua"/>
          <w:sz w:val="16"/>
          <w:szCs w:val="16"/>
        </w:rPr>
        <w:t>, 1988.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 A. Dimech, "</w:t>
      </w:r>
      <w:r w:rsidRPr="00923ECC">
        <w:rPr>
          <w:rFonts w:ascii="Book Antiqua" w:hAnsi="Book Antiqua"/>
          <w:i/>
          <w:sz w:val="16"/>
          <w:szCs w:val="16"/>
        </w:rPr>
        <w:t>The Mega Clubmoss Flora"</w:t>
      </w:r>
      <w:r w:rsidRPr="00923ECC">
        <w:rPr>
          <w:rFonts w:ascii="Book Antiqua" w:hAnsi="Book Antiqua"/>
          <w:sz w:val="16"/>
          <w:szCs w:val="16"/>
        </w:rPr>
        <w:t>, Plant Evolution Tour Part VI, at: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11" w:history="1">
        <w:r w:rsidRPr="00923ECC">
          <w:rPr>
            <w:rStyle w:val="Hyperlink"/>
            <w:rFonts w:ascii="Book Antiqua" w:hAnsi="Book Antiqua"/>
            <w:i/>
            <w:szCs w:val="16"/>
          </w:rPr>
          <w:t>http://www.adonline.id.au/plantevol/tour/mega-clubmoss-flora.php</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 R. Khamsi, “Giant Claw Points to Monster Sea Scorpion,” </w:t>
      </w:r>
      <w:r w:rsidRPr="00923ECC">
        <w:rPr>
          <w:rFonts w:ascii="Book Antiqua" w:hAnsi="Book Antiqua"/>
          <w:i/>
          <w:sz w:val="16"/>
          <w:szCs w:val="16"/>
        </w:rPr>
        <w:t>New Scientist</w:t>
      </w:r>
      <w:r w:rsidRPr="00923ECC">
        <w:rPr>
          <w:rFonts w:ascii="Book Antiqua" w:hAnsi="Book Antiqua"/>
          <w:sz w:val="16"/>
          <w:szCs w:val="16"/>
        </w:rPr>
        <w:t xml:space="preserve">, 21 </w:t>
      </w:r>
      <w:proofErr w:type="gramStart"/>
      <w:r w:rsidRPr="00923ECC">
        <w:rPr>
          <w:rFonts w:ascii="Book Antiqua" w:hAnsi="Book Antiqua"/>
          <w:sz w:val="16"/>
          <w:szCs w:val="16"/>
        </w:rPr>
        <w:t>November ,</w:t>
      </w:r>
      <w:proofErr w:type="gramEnd"/>
      <w:r w:rsidRPr="00923ECC">
        <w:rPr>
          <w:rFonts w:ascii="Book Antiqua" w:hAnsi="Book Antiqua"/>
          <w:sz w:val="16"/>
          <w:szCs w:val="16"/>
        </w:rPr>
        <w:t xml:space="preserve"> 2007, online at: </w:t>
      </w:r>
      <w:hyperlink r:id="rId1112" w:history="1">
        <w:r w:rsidRPr="00923ECC">
          <w:rPr>
            <w:rStyle w:val="Hyperlink"/>
            <w:rFonts w:ascii="Book Antiqua" w:hAnsi="Book Antiqua"/>
            <w:i/>
            <w:szCs w:val="16"/>
          </w:rPr>
          <w:t>http://www.newscientist.com/article/dn12941-giant-claw-points-to-%20monster-sea-scorpion.html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[4] S. J. Braddy et al., </w:t>
      </w:r>
      <w:r w:rsidRPr="00923ECC">
        <w:rPr>
          <w:rFonts w:ascii="Book Antiqua" w:hAnsi="Book Antiqua"/>
          <w:i/>
          <w:sz w:val="16"/>
          <w:szCs w:val="16"/>
        </w:rPr>
        <w:t>Biology Letters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 xml:space="preserve">:1, pp.106-109, (23 Feb. 2008) at: </w:t>
      </w:r>
      <w:hyperlink r:id="rId1113" w:tgtFrame="ns" w:history="1">
        <w:r w:rsidRPr="00923ECC">
          <w:rPr>
            <w:rStyle w:val="Hyperlink"/>
            <w:rFonts w:ascii="Book Antiqua" w:hAnsi="Book Antiqua"/>
            <w:i/>
            <w:iCs/>
            <w:szCs w:val="16"/>
          </w:rPr>
          <w:t>Biology Letters</w:t>
        </w:r>
        <w:r w:rsidRPr="00923ECC">
          <w:rPr>
            <w:rStyle w:val="Hyperlink"/>
            <w:rFonts w:ascii="Book Antiqua" w:hAnsi="Book Antiqua"/>
            <w:szCs w:val="16"/>
          </w:rPr>
          <w:t xml:space="preserve"> (DOI: 10.1098/rsbl.2007.0491)</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[5] O. E. Tetlie, “390 Million Year Old Scorpion Fossil – Biggest Bug Known,” </w:t>
      </w:r>
      <w:r w:rsidRPr="00923ECC">
        <w:rPr>
          <w:rFonts w:ascii="Book Antiqua" w:hAnsi="Book Antiqua"/>
          <w:i/>
          <w:sz w:val="16"/>
          <w:szCs w:val="16"/>
        </w:rPr>
        <w:t>Yale News</w:t>
      </w:r>
      <w:r w:rsidRPr="00923ECC">
        <w:rPr>
          <w:rFonts w:ascii="Book Antiqua" w:hAnsi="Book Antiqua"/>
          <w:sz w:val="16"/>
          <w:szCs w:val="16"/>
        </w:rPr>
        <w:t>, Nov. 21, 2007 from:</w:t>
      </w:r>
    </w:p>
    <w:p w:rsidR="0014236D" w:rsidRPr="00923ECC" w:rsidRDefault="007B3EBC" w:rsidP="0014236D">
      <w:pPr>
        <w:pStyle w:val="NoSpacing"/>
        <w:rPr>
          <w:rFonts w:ascii="Book Antiqua" w:hAnsi="Book Antiqua"/>
          <w:sz w:val="16"/>
          <w:szCs w:val="16"/>
        </w:rPr>
      </w:pPr>
      <w:hyperlink r:id="rId1114" w:history="1">
        <w:r w:rsidR="0014236D" w:rsidRPr="00923ECC">
          <w:rPr>
            <w:rStyle w:val="Hyperlink"/>
            <w:rFonts w:ascii="Book Antiqua" w:hAnsi="Book Antiqua"/>
            <w:i/>
            <w:szCs w:val="16"/>
          </w:rPr>
          <w:t>opa.yale.edu/news/article.aspx?id=2010</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[6] D. Huang et al, “Diverse transitional giant fleas from the Mesozoic of China,” Letter to </w:t>
      </w:r>
      <w:r w:rsidRPr="00923ECC">
        <w:rPr>
          <w:rFonts w:ascii="Book Antiqua" w:hAnsi="Book Antiqua"/>
          <w:i/>
          <w:sz w:val="16"/>
          <w:szCs w:val="16"/>
        </w:rPr>
        <w:t>Nature</w:t>
      </w:r>
      <w:r w:rsidRPr="00923ECC">
        <w:rPr>
          <w:rFonts w:ascii="Book Antiqua" w:hAnsi="Book Antiqua"/>
          <w:sz w:val="16"/>
          <w:szCs w:val="16"/>
        </w:rPr>
        <w:t>, 29</w:t>
      </w:r>
      <w:r w:rsidRPr="00923ECC">
        <w:rPr>
          <w:rFonts w:ascii="Book Antiqua" w:hAnsi="Book Antiqua"/>
          <w:sz w:val="16"/>
          <w:szCs w:val="16"/>
          <w:vertAlign w:val="superscript"/>
        </w:rPr>
        <w:t>th</w:t>
      </w:r>
      <w:r w:rsidRPr="00923ECC">
        <w:rPr>
          <w:rFonts w:ascii="Book Antiqua" w:hAnsi="Book Antiqua"/>
          <w:sz w:val="16"/>
          <w:szCs w:val="16"/>
        </w:rPr>
        <w:t xml:space="preserve"> February, 2012, doi:</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proofErr w:type="gramStart"/>
      <w:r w:rsidRPr="00923ECC">
        <w:rPr>
          <w:rFonts w:ascii="Book Antiqua" w:hAnsi="Book Antiqua"/>
          <w:sz w:val="16"/>
          <w:szCs w:val="16"/>
        </w:rPr>
        <w:t>10.1038/nature10839, and New Scientist, p.18, 3 March, 2012.</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[7] G. J. Prideaux et al., “Mammalian responses to Pleistocene climate change in south eastern Australia,” </w:t>
      </w:r>
      <w:r w:rsidRPr="00923ECC">
        <w:rPr>
          <w:rFonts w:ascii="Book Antiqua" w:hAnsi="Book Antiqua"/>
          <w:i/>
          <w:sz w:val="16"/>
          <w:szCs w:val="16"/>
        </w:rPr>
        <w:t>Geology</w:t>
      </w:r>
      <w:r w:rsidRPr="00923ECC">
        <w:rPr>
          <w:rFonts w:ascii="Book Antiqua" w:hAnsi="Book Antiqua"/>
          <w:sz w:val="16"/>
          <w:szCs w:val="16"/>
        </w:rPr>
        <w:t xml:space="preserve">, doi. 1130/G23070A.1 </w:t>
      </w:r>
      <w:hyperlink r:id="rId1115" w:history="1">
        <w:r w:rsidRPr="00923ECC">
          <w:rPr>
            <w:rStyle w:val="Hyperlink"/>
            <w:rFonts w:ascii="Book Antiqua" w:hAnsi="Book Antiqua"/>
            <w:i/>
            <w:szCs w:val="16"/>
          </w:rPr>
          <w:t>http://www.msnbc.msn.com/id/16359687/from/RS.5/</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[8] D. Colman, “Body Size </w:t>
      </w:r>
      <w:proofErr w:type="gramStart"/>
      <w:r w:rsidRPr="00923ECC">
        <w:rPr>
          <w:rFonts w:ascii="Book Antiqua" w:hAnsi="Book Antiqua"/>
          <w:sz w:val="16"/>
          <w:szCs w:val="16"/>
        </w:rPr>
        <w:t>In</w:t>
      </w:r>
      <w:proofErr w:type="gramEnd"/>
      <w:r w:rsidRPr="00923ECC">
        <w:rPr>
          <w:rFonts w:ascii="Book Antiqua" w:hAnsi="Book Antiqua"/>
          <w:sz w:val="16"/>
          <w:szCs w:val="16"/>
        </w:rPr>
        <w:t xml:space="preserve"> Herbivorous Dinosaurs,” </w:t>
      </w:r>
    </w:p>
    <w:p w:rsidR="0014236D" w:rsidRPr="00923ECC" w:rsidRDefault="007B3EBC" w:rsidP="0014236D">
      <w:pPr>
        <w:pStyle w:val="NoSpacing"/>
        <w:rPr>
          <w:rFonts w:ascii="Book Antiqua" w:hAnsi="Book Antiqua"/>
          <w:i/>
          <w:sz w:val="16"/>
          <w:szCs w:val="16"/>
        </w:rPr>
      </w:pPr>
      <w:hyperlink r:id="rId1116" w:history="1">
        <w:r w:rsidR="0014236D" w:rsidRPr="00923ECC">
          <w:rPr>
            <w:rStyle w:val="Hyperlink"/>
            <w:rFonts w:ascii="Book Antiqua" w:hAnsi="Book Antiqua"/>
            <w:i/>
            <w:szCs w:val="16"/>
          </w:rPr>
          <w:t>http://www.mni.mcgill.ca/media/publications/neuroscienceletter/june09/colman/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[9] A. S. Hill et al. </w:t>
      </w:r>
      <w:r w:rsidRPr="00923ECC">
        <w:rPr>
          <w:rFonts w:ascii="Book Antiqua" w:hAnsi="Book Antiqua"/>
          <w:i/>
          <w:sz w:val="16"/>
          <w:szCs w:val="16"/>
        </w:rPr>
        <w:t>PLOS Genetics</w:t>
      </w:r>
      <w:r w:rsidRPr="00923ECC">
        <w:rPr>
          <w:rFonts w:ascii="Book Antiqua" w:hAnsi="Book Antiqua"/>
          <w:sz w:val="16"/>
          <w:szCs w:val="16"/>
        </w:rPr>
        <w:t xml:space="preserve"> </w:t>
      </w:r>
      <w:r w:rsidRPr="00923ECC">
        <w:rPr>
          <w:rFonts w:ascii="Book Antiqua" w:hAnsi="Book Antiqua"/>
          <w:b/>
          <w:sz w:val="16"/>
          <w:szCs w:val="16"/>
        </w:rPr>
        <w:t>4</w:t>
      </w:r>
      <w:r w:rsidRPr="00923ECC">
        <w:rPr>
          <w:rFonts w:ascii="Book Antiqua" w:hAnsi="Book Antiqua"/>
          <w:sz w:val="16"/>
          <w:szCs w:val="16"/>
        </w:rPr>
        <w:t>:12 (December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[10] B. Zalc, D. Goujet, D. Colman, “The Origin of the Myelination</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Program in Vertebrates,” </w:t>
      </w:r>
      <w:r w:rsidRPr="00923ECC">
        <w:rPr>
          <w:rFonts w:ascii="Book Antiqua" w:hAnsi="Book Antiqua"/>
          <w:i/>
          <w:sz w:val="16"/>
          <w:szCs w:val="16"/>
        </w:rPr>
        <w:t>Current Biology</w:t>
      </w:r>
      <w:r w:rsidRPr="00923ECC">
        <w:rPr>
          <w:rFonts w:ascii="Book Antiqua" w:hAnsi="Book Antiqua"/>
          <w:b/>
          <w:sz w:val="16"/>
          <w:szCs w:val="16"/>
        </w:rPr>
        <w:t xml:space="preserve"> 18</w:t>
      </w:r>
      <w:r w:rsidRPr="00923ECC">
        <w:rPr>
          <w:rFonts w:ascii="Book Antiqua" w:hAnsi="Book Antiqua"/>
          <w:sz w:val="16"/>
          <w:szCs w:val="16"/>
        </w:rPr>
        <w:t>:12 (24 June, 2008), pp. R511-R512.</w:t>
      </w:r>
      <w:proofErr w:type="gramEnd"/>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[11] J. Malmivuo and R. Plonsey, </w:t>
      </w:r>
      <w:r w:rsidRPr="00923ECC">
        <w:rPr>
          <w:rFonts w:ascii="Book Antiqua" w:hAnsi="Book Antiqua"/>
          <w:i/>
          <w:sz w:val="16"/>
          <w:szCs w:val="16"/>
        </w:rPr>
        <w:t>Bioelectromagnetism,</w:t>
      </w:r>
      <w:r w:rsidRPr="00923ECC">
        <w:rPr>
          <w:rFonts w:ascii="Book Antiqua" w:hAnsi="Book Antiqua"/>
          <w:sz w:val="16"/>
          <w:szCs w:val="16"/>
        </w:rPr>
        <w:t xml:space="preserve"> pp. 33, 39, 42, (Oxford University Press, New York, 1995).</w:t>
      </w:r>
      <w:proofErr w:type="gramEnd"/>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[12] B. Setterfield, </w:t>
      </w:r>
      <w:r w:rsidRPr="00923ECC">
        <w:rPr>
          <w:rFonts w:ascii="Book Antiqua" w:hAnsi="Book Antiqua"/>
          <w:color w:val="C00000"/>
          <w:sz w:val="16"/>
          <w:szCs w:val="16"/>
        </w:rPr>
        <w:t>"</w:t>
      </w:r>
      <w:r w:rsidRPr="00923ECC">
        <w:rPr>
          <w:rFonts w:ascii="Book Antiqua" w:hAnsi="Book Antiqua"/>
          <w:sz w:val="16"/>
          <w:szCs w:val="16"/>
        </w:rPr>
        <w:t xml:space="preserve">Reviewing a Plasma Universe with Zero Point Energy," </w:t>
      </w:r>
      <w:r w:rsidRPr="00923ECC">
        <w:rPr>
          <w:rFonts w:ascii="Book Antiqua" w:hAnsi="Book Antiqua"/>
          <w:i/>
          <w:sz w:val="16"/>
          <w:szCs w:val="16"/>
        </w:rPr>
        <w:t>Journal of Vectorial Relativity</w:t>
      </w:r>
      <w:r w:rsidRPr="00923ECC">
        <w:rPr>
          <w:rFonts w:ascii="Book Antiqua" w:hAnsi="Book Antiqua"/>
          <w:sz w:val="16"/>
          <w:szCs w:val="16"/>
        </w:rPr>
        <w:t>,</w:t>
      </w:r>
      <w:r w:rsidRPr="00923ECC">
        <w:rPr>
          <w:rFonts w:ascii="Book Antiqua" w:hAnsi="Book Antiqua"/>
          <w:b/>
          <w:sz w:val="16"/>
          <w:szCs w:val="16"/>
        </w:rPr>
        <w:t xml:space="preserve"> 3</w:t>
      </w:r>
      <w:r w:rsidRPr="00923ECC">
        <w:rPr>
          <w:rFonts w:ascii="Book Antiqua" w:hAnsi="Book Antiqua"/>
          <w:sz w:val="16"/>
          <w:szCs w:val="16"/>
        </w:rPr>
        <w:t>(3), pp. 1-29 (Sept. 2008).</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[13] B. Setterfield, “Reviewing the Zero Point Energy,”</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2 </w:t>
      </w:r>
      <w:r w:rsidRPr="00923ECC">
        <w:rPr>
          <w:rFonts w:ascii="Book Antiqua" w:hAnsi="Book Antiqua"/>
          <w:sz w:val="16"/>
          <w:szCs w:val="16"/>
        </w:rPr>
        <w:t>(3), pp. 1-28, (Sept. 2007).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[14] B. Setterfield, “Quantized Redshifts and the Zero Point Energy,” </w:t>
      </w:r>
      <w:r w:rsidRPr="00923ECC">
        <w:rPr>
          <w:rFonts w:ascii="Book Antiqua" w:hAnsi="Book Antiqua"/>
          <w:i/>
          <w:sz w:val="16"/>
          <w:szCs w:val="16"/>
        </w:rPr>
        <w:t>Journal of Vectorial Relativity</w:t>
      </w:r>
      <w:r w:rsidRPr="00923ECC">
        <w:rPr>
          <w:rFonts w:ascii="Book Antiqua" w:hAnsi="Book Antiqua"/>
          <w:sz w:val="16"/>
          <w:szCs w:val="16"/>
        </w:rPr>
        <w:t xml:space="preserve"> </w:t>
      </w:r>
      <w:r w:rsidRPr="00923ECC">
        <w:rPr>
          <w:rFonts w:ascii="Book Antiqua" w:hAnsi="Book Antiqua"/>
          <w:b/>
          <w:sz w:val="16"/>
          <w:szCs w:val="16"/>
        </w:rPr>
        <w:t xml:space="preserve">3 </w:t>
      </w:r>
      <w:r w:rsidRPr="00923ECC">
        <w:rPr>
          <w:rFonts w:ascii="Book Antiqua" w:hAnsi="Book Antiqua"/>
          <w:sz w:val="16"/>
          <w:szCs w:val="16"/>
        </w:rPr>
        <w:t>(4), pp.1-32, (Dec. 2008).</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[15] B. Setterfield, “Zero Point Energy and the Redshift,” </w:t>
      </w:r>
      <w:r w:rsidRPr="00923ECC">
        <w:rPr>
          <w:rFonts w:ascii="Book Antiqua" w:hAnsi="Book Antiqua"/>
          <w:i/>
          <w:sz w:val="16"/>
          <w:szCs w:val="16"/>
        </w:rPr>
        <w:t>Proceedings</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i/>
          <w:sz w:val="16"/>
          <w:szCs w:val="16"/>
        </w:rPr>
        <w:t>of</w:t>
      </w:r>
      <w:proofErr w:type="gramEnd"/>
      <w:r w:rsidRPr="00923ECC">
        <w:rPr>
          <w:rFonts w:ascii="Book Antiqua" w:hAnsi="Book Antiqua"/>
          <w:i/>
          <w:sz w:val="16"/>
          <w:szCs w:val="16"/>
        </w:rPr>
        <w:t xml:space="preserve"> the Natural Philosophy Alliance </w:t>
      </w:r>
      <w:r w:rsidRPr="00923ECC">
        <w:rPr>
          <w:rFonts w:ascii="Book Antiqua" w:hAnsi="Book Antiqua"/>
          <w:sz w:val="16"/>
          <w:szCs w:val="16"/>
        </w:rPr>
        <w:t>17th Conf. Vol.</w:t>
      </w:r>
      <w:r w:rsidRPr="00923ECC">
        <w:rPr>
          <w:rFonts w:ascii="Book Antiqua" w:hAnsi="Book Antiqua"/>
          <w:b/>
          <w:sz w:val="16"/>
          <w:szCs w:val="16"/>
        </w:rPr>
        <w:t xml:space="preserve"> 7</w:t>
      </w:r>
      <w:r w:rsidRPr="00923ECC">
        <w:rPr>
          <w:rFonts w:ascii="Book Antiqua" w:hAnsi="Book Antiqua"/>
          <w:sz w:val="16"/>
          <w:szCs w:val="16"/>
        </w:rPr>
        <w:t>, pp.518-527, (2010.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[16] R. F. Stewart and B. M. Craven, </w:t>
      </w:r>
      <w:r w:rsidRPr="00923ECC">
        <w:rPr>
          <w:rFonts w:ascii="Book Antiqua" w:hAnsi="Book Antiqua"/>
          <w:i/>
          <w:sz w:val="16"/>
          <w:szCs w:val="16"/>
        </w:rPr>
        <w:t>Biophysical Journal</w:t>
      </w:r>
      <w:r w:rsidRPr="00923ECC">
        <w:rPr>
          <w:rFonts w:ascii="Book Antiqua" w:hAnsi="Book Antiqua"/>
          <w:sz w:val="16"/>
          <w:szCs w:val="16"/>
        </w:rPr>
        <w:t xml:space="preserve">, </w:t>
      </w:r>
      <w:r w:rsidRPr="00923ECC">
        <w:rPr>
          <w:rFonts w:ascii="Book Antiqua" w:hAnsi="Book Antiqua"/>
          <w:b/>
          <w:sz w:val="16"/>
          <w:szCs w:val="16"/>
        </w:rPr>
        <w:t>65</w:t>
      </w:r>
      <w:r w:rsidRPr="00923ECC">
        <w:rPr>
          <w:rFonts w:ascii="Book Antiqua" w:hAnsi="Book Antiqua"/>
          <w:sz w:val="16"/>
          <w:szCs w:val="16"/>
        </w:rPr>
        <w:t xml:space="preserve"> (3), pp. 998-1005, (September 1993).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[17] T. Shikata and K. Hashimoto, </w:t>
      </w:r>
      <w:r w:rsidRPr="00923ECC">
        <w:rPr>
          <w:rFonts w:ascii="Book Antiqua" w:hAnsi="Book Antiqua"/>
          <w:i/>
          <w:sz w:val="16"/>
          <w:szCs w:val="16"/>
        </w:rPr>
        <w:t>Journal of Physical Chemistry B</w:t>
      </w:r>
      <w:r w:rsidRPr="00923ECC">
        <w:rPr>
          <w:rFonts w:ascii="Book Antiqua" w:hAnsi="Book Antiqua"/>
          <w:sz w:val="16"/>
          <w:szCs w:val="16"/>
        </w:rPr>
        <w:t>,</w:t>
      </w:r>
      <w:r w:rsidRPr="00923ECC">
        <w:rPr>
          <w:rFonts w:ascii="Book Antiqua" w:hAnsi="Book Antiqua"/>
          <w:b/>
          <w:sz w:val="16"/>
          <w:szCs w:val="16"/>
        </w:rPr>
        <w:t>107</w:t>
      </w:r>
      <w:r w:rsidRPr="00923ECC">
        <w:rPr>
          <w:rFonts w:ascii="Book Antiqua" w:hAnsi="Book Antiqua"/>
          <w:sz w:val="16"/>
          <w:szCs w:val="16"/>
        </w:rPr>
        <w:t>:33, pp. 8701-8705,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[18] P. Kovacic, R. Posos, and C D Draskovich, </w:t>
      </w:r>
      <w:r w:rsidRPr="00923ECC">
        <w:rPr>
          <w:rFonts w:ascii="Book Antiqua" w:hAnsi="Book Antiqua"/>
          <w:i/>
          <w:sz w:val="16"/>
          <w:szCs w:val="16"/>
        </w:rPr>
        <w:t xml:space="preserve">Journal of Receptors and Signal Transduction </w:t>
      </w:r>
      <w:r w:rsidRPr="00923ECC">
        <w:rPr>
          <w:rFonts w:ascii="Book Antiqua" w:hAnsi="Book Antiqua"/>
          <w:b/>
          <w:sz w:val="16"/>
          <w:szCs w:val="16"/>
        </w:rPr>
        <w:t>27</w:t>
      </w:r>
      <w:r w:rsidRPr="00923ECC">
        <w:rPr>
          <w:rFonts w:ascii="Book Antiqua" w:hAnsi="Book Antiqua"/>
          <w:sz w:val="16"/>
          <w:szCs w:val="16"/>
        </w:rPr>
        <w:t xml:space="preserve">:5-6, pp. 411-431, (2007).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[19] T. Norman, B. Setterfield, </w:t>
      </w:r>
      <w:r w:rsidRPr="00923ECC">
        <w:rPr>
          <w:rFonts w:ascii="Book Antiqua" w:hAnsi="Book Antiqua"/>
          <w:i/>
          <w:sz w:val="16"/>
          <w:szCs w:val="16"/>
        </w:rPr>
        <w:t>Atomic Constants, Light and Time</w:t>
      </w:r>
      <w:r w:rsidRPr="00923ECC">
        <w:rPr>
          <w:rFonts w:ascii="Book Antiqua" w:hAnsi="Book Antiqua"/>
          <w:sz w:val="16"/>
          <w:szCs w:val="16"/>
        </w:rPr>
        <w:t>, a Report for SRI International &amp; Flinders University, August 1987.</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[20] A. Montgomery, L. Dolphin, </w:t>
      </w:r>
      <w:r w:rsidRPr="00923ECC">
        <w:rPr>
          <w:rFonts w:ascii="Book Antiqua" w:hAnsi="Book Antiqua"/>
          <w:i/>
          <w:sz w:val="16"/>
          <w:szCs w:val="16"/>
        </w:rPr>
        <w:t>Galilean Electrodynamics</w:t>
      </w:r>
      <w:r w:rsidRPr="00923ECC">
        <w:rPr>
          <w:rFonts w:ascii="Book Antiqua" w:hAnsi="Book Antiqua"/>
          <w:sz w:val="16"/>
          <w:szCs w:val="16"/>
        </w:rPr>
        <w:t xml:space="preserve"> </w:t>
      </w:r>
      <w:r w:rsidRPr="00923ECC">
        <w:rPr>
          <w:rFonts w:ascii="Book Antiqua" w:hAnsi="Book Antiqua"/>
          <w:b/>
          <w:sz w:val="16"/>
          <w:szCs w:val="16"/>
        </w:rPr>
        <w:t xml:space="preserve">4 </w:t>
      </w:r>
      <w:r w:rsidRPr="00923ECC">
        <w:rPr>
          <w:rFonts w:ascii="Book Antiqua" w:hAnsi="Book Antiqua"/>
          <w:sz w:val="16"/>
          <w:szCs w:val="16"/>
        </w:rPr>
        <w:t>(5), pp. 93ff, (1993).</w:t>
      </w:r>
      <w:proofErr w:type="gramEnd"/>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[21] B. Setterfield, “Radiant Energy Emission,” at </w:t>
      </w:r>
      <w:hyperlink r:id="rId1117" w:history="1">
        <w:r w:rsidRPr="00923ECC">
          <w:rPr>
            <w:rStyle w:val="Hyperlink"/>
            <w:rFonts w:ascii="Book Antiqua" w:hAnsi="Book Antiqua"/>
            <w:i/>
            <w:szCs w:val="16"/>
          </w:rPr>
          <w:t>http://www.setterfield.org/000docs/behaviorzpeapp2.html</w:t>
        </w:r>
      </w:hyperlink>
      <w:r w:rsidRPr="00923ECC">
        <w:rPr>
          <w:rFonts w:ascii="Book Antiqua" w:hAnsi="Book Antiqua"/>
          <w:i/>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[22] F. A. Jenkins and H. E. White, </w:t>
      </w:r>
      <w:r w:rsidRPr="00923ECC">
        <w:rPr>
          <w:rFonts w:ascii="Book Antiqua" w:hAnsi="Book Antiqua"/>
          <w:i/>
          <w:sz w:val="16"/>
          <w:szCs w:val="16"/>
        </w:rPr>
        <w:t>Fundamentals of Optics</w:t>
      </w:r>
      <w:r w:rsidRPr="00923ECC">
        <w:rPr>
          <w:rFonts w:ascii="Book Antiqua" w:hAnsi="Book Antiqua"/>
          <w:sz w:val="16"/>
          <w:szCs w:val="16"/>
        </w:rPr>
        <w:t>, pp. 414, 481, McGraw-Hill, New York, 1957</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[23] W. Vermaas, “An Introduction to Photosynthesis and Its Applications,”</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18" w:history="1">
        <w:r w:rsidRPr="00923ECC">
          <w:rPr>
            <w:rStyle w:val="Hyperlink"/>
            <w:rFonts w:ascii="Book Antiqua" w:hAnsi="Book Antiqua"/>
            <w:i/>
            <w:szCs w:val="16"/>
          </w:rPr>
          <w:t>http://bioenergy.asu.edu/photosyn/education/photointro.html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[24] M. Tada, M. Shiroishi, </w:t>
      </w:r>
      <w:r w:rsidRPr="00923ECC">
        <w:rPr>
          <w:rFonts w:ascii="Book Antiqua" w:hAnsi="Book Antiqua"/>
          <w:i/>
          <w:sz w:val="16"/>
          <w:szCs w:val="16"/>
        </w:rPr>
        <w:t>Plant and Cell Physiology</w:t>
      </w:r>
      <w:r w:rsidRPr="00923ECC">
        <w:rPr>
          <w:rFonts w:ascii="Book Antiqua" w:hAnsi="Book Antiqua"/>
          <w:sz w:val="16"/>
          <w:szCs w:val="16"/>
        </w:rPr>
        <w:t xml:space="preserve">, </w:t>
      </w:r>
      <w:r w:rsidRPr="00923ECC">
        <w:rPr>
          <w:rFonts w:ascii="Book Antiqua" w:hAnsi="Book Antiqua"/>
          <w:b/>
          <w:sz w:val="16"/>
          <w:szCs w:val="16"/>
        </w:rPr>
        <w:t>23</w:t>
      </w:r>
      <w:r w:rsidRPr="00923ECC">
        <w:rPr>
          <w:rFonts w:ascii="Book Antiqua" w:hAnsi="Book Antiqua"/>
          <w:sz w:val="16"/>
          <w:szCs w:val="16"/>
        </w:rPr>
        <w:t xml:space="preserve"> (3), pp. 541-547, (1982).</w:t>
      </w:r>
      <w:proofErr w:type="gramEnd"/>
      <w:r w:rsidRPr="00923ECC">
        <w:rPr>
          <w:rFonts w:ascii="Book Antiqua" w:hAnsi="Book Antiqua"/>
          <w:sz w:val="16"/>
          <w:szCs w:val="16"/>
        </w:rPr>
        <w:t xml:space="preserve"> Online at:</w:t>
      </w:r>
    </w:p>
    <w:p w:rsidR="0014236D" w:rsidRPr="00923ECC" w:rsidRDefault="007B3EBC" w:rsidP="0014236D">
      <w:pPr>
        <w:pStyle w:val="NoSpacing"/>
        <w:rPr>
          <w:rFonts w:ascii="Book Antiqua" w:hAnsi="Book Antiqua"/>
          <w:i/>
          <w:color w:val="FF0000"/>
          <w:sz w:val="16"/>
          <w:szCs w:val="16"/>
        </w:rPr>
      </w:pPr>
      <w:hyperlink r:id="rId1119" w:history="1">
        <w:r w:rsidR="0014236D" w:rsidRPr="00923ECC">
          <w:rPr>
            <w:rStyle w:val="Hyperlink"/>
            <w:rFonts w:ascii="Book Antiqua" w:hAnsi="Book Antiqua"/>
            <w:i/>
            <w:szCs w:val="16"/>
          </w:rPr>
          <w:t>http://pcp.oxfordjournals.org/cgi/content/abstract/23/3/541</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[25]</w:t>
      </w:r>
      <w:r w:rsidRPr="00923ECC">
        <w:rPr>
          <w:rFonts w:ascii="Book Antiqua" w:hAnsi="Book Antiqua"/>
          <w:b/>
          <w:bCs/>
          <w:sz w:val="16"/>
          <w:szCs w:val="16"/>
        </w:rPr>
        <w:t xml:space="preserve"> </w:t>
      </w:r>
      <w:r w:rsidRPr="00923ECC">
        <w:rPr>
          <w:rFonts w:ascii="Book Antiqua" w:hAnsi="Book Antiqua"/>
          <w:bCs/>
          <w:sz w:val="16"/>
          <w:szCs w:val="16"/>
        </w:rPr>
        <w:t xml:space="preserve">L. C. Raymundo, C. O. Chichester, K. L. Simpson,  </w:t>
      </w:r>
      <w:r w:rsidRPr="00923ECC">
        <w:rPr>
          <w:rFonts w:ascii="Book Antiqua" w:hAnsi="Book Antiqua"/>
          <w:i/>
          <w:iCs/>
          <w:sz w:val="16"/>
          <w:szCs w:val="16"/>
        </w:rPr>
        <w:t>Journal of Agric. Food Chemistry,</w:t>
      </w:r>
      <w:r w:rsidRPr="00923ECC">
        <w:rPr>
          <w:rFonts w:ascii="Book Antiqua" w:hAnsi="Book Antiqua"/>
          <w:sz w:val="16"/>
          <w:szCs w:val="16"/>
        </w:rPr>
        <w:t xml:space="preserve">  </w:t>
      </w:r>
      <w:r w:rsidRPr="00923ECC">
        <w:rPr>
          <w:rFonts w:ascii="Book Antiqua" w:hAnsi="Book Antiqua"/>
          <w:b/>
          <w:iCs/>
          <w:sz w:val="16"/>
          <w:szCs w:val="16"/>
        </w:rPr>
        <w:t xml:space="preserve">24 </w:t>
      </w:r>
      <w:r w:rsidRPr="00923ECC">
        <w:rPr>
          <w:rFonts w:ascii="Book Antiqua" w:hAnsi="Book Antiqua"/>
          <w:iCs/>
          <w:sz w:val="16"/>
          <w:szCs w:val="16"/>
        </w:rPr>
        <w:t>(</w:t>
      </w:r>
      <w:r w:rsidRPr="00923ECC">
        <w:rPr>
          <w:rFonts w:ascii="Book Antiqua" w:hAnsi="Book Antiqua"/>
          <w:sz w:val="16"/>
          <w:szCs w:val="16"/>
        </w:rPr>
        <w:t xml:space="preserve">1), pp.  </w:t>
      </w:r>
      <w:proofErr w:type="gramStart"/>
      <w:r w:rsidRPr="00923ECC">
        <w:rPr>
          <w:rFonts w:ascii="Book Antiqua" w:hAnsi="Book Antiqua"/>
          <w:sz w:val="16"/>
          <w:szCs w:val="16"/>
        </w:rPr>
        <w:t>59–64, (1976).</w:t>
      </w:r>
      <w:proofErr w:type="gramEnd"/>
      <w:r w:rsidRPr="00923ECC">
        <w:rPr>
          <w:rFonts w:ascii="Book Antiqua" w:hAnsi="Book Antiqua"/>
          <w:sz w:val="16"/>
          <w:szCs w:val="16"/>
        </w:rPr>
        <w:t xml:space="preserve"> Online at: </w:t>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 </w:t>
      </w:r>
      <w:hyperlink r:id="rId1120" w:history="1">
        <w:r w:rsidRPr="00923ECC">
          <w:rPr>
            <w:rStyle w:val="Hyperlink"/>
            <w:rFonts w:ascii="Book Antiqua" w:hAnsi="Book Antiqua"/>
            <w:i/>
            <w:szCs w:val="16"/>
          </w:rPr>
          <w:t>http://pubs.acs.org/doi/abs/10.1021/jf60203a028</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[26] J. M. Hibberd and W. P. Quick, </w:t>
      </w:r>
      <w:r w:rsidRPr="00923ECC">
        <w:rPr>
          <w:rFonts w:ascii="Book Antiqua" w:hAnsi="Book Antiqua"/>
          <w:i/>
          <w:sz w:val="16"/>
          <w:szCs w:val="16"/>
        </w:rPr>
        <w:t xml:space="preserve">Nature, </w:t>
      </w:r>
      <w:r w:rsidRPr="00923ECC">
        <w:rPr>
          <w:rFonts w:ascii="Book Antiqua" w:hAnsi="Book Antiqua"/>
          <w:b/>
          <w:sz w:val="16"/>
          <w:szCs w:val="16"/>
        </w:rPr>
        <w:t>415</w:t>
      </w:r>
      <w:r w:rsidRPr="00923ECC">
        <w:rPr>
          <w:rFonts w:ascii="Book Antiqua" w:hAnsi="Book Antiqua"/>
          <w:sz w:val="16"/>
          <w:szCs w:val="16"/>
        </w:rPr>
        <w:t xml:space="preserve">, pp. 375- 377 and 451-454 </w:t>
      </w:r>
      <w:proofErr w:type="gramStart"/>
      <w:r w:rsidRPr="00923ECC">
        <w:rPr>
          <w:rFonts w:ascii="Book Antiqua" w:hAnsi="Book Antiqua"/>
          <w:i/>
          <w:sz w:val="16"/>
          <w:szCs w:val="16"/>
        </w:rPr>
        <w:t>(</w:t>
      </w:r>
      <w:r w:rsidRPr="00923ECC">
        <w:rPr>
          <w:rFonts w:ascii="Book Antiqua" w:hAnsi="Book Antiqua"/>
          <w:sz w:val="16"/>
          <w:szCs w:val="16"/>
        </w:rPr>
        <w:t xml:space="preserve"> Jan</w:t>
      </w:r>
      <w:proofErr w:type="gramEnd"/>
      <w:r w:rsidRPr="00923ECC">
        <w:rPr>
          <w:rFonts w:ascii="Book Antiqua" w:hAnsi="Book Antiqua"/>
          <w:sz w:val="16"/>
          <w:szCs w:val="16"/>
        </w:rPr>
        <w:t>. 24, 2002).</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[27] V. J. Streusand and A. R. Portis Jr.,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85</w:t>
      </w:r>
      <w:r w:rsidRPr="00923ECC">
        <w:rPr>
          <w:rFonts w:ascii="Book Antiqua" w:hAnsi="Book Antiqua"/>
          <w:sz w:val="16"/>
          <w:szCs w:val="16"/>
        </w:rPr>
        <w:t xml:space="preserve"> (1), pp.152-154, (September 1987).</w:t>
      </w:r>
      <w:proofErr w:type="gramEnd"/>
      <w:r w:rsidRPr="00923ECC">
        <w:rPr>
          <w:rFonts w:ascii="Book Antiqua" w:hAnsi="Book Antiqua"/>
          <w:sz w:val="16"/>
          <w:szCs w:val="16"/>
        </w:rPr>
        <w:t xml:space="preserve"> Online at:</w:t>
      </w:r>
    </w:p>
    <w:p w:rsidR="0014236D" w:rsidRPr="00923ECC" w:rsidRDefault="007B3EBC" w:rsidP="0014236D">
      <w:pPr>
        <w:pStyle w:val="NoSpacing"/>
        <w:rPr>
          <w:rFonts w:ascii="Book Antiqua" w:hAnsi="Book Antiqua"/>
          <w:i/>
          <w:sz w:val="16"/>
          <w:szCs w:val="16"/>
        </w:rPr>
      </w:pPr>
      <w:hyperlink r:id="rId1121" w:history="1">
        <w:r w:rsidR="0014236D" w:rsidRPr="00923ECC">
          <w:rPr>
            <w:rStyle w:val="Hyperlink"/>
            <w:rFonts w:ascii="Book Antiqua" w:hAnsi="Book Antiqua"/>
            <w:i/>
            <w:szCs w:val="16"/>
          </w:rPr>
          <w:t>http://www.ncbi.nlm.nih.gov/pmc/articles/PMC1054220/pdf/plntphys00618-0160.pdf</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[28]  S. P. Robinson, V. J. Streusand, J. M. Chatfield and A. R. Portis, </w:t>
      </w:r>
      <w:r w:rsidRPr="00923ECC">
        <w:rPr>
          <w:rFonts w:ascii="Book Antiqua" w:hAnsi="Book Antiqua"/>
          <w:i/>
          <w:sz w:val="16"/>
          <w:szCs w:val="16"/>
        </w:rPr>
        <w:t>Plant Physiology</w:t>
      </w:r>
      <w:r w:rsidRPr="00923ECC">
        <w:rPr>
          <w:rFonts w:ascii="Book Antiqua" w:hAnsi="Book Antiqua"/>
          <w:sz w:val="16"/>
          <w:szCs w:val="16"/>
        </w:rPr>
        <w:t xml:space="preserve"> </w:t>
      </w:r>
      <w:r w:rsidRPr="00923ECC">
        <w:rPr>
          <w:rFonts w:ascii="Book Antiqua" w:hAnsi="Book Antiqua"/>
          <w:b/>
          <w:sz w:val="16"/>
          <w:szCs w:val="16"/>
        </w:rPr>
        <w:t>88</w:t>
      </w:r>
      <w:r w:rsidRPr="00923ECC">
        <w:rPr>
          <w:rFonts w:ascii="Book Antiqua" w:hAnsi="Book Antiqua"/>
          <w:sz w:val="16"/>
          <w:szCs w:val="16"/>
        </w:rPr>
        <w:t xml:space="preserve"> , pp.1008-1014 ((22 December 2008). Online at: </w:t>
      </w:r>
      <w:hyperlink r:id="rId1122" w:history="1">
        <w:r w:rsidRPr="00923ECC">
          <w:rPr>
            <w:rStyle w:val="Hyperlink"/>
            <w:rFonts w:ascii="Book Antiqua" w:hAnsi="Book Antiqua"/>
            <w:i/>
            <w:szCs w:val="16"/>
          </w:rPr>
          <w:t>http://www.ncbi.nlm.nih.gov/pmc/articles/PMC1055706/pdf/plntphys00634-0060.pdf</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[29] F. R. Tabita et al., </w:t>
      </w:r>
      <w:r w:rsidRPr="00923ECC">
        <w:rPr>
          <w:rFonts w:ascii="Book Antiqua" w:hAnsi="Book Antiqua"/>
          <w:i/>
          <w:sz w:val="16"/>
          <w:szCs w:val="16"/>
        </w:rPr>
        <w:t>Philosophical Transactions of the Royal Society, B</w:t>
      </w:r>
      <w:r w:rsidRPr="00923ECC">
        <w:rPr>
          <w:rFonts w:ascii="Book Antiqua" w:hAnsi="Book Antiqua"/>
          <w:sz w:val="16"/>
          <w:szCs w:val="16"/>
        </w:rPr>
        <w:t xml:space="preserve"> (Biological Sciences), 27 August 2008, Vol. </w:t>
      </w:r>
      <w:r w:rsidRPr="00923ECC">
        <w:rPr>
          <w:rFonts w:ascii="Book Antiqua" w:hAnsi="Book Antiqua"/>
          <w:b/>
          <w:sz w:val="16"/>
          <w:szCs w:val="16"/>
        </w:rPr>
        <w:t>363</w:t>
      </w:r>
      <w:r w:rsidRPr="00923ECC">
        <w:rPr>
          <w:rFonts w:ascii="Book Antiqua" w:hAnsi="Book Antiqua"/>
          <w:sz w:val="16"/>
          <w:szCs w:val="16"/>
        </w:rPr>
        <w:t>, No. 1504, pp.2629-2640.</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[30] Census of Marine Life </w:t>
      </w:r>
      <w:r w:rsidRPr="00923ECC">
        <w:rPr>
          <w:rFonts w:ascii="Book Antiqua" w:hAnsi="Book Antiqua"/>
          <w:i/>
          <w:sz w:val="16"/>
          <w:szCs w:val="16"/>
        </w:rPr>
        <w:t>(CML) News Release</w:t>
      </w:r>
      <w:r w:rsidRPr="00923ECC">
        <w:rPr>
          <w:rFonts w:ascii="Book Antiqua" w:hAnsi="Book Antiqua"/>
          <w:sz w:val="16"/>
          <w:szCs w:val="16"/>
        </w:rPr>
        <w:t>: “</w:t>
      </w:r>
      <w:r w:rsidRPr="00923ECC">
        <w:rPr>
          <w:rFonts w:ascii="Book Antiqua" w:hAnsi="Book Antiqua"/>
          <w:bCs/>
          <w:sz w:val="16"/>
          <w:szCs w:val="16"/>
        </w:rPr>
        <w:t>Scientists discover Zooplankton species key to ocean food chain,</w:t>
      </w:r>
      <w:proofErr w:type="gramStart"/>
      <w:r w:rsidRPr="00923ECC">
        <w:rPr>
          <w:rFonts w:ascii="Book Antiqua" w:hAnsi="Book Antiqua"/>
          <w:bCs/>
          <w:sz w:val="16"/>
          <w:szCs w:val="16"/>
        </w:rPr>
        <w:t>”(</w:t>
      </w:r>
      <w:proofErr w:type="gramEnd"/>
      <w:r w:rsidRPr="00923ECC">
        <w:rPr>
          <w:rFonts w:ascii="Book Antiqua" w:hAnsi="Book Antiqua"/>
          <w:bCs/>
          <w:sz w:val="16"/>
          <w:szCs w:val="16"/>
        </w:rPr>
        <w:t xml:space="preserve">4 May, 2006), found at: </w:t>
      </w:r>
      <w:hyperlink r:id="rId1123" w:history="1">
        <w:r w:rsidRPr="00923ECC">
          <w:rPr>
            <w:rStyle w:val="Hyperlink"/>
            <w:rFonts w:ascii="Book Antiqua" w:hAnsi="Book Antiqua"/>
            <w:szCs w:val="16"/>
          </w:rPr>
          <w:t>http://news.mongabay.com/2006/0504-coml.html</w:t>
        </w:r>
      </w:hyperlink>
      <w:r w:rsidRPr="00923ECC">
        <w:rPr>
          <w:rFonts w:ascii="Book Antiqua" w:hAnsi="Book Antiqua"/>
          <w:sz w:val="16"/>
          <w:szCs w:val="16"/>
        </w:rPr>
        <w:t>.</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[31] M. Mitra and A. Melis, </w:t>
      </w:r>
      <w:r w:rsidRPr="00923ECC">
        <w:rPr>
          <w:rFonts w:ascii="Book Antiqua" w:hAnsi="Book Antiqua"/>
          <w:i/>
          <w:sz w:val="16"/>
          <w:szCs w:val="16"/>
        </w:rPr>
        <w:t>Optics Express</w:t>
      </w:r>
      <w:r w:rsidRPr="00923ECC">
        <w:rPr>
          <w:rFonts w:ascii="Book Antiqua" w:hAnsi="Book Antiqua"/>
          <w:sz w:val="16"/>
          <w:szCs w:val="16"/>
        </w:rPr>
        <w:t xml:space="preserve"> </w:t>
      </w:r>
      <w:r w:rsidRPr="00923ECC">
        <w:rPr>
          <w:rFonts w:ascii="Book Antiqua" w:hAnsi="Book Antiqua"/>
          <w:b/>
          <w:sz w:val="16"/>
          <w:szCs w:val="16"/>
        </w:rPr>
        <w:t xml:space="preserve">16 </w:t>
      </w:r>
      <w:r w:rsidRPr="00923ECC">
        <w:rPr>
          <w:rFonts w:ascii="Book Antiqua" w:hAnsi="Book Antiqua"/>
          <w:sz w:val="16"/>
          <w:szCs w:val="16"/>
        </w:rPr>
        <w:t>(26), pp. 21807-21820, (22 December 2008).</w:t>
      </w:r>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 xml:space="preserve">[32] W. V. Preiss, "The Adelaide Geosyncline," </w:t>
      </w:r>
      <w:r w:rsidRPr="00923ECC">
        <w:rPr>
          <w:rFonts w:ascii="Book Antiqua" w:hAnsi="Book Antiqua"/>
          <w:i/>
          <w:sz w:val="16"/>
          <w:szCs w:val="16"/>
        </w:rPr>
        <w:t xml:space="preserve">Geological Survey of South Australia, Bulletin </w:t>
      </w:r>
      <w:r w:rsidRPr="00923ECC">
        <w:rPr>
          <w:rFonts w:ascii="Book Antiqua" w:hAnsi="Book Antiqua"/>
          <w:b/>
          <w:sz w:val="16"/>
          <w:szCs w:val="16"/>
        </w:rPr>
        <w:t>53</w:t>
      </w:r>
      <w:r w:rsidRPr="00923ECC">
        <w:rPr>
          <w:rFonts w:ascii="Book Antiqua" w:hAnsi="Book Antiqua"/>
          <w:sz w:val="16"/>
          <w:szCs w:val="16"/>
        </w:rPr>
        <w:t>, p.286 etc. (1987).</w:t>
      </w:r>
      <w:proofErr w:type="gramEnd"/>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[33] </w:t>
      </w:r>
      <w:hyperlink r:id="rId1124" w:history="1">
        <w:r w:rsidRPr="00923ECC">
          <w:rPr>
            <w:rStyle w:val="Hyperlink"/>
            <w:rFonts w:ascii="Book Antiqua" w:hAnsi="Book Antiqua"/>
            <w:i/>
            <w:szCs w:val="16"/>
          </w:rPr>
          <w:t>http://www.coralscience.org/main/articles/biochemistry-2/how-reefs-grow</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[34] Vollmer Lab at Northeastern University’s Marine Science Center, S. June, E. Pullekines, M. LaPlante, F. Aronson, “Coral Calcification,” at:</w:t>
      </w:r>
    </w:p>
    <w:p w:rsidR="0014236D" w:rsidRPr="00923ECC" w:rsidRDefault="007B3EBC" w:rsidP="0014236D">
      <w:pPr>
        <w:pStyle w:val="NoSpacing"/>
        <w:rPr>
          <w:rFonts w:ascii="Book Antiqua" w:hAnsi="Book Antiqua"/>
          <w:i/>
          <w:sz w:val="16"/>
          <w:szCs w:val="16"/>
        </w:rPr>
      </w:pPr>
      <w:hyperlink r:id="rId1125" w:history="1">
        <w:r w:rsidR="0014236D" w:rsidRPr="00923ECC">
          <w:rPr>
            <w:rStyle w:val="Hyperlink"/>
            <w:rFonts w:ascii="Book Antiqua" w:hAnsi="Book Antiqua"/>
            <w:i/>
            <w:szCs w:val="16"/>
          </w:rPr>
          <w:t>http://nuweb5.neu.edu/vollmerlabwp/biology-of-corals/coral-calcification/</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[35] A. L. Cohen, T. A. McConnaughey, “Geochemical perspectives on coral mineralization,” </w:t>
      </w:r>
      <w:r w:rsidRPr="00923ECC">
        <w:rPr>
          <w:rFonts w:ascii="Book Antiqua" w:hAnsi="Book Antiqua"/>
          <w:i/>
          <w:sz w:val="16"/>
          <w:szCs w:val="16"/>
        </w:rPr>
        <w:t>Reviews in Mineralogy and Geochemistry</w:t>
      </w:r>
      <w:r w:rsidRPr="00923ECC">
        <w:rPr>
          <w:rFonts w:ascii="Book Antiqua" w:hAnsi="Book Antiqua"/>
          <w:sz w:val="16"/>
          <w:szCs w:val="16"/>
        </w:rPr>
        <w:t xml:space="preserve">, </w:t>
      </w:r>
      <w:r w:rsidRPr="00923ECC">
        <w:rPr>
          <w:rFonts w:ascii="Book Antiqua" w:hAnsi="Book Antiqua"/>
          <w:b/>
          <w:sz w:val="16"/>
          <w:szCs w:val="16"/>
        </w:rPr>
        <w:t>54:</w:t>
      </w:r>
      <w:r w:rsidRPr="00923ECC">
        <w:rPr>
          <w:rFonts w:ascii="Book Antiqua" w:hAnsi="Book Antiqua"/>
          <w:sz w:val="16"/>
          <w:szCs w:val="16"/>
        </w:rPr>
        <w:t>151-187 (2003).</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[36] T. F. Goreau, N. I. Goreau, T. J. Goreau, “Corals and Coral Reefs,” </w:t>
      </w:r>
      <w:r w:rsidRPr="00923ECC">
        <w:rPr>
          <w:rFonts w:ascii="Book Antiqua" w:hAnsi="Book Antiqua"/>
          <w:i/>
          <w:sz w:val="16"/>
          <w:szCs w:val="16"/>
        </w:rPr>
        <w:t>Scientific American</w:t>
      </w:r>
      <w:r w:rsidRPr="00923ECC">
        <w:rPr>
          <w:rFonts w:ascii="Book Antiqua" w:hAnsi="Book Antiqua"/>
          <w:sz w:val="16"/>
          <w:szCs w:val="16"/>
        </w:rPr>
        <w:t>, August 1979. Available at:</w:t>
      </w:r>
    </w:p>
    <w:p w:rsidR="0014236D" w:rsidRPr="00923ECC" w:rsidRDefault="007B3EBC" w:rsidP="0014236D">
      <w:pPr>
        <w:pStyle w:val="NoSpacing"/>
        <w:rPr>
          <w:rFonts w:ascii="Book Antiqua" w:hAnsi="Book Antiqua"/>
        </w:rPr>
      </w:pPr>
      <w:hyperlink r:id="rId1126" w:history="1">
        <w:r w:rsidR="0014236D" w:rsidRPr="00923ECC">
          <w:rPr>
            <w:rStyle w:val="Hyperlink"/>
            <w:rFonts w:ascii="Book Antiqua" w:hAnsi="Book Antiqua"/>
            <w:szCs w:val="16"/>
          </w:rPr>
          <w:t>http://www.globalcoral.org/corals_and_coral_reefs.htm</w:t>
        </w:r>
      </w:hyperlink>
    </w:p>
    <w:p w:rsidR="0014236D" w:rsidRPr="00923ECC" w:rsidRDefault="0014236D" w:rsidP="0014236D">
      <w:pPr>
        <w:shd w:val="clear" w:color="auto" w:fill="FFFFFF"/>
        <w:rPr>
          <w:rFonts w:ascii="Book Antiqua" w:eastAsia="Times New Roman" w:hAnsi="Book Antiqua"/>
          <w:color w:val="000000"/>
          <w:sz w:val="16"/>
          <w:szCs w:val="16"/>
        </w:rPr>
      </w:pPr>
      <w:r w:rsidRPr="00923ECC">
        <w:rPr>
          <w:rFonts w:ascii="Book Antiqua" w:eastAsia="Times New Roman" w:hAnsi="Book Antiqua"/>
          <w:color w:val="000000"/>
          <w:sz w:val="16"/>
          <w:szCs w:val="16"/>
        </w:rPr>
        <w:lastRenderedPageBreak/>
        <w:t xml:space="preserve">[37] H. D. </w:t>
      </w:r>
      <w:r w:rsidRPr="00923ECC">
        <w:rPr>
          <w:rFonts w:ascii="Book Antiqua" w:hAnsi="Book Antiqua"/>
          <w:sz w:val="16"/>
          <w:szCs w:val="16"/>
        </w:rPr>
        <w:t xml:space="preserve">Holland, “The oceans: A possible source of iron in iron-formations,” </w:t>
      </w:r>
      <w:r w:rsidRPr="00923ECC">
        <w:rPr>
          <w:rFonts w:ascii="Book Antiqua" w:hAnsi="Book Antiqua"/>
          <w:i/>
          <w:sz w:val="16"/>
          <w:szCs w:val="16"/>
        </w:rPr>
        <w:t>Economic Geology and the Bulletin of the Society of Economic Geologists</w:t>
      </w:r>
      <w:proofErr w:type="gramStart"/>
      <w:r w:rsidRPr="00923ECC">
        <w:rPr>
          <w:rFonts w:ascii="Book Antiqua" w:hAnsi="Book Antiqua"/>
          <w:sz w:val="16"/>
          <w:szCs w:val="16"/>
        </w:rPr>
        <w:t xml:space="preserve">,  </w:t>
      </w:r>
      <w:r w:rsidRPr="00923ECC">
        <w:rPr>
          <w:rFonts w:ascii="Book Antiqua" w:hAnsi="Book Antiqua"/>
          <w:b/>
          <w:sz w:val="16"/>
          <w:szCs w:val="16"/>
        </w:rPr>
        <w:t>68</w:t>
      </w:r>
      <w:proofErr w:type="gramEnd"/>
      <w:r w:rsidRPr="00923ECC">
        <w:rPr>
          <w:rFonts w:ascii="Book Antiqua" w:hAnsi="Book Antiqua"/>
          <w:b/>
          <w:sz w:val="16"/>
          <w:szCs w:val="16"/>
        </w:rPr>
        <w:t xml:space="preserve"> </w:t>
      </w:r>
      <w:r w:rsidRPr="00923ECC">
        <w:rPr>
          <w:rFonts w:ascii="Book Antiqua" w:hAnsi="Book Antiqua"/>
          <w:sz w:val="16"/>
          <w:szCs w:val="16"/>
        </w:rPr>
        <w:t>(1973),  pp. 1169–1172.</w:t>
      </w:r>
    </w:p>
    <w:p w:rsidR="0014236D" w:rsidRPr="00923ECC" w:rsidRDefault="0014236D" w:rsidP="0014236D">
      <w:pPr>
        <w:shd w:val="clear" w:color="auto" w:fill="FFFFFF"/>
        <w:rPr>
          <w:rFonts w:ascii="Book Antiqua" w:hAnsi="Book Antiqua"/>
          <w:color w:val="000000"/>
          <w:sz w:val="16"/>
          <w:szCs w:val="16"/>
        </w:rPr>
      </w:pPr>
      <w:r w:rsidRPr="00923ECC">
        <w:rPr>
          <w:rFonts w:ascii="Book Antiqua" w:eastAsia="Times New Roman" w:hAnsi="Book Antiqua"/>
          <w:color w:val="000000"/>
        </w:rPr>
        <w:t xml:space="preserve">[38] </w:t>
      </w:r>
      <w:r w:rsidRPr="00923ECC">
        <w:rPr>
          <w:rFonts w:ascii="Book Antiqua" w:eastAsia="Times New Roman" w:hAnsi="Book Antiqua"/>
          <w:color w:val="000000"/>
          <w:sz w:val="16"/>
          <w:szCs w:val="16"/>
        </w:rPr>
        <w:t>A. Kappler et al., “Deposition of banded iron formations…by oxidizing bacteria,</w:t>
      </w:r>
      <w:proofErr w:type="gramStart"/>
      <w:r w:rsidRPr="00923ECC">
        <w:rPr>
          <w:rFonts w:ascii="Book Antiqua" w:eastAsia="Times New Roman" w:hAnsi="Book Antiqua"/>
          <w:color w:val="000000"/>
          <w:sz w:val="16"/>
          <w:szCs w:val="16"/>
        </w:rPr>
        <w:t>”.</w:t>
      </w:r>
      <w:proofErr w:type="gramEnd"/>
      <w:r w:rsidRPr="00923ECC">
        <w:rPr>
          <w:rFonts w:ascii="Book Antiqua" w:eastAsia="Times New Roman" w:hAnsi="Book Antiqua"/>
          <w:color w:val="000000"/>
          <w:sz w:val="16"/>
          <w:szCs w:val="16"/>
        </w:rPr>
        <w:t xml:space="preserve"> </w:t>
      </w:r>
      <w:r w:rsidRPr="00923ECC">
        <w:rPr>
          <w:rFonts w:ascii="Book Antiqua" w:eastAsia="Times New Roman" w:hAnsi="Book Antiqua"/>
          <w:i/>
          <w:color w:val="000000"/>
          <w:sz w:val="16"/>
          <w:szCs w:val="16"/>
        </w:rPr>
        <w:t>Geology</w:t>
      </w:r>
      <w:proofErr w:type="gramStart"/>
      <w:r w:rsidRPr="00923ECC">
        <w:rPr>
          <w:rFonts w:ascii="Book Antiqua" w:eastAsia="Times New Roman" w:hAnsi="Book Antiqua"/>
          <w:i/>
          <w:color w:val="000000"/>
          <w:sz w:val="16"/>
          <w:szCs w:val="16"/>
        </w:rPr>
        <w:t xml:space="preserve">, </w:t>
      </w:r>
      <w:r w:rsidRPr="00923ECC">
        <w:rPr>
          <w:rFonts w:ascii="Book Antiqua" w:eastAsia="Times New Roman" w:hAnsi="Book Antiqua"/>
          <w:color w:val="000000"/>
          <w:sz w:val="16"/>
          <w:szCs w:val="16"/>
        </w:rPr>
        <w:t xml:space="preserve"> (</w:t>
      </w:r>
      <w:proofErr w:type="gramEnd"/>
      <w:r w:rsidRPr="00923ECC">
        <w:rPr>
          <w:rFonts w:ascii="Book Antiqua" w:eastAsia="Times New Roman" w:hAnsi="Book Antiqua"/>
          <w:color w:val="000000"/>
          <w:sz w:val="16"/>
          <w:szCs w:val="16"/>
        </w:rPr>
        <w:t xml:space="preserve">Nov. 2005), pp.865-868. Also at: </w:t>
      </w:r>
      <w:hyperlink r:id="rId1127" w:history="1">
        <w:r w:rsidRPr="00923ECC">
          <w:rPr>
            <w:rStyle w:val="Hyperlink"/>
            <w:rFonts w:ascii="Book Antiqua" w:hAnsi="Book Antiqua"/>
            <w:i/>
            <w:szCs w:val="16"/>
          </w:rPr>
          <w:t>http://www.ess.uci.edu/~cpasquer/papers/kappleretal_GEO2005.pdf</w:t>
        </w:r>
      </w:hyperlink>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b/>
          <w:sz w:val="20"/>
        </w:rPr>
      </w:pPr>
      <w:r w:rsidRPr="00923ECC">
        <w:rPr>
          <w:rFonts w:ascii="Book Antiqua" w:hAnsi="Book Antiqua"/>
          <w:b/>
          <w:sz w:val="20"/>
        </w:rPr>
        <w:t xml:space="preserve">Figure References </w:t>
      </w:r>
      <w:r w:rsidRPr="00923ECC">
        <w:rPr>
          <w:rFonts w:ascii="Book Antiqua" w:hAnsi="Book Antiqua"/>
          <w:i/>
          <w:sz w:val="20"/>
        </w:rPr>
        <w:t>– All URL’s retrieved 9/13/12</w:t>
      </w:r>
    </w:p>
    <w:p w:rsidR="0014236D" w:rsidRPr="00923ECC" w:rsidRDefault="0014236D" w:rsidP="0014236D">
      <w:pPr>
        <w:pStyle w:val="NoSpacing"/>
        <w:rPr>
          <w:rFonts w:ascii="Book Antiqua" w:hAnsi="Book Antiqua"/>
          <w:sz w:val="16"/>
          <w:szCs w:val="16"/>
        </w:rPr>
      </w:pP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 Late Paleozoic scene. </w:t>
      </w:r>
      <w:hyperlink r:id="rId1128" w:history="1">
        <w:r w:rsidRPr="00923ECC">
          <w:rPr>
            <w:rStyle w:val="Hyperlink"/>
            <w:rFonts w:ascii="Book Antiqua" w:hAnsi="Book Antiqua"/>
            <w:i/>
            <w:szCs w:val="16"/>
          </w:rPr>
          <w:t>http://universe-review.ca/R10-23-plants.htm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2:  Size comparison of Paleozoic Flora and Fauna.</w:t>
      </w:r>
    </w:p>
    <w:p w:rsidR="0014236D" w:rsidRPr="00923ECC" w:rsidRDefault="0014236D" w:rsidP="0014236D">
      <w:pPr>
        <w:pStyle w:val="NoSpacing"/>
        <w:rPr>
          <w:rFonts w:ascii="Book Antiqua" w:hAnsi="Book Antiqua"/>
          <w:i/>
          <w:sz w:val="16"/>
          <w:szCs w:val="16"/>
        </w:rPr>
      </w:pPr>
      <w:r w:rsidRPr="00923ECC">
        <w:rPr>
          <w:rFonts w:ascii="Book Antiqua" w:hAnsi="Book Antiqua"/>
          <w:i/>
          <w:sz w:val="16"/>
          <w:szCs w:val="16"/>
        </w:rPr>
        <w:t xml:space="preserve">Top: </w:t>
      </w:r>
      <w:hyperlink r:id="rId1129" w:history="1">
        <w:r w:rsidRPr="00923ECC">
          <w:rPr>
            <w:rStyle w:val="Hyperlink"/>
            <w:rFonts w:ascii="Book Antiqua" w:hAnsi="Book Antiqua"/>
            <w:i/>
            <w:szCs w:val="16"/>
          </w:rPr>
          <w:t>http://written-in-stone-seen-through-my-lens.blogspot.com/2012/06/eurypterid-eurypterus-remipes-is_29.html</w:t>
        </w:r>
      </w:hyperlink>
    </w:p>
    <w:p w:rsidR="0014236D" w:rsidRDefault="0014236D" w:rsidP="0014236D">
      <w:pPr>
        <w:pStyle w:val="NoSpacing"/>
        <w:rPr>
          <w:rFonts w:ascii="Book Antiqua" w:hAnsi="Book Antiqua"/>
          <w:i/>
          <w:sz w:val="16"/>
          <w:szCs w:val="16"/>
        </w:rPr>
      </w:pPr>
      <w:r w:rsidRPr="00923ECC">
        <w:rPr>
          <w:rFonts w:ascii="Book Antiqua" w:hAnsi="Book Antiqua"/>
          <w:sz w:val="16"/>
          <w:szCs w:val="16"/>
        </w:rPr>
        <w:t>And bottom:</w:t>
      </w:r>
      <w:r w:rsidRPr="00923ECC">
        <w:rPr>
          <w:rFonts w:ascii="Book Antiqua" w:hAnsi="Book Antiqua"/>
          <w:i/>
          <w:sz w:val="16"/>
          <w:szCs w:val="16"/>
        </w:rPr>
        <w:t xml:space="preserve"> </w:t>
      </w:r>
      <w:hyperlink r:id="rId1130" w:history="1">
        <w:r w:rsidRPr="00AE01FC">
          <w:rPr>
            <w:rStyle w:val="Hyperlink"/>
            <w:rFonts w:ascii="Book Antiqua" w:hAnsi="Book Antiqua"/>
            <w:i/>
            <w:szCs w:val="16"/>
          </w:rPr>
          <w:t>http://www.search4dinosaurs.com/rb_carboniferous.html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Figure 3: Some Mesozoic dinosaurs compared in size with a human.</w:t>
      </w:r>
    </w:p>
    <w:p w:rsidR="0014236D" w:rsidRPr="00923ECC" w:rsidRDefault="007B3EBC" w:rsidP="0014236D">
      <w:pPr>
        <w:pStyle w:val="NoSpacing"/>
        <w:rPr>
          <w:rFonts w:ascii="Book Antiqua" w:hAnsi="Book Antiqua"/>
          <w:i/>
          <w:sz w:val="16"/>
          <w:szCs w:val="16"/>
        </w:rPr>
      </w:pPr>
      <w:hyperlink r:id="rId1131" w:history="1">
        <w:r w:rsidR="0014236D" w:rsidRPr="00AE01FC">
          <w:rPr>
            <w:rStyle w:val="Hyperlink"/>
            <w:rFonts w:ascii="Book Antiqua" w:hAnsi="Book Antiqua"/>
            <w:i/>
            <w:szCs w:val="16"/>
          </w:rPr>
          <w:t>http://upload.wikimedia.org/wikipedia/commons/f/f6/Allosaurus_size_comparison.svg</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4: Cenozoic fauna and megafauna. </w:t>
      </w:r>
      <w:hyperlink r:id="rId1132" w:history="1">
        <w:r w:rsidRPr="00923ECC">
          <w:rPr>
            <w:rStyle w:val="Hyperlink"/>
            <w:rFonts w:ascii="Book Antiqua" w:hAnsi="Book Antiqua"/>
            <w:i/>
            <w:szCs w:val="16"/>
          </w:rPr>
          <w:t>http://pantherasonya.deviantart.com/art/Megafauna-Sizes-270438594</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5: Typical nerve cell or neuron. </w:t>
      </w:r>
      <w:hyperlink r:id="rId1133" w:history="1">
        <w:r w:rsidRPr="00923ECC">
          <w:rPr>
            <w:rStyle w:val="Hyperlink"/>
            <w:rFonts w:ascii="Book Antiqua" w:hAnsi="Book Antiqua"/>
            <w:i/>
            <w:szCs w:val="16"/>
          </w:rPr>
          <w:t>http://www.web-books.com/eLibrary/Medicine/Physiology/Nervous/Nervous.htm</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6: Wave amplitude differences. </w:t>
      </w:r>
      <w:hyperlink r:id="rId1134" w:history="1">
        <w:r w:rsidRPr="00923ECC">
          <w:rPr>
            <w:rStyle w:val="Hyperlink"/>
            <w:rFonts w:ascii="Book Antiqua" w:hAnsi="Book Antiqua"/>
            <w:i/>
            <w:szCs w:val="16"/>
          </w:rPr>
          <w:t>http://www.nasa.gov/missions/science/f_interference.html</w:t>
        </w:r>
      </w:hyperlink>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 xml:space="preserve">Figure 7: Structure of a chloroplast. </w:t>
      </w:r>
      <w:hyperlink r:id="rId1135" w:history="1">
        <w:r w:rsidRPr="00923ECC">
          <w:rPr>
            <w:rStyle w:val="Hyperlink"/>
            <w:rFonts w:ascii="Book Antiqua" w:hAnsi="Book Antiqua"/>
            <w:i/>
            <w:szCs w:val="16"/>
          </w:rPr>
          <w:t>http://www.setterfield.org/zpe_giantism.html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8: Thylakoid membrane antenna system and reaction center. </w:t>
      </w:r>
      <w:hyperlink r:id="rId1136" w:history="1">
        <w:r w:rsidRPr="00923ECC">
          <w:rPr>
            <w:rStyle w:val="Hyperlink"/>
            <w:rFonts w:ascii="Book Antiqua" w:hAnsi="Book Antiqua"/>
            <w:i/>
            <w:szCs w:val="16"/>
          </w:rPr>
          <w:t>http://www.setterfield.org/zpe_giantism.html</w:t>
        </w:r>
      </w:hyperlink>
      <w:r w:rsidRPr="00923ECC">
        <w:rPr>
          <w:rFonts w:ascii="Book Antiqua" w:hAnsi="Book Antiqua"/>
          <w:i/>
          <w:sz w:val="16"/>
          <w:szCs w:val="16"/>
        </w:rPr>
        <w:br/>
      </w:r>
      <w:r w:rsidRPr="00923ECC">
        <w:rPr>
          <w:rFonts w:ascii="Book Antiqua" w:hAnsi="Book Antiqua"/>
          <w:sz w:val="16"/>
          <w:szCs w:val="16"/>
        </w:rPr>
        <w:t>Figure 9: Living stromatolites, Western Australia. Top - When the tide is in at Hamelin Pool, Shark Bay:</w:t>
      </w:r>
    </w:p>
    <w:p w:rsidR="0014236D" w:rsidRPr="00923ECC" w:rsidRDefault="007B3EBC" w:rsidP="0014236D">
      <w:pPr>
        <w:pStyle w:val="NoSpacing"/>
        <w:rPr>
          <w:rFonts w:ascii="Book Antiqua" w:hAnsi="Book Antiqua"/>
          <w:i/>
          <w:sz w:val="16"/>
          <w:szCs w:val="16"/>
        </w:rPr>
      </w:pPr>
      <w:hyperlink r:id="rId1137" w:history="1">
        <w:r w:rsidR="0014236D" w:rsidRPr="00923ECC">
          <w:rPr>
            <w:rStyle w:val="Hyperlink"/>
            <w:rFonts w:ascii="Book Antiqua" w:hAnsi="Book Antiqua"/>
            <w:i/>
            <w:szCs w:val="16"/>
          </w:rPr>
          <w:t>http://www.westaust.net/photos/index.php/component/virtuemart/?page=shop.browse&amp;category_id=29</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Bottom - When the tide is out at Shark Bay: </w:t>
      </w:r>
      <w:hyperlink r:id="rId1138" w:history="1">
        <w:r w:rsidRPr="00923ECC">
          <w:rPr>
            <w:rStyle w:val="Hyperlink"/>
            <w:rFonts w:ascii="Book Antiqua" w:hAnsi="Book Antiqua"/>
            <w:i/>
            <w:szCs w:val="16"/>
          </w:rPr>
          <w:t>http://www.outbacktours.info/adventure.htm</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10: Fossil stromatolite colony by the Ottawa River, Canada. </w:t>
      </w:r>
      <w:hyperlink r:id="rId1139" w:history="1">
        <w:r w:rsidRPr="00923ECC">
          <w:rPr>
            <w:rStyle w:val="Hyperlink"/>
            <w:rFonts w:ascii="Book Antiqua" w:hAnsi="Book Antiqua"/>
            <w:i/>
            <w:szCs w:val="16"/>
          </w:rPr>
          <w:t>http://flickrhivemind.net/Tags/greenalgae/Interesting</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11: White cliffs of Dover, England. </w:t>
      </w:r>
      <w:hyperlink r:id="rId1140" w:history="1">
        <w:r w:rsidRPr="00923ECC">
          <w:rPr>
            <w:rStyle w:val="Hyperlink"/>
            <w:rFonts w:ascii="Book Antiqua" w:hAnsi="Book Antiqua"/>
            <w:i/>
            <w:szCs w:val="16"/>
          </w:rPr>
          <w:t>http://www.fdm-travel.dk/england/kent-rundrejse.html</w:t>
        </w:r>
      </w:hyperlink>
    </w:p>
    <w:p w:rsidR="0014236D" w:rsidRPr="00923ECC" w:rsidRDefault="0014236D" w:rsidP="0014236D">
      <w:pPr>
        <w:pStyle w:val="NoSpacing"/>
        <w:rPr>
          <w:rFonts w:ascii="Book Antiqua" w:hAnsi="Book Antiqua"/>
          <w:sz w:val="16"/>
          <w:szCs w:val="16"/>
        </w:rPr>
      </w:pPr>
      <w:proofErr w:type="gramStart"/>
      <w:r w:rsidRPr="00923ECC">
        <w:rPr>
          <w:rFonts w:ascii="Book Antiqua" w:hAnsi="Book Antiqua"/>
          <w:sz w:val="16"/>
          <w:szCs w:val="16"/>
        </w:rPr>
        <w:t>Figures 12 &amp; 13: Fossil coral reef in Indiana, USA.</w:t>
      </w:r>
      <w:proofErr w:type="gramEnd"/>
      <w:r w:rsidRPr="00923ECC">
        <w:rPr>
          <w:rFonts w:ascii="Book Antiqua" w:hAnsi="Book Antiqua"/>
          <w:sz w:val="16"/>
          <w:szCs w:val="16"/>
        </w:rPr>
        <w:t xml:space="preserve"> </w:t>
      </w:r>
      <w:proofErr w:type="gramStart"/>
      <w:r w:rsidRPr="00923ECC">
        <w:rPr>
          <w:rFonts w:ascii="Book Antiqua" w:hAnsi="Book Antiqua"/>
          <w:sz w:val="16"/>
          <w:szCs w:val="16"/>
        </w:rPr>
        <w:t>Photos by Joel Duff.</w:t>
      </w:r>
      <w:proofErr w:type="gramEnd"/>
    </w:p>
    <w:p w:rsidR="0014236D" w:rsidRDefault="0014236D" w:rsidP="0014236D">
      <w:pPr>
        <w:pStyle w:val="NoSpacing"/>
        <w:rPr>
          <w:rFonts w:ascii="Book Antiqua" w:hAnsi="Book Antiqua"/>
          <w:sz w:val="16"/>
          <w:szCs w:val="16"/>
        </w:rPr>
      </w:pPr>
      <w:r w:rsidRPr="00923ECC">
        <w:rPr>
          <w:rFonts w:ascii="Book Antiqua" w:hAnsi="Book Antiqua"/>
          <w:sz w:val="16"/>
          <w:szCs w:val="16"/>
        </w:rPr>
        <w:t xml:space="preserve"> </w:t>
      </w:r>
      <w:hyperlink r:id="rId1141" w:history="1">
        <w:r w:rsidRPr="00923ECC">
          <w:rPr>
            <w:rStyle w:val="Hyperlink"/>
            <w:rFonts w:ascii="Book Antiqua" w:hAnsi="Book Antiqua"/>
            <w:i/>
            <w:szCs w:val="16"/>
          </w:rPr>
          <w:t>http://thenaturalhistorian.com/2012/06/23/fossil-reef-falls-ohio-road-cut-kentucky/</w:t>
        </w:r>
      </w:hyperlink>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Fig</w:t>
      </w:r>
      <w:r>
        <w:rPr>
          <w:rFonts w:ascii="Book Antiqua" w:hAnsi="Book Antiqua"/>
          <w:sz w:val="16"/>
          <w:szCs w:val="16"/>
        </w:rPr>
        <w:t>ure</w:t>
      </w:r>
      <w:r w:rsidRPr="00923ECC">
        <w:rPr>
          <w:rFonts w:ascii="Book Antiqua" w:hAnsi="Book Antiqua"/>
          <w:sz w:val="16"/>
          <w:szCs w:val="16"/>
        </w:rPr>
        <w:t xml:space="preserve"> 13 (Right</w:t>
      </w:r>
      <w:proofErr w:type="gramStart"/>
      <w:r w:rsidRPr="00923ECC">
        <w:rPr>
          <w:rFonts w:ascii="Book Antiqua" w:hAnsi="Book Antiqua"/>
          <w:sz w:val="16"/>
          <w:szCs w:val="16"/>
        </w:rPr>
        <w:t xml:space="preserve">)  </w:t>
      </w:r>
      <w:proofErr w:type="gramEnd"/>
      <w:r w:rsidR="007B3EBC">
        <w:fldChar w:fldCharType="begin"/>
      </w:r>
      <w:r>
        <w:instrText>HYPERLINK "http://www.seasky.org/wallpaper/sea-wallpaper-coral-polyps-1024.html"</w:instrText>
      </w:r>
      <w:r w:rsidR="007B3EBC">
        <w:fldChar w:fldCharType="separate"/>
      </w:r>
      <w:r w:rsidRPr="00923ECC">
        <w:rPr>
          <w:rStyle w:val="Hyperlink"/>
          <w:rFonts w:ascii="Book Antiqua" w:hAnsi="Book Antiqua"/>
          <w:i/>
          <w:szCs w:val="16"/>
        </w:rPr>
        <w:t>www.seasky.org</w:t>
      </w:r>
      <w:r w:rsidR="007B3EBC">
        <w:fldChar w:fldCharType="end"/>
      </w:r>
    </w:p>
    <w:p w:rsidR="0014236D" w:rsidRPr="00923ECC" w:rsidRDefault="0014236D" w:rsidP="0014236D">
      <w:pPr>
        <w:pStyle w:val="NoSpacing"/>
        <w:rPr>
          <w:rFonts w:ascii="Book Antiqua" w:hAnsi="Book Antiqua"/>
          <w:i/>
          <w:sz w:val="16"/>
          <w:szCs w:val="16"/>
        </w:rPr>
      </w:pPr>
      <w:r w:rsidRPr="00923ECC">
        <w:rPr>
          <w:rFonts w:ascii="Book Antiqua" w:hAnsi="Book Antiqua"/>
          <w:sz w:val="16"/>
          <w:szCs w:val="16"/>
        </w:rPr>
        <w:t>Figure 14</w:t>
      </w:r>
      <w:proofErr w:type="gramStart"/>
      <w:r w:rsidRPr="00923ECC">
        <w:rPr>
          <w:rFonts w:ascii="Book Antiqua" w:hAnsi="Book Antiqua"/>
          <w:sz w:val="16"/>
          <w:szCs w:val="16"/>
        </w:rPr>
        <w:t>:One</w:t>
      </w:r>
      <w:proofErr w:type="gramEnd"/>
      <w:r w:rsidRPr="00923ECC">
        <w:rPr>
          <w:rFonts w:ascii="Book Antiqua" w:hAnsi="Book Antiqua"/>
          <w:sz w:val="16"/>
          <w:szCs w:val="16"/>
        </w:rPr>
        <w:t xml:space="preserve"> method of banded iron formation.</w:t>
      </w:r>
      <w:r w:rsidR="004A6000">
        <w:rPr>
          <w:rFonts w:ascii="Book Antiqua" w:hAnsi="Book Antiqua"/>
          <w:sz w:val="16"/>
          <w:szCs w:val="16"/>
        </w:rPr>
        <w:t xml:space="preserve"> </w:t>
      </w:r>
      <w:hyperlink r:id="rId1142" w:history="1">
        <w:r w:rsidRPr="00923ECC">
          <w:rPr>
            <w:rStyle w:val="Hyperlink"/>
            <w:rFonts w:ascii="Book Antiqua" w:hAnsi="Book Antiqua"/>
            <w:i/>
            <w:szCs w:val="16"/>
          </w:rPr>
          <w:t>http://pumicecastle.blogspot.com/2011/02/learning-from-gentry-banded-iron.html</w:t>
        </w:r>
      </w:hyperlink>
    </w:p>
    <w:p w:rsidR="0014236D" w:rsidRPr="00923ECC" w:rsidRDefault="0014236D" w:rsidP="0014236D">
      <w:pPr>
        <w:pStyle w:val="NoSpacing"/>
        <w:rPr>
          <w:rFonts w:ascii="Book Antiqua" w:hAnsi="Book Antiqua"/>
          <w:sz w:val="16"/>
          <w:szCs w:val="16"/>
        </w:rPr>
      </w:pPr>
      <w:r w:rsidRPr="00923ECC">
        <w:rPr>
          <w:rFonts w:ascii="Book Antiqua" w:hAnsi="Book Antiqua"/>
          <w:sz w:val="16"/>
          <w:szCs w:val="16"/>
        </w:rPr>
        <w:t xml:space="preserve">Figure 15: Examples of banded iron formation in Western </w:t>
      </w:r>
      <w:proofErr w:type="gramStart"/>
      <w:r w:rsidRPr="00923ECC">
        <w:rPr>
          <w:rFonts w:ascii="Book Antiqua" w:hAnsi="Book Antiqua"/>
          <w:sz w:val="16"/>
          <w:szCs w:val="16"/>
        </w:rPr>
        <w:t xml:space="preserve">Australia  </w:t>
      </w:r>
      <w:proofErr w:type="gramEnd"/>
      <w:r w:rsidR="007B3EBC">
        <w:fldChar w:fldCharType="begin"/>
      </w:r>
      <w:r>
        <w:instrText>HYPERLINK "http://www.nordcee.dk/index.php?page=photos"</w:instrText>
      </w:r>
      <w:r w:rsidR="007B3EBC">
        <w:fldChar w:fldCharType="separate"/>
      </w:r>
      <w:r w:rsidRPr="00923ECC">
        <w:rPr>
          <w:rStyle w:val="Hyperlink"/>
          <w:rFonts w:ascii="Book Antiqua" w:hAnsi="Book Antiqua"/>
          <w:i/>
          <w:szCs w:val="16"/>
        </w:rPr>
        <w:t>http://www.nordcee.dk/index.php?page=photos</w:t>
      </w:r>
      <w:r w:rsidR="007B3EBC">
        <w:fldChar w:fldCharType="end"/>
      </w:r>
      <w:r w:rsidRPr="00923ECC">
        <w:rPr>
          <w:rFonts w:ascii="Book Antiqua" w:hAnsi="Book Antiqua"/>
          <w:sz w:val="16"/>
          <w:szCs w:val="16"/>
        </w:rPr>
        <w:t xml:space="preserve"> </w:t>
      </w:r>
    </w:p>
    <w:p w:rsidR="0014236D" w:rsidRPr="00923ECC" w:rsidRDefault="0014236D" w:rsidP="0014236D">
      <w:pPr>
        <w:pStyle w:val="NoSpacing"/>
        <w:rPr>
          <w:rFonts w:ascii="Book Antiqua" w:hAnsi="Book Antiqua"/>
          <w:i/>
          <w:sz w:val="16"/>
          <w:szCs w:val="16"/>
        </w:rPr>
      </w:pPr>
    </w:p>
    <w:p w:rsidR="0014236D" w:rsidRDefault="0014236D" w:rsidP="0014236D">
      <w:pPr>
        <w:pStyle w:val="NoSpacing"/>
        <w:jc w:val="center"/>
        <w:rPr>
          <w:rFonts w:ascii="Book Antiqua" w:hAnsi="Book Antiqua"/>
          <w:b/>
          <w:sz w:val="28"/>
          <w:szCs w:val="28"/>
        </w:rPr>
      </w:pPr>
      <w:r w:rsidRPr="00AC2896">
        <w:rPr>
          <w:rFonts w:ascii="Book Antiqua" w:hAnsi="Book Antiqua"/>
          <w:b/>
          <w:sz w:val="28"/>
          <w:szCs w:val="28"/>
        </w:rPr>
        <w:t>*  *  *  *  *  *  *</w:t>
      </w:r>
    </w:p>
    <w:p w:rsidR="007B56F5" w:rsidRDefault="007B56F5">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416D75" w:rsidRPr="00125962" w:rsidRDefault="00416D75" w:rsidP="00416D75">
      <w:pPr>
        <w:spacing w:before="120" w:after="120" w:line="240" w:lineRule="atLeast"/>
        <w:jc w:val="center"/>
        <w:outlineLvl w:val="0"/>
        <w:rPr>
          <w:rFonts w:ascii="Book Antiqua" w:hAnsi="Book Antiqua"/>
          <w:b/>
          <w:i/>
          <w:sz w:val="24"/>
          <w:szCs w:val="24"/>
        </w:rPr>
      </w:pPr>
      <w:r w:rsidRPr="00125962">
        <w:rPr>
          <w:rFonts w:ascii="Book Antiqua" w:hAnsi="Book Antiqua"/>
          <w:b/>
          <w:sz w:val="24"/>
          <w:szCs w:val="24"/>
        </w:rPr>
        <w:lastRenderedPageBreak/>
        <w:t xml:space="preserve">Chapter 11: </w:t>
      </w:r>
      <w:r w:rsidRPr="00125962">
        <w:rPr>
          <w:rFonts w:ascii="Book Antiqua" w:hAnsi="Book Antiqua"/>
          <w:b/>
          <w:i/>
          <w:sz w:val="24"/>
          <w:szCs w:val="24"/>
        </w:rPr>
        <w:t>Extended Technical Summary.</w:t>
      </w:r>
    </w:p>
    <w:p w:rsidR="00416D75" w:rsidRPr="00125962" w:rsidRDefault="00416D75" w:rsidP="00416D75">
      <w:pPr>
        <w:spacing w:before="120" w:after="120" w:line="240" w:lineRule="atLeast"/>
        <w:outlineLvl w:val="0"/>
        <w:rPr>
          <w:rFonts w:ascii="Book Antiqua" w:hAnsi="Book Antiqua"/>
          <w:b/>
        </w:rPr>
      </w:pPr>
      <w:r w:rsidRPr="00125962">
        <w:rPr>
          <w:rFonts w:ascii="Book Antiqua" w:hAnsi="Book Antiqua"/>
          <w:b/>
        </w:rPr>
        <w:t>1</w:t>
      </w:r>
      <w:r w:rsidRPr="00125962">
        <w:rPr>
          <w:rFonts w:ascii="Book Antiqua" w:hAnsi="Book Antiqua"/>
          <w:b/>
          <w:i/>
        </w:rPr>
        <w:t>.</w:t>
      </w:r>
      <w:r w:rsidRPr="00125962">
        <w:rPr>
          <w:rFonts w:ascii="Book Antiqua" w:hAnsi="Book Antiqua"/>
          <w:b/>
        </w:rPr>
        <w:t xml:space="preserve"> Exploring the Vacuum</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Concepts of the Vacuum</w:t>
      </w:r>
    </w:p>
    <w:p w:rsidR="00416D75" w:rsidRPr="00125962" w:rsidRDefault="00416D75" w:rsidP="00416D75">
      <w:pPr>
        <w:pStyle w:val="NormPara"/>
        <w:ind w:firstLine="720"/>
        <w:rPr>
          <w:sz w:val="20"/>
        </w:rPr>
      </w:pPr>
      <w:r w:rsidRPr="00125962">
        <w:rPr>
          <w:sz w:val="20"/>
        </w:rPr>
        <w:t>During the 20th century, our knowledge regarding space and the properties of the vacuum took a considerable leap forward. The vacuum of space is popularly considered to be a void, an emptiness, or just ‘nothingness.’ This is the definition of a so-called bare vacuum. However, as science has learned more about the properties of space, a new and contrasting description has arisen, which physicists call the physical vacuum.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To understand the difference between these two definitions, imagine you have a perfectly sealed container. First remove all solids, liquids, and gases from it so no atoms or molecules remain. There is now a vacuum in the container. This gave rise to the 17th century definition of a vacuum as a totally empty volume of space. Late in the 19th century, it was realized that the vacuum could still contain heat or thermal radiation. If we insulate our container with the vacuum so no heat can get in or out, and if it is cooled to absolute zero, or about -273 degrees C, all thermal radiation has been removed. It might be expected that a complete vacuum now exists within the container. However, both theory and experiment show this vacuum still contains measurable energy. This energy is called the Zero-Point Energy (ZPE) as it exists even at absolute zero.</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existence of the ZPE was not suspected until the work of Max Planck in 1911, backed up by investigations by Einstein and Stern in 1913, and Nernst in 1916 [1, 2, 3].  The ZPE was discovered to be a universal phenomenon, uniform, all-pervasive, and penetrating every atomic structure throughout the cosmos. It is composed of electromagnetic waves of all wavelengths down to about 10</w:t>
      </w:r>
      <w:r w:rsidRPr="00125962">
        <w:rPr>
          <w:sz w:val="20"/>
          <w:vertAlign w:val="superscript"/>
        </w:rPr>
        <w:t>-35</w:t>
      </w:r>
      <w:r w:rsidRPr="00125962">
        <w:rPr>
          <w:sz w:val="20"/>
        </w:rPr>
        <w:t xml:space="preserve"> meters, at which length the waves are simply absorbed into the structure of the vacuum. We are unaware of its presence for the same reason that we are unaware of the atmospheric pressure of 14 pounds per square inch that is imposed upon our bodies. There is a perfect balance within us and without. Similarly, the radiation pressures of the ZPE are everywhere balanced in our bodies and measuring devices.</w:t>
      </w:r>
    </w:p>
    <w:p w:rsidR="00416D75" w:rsidRPr="00125962" w:rsidRDefault="00416D75" w:rsidP="00416D75">
      <w:pPr>
        <w:pStyle w:val="NormPara"/>
        <w:ind w:firstLine="720"/>
        <w:rPr>
          <w:i/>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Evidence for the Existence of the ZPE</w:t>
      </w:r>
    </w:p>
    <w:p w:rsidR="00416D75" w:rsidRPr="00125962" w:rsidRDefault="00416D75" w:rsidP="00416D75">
      <w:pPr>
        <w:pStyle w:val="NormPara"/>
        <w:ind w:firstLine="720"/>
        <w:rPr>
          <w:sz w:val="20"/>
        </w:rPr>
      </w:pPr>
      <w:r w:rsidRPr="00125962">
        <w:rPr>
          <w:sz w:val="20"/>
        </w:rPr>
        <w:t>Because the ZPE is composed of many more waves of short wavelengths than long (it has a frequency cubed spectrum), the fluctuations of the ZPE waves do not become significant enough to be observed until the atomic level is attained. This explains why cooling alone will never freeze liquid helium. Unless pressure is applied, ZPE fluctuations prevent helium’s atoms from getting close enough to permit solidification.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electronic circuits, such as microwave receivers, another problem arises because ZPE fluctuations cause a random ‘noise’ that places limits on the level to which signals can be amplified. This ‘noise’ can never be removed no matter how perfect the technology.</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Further evidence comes from what is called the Lamb shift of spectral lines. The ZPE waves slightly perturb an electron in an atom so that, when electrons make a transition from one state to another, the atom emits light whose wavelength is shifted slightly from the position that line would have had if the ZPE did not exist.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Casimir effect also indicates the existence of the ZPE in the form of electromagnetic waves.  This effect can be demonstrated by bringing two large metal plates very close together in a vacuum. When they are close, but not touching, there is a small but measurable force that pushes them together. The explanation of this effect comes straight from classical physics. As the metal plates are brought closer, they exclude all wavelengths of the ZPE except those which fit exactly between the plates. In other words, all the long wavelengths of the ZPE have been excluded and </w:t>
      </w:r>
      <w:proofErr w:type="gramStart"/>
      <w:r w:rsidRPr="00125962">
        <w:rPr>
          <w:sz w:val="20"/>
        </w:rPr>
        <w:t>are</w:t>
      </w:r>
      <w:proofErr w:type="gramEnd"/>
      <w:r w:rsidRPr="00125962">
        <w:rPr>
          <w:sz w:val="20"/>
        </w:rPr>
        <w:t xml:space="preserve"> now acting on the plates from the outside with no long waves acting from within to balance the pressure. The combined radiation pressure of these external waves then forces the plates together. In November 1998, Mohideen and Roy reported verification of the effect to within 1% [4].</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ZPE Waves and Particle Pairs</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Since ZPE waves go in all directions, they impact each other in somewhat the same way as waves in the ocean. Where ocean waves meet, due to a boat passing or strong cross-currents, they crest and form whitecaps which then</w:t>
      </w:r>
      <w:r w:rsidRPr="00125962">
        <w:rPr>
          <w:color w:val="FF0000"/>
          <w:sz w:val="20"/>
        </w:rPr>
        <w:t xml:space="preserve"> </w:t>
      </w:r>
      <w:r w:rsidRPr="00125962">
        <w:rPr>
          <w:sz w:val="20"/>
        </w:rPr>
        <w:t xml:space="preserve">die down quickly.  When ZPE waves meet, something similar happens: they create a concentration of energy that results in the formation of a positive and negative pair of particles, like a positive and negative electron, or a positive and negative proton, or a positive and negative pion. These particle pairs flash into existence momentarily, then re-combine and annihilate. For this reason they are referred to as virtual particles. It can be estimated that today, in any given second, there are about </w:t>
      </w:r>
      <m:oMath>
        <m:sSup>
          <m:sSupPr>
            <m:ctrlPr>
              <w:rPr>
                <w:rFonts w:ascii="Cambria Math" w:hAnsi="Cambria Math"/>
                <w:i/>
                <w:sz w:val="20"/>
              </w:rPr>
            </m:ctrlPr>
          </m:sSupPr>
          <m:e>
            <m:r>
              <w:rPr>
                <w:rFonts w:ascii="Cambria Math"/>
                <w:sz w:val="20"/>
              </w:rPr>
              <m:t>10</m:t>
            </m:r>
          </m:e>
          <m:sup>
            <m:r>
              <w:rPr>
                <w:rFonts w:ascii="Cambria Math"/>
                <w:sz w:val="20"/>
              </w:rPr>
              <m:t>63</m:t>
            </m:r>
          </m:sup>
        </m:sSup>
        <m:r>
          <w:rPr>
            <w:rFonts w:ascii="Cambria Math"/>
            <w:sz w:val="20"/>
          </w:rPr>
          <m:t xml:space="preserve"> </m:t>
        </m:r>
      </m:oMath>
      <w:r w:rsidRPr="00125962">
        <w:rPr>
          <w:sz w:val="20"/>
        </w:rPr>
        <w:t>virtual particles flashing into and out of existence in the volume of any cubic meter. SED physics, the branch of physics which accepts the ZPE as a real entity and not just a mathematical abstraction, predicts that there is a veritable zoo of all kinds of virtual particle pairs inhabiting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presence of virtual particle pairs can be demonstrated experimentally.  Take two metal plates that have leads attached to a power supply and the appropriate measuring devices.  Place a ceramic disk between the two plates.  Electricity is turned on and the voltage between the two plates is built up.  As long as the voltage continues to build, a current is shown to be flowing through the ceramic disk, between the two plates.  But when the voltage has stabilized at any particular chosen point, the current is no longer measured as flowing through the ceramic disk.  But since a current is not expected to flow through a ceramic disk at all, why was a current in evidence when the voltage was being ramped up?</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the voltage difference built up between the plates, the electric field between them affected the molecules in the ceramic disk.  Each molecule in the disk has both a positively charged and a negatively charged segment. (The exact geometrical arrangement of these charges depends on the type of molecule we are dealing with.) As the applied voltage increased, the positive end of the molecule was attracted to the negatively charged plate, while the negatively charged part of the molecule was attracted to the positively charged plate. As the voltage increased, so did the pull on the molecules, which then stretched like rubber bands. When the voltage between the plates stopped increasing, the continuing stretching ceased, and so the current stopped flowing.  Once the voltage difference is stable between the plates, the molecules have stretched to their maximum under that voltage and that is why the current is no longer flowing through the disk. The ceramic disk is then said to be polarized, because all the positive charges are aligned one way and the negative charges are aligned another.</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current in the ceramic disk, caused by the motion of these molecular charges over a short distance, is called a </w:t>
      </w:r>
      <w:r w:rsidRPr="00125962">
        <w:rPr>
          <w:i/>
          <w:sz w:val="20"/>
        </w:rPr>
        <w:t>“displacement current.”</w:t>
      </w:r>
      <w:r w:rsidRPr="00125962">
        <w:rPr>
          <w:sz w:val="20"/>
        </w:rPr>
        <w:t xml:space="preserve"> The charges are simply displaced a short distance from their original positions. If the experiment is then repeated without the ceramic disk, but in a vacuum in which all possible air is removed, it has been found that, again, a displacement current flows between the two plates. Although the displacement current is not as strong as it was using the ceramic disk, a displacement current does flow. This indicates the vacuum has electric charges which can be polarized just as the molecules in the ceramic disk were.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Polarization can only occur if there are charged particles capable of being moved or re-oriented in an electric field. The conclusion is that the vacuum must contain charged particles, capable of moving, which are not associated with the air.  This would seem to indicate the presence of virtual particle pairs. Their presence means we have a </w:t>
      </w:r>
      <w:r w:rsidRPr="00125962">
        <w:rPr>
          <w:i/>
          <w:sz w:val="20"/>
        </w:rPr>
        <w:t>“polarizable vacuum.”</w:t>
      </w:r>
      <w:r w:rsidRPr="00125962">
        <w:rPr>
          <w:b/>
          <w:i/>
          <w:sz w:val="20"/>
        </w:rPr>
        <w:t xml:space="preserve"> </w:t>
      </w:r>
      <w:r w:rsidRPr="00125962">
        <w:rPr>
          <w:sz w:val="20"/>
        </w:rPr>
        <w:t xml:space="preserve"> The extent to which the vacuum “permits” itself to be polarized in an electric field is called the electric permittivity of free space. This permittivity is designated by the Greek </w:t>
      </w:r>
      <w:proofErr w:type="gramStart"/>
      <w:r w:rsidRPr="00125962">
        <w:rPr>
          <w:sz w:val="20"/>
        </w:rPr>
        <w:t xml:space="preserve">letter </w:t>
      </w:r>
      <w:proofErr w:type="gramEnd"/>
      <w:r w:rsidRPr="00125962">
        <w:rPr>
          <w:position w:val="-6"/>
          <w:sz w:val="20"/>
        </w:rPr>
        <w:object w:dxaOrig="180" w:dyaOrig="200">
          <v:shape id="_x0000_i1320" type="#_x0000_t75" style="width:9.7pt;height:10.3pt" o:ole="">
            <v:imagedata r:id="rId1143" o:title=""/>
          </v:shape>
          <o:OLEObject Type="Embed" ProgID="Equation.DSMT4" ShapeID="_x0000_i1320" DrawAspect="Content" ObjectID="_1433920472" r:id="rId1144"/>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It is important to understand that any electric charge in motion will produce a circling magnetic field – every electric current has a circling magnetic field.  This is what gives rise to the term “electromagnetism.”  It is in this area that other experiments using magnetism have shown the ceramic disk and the vacuum share a corresponding property. In the examples above, all the charges (whether molecular or from virtual particles) were required to move in order to produce the displacement current, thus producing a magnetic field. The degree to which a magnetic field can permeate a substance </w:t>
      </w:r>
      <w:r w:rsidRPr="00125962">
        <w:rPr>
          <w:sz w:val="20"/>
        </w:rPr>
        <w:lastRenderedPageBreak/>
        <w:t xml:space="preserve">is called its magnetic permeability. The presence of virtual particles causes the vacuum of space itself to have </w:t>
      </w:r>
      <w:proofErr w:type="gramStart"/>
      <w:r w:rsidRPr="00125962">
        <w:rPr>
          <w:sz w:val="20"/>
        </w:rPr>
        <w:t>a permeability</w:t>
      </w:r>
      <w:proofErr w:type="gramEnd"/>
      <w:r w:rsidRPr="00125962">
        <w:rPr>
          <w:sz w:val="20"/>
        </w:rPr>
        <w:t xml:space="preserve"> as well as a permittivity. The magnetic permeability of space is designated by the Greek </w:t>
      </w:r>
      <w:proofErr w:type="gramStart"/>
      <w:r w:rsidRPr="00125962">
        <w:rPr>
          <w:sz w:val="20"/>
        </w:rPr>
        <w:t xml:space="preserve">letter </w:t>
      </w:r>
      <w:proofErr w:type="gramEnd"/>
      <w:r w:rsidRPr="00125962">
        <w:rPr>
          <w:position w:val="-8"/>
          <w:sz w:val="20"/>
        </w:rPr>
        <w:object w:dxaOrig="200" w:dyaOrig="220">
          <v:shape id="_x0000_i1321" type="#_x0000_t75" style="width:10.3pt;height:12.1pt" o:ole="">
            <v:imagedata r:id="rId1145" o:title=""/>
          </v:shape>
          <o:OLEObject Type="Embed" ProgID="Equation.DSMT4" ShapeID="_x0000_i1321" DrawAspect="Content" ObjectID="_1433920473" r:id="rId1146"/>
        </w:objec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Any changes in the strength of the Zero Point Energy would affect both the permeability and permittivity of space. If the Zero Point Energy built up with time, there would be more ZPE waves intersecting and hence more virtual particle pairs produced per unit volume. This would increase the permittivity and permeability as well.  In a similar way, if the ZPE strength decreased, so, too, would the number of virtual particles in a given volume. As a consequence, the vacuum permittivity and permeability would also decrease in direct proportion. Both ε and µ are directly proportional to the strength of the ZPE. We can write this as follows: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8"/>
          <w:sz w:val="20"/>
        </w:rPr>
        <w:object w:dxaOrig="800" w:dyaOrig="260">
          <v:shape id="_x0000_i1322" type="#_x0000_t75" style="width:39.95pt;height:12.7pt" o:ole="">
            <v:imagedata r:id="rId1147" o:title=""/>
          </v:shape>
          <o:OLEObject Type="Embed" ProgID="Equation.DSMT4" ShapeID="_x0000_i1322" DrawAspect="Content" ObjectID="_1433920474" r:id="rId1148"/>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In Eq. (1) the ZPE strength is designated by the letter </w:t>
      </w:r>
      <w:r w:rsidRPr="00125962">
        <w:rPr>
          <w:i/>
          <w:sz w:val="20"/>
        </w:rPr>
        <w:t>U</w:t>
      </w:r>
      <w:r w:rsidRPr="00125962">
        <w:rPr>
          <w:sz w:val="20"/>
        </w:rPr>
        <w:t>, and the symbol ~ means “</w:t>
      </w:r>
      <w:r w:rsidRPr="00125962">
        <w:rPr>
          <w:i/>
          <w:sz w:val="20"/>
        </w:rPr>
        <w:t>is proportional to</w:t>
      </w:r>
      <w:r w:rsidRPr="00125962">
        <w:rPr>
          <w:sz w:val="20"/>
        </w:rPr>
        <w:t xml:space="preserve">” throughout this volume. </w:t>
      </w:r>
    </w:p>
    <w:p w:rsidR="00416D75" w:rsidRPr="00125962" w:rsidRDefault="00416D75" w:rsidP="00416D75">
      <w:pPr>
        <w:pStyle w:val="NormPara"/>
        <w:ind w:firstLine="270"/>
        <w:rPr>
          <w:i/>
          <w:sz w:val="20"/>
        </w:rPr>
      </w:pPr>
    </w:p>
    <w:p w:rsidR="00416D75"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Introducing the Speed of Light</w:t>
      </w:r>
    </w:p>
    <w:p w:rsidR="00416D75" w:rsidRPr="000448B1" w:rsidRDefault="00416D75" w:rsidP="00416D75">
      <w:pPr>
        <w:pStyle w:val="NoSpacing"/>
        <w:rPr>
          <w:lang w:val="en-GB"/>
        </w:rPr>
      </w:pPr>
    </w:p>
    <w:p w:rsidR="00416D75" w:rsidRPr="00125962" w:rsidRDefault="00416D75" w:rsidP="00416D75">
      <w:pPr>
        <w:pStyle w:val="NormPara"/>
        <w:ind w:firstLine="720"/>
        <w:rPr>
          <w:sz w:val="20"/>
        </w:rPr>
      </w:pPr>
      <w:r w:rsidRPr="00125962">
        <w:rPr>
          <w:sz w:val="20"/>
        </w:rPr>
        <w:t>Every photon of light must navigate the virtual particles it comes in contact with.  As a</w:t>
      </w:r>
      <w:r w:rsidRPr="00125962">
        <w:rPr>
          <w:color w:val="FF0000"/>
          <w:sz w:val="20"/>
        </w:rPr>
        <w:t xml:space="preserve"> </w:t>
      </w:r>
      <w:r w:rsidRPr="00125962">
        <w:rPr>
          <w:sz w:val="20"/>
        </w:rPr>
        <w:t>photon moves through the vacuum, it will be absorbed by virtual particles. But virtual particle pairs will recombine and annihilate extremely rapidly, releasing the photon to continue on its way. The more virtual particles a photon of light must navigate, the longer it takes to reach its final destination. Because of the extreme numbers of virtual particles, there will be huge numbers of photon/particle interactions even over very short distances.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a result, if the strength of the ZPE changes over time, there will be a corresponding and directly proportional change in the numbers of virtual particles in a given volume of space. If the ZPE strength increases,</w:t>
      </w:r>
      <w:r w:rsidRPr="00125962">
        <w:rPr>
          <w:color w:val="FF0000"/>
          <w:sz w:val="20"/>
        </w:rPr>
        <w:t xml:space="preserve"> </w:t>
      </w:r>
      <w:r w:rsidRPr="00125962">
        <w:rPr>
          <w:sz w:val="20"/>
        </w:rPr>
        <w:t>the vacuum will</w:t>
      </w:r>
      <w:r w:rsidRPr="00125962">
        <w:rPr>
          <w:color w:val="FF0000"/>
          <w:sz w:val="20"/>
        </w:rPr>
        <w:t xml:space="preserve"> </w:t>
      </w:r>
      <w:r w:rsidRPr="00125962">
        <w:rPr>
          <w:sz w:val="20"/>
        </w:rPr>
        <w:t xml:space="preserve">become “thicker” with virtual particles. The speed of light, </w:t>
      </w:r>
      <w:proofErr w:type="gramStart"/>
      <w:r w:rsidRPr="00125962">
        <w:rPr>
          <w:i/>
          <w:sz w:val="20"/>
        </w:rPr>
        <w:t>c</w:t>
      </w:r>
      <w:r w:rsidRPr="00125962">
        <w:rPr>
          <w:sz w:val="20"/>
        </w:rPr>
        <w:t>,</w:t>
      </w:r>
      <w:proofErr w:type="gramEnd"/>
      <w:r w:rsidRPr="00125962">
        <w:rPr>
          <w:sz w:val="20"/>
        </w:rPr>
        <w:t xml:space="preserve"> will therefore drop in inverse proportion. This is verified by the standard equation</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640" w:dyaOrig="520">
          <v:shape id="_x0000_i1323" type="#_x0000_t75" style="width:33.9pt;height:25.4pt" o:ole="">
            <v:imagedata r:id="rId1149" o:title=""/>
          </v:shape>
          <o:OLEObject Type="Embed" ProgID="Equation.DSMT4" ShapeID="_x0000_i1323" DrawAspect="Content" ObjectID="_1433920475" r:id="rId1150"/>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(2)</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When the results from Eq. (1) are combined with Eq. (2) then it can be seen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1180" w:dyaOrig="520">
          <v:shape id="_x0000_i1324" type="#_x0000_t75" style="width:59.3pt;height:25.4pt" o:ole="">
            <v:imagedata r:id="rId1151" o:title=""/>
          </v:shape>
          <o:OLEObject Type="Embed" ProgID="Equation.DSMT4" ShapeID="_x0000_i1324" DrawAspect="Content" ObjectID="_1433920476" r:id="rId1152"/>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(3)</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Pr>
          <w:sz w:val="20"/>
        </w:rPr>
        <w:t>This means that</w:t>
      </w:r>
      <w:r w:rsidRPr="00125962">
        <w:rPr>
          <w:sz w:val="20"/>
        </w:rPr>
        <w:t xml:space="preserve"> any change in the energy density (strength) of the ZPE will produce proportional changes in the permittivity, ε, and permeability, µ, of free space and an inversely proportional change in the speed of light, </w:t>
      </w:r>
      <w:r w:rsidRPr="00125962">
        <w:rPr>
          <w:i/>
          <w:sz w:val="20"/>
        </w:rPr>
        <w:t>c</w:t>
      </w:r>
      <w:r w:rsidRPr="00125962">
        <w:rPr>
          <w:sz w:val="20"/>
        </w:rPr>
        <w:t xml:space="preserve">. In addition, since Planck’s equations in his 1911 paper revealed that the constant, </w:t>
      </w:r>
      <w:r w:rsidRPr="00125962">
        <w:rPr>
          <w:i/>
          <w:sz w:val="20"/>
        </w:rPr>
        <w:t>h</w:t>
      </w:r>
      <w:r w:rsidRPr="00125962">
        <w:rPr>
          <w:sz w:val="20"/>
        </w:rPr>
        <w:t>, which is now known as Planck’s constant, was a measure of the strength of the ZPE, its value will also change in direct proportion to the changes in ZPE strength.</w:t>
      </w: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Behavior of the Z</w:t>
      </w:r>
      <w:r>
        <w:rPr>
          <w:rFonts w:ascii="Book Antiqua" w:hAnsi="Book Antiqua"/>
          <w:b/>
          <w:sz w:val="20"/>
        </w:rPr>
        <w:t xml:space="preserve">ero </w:t>
      </w:r>
      <w:r w:rsidRPr="00125962">
        <w:rPr>
          <w:rFonts w:ascii="Book Antiqua" w:hAnsi="Book Antiqua"/>
          <w:b/>
          <w:sz w:val="20"/>
        </w:rPr>
        <w:t>P</w:t>
      </w:r>
      <w:r>
        <w:rPr>
          <w:rFonts w:ascii="Book Antiqua" w:hAnsi="Book Antiqua"/>
          <w:b/>
          <w:sz w:val="20"/>
        </w:rPr>
        <w:t xml:space="preserve">oint </w:t>
      </w:r>
      <w:r w:rsidRPr="00125962">
        <w:rPr>
          <w:rFonts w:ascii="Book Antiqua" w:hAnsi="Book Antiqua"/>
          <w:b/>
          <w:sz w:val="20"/>
        </w:rPr>
        <w:t>E</w:t>
      </w:r>
      <w:r>
        <w:rPr>
          <w:rFonts w:ascii="Book Antiqua" w:hAnsi="Book Antiqua"/>
          <w:b/>
          <w:sz w:val="20"/>
        </w:rPr>
        <w:t>nergy</w:t>
      </w:r>
    </w:p>
    <w:p w:rsidR="00416D75" w:rsidRPr="003442EA"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3442EA">
        <w:rPr>
          <w:rFonts w:ascii="Book Antiqua" w:hAnsi="Book Antiqua" w:cs="Times New Roman"/>
          <w:b w:val="0"/>
          <w:sz w:val="20"/>
          <w:szCs w:val="20"/>
        </w:rPr>
        <w:t>Dynamics of the Universe</w:t>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r w:rsidRPr="003442EA">
        <w:rPr>
          <w:rFonts w:ascii="Book Antiqua" w:hAnsi="Book Antiqua" w:cs="Times New Roman"/>
          <w:b w:val="0"/>
          <w:sz w:val="20"/>
          <w:szCs w:val="20"/>
        </w:rPr>
        <w:tab/>
      </w:r>
    </w:p>
    <w:p w:rsidR="00416D75" w:rsidRPr="00125962" w:rsidRDefault="00416D75" w:rsidP="00416D75">
      <w:pPr>
        <w:pStyle w:val="NormPara"/>
        <w:ind w:firstLine="270"/>
        <w:rPr>
          <w:sz w:val="20"/>
        </w:rPr>
      </w:pPr>
    </w:p>
    <w:p w:rsidR="00416D75" w:rsidRDefault="00416D75" w:rsidP="00416D75">
      <w:pPr>
        <w:pStyle w:val="NormPara"/>
        <w:ind w:firstLine="187"/>
        <w:rPr>
          <w:sz w:val="20"/>
        </w:rPr>
      </w:pPr>
      <w:r w:rsidRPr="00125962">
        <w:rPr>
          <w:sz w:val="20"/>
        </w:rPr>
        <w:t xml:space="preserve">Although it is currently thought the universe is rapidly expanding, hydrogen cloud data indicate that the universe underwent initial expansion and then became static. As light passes through the hydrogen clouds, selective wavelengths </w:t>
      </w:r>
      <w:r w:rsidRPr="00125962">
        <w:rPr>
          <w:sz w:val="20"/>
        </w:rPr>
        <w:lastRenderedPageBreak/>
        <w:t>are absorbed and this produces a dark line on the spectrum. The dark line of importance here is called the Lyman Alpha line. As the light goes through an increasing number of hydrogen clouds on its journey, an increasing number of Lyman Alpha lines are built up in the spectrum. Since the clouds further away from our galaxy have greater redshifts, the position of the Lyman Alpha line on the color spectrum from an individual cloud will be dependent on distance and hence registered by its redshift. As a result of traveling great astronomical distances, light passing through these clouds will arrive at earth with a whole suite of lines. This is referred to as the 'Lyman Alpha forest.'</w:t>
      </w:r>
    </w:p>
    <w:p w:rsidR="00416D75" w:rsidRPr="00125962" w:rsidRDefault="00416D75" w:rsidP="00416D75">
      <w:pPr>
        <w:pStyle w:val="NormPara"/>
        <w:ind w:firstLine="720"/>
        <w:rPr>
          <w:sz w:val="20"/>
        </w:rPr>
      </w:pPr>
    </w:p>
    <w:p w:rsidR="00416D75" w:rsidRPr="00125962" w:rsidRDefault="00416D75" w:rsidP="00416D75">
      <w:pPr>
        <w:pStyle w:val="NormPara"/>
        <w:ind w:firstLine="187"/>
        <w:rPr>
          <w:sz w:val="20"/>
        </w:rPr>
      </w:pPr>
      <w:r w:rsidRPr="00125962">
        <w:rPr>
          <w:sz w:val="20"/>
        </w:rPr>
        <w:t>Analysis indicates that, if the universe is expanding, the average distance between the hydrogen clouds should be increasing as we come forward in time, and so nearer to our own galaxy. This means that as we look back into the past, and hence to greater redshifts, the clouds should get closer together. If the universe is static, the average distance apart of the clouds should remain fixed. A detailed study of this matter has been performed by Lyndon Ashmore. [5] The Abstract to one of his papers contains these conclusions:</w:t>
      </w:r>
    </w:p>
    <w:p w:rsidR="00416D75" w:rsidRPr="00125962" w:rsidRDefault="00416D75" w:rsidP="00416D75">
      <w:pPr>
        <w:pStyle w:val="NormPara"/>
        <w:spacing w:before="80" w:after="80"/>
        <w:ind w:firstLine="187"/>
        <w:rPr>
          <w:sz w:val="20"/>
        </w:rPr>
      </w:pPr>
      <w:r w:rsidRPr="00125962">
        <w:rPr>
          <w:i/>
          <w:sz w:val="20"/>
        </w:rPr>
        <w:t>"This paper examines the Lyman Alpha forest in order to determine the average temperature and the average separation of Hydrogen clouds over the aging of the universe. A review of the literature shows that the clouds did once become further and further apart (showing expansion?) but are now evenly spaced (an indication of a static universe?). ... Whilst these results do not support any cosmology individually, they do support one where the universe expanded in the past but that expansion has now been arrested and the universe is now static"</w:t>
      </w:r>
      <w:r w:rsidRPr="00125962">
        <w:rPr>
          <w:sz w:val="20"/>
        </w:rPr>
        <w:t>[6].</w:t>
      </w:r>
    </w:p>
    <w:p w:rsidR="00416D75" w:rsidRPr="00125962" w:rsidRDefault="00416D75" w:rsidP="00416D75">
      <w:pPr>
        <w:pStyle w:val="NormPara"/>
        <w:spacing w:before="80" w:after="80"/>
        <w:ind w:left="274" w:firstLine="187"/>
        <w:rPr>
          <w:sz w:val="20"/>
        </w:rPr>
      </w:pPr>
    </w:p>
    <w:p w:rsidR="00416D75" w:rsidRPr="00125962" w:rsidRDefault="00416D75" w:rsidP="00416D75">
      <w:pPr>
        <w:pStyle w:val="NormPara"/>
        <w:ind w:firstLine="720"/>
        <w:rPr>
          <w:sz w:val="20"/>
        </w:rPr>
      </w:pPr>
      <w:r w:rsidRPr="00125962">
        <w:rPr>
          <w:sz w:val="20"/>
        </w:rPr>
        <w:t>So when did the universe stop expanding?  The data reveal that expansion occurred from the origin of the cosmos up until a time corresponding to a redshift of z = 2.6. From then down to a time corresponding to z = 1.6 the expansion ceased and the cosmos has been static from z = 1.6 down to the present. Narlikar and Arp established in 1993 that a static cosmos would be stable against collapse if it had matter in it and was undergoing slight oscillations. The model adopted here agrees with these data and concepts.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Cosmic Expansion and Planck Scale Effects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is generally accepted that the Planck length of 10</w:t>
      </w:r>
      <w:r w:rsidRPr="00125962">
        <w:rPr>
          <w:sz w:val="20"/>
          <w:vertAlign w:val="superscript"/>
        </w:rPr>
        <w:t>-35</w:t>
      </w:r>
      <w:r w:rsidRPr="00125962">
        <w:rPr>
          <w:sz w:val="20"/>
        </w:rPr>
        <w:t xml:space="preserve"> meters is the length at which the 'fabric' of the vacuum breaks down and space assumes a granular structure. The initial expansion or stretching of the fabric of space would have resulted in a tension or stress or force manifesting at the Planck scale. In other words, energy was being invested into the fabric at its most basic level. Evidence also indicates that extremely high initial temperatures were involved as expansion began.</w:t>
      </w:r>
    </w:p>
    <w:p w:rsidR="00416D75" w:rsidRPr="00125962" w:rsidRDefault="00416D75" w:rsidP="00416D75">
      <w:pPr>
        <w:pStyle w:val="NormPara"/>
        <w:ind w:firstLine="720"/>
        <w:rPr>
          <w:sz w:val="20"/>
        </w:rPr>
      </w:pPr>
    </w:p>
    <w:p w:rsidR="00416D75" w:rsidRPr="00125962" w:rsidRDefault="00416D75" w:rsidP="00416D75">
      <w:pPr>
        <w:pStyle w:val="NormPara"/>
        <w:ind w:firstLine="270"/>
        <w:rPr>
          <w:sz w:val="20"/>
        </w:rPr>
      </w:pPr>
      <w:r w:rsidRPr="00125962">
        <w:rPr>
          <w:sz w:val="20"/>
        </w:rPr>
        <w:t xml:space="preserve"> </w:t>
      </w:r>
      <w:r w:rsidRPr="00125962">
        <w:rPr>
          <w:sz w:val="20"/>
        </w:rPr>
        <w:tab/>
        <w:t xml:space="preserve">Parallel conditions in high energy physics laboratories result in the production particle-antiparticle pairs. The process involves conversion of inherent energy into mass on the basis of </w:t>
      </w:r>
      <w:r w:rsidRPr="000448B1">
        <w:rPr>
          <w:i/>
          <w:sz w:val="20"/>
        </w:rPr>
        <w:t>E = mc</w:t>
      </w:r>
      <w:r w:rsidRPr="000448B1">
        <w:rPr>
          <w:i/>
          <w:sz w:val="20"/>
          <w:vertAlign w:val="superscript"/>
        </w:rPr>
        <w:t>2</w:t>
      </w:r>
      <w:r w:rsidRPr="00125962">
        <w:rPr>
          <w:sz w:val="20"/>
        </w:rPr>
        <w:t>. Thus the enormous tensional energy in the fabric of space that was being generated by the expansion, coupled with the extremely high temperature, would similarly have resulted in the formation of particle-antiparticle pairs. These positively and negatively charged particle pairs manifesting at the Planck scale would maintain the electrical neutrality of the vacuum.</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 C.H. Gibson [7] as well as Hoyle, Burbidge and Narlikar [8], have shown that processes initially operating at Planck scales would result in the formation of cascades of pairs of Planck particles. These particles have the unique property that their diameter is the same as both the Planck length and their own Compton wavelength. They are thus specifically a Planck scale phenomenon. As a result, the enormous tensional energy and extreme temperatures at the Planck scale would be expected to produce cascades of Planck particle pairs (PPP).</w:t>
      </w:r>
    </w:p>
    <w:p w:rsidR="00416D75" w:rsidRPr="00125962" w:rsidRDefault="00416D75" w:rsidP="00416D75">
      <w:pPr>
        <w:pStyle w:val="NormPara"/>
        <w:ind w:firstLine="720"/>
        <w:rPr>
          <w:sz w:val="20"/>
        </w:rPr>
      </w:pPr>
    </w:p>
    <w:p w:rsidR="00416D75" w:rsidRPr="00125962" w:rsidRDefault="00416D75" w:rsidP="00416D75">
      <w:pPr>
        <w:pStyle w:val="NormPara"/>
        <w:ind w:firstLine="270"/>
        <w:rPr>
          <w:sz w:val="20"/>
        </w:rPr>
      </w:pPr>
      <w:r w:rsidRPr="00125962">
        <w:rPr>
          <w:sz w:val="20"/>
        </w:rPr>
        <w:t xml:space="preserve"> </w:t>
      </w:r>
      <w:r w:rsidRPr="00125962">
        <w:rPr>
          <w:sz w:val="20"/>
        </w:rPr>
        <w:tab/>
        <w:t xml:space="preserve">Gibson notes that if a Planck Particle Pair becomes misaligned as they collapse, they form a Planck-Kerr particle (P-KP). Gibson states that </w:t>
      </w:r>
      <w:r w:rsidRPr="00125962">
        <w:rPr>
          <w:i/>
          <w:sz w:val="20"/>
        </w:rPr>
        <w:t>"a truly explosive result can occur [when] a Planck-Kerr particle forms, since one of these can trigger a big bang turbulence cascade [of Planck particle pairs]."</w:t>
      </w:r>
      <w:r w:rsidRPr="00125962">
        <w:rPr>
          <w:sz w:val="20"/>
        </w:rPr>
        <w:t xml:space="preserve"> [7] Hoyle, Burbidge and Narlikar have a different proposal which, however, has essentially the same result [8]. The same outcome is that the extreme temperatures and the enormous expansion energy provided an environment at the Planck scale in which energy was irreversibly converted to matter as a turbulent cascade of PPP and/or P-KP.</w:t>
      </w: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Origin of the Zero Point Energy</w:t>
      </w:r>
    </w:p>
    <w:p w:rsidR="00416D75" w:rsidRPr="000448B1"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Gibson, Hoyle and others have shown that, as a result of these processes, there would have been extreme turbulent vortices and separation among the PPP and P-KP. Gibson's analysis revealed that PPP and P-KP numbers would continue to increase until all turbulence had died away. He showed that such systems are characteristically inelastic, while Bizon established that inelastic systems have stronger vortices and longer persistence times [9].</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Given this system, the separation of electric charges among the particle pairs would produce electric fields, while their turbulent movement would produce magnetic fields. In addition, P-KP </w:t>
      </w:r>
      <w:proofErr w:type="gramStart"/>
      <w:r w:rsidRPr="00125962">
        <w:rPr>
          <w:sz w:val="20"/>
        </w:rPr>
        <w:t>radiate</w:t>
      </w:r>
      <w:proofErr w:type="gramEnd"/>
      <w:r w:rsidRPr="00125962">
        <w:rPr>
          <w:sz w:val="20"/>
        </w:rPr>
        <w:t xml:space="preserve"> electromagnetic energy into their turbulent environment. This is the origin of the initial electro-magnetic fields of the ZPE.</w:t>
      </w:r>
    </w:p>
    <w:p w:rsidR="00416D75" w:rsidRPr="00125962" w:rsidRDefault="00416D75" w:rsidP="00416D75">
      <w:pPr>
        <w:pStyle w:val="NormPara"/>
        <w:ind w:firstLine="720"/>
        <w:rPr>
          <w:sz w:val="20"/>
        </w:rPr>
      </w:pPr>
      <w:r w:rsidRPr="00125962">
        <w:rPr>
          <w:sz w:val="20"/>
        </w:rPr>
        <w:tab/>
      </w:r>
    </w:p>
    <w:p w:rsidR="00416D75" w:rsidRPr="00125962" w:rsidRDefault="00416D75" w:rsidP="00416D75">
      <w:pPr>
        <w:pStyle w:val="NormPara"/>
        <w:ind w:firstLine="720"/>
        <w:rPr>
          <w:sz w:val="20"/>
        </w:rPr>
      </w:pPr>
      <w:r w:rsidRPr="00125962">
        <w:rPr>
          <w:sz w:val="20"/>
        </w:rPr>
        <w:t xml:space="preserve">After the universal expansion ceased, vortices and turbulence would persist until all the turbulent energy had been converted to PPP, as explained in detail by Gibson [7]. Because of the inelasticity and size of the system, the persistence and decay phases of turbulence may be expected to have lasted a long time. During this time the ZPE strength would continue to build because the Planck Particle Pair numbers </w:t>
      </w:r>
      <w:r w:rsidRPr="00575422">
        <w:rPr>
          <w:sz w:val="20"/>
        </w:rPr>
        <w:t xml:space="preserve">would </w:t>
      </w:r>
      <w:r>
        <w:rPr>
          <w:sz w:val="20"/>
        </w:rPr>
        <w:t xml:space="preserve">also </w:t>
      </w:r>
      <w:r w:rsidRPr="00575422">
        <w:rPr>
          <w:sz w:val="20"/>
        </w:rPr>
        <w:t>continue building</w:t>
      </w:r>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Because PPP are both positively and negatively charged, they would continue recombining after expansion and all turbulence had ceased.  Their recombination </w:t>
      </w:r>
      <w:r w:rsidRPr="00575422">
        <w:rPr>
          <w:sz w:val="20"/>
        </w:rPr>
        <w:t>result</w:t>
      </w:r>
      <w:r>
        <w:rPr>
          <w:sz w:val="20"/>
        </w:rPr>
        <w:t>ed</w:t>
      </w:r>
      <w:r w:rsidRPr="00125962">
        <w:rPr>
          <w:sz w:val="20"/>
        </w:rPr>
        <w:t xml:space="preserve"> in their annihilation, releasing their combined energy as electromagnetic radiation.</w:t>
      </w:r>
      <w:r>
        <w:rPr>
          <w:sz w:val="20"/>
        </w:rPr>
        <w:t xml:space="preserve"> (</w:t>
      </w:r>
      <w:r w:rsidRPr="00575422">
        <w:rPr>
          <w:sz w:val="20"/>
        </w:rPr>
        <w:t>A similar process occurs when electron/positron pairs annihilate.</w:t>
      </w:r>
      <w:r>
        <w:rPr>
          <w:sz w:val="20"/>
        </w:rPr>
        <w: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575422">
        <w:rPr>
          <w:sz w:val="20"/>
        </w:rPr>
        <w:t>Thus</w:t>
      </w:r>
      <w:r w:rsidRPr="00125962">
        <w:rPr>
          <w:sz w:val="20"/>
        </w:rPr>
        <w:t xml:space="preserve"> the electromagnetic fields and waves of the ZPE would continue to build up after the decay in turbulence until all PPP had recombined. Puthoff and other authors have shown that the ZPE strength is then maintained by a feedback cycle [10]. Nevertheless, an ongoing oscillation will occur in the strength of the ZPE because of the oscillation in the size of a static universe, as outlined by Narlikar and Arp in [11].</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Quantum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1962 Louis de Broglie published a book, </w:t>
      </w:r>
      <w:r w:rsidRPr="000448B1">
        <w:rPr>
          <w:i/>
          <w:sz w:val="20"/>
        </w:rPr>
        <w:t>New Perspectives in Physics</w:t>
      </w:r>
      <w:r w:rsidRPr="00125962">
        <w:rPr>
          <w:sz w:val="20"/>
        </w:rPr>
        <w:t xml:space="preserve"> [12]. In this book he pointed out that serious consideration of Planck’s second theory (1911) had been widespread until around 1930. Planck’s 1911 approach had embraced classical theory plus a </w:t>
      </w:r>
      <w:r w:rsidRPr="00575422">
        <w:rPr>
          <w:sz w:val="20"/>
        </w:rPr>
        <w:t>real</w:t>
      </w:r>
      <w:r>
        <w:rPr>
          <w:color w:val="FF0000"/>
          <w:sz w:val="20"/>
        </w:rPr>
        <w:t xml:space="preserve"> </w:t>
      </w:r>
      <w:r w:rsidRPr="00125962">
        <w:rPr>
          <w:sz w:val="20"/>
        </w:rPr>
        <w:t>intrinsic cosmological ZPE. De Broglie’s book initiated a re-examination of this approach since it showed that quantum processes actually had viable explanations in terms of classical physics, as long as the real Zero Point Energy was included.</w:t>
      </w:r>
    </w:p>
    <w:p w:rsidR="00416D75" w:rsidRPr="00125962" w:rsidRDefault="00416D75" w:rsidP="00416D75">
      <w:pPr>
        <w:pStyle w:val="NormPara"/>
        <w:ind w:firstLine="720"/>
        <w:rPr>
          <w:sz w:val="20"/>
        </w:rPr>
      </w:pPr>
    </w:p>
    <w:p w:rsidR="00416D75" w:rsidRPr="00125962" w:rsidRDefault="00416D75" w:rsidP="00416D75">
      <w:pPr>
        <w:pStyle w:val="NormPara"/>
        <w:ind w:firstLine="461"/>
        <w:rPr>
          <w:sz w:val="20"/>
        </w:rPr>
      </w:pPr>
      <w:r w:rsidRPr="00125962">
        <w:rPr>
          <w:sz w:val="20"/>
        </w:rPr>
        <w:t xml:space="preserve">As a result, Edward Nelson published a landmark paper in 1966. The abstract states in part: </w:t>
      </w:r>
      <w:r w:rsidRPr="00125962">
        <w:rPr>
          <w:i/>
          <w:sz w:val="20"/>
        </w:rPr>
        <w:t>“We shall attempt to show in this paper that the radical departure from classical physics produced by the introduction of quantum mechanics 40 years ago was unnecessary. An entirely classical derivation and interpretation of the Schrödinger equation will be given, following a line of thought which is a natural development of reasoning used in statistical mechanics and in the theory of Brownian motion”</w:t>
      </w:r>
      <w:r w:rsidRPr="00125962">
        <w:rPr>
          <w:sz w:val="20"/>
        </w:rPr>
        <w:t xml:space="preserve"> [13].</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By “Brownian motion,” he was referring indirectly the effects of the ZPE.  His derivation of the Schrödinger equation using statistical mechanics gave an alternative to the esoteric view of quantum mechanics (called the Copenhagen interpretation) -- an alternative rooted in classical physics and the reality of the ZPE.</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With this impetus, Boyer, in 1975, used classical physics plus the ZPE to demonstrate that the fluctuations caused by the Zero-Point Fields (ZPF) on the positions of particles are in exact agreement with quantum theory and Heisenberg’s Uncertainty Principle (HUP) [14]. In this approach, the HUP is not merely the result of theoretical quantum laws. Instead, it is due to the continual battering of sub-atomic particles, as well as the atoms themselves, by the impacting waves of the ZPE. This continual ‘jiggling’ at speeds close to the speed of light means it is virtually impossible to pinpoint both the </w:t>
      </w:r>
      <w:r w:rsidRPr="00125962">
        <w:rPr>
          <w:sz w:val="20"/>
        </w:rPr>
        <w:lastRenderedPageBreak/>
        <w:t>position and momentum of a subatomic particle at any given instant in time.  Instead of merely being a theoretical concept, the ZPE provides a physical reason for this indeterminate position and momentum. In this way, classical physics using the ZPE, offers explanations rooted in reality which quantum mechanics can only attempt to deal with in terms of theoretical laws.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De Broglie’s 1924 proposal that matter could behave in a wave-like manner was also examined.  These wave-like characteristics of electrons were shown to exist in 1927 by Clinton Davisson and Lester Germer [15]. In looking at this, de Broglie himself had felt that the Compton frequency of an electron or parton was an intrinsic oscillation of the charge.  If he had then identified the ZPE as the source of the oscillation, he would have been on his way to a solution.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Haisch and Rueda point out that the electron really does oscillate at the Compton frequency, when in its own rest frame, due to the ZPE. They note </w:t>
      </w:r>
      <w:r w:rsidRPr="00125962">
        <w:rPr>
          <w:i/>
          <w:iCs/>
          <w:sz w:val="20"/>
        </w:rPr>
        <w:t xml:space="preserve">“… when you view the electron from a moving frame there is a beat frequency superimposed on this oscillation due to the Doppler shift. It turns out that this beat frequency proves to be exactly the de Broglie wavelength of a moving electron. … </w:t>
      </w:r>
      <w:proofErr w:type="gramStart"/>
      <w:r w:rsidRPr="00125962">
        <w:rPr>
          <w:i/>
          <w:iCs/>
          <w:sz w:val="20"/>
        </w:rPr>
        <w:t>the</w:t>
      </w:r>
      <w:proofErr w:type="gramEnd"/>
      <w:r w:rsidRPr="00125962">
        <w:rPr>
          <w:i/>
          <w:iCs/>
          <w:sz w:val="20"/>
        </w:rPr>
        <w:t xml:space="preserve"> ZPF drives the electron to undergo some kind of oscillation at the Compton frequency… and this is where and how the de Broglie wavelength originates due to Doppler shifts.” </w:t>
      </w:r>
      <w:r w:rsidRPr="00125962">
        <w:rPr>
          <w:sz w:val="20"/>
        </w:rPr>
        <w:t>[16] Thus the Compton frequency is due to the ZPE-imposed oscillation of the particle at rest. The de Broglie wavelength results from both the motion of the particle and the oscillation, appearing as a "beat" phenomenon.</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 xml:space="preserve">This approach, using classical physics plus a real ZPE, is now called Stochastic Electro-Dynamics (SED). This contrasts to the more commonly used Quantum Electro-Dynamics (QED). SED physics has been able to derive and explain the black-body spectrum, Heisenberg’s Principle, the Schrödinger equation, and the wave-nature of sub-atomic matter. These were the exact factors that, interpreted without the ZPE, gave rise to QED physics. </w:t>
      </w:r>
      <w:r w:rsidRPr="00575422">
        <w:rPr>
          <w:sz w:val="20"/>
        </w:rPr>
        <w:t>So it is possible that</w:t>
      </w:r>
      <w:r>
        <w:rPr>
          <w:sz w:val="20"/>
        </w:rPr>
        <w:t xml:space="preserve"> de Broglie was correct, and</w:t>
      </w:r>
      <w:r w:rsidRPr="00125962">
        <w:rPr>
          <w:sz w:val="20"/>
        </w:rPr>
        <w:t xml:space="preserve"> physics took a wrong turn in the </w:t>
      </w:r>
      <w:proofErr w:type="gramStart"/>
      <w:r w:rsidRPr="00125962">
        <w:rPr>
          <w:sz w:val="20"/>
        </w:rPr>
        <w:t>mid-1920’s</w:t>
      </w:r>
      <w:proofErr w:type="gramEnd"/>
      <w:r w:rsidRPr="00125962">
        <w:rPr>
          <w:sz w:val="20"/>
        </w:rPr>
        <w: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Planck’s Constant, and Light Speed</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ZPE and </w:t>
      </w:r>
      <w:proofErr w:type="gramStart"/>
      <w:r w:rsidRPr="00125962">
        <w:rPr>
          <w:rFonts w:ascii="Book Antiqua" w:hAnsi="Book Antiqua" w:cs="Times New Roman"/>
          <w:b w:val="0"/>
          <w:sz w:val="20"/>
          <w:szCs w:val="20"/>
        </w:rPr>
        <w:t>Planck’s Constant</w:t>
      </w:r>
      <w:proofErr w:type="gramEnd"/>
      <w:r w:rsidRPr="00125962">
        <w:rPr>
          <w:rFonts w:ascii="Book Antiqua" w:hAnsi="Book Antiqua" w:cs="Times New Roman"/>
          <w:b w:val="0"/>
          <w:sz w:val="20"/>
          <w:szCs w:val="20"/>
        </w:rPr>
        <w:t>, h</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In his 1911 paper, Planck had demonstrated the existence of the ZPE [1].  His equation for the radiant energy density, </w:t>
      </w:r>
      <w:r w:rsidRPr="00125962">
        <w:rPr>
          <w:i/>
          <w:iCs/>
          <w:sz w:val="20"/>
        </w:rPr>
        <w:t>ρ</w:t>
      </w:r>
      <w:r w:rsidRPr="00125962">
        <w:rPr>
          <w:sz w:val="20"/>
        </w:rPr>
        <w:t xml:space="preserve">, of a black body had a temperature-dependent term, just as he had derived in his 1901 paper. However, it had an additional </w:t>
      </w:r>
      <w:r w:rsidRPr="00125962">
        <w:rPr>
          <w:position w:val="-10"/>
          <w:sz w:val="20"/>
        </w:rPr>
        <w:object w:dxaOrig="440" w:dyaOrig="280">
          <v:shape id="_x0000_i1325" type="#_x0000_t75" style="width:21.8pt;height:14.5pt" o:ole="">
            <v:imagedata r:id="rId1153" o:title=""/>
          </v:shape>
          <o:OLEObject Type="Embed" ProgID="Equation.DSMT4" ShapeID="_x0000_i1325" DrawAspect="Content" ObjectID="_1433920477" r:id="rId1154"/>
        </w:object>
      </w:r>
      <w:r w:rsidRPr="00125962">
        <w:rPr>
          <w:i/>
          <w:iCs/>
          <w:sz w:val="20"/>
        </w:rPr>
        <w:t xml:space="preserve"> </w:t>
      </w:r>
      <w:r w:rsidRPr="00125962">
        <w:rPr>
          <w:sz w:val="20"/>
        </w:rPr>
        <w:t>term that was independent of temperature as in Eq. (4). This indicated a uniform, isotropic background radiation existed.</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i/>
          <w:sz w:val="20"/>
        </w:rPr>
      </w:pPr>
      <w:r w:rsidRPr="00125962">
        <w:rPr>
          <w:iCs/>
          <w:sz w:val="20"/>
        </w:rPr>
        <w:tab/>
      </w:r>
      <w:r w:rsidRPr="00125962">
        <w:rPr>
          <w:iCs/>
          <w:position w:val="-24"/>
          <w:sz w:val="20"/>
        </w:rPr>
        <w:object w:dxaOrig="3000" w:dyaOrig="600">
          <v:shape id="_x0000_i1326" type="#_x0000_t75" style="width:149.45pt;height:30.25pt" o:ole="">
            <v:imagedata r:id="rId47" o:title=""/>
          </v:shape>
          <o:OLEObject Type="Embed" ProgID="Equation.DSMT4" ShapeID="_x0000_i1326" DrawAspect="Content" ObjectID="_1433920478" r:id="rId1155"/>
        </w:objec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(4)</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r w:rsidRPr="00125962">
        <w:rPr>
          <w:sz w:val="20"/>
        </w:rPr>
        <w:t xml:space="preserve">Here, </w:t>
      </w:r>
      <m:oMath>
        <m:r>
          <w:rPr>
            <w:rFonts w:ascii="Cambria Math" w:hAnsi="Cambria Math"/>
            <w:sz w:val="20"/>
          </w:rPr>
          <m:t>f</m:t>
        </m:r>
      </m:oMath>
      <w:r w:rsidRPr="00125962">
        <w:rPr>
          <w:sz w:val="20"/>
        </w:rPr>
        <w:t xml:space="preserve"> is radiation frequency, </w:t>
      </w:r>
      <m:oMath>
        <m:r>
          <w:rPr>
            <w:rFonts w:ascii="Cambria Math" w:hAnsi="Cambria Math"/>
            <w:sz w:val="20"/>
          </w:rPr>
          <m:t>c</m:t>
        </m:r>
      </m:oMath>
      <w:r w:rsidRPr="00125962">
        <w:rPr>
          <w:i/>
          <w:iCs/>
          <w:sz w:val="20"/>
        </w:rPr>
        <w:t xml:space="preserve"> </w:t>
      </w:r>
      <w:r w:rsidRPr="00125962">
        <w:rPr>
          <w:sz w:val="20"/>
        </w:rPr>
        <w:t xml:space="preserve">is light-speed, and </w:t>
      </w:r>
      <m:oMath>
        <m:r>
          <w:rPr>
            <w:rFonts w:ascii="Cambria Math" w:hAnsi="Cambria Math"/>
            <w:sz w:val="20"/>
          </w:rPr>
          <m:t>k</m:t>
        </m:r>
      </m:oMath>
      <w:r w:rsidRPr="00125962">
        <w:rPr>
          <w:i/>
          <w:iCs/>
          <w:sz w:val="20"/>
        </w:rPr>
        <w:t xml:space="preserve"> </w:t>
      </w:r>
      <w:r w:rsidRPr="00125962">
        <w:rPr>
          <w:sz w:val="20"/>
        </w:rPr>
        <w:t xml:space="preserve">is Boltzmann’s constant. If the temperature, </w:t>
      </w:r>
      <w:r w:rsidRPr="00125962">
        <w:rPr>
          <w:i/>
          <w:iCs/>
          <w:sz w:val="20"/>
        </w:rPr>
        <w:t>T</w:t>
      </w:r>
      <w:r w:rsidRPr="00125962">
        <w:rPr>
          <w:sz w:val="20"/>
        </w:rPr>
        <w:t>, in (4) drops to zero, we are still left with the Zero Point term</w:t>
      </w:r>
      <w:proofErr w:type="gramStart"/>
      <w:r w:rsidRPr="00125962">
        <w:rPr>
          <w:sz w:val="20"/>
        </w:rPr>
        <w:t xml:space="preserve">, </w:t>
      </w:r>
      <w:proofErr w:type="gramEnd"/>
      <w:r w:rsidRPr="00125962">
        <w:rPr>
          <w:position w:val="-10"/>
          <w:sz w:val="20"/>
        </w:rPr>
        <w:object w:dxaOrig="440" w:dyaOrig="280">
          <v:shape id="_x0000_i1327" type="#_x0000_t75" style="width:21.8pt;height:14.5pt" o:ole="">
            <v:imagedata r:id="rId1153" o:title=""/>
          </v:shape>
          <o:OLEObject Type="Embed" ProgID="Equation.DSMT4" ShapeID="_x0000_i1327" DrawAspect="Content" ObjectID="_1433920479" r:id="rId1156"/>
        </w:object>
      </w:r>
      <w:r w:rsidRPr="00125962">
        <w:rPr>
          <w:sz w:val="20"/>
        </w:rPr>
        <w:t xml:space="preserve">, in the final set of square brackets.  Since </w:t>
      </w:r>
      <m:oMath>
        <m:r>
          <w:rPr>
            <w:rFonts w:ascii="Cambria Math" w:hAnsi="Cambria Math"/>
            <w:sz w:val="20"/>
          </w:rPr>
          <m:t>T</m:t>
        </m:r>
      </m:oMath>
      <w:r w:rsidRPr="00125962">
        <w:rPr>
          <w:sz w:val="20"/>
        </w:rPr>
        <w:t xml:space="preserve"> does not occur in that final set of terms, that means they are temperature independent.  Planck’s constant</w:t>
      </w:r>
      <w:proofErr w:type="gramStart"/>
      <w:r w:rsidRPr="00125962">
        <w:rPr>
          <w:sz w:val="20"/>
        </w:rPr>
        <w:t xml:space="preserve">, </w:t>
      </w:r>
      <m:oMath>
        <w:proofErr w:type="gramEnd"/>
        <m:r>
          <w:rPr>
            <w:rFonts w:ascii="Cambria Math" w:hAnsi="Cambria Math"/>
            <w:sz w:val="20"/>
          </w:rPr>
          <m:t>h</m:t>
        </m:r>
      </m:oMath>
      <w:r w:rsidRPr="00125962">
        <w:rPr>
          <w:sz w:val="20"/>
        </w:rPr>
        <w:t xml:space="preserve">, only appears in the Zero Point term as a scale factor to align theory with experiment; no quantum interpretation is needed. Being a scale factor means that if the ZPE strength was greater, then the value of </w:t>
      </w:r>
      <m:oMath>
        <m:r>
          <w:rPr>
            <w:rFonts w:hAnsi="Cambria Math"/>
            <w:sz w:val="20"/>
          </w:rPr>
          <m:t>h</m:t>
        </m:r>
      </m:oMath>
      <w:r w:rsidRPr="00125962">
        <w:rPr>
          <w:sz w:val="20"/>
        </w:rPr>
        <w:t xml:space="preserve"> would be correspondingly larger. This means </w:t>
      </w:r>
      <m:oMath>
        <m:r>
          <w:rPr>
            <w:rFonts w:hAnsi="Cambria Math"/>
            <w:sz w:val="20"/>
          </w:rPr>
          <m:t>h</m:t>
        </m:r>
      </m:oMath>
      <w:r w:rsidRPr="00125962">
        <w:rPr>
          <w:i/>
          <w:iCs/>
          <w:sz w:val="20"/>
        </w:rPr>
        <w:t xml:space="preserve"> </w:t>
      </w:r>
      <w:r w:rsidRPr="00125962">
        <w:rPr>
          <w:sz w:val="20"/>
        </w:rPr>
        <w:t>turns out to be a measure of the strength of the ZPE. From (4), the energy density</w:t>
      </w:r>
      <w:proofErr w:type="gramStart"/>
      <w:r w:rsidRPr="00125962">
        <w:rPr>
          <w:sz w:val="20"/>
        </w:rPr>
        <w:t xml:space="preserve">, </w:t>
      </w:r>
      <m:oMath>
        <w:proofErr w:type="gramEnd"/>
        <m:r>
          <w:rPr>
            <w:rFonts w:ascii="Cambria Math" w:hAnsi="Cambria Math"/>
            <w:sz w:val="20"/>
          </w:rPr>
          <m:t>U</m:t>
        </m:r>
      </m:oMath>
      <w:r w:rsidRPr="00125962">
        <w:rPr>
          <w:sz w:val="20"/>
        </w:rPr>
        <w:t xml:space="preserve">, of the ZPE is then given by multiplying </w:t>
      </w:r>
      <m:oMath>
        <m:r>
          <w:rPr>
            <w:rFonts w:hAnsi="Cambria Math"/>
            <w:sz w:val="20"/>
          </w:rPr>
          <m:t>h</m:t>
        </m:r>
        <m:r>
          <w:rPr>
            <w:rFonts w:ascii="Cambria Math" w:hAnsi="Cambria Math"/>
            <w:sz w:val="20"/>
          </w:rPr>
          <m:t>f</m:t>
        </m:r>
        <m:r>
          <w:rPr>
            <w:rFonts w:ascii="Cambria Math"/>
            <w:sz w:val="20"/>
          </w:rPr>
          <m:t>/2</m:t>
        </m:r>
      </m:oMath>
      <w:r w:rsidRPr="00125962">
        <w:rPr>
          <w:sz w:val="20"/>
        </w:rPr>
        <w:t xml:space="preserve"> by the expression in the first set of square brackets, so that</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2"/>
          <w:sz w:val="20"/>
        </w:rPr>
        <w:object w:dxaOrig="1579" w:dyaOrig="580">
          <v:shape id="_x0000_i1328" type="#_x0000_t75" style="width:78.65pt;height:29.65pt" o:ole="">
            <v:imagedata r:id="rId49" o:title=""/>
          </v:shape>
          <o:OLEObject Type="Embed" ProgID="Equation.DSMT4" ShapeID="_x0000_i1328" DrawAspect="Content" ObjectID="_1433920480" r:id="rId115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(5)</w:t>
      </w:r>
    </w:p>
    <w:p w:rsidR="00416D75" w:rsidRPr="00125962" w:rsidRDefault="00416D75" w:rsidP="00416D75">
      <w:pPr>
        <w:pStyle w:val="NoSpacing"/>
        <w:spacing w:line="240" w:lineRule="atLeast"/>
        <w:jc w:val="both"/>
        <w:rPr>
          <w:rFonts w:ascii="Book Antiqua" w:hAnsi="Book Antiqua"/>
          <w:sz w:val="20"/>
        </w:rPr>
      </w:pPr>
    </w:p>
    <w:p w:rsidR="00416D75" w:rsidRPr="00125962" w:rsidRDefault="00416D75" w:rsidP="00416D75">
      <w:pPr>
        <w:pStyle w:val="NoSpacing"/>
        <w:spacing w:line="240" w:lineRule="atLeast"/>
        <w:jc w:val="both"/>
        <w:rPr>
          <w:rFonts w:ascii="Book Antiqua" w:hAnsi="Book Antiqua"/>
          <w:sz w:val="20"/>
        </w:rPr>
      </w:pPr>
      <w:r w:rsidRPr="00125962">
        <w:rPr>
          <w:rFonts w:ascii="Book Antiqua" w:hAnsi="Book Antiqua"/>
          <w:sz w:val="20"/>
        </w:rPr>
        <w:lastRenderedPageBreak/>
        <w:t>Therefore, if the ZPE strength</w:t>
      </w:r>
      <w:proofErr w:type="gramStart"/>
      <w:r w:rsidRPr="00125962">
        <w:rPr>
          <w:rFonts w:ascii="Book Antiqua" w:hAnsi="Book Antiqua"/>
          <w:sz w:val="20"/>
        </w:rPr>
        <w:t xml:space="preserve">, </w:t>
      </w:r>
      <m:oMath>
        <w:proofErr w:type="gramEnd"/>
        <m:r>
          <w:rPr>
            <w:rFonts w:ascii="Cambria Math" w:hAnsi="Cambria Math"/>
            <w:sz w:val="20"/>
          </w:rPr>
          <m:t>U</m:t>
        </m:r>
      </m:oMath>
      <w:r w:rsidRPr="00125962">
        <w:rPr>
          <w:rFonts w:ascii="Book Antiqua" w:hAnsi="Book Antiqua"/>
          <w:sz w:val="20"/>
        </w:rPr>
        <w:t>, increases,</w:t>
      </w:r>
      <w:r w:rsidRPr="00125962">
        <w:rPr>
          <w:rFonts w:ascii="Book Antiqua" w:hAnsi="Book Antiqua"/>
          <w:i/>
          <w:sz w:val="20"/>
        </w:rPr>
        <w:t xml:space="preserve"> </w:t>
      </w:r>
      <m:oMath>
        <m:r>
          <w:rPr>
            <w:rFonts w:ascii="Cambria Math" w:hAnsi="Cambria Math"/>
            <w:sz w:val="20"/>
          </w:rPr>
          <m:t>h</m:t>
        </m:r>
      </m:oMath>
      <w:r w:rsidRPr="00125962">
        <w:rPr>
          <w:rFonts w:ascii="Book Antiqua" w:hAnsi="Book Antiqua"/>
          <w:i/>
          <w:sz w:val="20"/>
        </w:rPr>
        <w:t xml:space="preserve"> </w:t>
      </w:r>
      <w:r w:rsidRPr="00125962">
        <w:rPr>
          <w:rFonts w:ascii="Book Antiqua" w:hAnsi="Book Antiqua"/>
          <w:sz w:val="20"/>
        </w:rPr>
        <w:t>must also increase proportionally. Thus we can write:</w:t>
      </w:r>
    </w:p>
    <w:p w:rsidR="00416D75" w:rsidRPr="00125962" w:rsidRDefault="00416D75" w:rsidP="00416D75">
      <w:pPr>
        <w:pStyle w:val="equation"/>
        <w:spacing w:before="80" w:after="80"/>
        <w:jc w:val="right"/>
        <w:rPr>
          <w:sz w:val="20"/>
        </w:rPr>
      </w:pPr>
      <w:r w:rsidRPr="00125962">
        <w:rPr>
          <w:sz w:val="20"/>
        </w:rPr>
        <w:tab/>
      </w:r>
      <w:r w:rsidRPr="00125962">
        <w:rPr>
          <w:position w:val="-6"/>
          <w:sz w:val="20"/>
        </w:rPr>
        <w:object w:dxaOrig="500" w:dyaOrig="240">
          <v:shape id="_x0000_i1329" type="#_x0000_t75" style="width:24.8pt;height:12.1pt" o:ole="">
            <v:imagedata r:id="rId1158" o:title=""/>
          </v:shape>
          <o:OLEObject Type="Embed" ProgID="Equation.DSMT4" ShapeID="_x0000_i1329" DrawAspect="Content" ObjectID="_1433920481" r:id="rId115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(6)</w:t>
      </w:r>
    </w:p>
    <w:p w:rsidR="00416D75" w:rsidRPr="00125962" w:rsidRDefault="00416D75" w:rsidP="00416D75">
      <w:pPr>
        <w:pStyle w:val="NormPara"/>
        <w:ind w:firstLine="0"/>
        <w:rPr>
          <w:sz w:val="20"/>
        </w:rPr>
      </w:pPr>
    </w:p>
    <w:p w:rsidR="00416D75" w:rsidRDefault="00416D75" w:rsidP="00416D75">
      <w:pPr>
        <w:pStyle w:val="NormPara"/>
        <w:ind w:firstLine="0"/>
        <w:rPr>
          <w:sz w:val="20"/>
        </w:rPr>
      </w:pPr>
      <w:proofErr w:type="gramStart"/>
      <w:r w:rsidRPr="00125962">
        <w:rPr>
          <w:sz w:val="20"/>
        </w:rPr>
        <w:t>where</w:t>
      </w:r>
      <w:proofErr w:type="gramEnd"/>
      <w:r w:rsidRPr="00125962">
        <w:rPr>
          <w:sz w:val="20"/>
        </w:rPr>
        <w:t xml:space="preserve"> </w:t>
      </w:r>
      <w:r w:rsidRPr="00125962">
        <w:rPr>
          <w:i/>
          <w:sz w:val="20"/>
        </w:rPr>
        <w:t>U</w:t>
      </w:r>
      <w:r w:rsidRPr="00125962">
        <w:rPr>
          <w:sz w:val="20"/>
        </w:rPr>
        <w:t xml:space="preserve"> is the energy density of the ZPE. Experimental evidence for variations in </w:t>
      </w:r>
      <m:oMath>
        <m:r>
          <w:rPr>
            <w:rFonts w:hAnsi="Cambria Math"/>
            <w:sz w:val="20"/>
          </w:rPr>
          <m:t>h</m:t>
        </m:r>
      </m:oMath>
      <w:r w:rsidRPr="00125962">
        <w:rPr>
          <w:sz w:val="20"/>
        </w:rPr>
        <w:t xml:space="preserve"> and </w:t>
      </w:r>
      <m:oMath>
        <m:r>
          <w:rPr>
            <w:rFonts w:hAnsi="Cambria Math"/>
            <w:sz w:val="20"/>
          </w:rPr>
          <m:t>h</m:t>
        </m:r>
        <m:r>
          <w:rPr>
            <w:rFonts w:ascii="Cambria Math"/>
            <w:sz w:val="20"/>
          </w:rPr>
          <m:t>/</m:t>
        </m:r>
        <m:r>
          <w:rPr>
            <w:rFonts w:ascii="Cambria Math" w:hAnsi="Cambria Math"/>
            <w:sz w:val="20"/>
          </w:rPr>
          <m:t>e</m:t>
        </m:r>
      </m:oMath>
      <w:r w:rsidRPr="00125962">
        <w:rPr>
          <w:sz w:val="20"/>
        </w:rPr>
        <w:t xml:space="preserve"> have been obtained as graphed in Figs. 1 and 2. It should be noted that the value of </w:t>
      </w:r>
      <m:oMath>
        <m:r>
          <w:rPr>
            <w:rFonts w:ascii="Cambria Math" w:hAnsi="Cambria Math"/>
            <w:sz w:val="20"/>
          </w:rPr>
          <m:t>h</m:t>
        </m:r>
      </m:oMath>
      <w:r w:rsidRPr="00125962">
        <w:rPr>
          <w:sz w:val="20"/>
        </w:rPr>
        <w:t xml:space="preserve"> increased systematically up to about 1970. Afterwards, the data show a flat point or a small decline.</w:t>
      </w:r>
    </w:p>
    <w:p w:rsidR="00416D75" w:rsidRDefault="00416D75" w:rsidP="00416D75">
      <w:pPr>
        <w:pStyle w:val="NormPara"/>
        <w:ind w:firstLine="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3871457" cy="4514850"/>
            <wp:effectExtent l="19050" t="0" r="0" b="0"/>
            <wp:docPr id="26" name="Picture 4" descr="PlancksConstant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lancksConstantGraph"/>
                    <pic:cNvPicPr>
                      <a:picLocks noChangeAspect="1" noChangeArrowheads="1"/>
                    </pic:cNvPicPr>
                  </pic:nvPicPr>
                  <pic:blipFill>
                    <a:blip r:embed="rId70" cstate="print">
                      <a:lum contrast="20000"/>
                    </a:blip>
                    <a:srcRect l="1558" t="1231" r="1202" b="766"/>
                    <a:stretch>
                      <a:fillRect/>
                    </a:stretch>
                  </pic:blipFill>
                  <pic:spPr bwMode="auto">
                    <a:xfrm>
                      <a:off x="0" y="0"/>
                      <a:ext cx="3875287" cy="4519317"/>
                    </a:xfrm>
                    <a:prstGeom prst="rect">
                      <a:avLst/>
                    </a:prstGeom>
                    <a:noFill/>
                    <a:ln w="9525">
                      <a:noFill/>
                      <a:miter lim="800000"/>
                      <a:headEnd/>
                      <a:tailEnd/>
                    </a:ln>
                  </pic:spPr>
                </pic:pic>
              </a:graphicData>
            </a:graphic>
          </wp:inline>
        </w:drawing>
      </w:r>
    </w:p>
    <w:p w:rsidR="00416D75" w:rsidRDefault="00416D75" w:rsidP="00416D75">
      <w:pPr>
        <w:pStyle w:val="NormPara"/>
        <w:spacing w:before="80" w:after="80"/>
        <w:ind w:left="274" w:right="274" w:firstLine="0"/>
        <w:jc w:val="left"/>
        <w:rPr>
          <w:i/>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1:</w:t>
      </w:r>
      <w:r w:rsidRPr="00F02364">
        <w:rPr>
          <w:i/>
          <w:szCs w:val="18"/>
        </w:rPr>
        <w:t xml:space="preserve">  Graph of recommended values of Planck's constant, </w:t>
      </w:r>
      <m:oMath>
        <m:r>
          <w:rPr>
            <w:rFonts w:ascii="Cambria Math" w:hAnsi="Cambria Math" w:cs="Cambria Math"/>
            <w:szCs w:val="18"/>
          </w:rPr>
          <m:t>h</m:t>
        </m:r>
      </m:oMath>
      <w:r w:rsidRPr="00F02364">
        <w:rPr>
          <w:i/>
          <w:szCs w:val="18"/>
        </w:rPr>
        <w:t xml:space="preserve"> [17-29].</w:t>
      </w:r>
    </w:p>
    <w:p w:rsidR="00416D75" w:rsidRPr="00125962"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 xml:space="preserve">In 1965, Sanders pointed out that the then increasing values for </w:t>
      </w:r>
      <m:oMath>
        <m:r>
          <w:rPr>
            <w:rFonts w:ascii="Cambria Math" w:hAnsi="Cambria Math"/>
            <w:sz w:val="20"/>
          </w:rPr>
          <m:t>h</m:t>
        </m:r>
      </m:oMath>
      <w:r w:rsidRPr="00125962">
        <w:rPr>
          <w:sz w:val="20"/>
        </w:rPr>
        <w:t xml:space="preserve"> could only partly be accounted for by the improvements in instrumental resolution [30]. One reviewer, preferring the changes in </w:t>
      </w:r>
      <m:oMath>
        <m:r>
          <w:rPr>
            <w:rFonts w:ascii="Cambria Math" w:hAnsi="Cambria Math"/>
            <w:sz w:val="20"/>
          </w:rPr>
          <m:t>h</m:t>
        </m:r>
      </m:oMath>
      <w:r w:rsidRPr="00125962">
        <w:rPr>
          <w:sz w:val="20"/>
        </w:rPr>
        <w:t xml:space="preserve"> to be a matter of instrumental improvements, nevertheless remarked that this </w:t>
      </w:r>
      <w:r w:rsidRPr="00125962">
        <w:rPr>
          <w:i/>
          <w:sz w:val="20"/>
        </w:rPr>
        <w:t>"may in part explain the trend in the figures, but I admit that such an explanation does not appear to be quantitatively adequate."</w:t>
      </w:r>
      <w:r w:rsidRPr="00125962">
        <w:rPr>
          <w:sz w:val="20"/>
        </w:rPr>
        <w:t xml:space="preserve">[31] That problem was compounded since other quantities such as </w:t>
      </w:r>
      <m:oMath>
        <m:r>
          <w:rPr>
            <w:rFonts w:ascii="Cambria Math" w:hAnsi="Cambria Math"/>
            <w:sz w:val="20"/>
          </w:rPr>
          <m:t>e</m:t>
        </m:r>
        <m:r>
          <w:rPr>
            <w:rFonts w:ascii="Cambria Math"/>
            <w:sz w:val="20"/>
          </w:rPr>
          <m:t>/</m:t>
        </m:r>
        <m:r>
          <w:rPr>
            <w:rFonts w:hAnsi="Cambria Math"/>
            <w:sz w:val="20"/>
          </w:rPr>
          <m:t>h</m:t>
        </m:r>
      </m:oMath>
      <w:r w:rsidRPr="00125962">
        <w:rPr>
          <w:sz w:val="20"/>
        </w:rPr>
        <w:t xml:space="preserve"> (where </w:t>
      </w:r>
      <m:oMath>
        <m:r>
          <w:rPr>
            <w:rFonts w:ascii="Cambria Math" w:hAnsi="Cambria Math"/>
            <w:sz w:val="20"/>
          </w:rPr>
          <m:t>e</m:t>
        </m:r>
      </m:oMath>
      <w:r w:rsidRPr="00125962">
        <w:rPr>
          <w:sz w:val="20"/>
        </w:rPr>
        <w:t xml:space="preserve"> is the electronic charge), </w:t>
      </w:r>
      <m:oMath>
        <m:r>
          <w:rPr>
            <w:rFonts w:hAnsi="Cambria Math"/>
            <w:sz w:val="20"/>
          </w:rPr>
          <m:t>h</m:t>
        </m:r>
        <m:r>
          <w:rPr>
            <w:rFonts w:ascii="Cambria Math"/>
            <w:sz w:val="20"/>
          </w:rPr>
          <m:t>/2</m:t>
        </m:r>
        <m:r>
          <w:rPr>
            <w:rFonts w:ascii="Cambria Math" w:hAnsi="Cambria Math"/>
            <w:sz w:val="20"/>
          </w:rPr>
          <m:t>e</m:t>
        </m:r>
      </m:oMath>
      <w:r w:rsidRPr="00125962">
        <w:rPr>
          <w:sz w:val="20"/>
        </w:rPr>
        <w:t xml:space="preserve"> (the magnetic flux quantum), and </w:t>
      </w:r>
      <m:oMath>
        <m:r>
          <w:rPr>
            <w:rFonts w:ascii="Cambria Math"/>
            <w:sz w:val="20"/>
          </w:rPr>
          <m:t>2</m:t>
        </m:r>
        <m:r>
          <w:rPr>
            <w:rFonts w:ascii="Cambria Math" w:hAnsi="Cambria Math"/>
            <w:sz w:val="20"/>
          </w:rPr>
          <m:t>e</m:t>
        </m:r>
        <m:r>
          <w:rPr>
            <w:rFonts w:ascii="Cambria Math"/>
            <w:sz w:val="20"/>
          </w:rPr>
          <m:t>/</m:t>
        </m:r>
        <m:r>
          <w:rPr>
            <w:rFonts w:ascii="Cambria Math" w:hAnsi="Cambria Math"/>
            <w:sz w:val="20"/>
          </w:rPr>
          <m:t>h</m:t>
        </m:r>
      </m:oMath>
      <w:r w:rsidRPr="00125962">
        <w:rPr>
          <w:sz w:val="20"/>
        </w:rPr>
        <w:t xml:space="preserve"> (the Josephson constant), all show synchronous trends centered around 1970, although measured by different methods than those used to </w:t>
      </w:r>
      <w:proofErr w:type="gramStart"/>
      <w:r w:rsidRPr="00125962">
        <w:rPr>
          <w:sz w:val="20"/>
        </w:rPr>
        <w:t xml:space="preserve">measure </w:t>
      </w:r>
      <m:oMath>
        <w:proofErr w:type="gramEnd"/>
        <m:r>
          <w:rPr>
            <w:rFonts w:hAnsi="Cambria Math"/>
            <w:sz w:val="20"/>
          </w:rPr>
          <m:t>h</m:t>
        </m:r>
      </m:oMath>
      <w:r w:rsidRPr="00125962">
        <w:rPr>
          <w:sz w:val="20"/>
        </w:rPr>
        <w:t>.</w:t>
      </w:r>
    </w:p>
    <w:p w:rsidR="00416D75" w:rsidRDefault="00416D75" w:rsidP="00416D75">
      <w:pPr>
        <w:pStyle w:val="NormPara"/>
        <w:ind w:firstLine="0"/>
        <w:rPr>
          <w:sz w:val="20"/>
        </w:rPr>
      </w:pPr>
    </w:p>
    <w:p w:rsidR="00416D75" w:rsidRPr="00125962"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lastRenderedPageBreak/>
        <w:t xml:space="preserve">The Invariance of </w:t>
      </w:r>
      <m:oMath>
        <m:r>
          <m:rPr>
            <m:sty m:val="bi"/>
          </m:rPr>
          <w:rPr>
            <w:rFonts w:ascii="Cambria Math" w:hAnsi="Cambria Math" w:cs="Times New Roman"/>
            <w:sz w:val="20"/>
            <w:szCs w:val="20"/>
          </w:rPr>
          <m:t>hc</m:t>
        </m:r>
      </m:oMath>
    </w:p>
    <w:p w:rsidR="00416D75" w:rsidRPr="00125962" w:rsidRDefault="00416D75" w:rsidP="00416D75">
      <w:pPr>
        <w:rPr>
          <w:rFonts w:ascii="Book Antiqua" w:hAnsi="Book Antiqua"/>
        </w:rPr>
      </w:pPr>
    </w:p>
    <w:p w:rsidR="00416D75" w:rsidRPr="00125962" w:rsidRDefault="00416D75" w:rsidP="00416D75">
      <w:pPr>
        <w:pStyle w:val="NormPara"/>
        <w:spacing w:before="120"/>
        <w:ind w:firstLine="0"/>
        <w:jc w:val="center"/>
        <w:rPr>
          <w:noProof/>
          <w:sz w:val="20"/>
        </w:rPr>
      </w:pPr>
      <w:r w:rsidRPr="00125962">
        <w:rPr>
          <w:noProof/>
          <w:sz w:val="20"/>
        </w:rPr>
        <w:drawing>
          <wp:inline distT="0" distB="0" distL="0" distR="0">
            <wp:extent cx="3343275" cy="3733800"/>
            <wp:effectExtent l="19050" t="0" r="9525" b="0"/>
            <wp:docPr id="771" name="Picture 5" descr="ValuesOfHO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uesOfHOverE"/>
                    <pic:cNvPicPr>
                      <a:picLocks noChangeAspect="1" noChangeArrowheads="1"/>
                    </pic:cNvPicPr>
                  </pic:nvPicPr>
                  <pic:blipFill>
                    <a:blip r:embed="rId71" cstate="print">
                      <a:lum contrast="20000"/>
                    </a:blip>
                    <a:srcRect/>
                    <a:stretch>
                      <a:fillRect/>
                    </a:stretch>
                  </pic:blipFill>
                  <pic:spPr bwMode="auto">
                    <a:xfrm>
                      <a:off x="0" y="0"/>
                      <a:ext cx="3348878" cy="3740057"/>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F02364" w:rsidRDefault="00416D75" w:rsidP="00416D75">
      <w:pPr>
        <w:pStyle w:val="NormPara"/>
        <w:spacing w:before="80" w:after="80"/>
        <w:ind w:left="274" w:right="274" w:firstLine="0"/>
        <w:jc w:val="center"/>
        <w:rPr>
          <w:i/>
          <w:color w:val="FF0000"/>
          <w:szCs w:val="18"/>
        </w:rPr>
      </w:pPr>
      <w:r w:rsidRPr="00F02364">
        <w:rPr>
          <w:b/>
          <w:i/>
          <w:szCs w:val="18"/>
        </w:rPr>
        <w:t>Figure 2:</w:t>
      </w:r>
      <w:r w:rsidRPr="00F02364">
        <w:rPr>
          <w:i/>
          <w:szCs w:val="18"/>
        </w:rPr>
        <w:t xml:space="preserve">  Graph of recommended values of </w:t>
      </w:r>
      <m:oMath>
        <m:r>
          <w:rPr>
            <w:rFonts w:ascii="Cambria Math" w:hAnsi="Cambria Math" w:cs="Cambria Math"/>
            <w:szCs w:val="18"/>
          </w:rPr>
          <m:t>h</m:t>
        </m:r>
        <m:r>
          <w:rPr>
            <w:rFonts w:ascii="Cambria Math"/>
            <w:szCs w:val="18"/>
          </w:rPr>
          <m:t>/e</m:t>
        </m:r>
      </m:oMath>
      <w:r w:rsidRPr="00F02364">
        <w:rPr>
          <w:i/>
          <w:szCs w:val="18"/>
        </w:rPr>
        <w:t xml:space="preserve"> [17-29]</w:t>
      </w:r>
    </w:p>
    <w:p w:rsidR="00416D75"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A variety of data accumulated from astronomical observations out to the frontiers of the cosmos indicate that</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sz w:val="20"/>
        </w:rPr>
      </w:pPr>
      <w:r w:rsidRPr="00125962">
        <w:rPr>
          <w:iCs/>
          <w:sz w:val="20"/>
        </w:rPr>
        <w:tab/>
      </w:r>
      <w:r w:rsidRPr="00125962">
        <w:rPr>
          <w:iCs/>
          <w:position w:val="-6"/>
          <w:sz w:val="20"/>
        </w:rPr>
        <w:object w:dxaOrig="1160" w:dyaOrig="240">
          <v:shape id="_x0000_i1330" type="#_x0000_t75" style="width:57.5pt;height:12.1pt" o:ole="">
            <v:imagedata r:id="rId1160" o:title=""/>
          </v:shape>
          <o:OLEObject Type="Embed" ProgID="Equation.DSMT4" ShapeID="_x0000_i1330" DrawAspect="Content" ObjectID="_1433920482" r:id="rId1161"/>
        </w:object>
      </w:r>
      <w:r w:rsidRPr="00125962">
        <w:rPr>
          <w:sz w:val="20"/>
        </w:rPr>
        <w:t>,</w:t>
      </w:r>
      <w:r w:rsidRPr="00125962">
        <w:rPr>
          <w:i/>
          <w:iCs/>
          <w:sz w:val="20"/>
        </w:rPr>
        <w:t xml:space="preserve"> </w:t>
      </w:r>
      <w:r w:rsidRPr="00125962">
        <w:rPr>
          <w:sz w:val="20"/>
        </w:rPr>
        <w:t xml:space="preserve">so </w:t>
      </w:r>
      <w:proofErr w:type="gramStart"/>
      <w:r w:rsidRPr="00125962">
        <w:rPr>
          <w:sz w:val="20"/>
        </w:rPr>
        <w:t xml:space="preserve">that </w:t>
      </w:r>
      <w:r w:rsidRPr="00125962">
        <w:rPr>
          <w:position w:val="-20"/>
          <w:sz w:val="20"/>
        </w:rPr>
        <w:object w:dxaOrig="480" w:dyaOrig="500">
          <v:shape id="_x0000_i1331" type="#_x0000_t75" style="width:24.2pt;height:24.8pt" o:ole="">
            <v:imagedata r:id="rId1162" o:title=""/>
          </v:shape>
          <o:OLEObject Type="Embed" ProgID="Equation.DSMT4" ShapeID="_x0000_i1331" DrawAspect="Content" ObjectID="_1433920483" r:id="rId116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(7)</w:t>
      </w:r>
    </w:p>
    <w:p w:rsidR="00416D75" w:rsidRPr="00125962" w:rsidRDefault="00416D75" w:rsidP="00416D75">
      <w:pPr>
        <w:pStyle w:val="NormPara"/>
        <w:ind w:firstLine="720"/>
        <w:rPr>
          <w:sz w:val="20"/>
        </w:rPr>
      </w:pPr>
      <w:r w:rsidRPr="00125962">
        <w:rPr>
          <w:sz w:val="20"/>
        </w:rPr>
        <w:t xml:space="preserve">This conclusion is supported to an accuracy of parts per million. Some of the early experiments were performed by Bahcall and Salpeter [32], Baum and Florentin-Nielsen [33], and Solheim et al [34].  Noerdlinger [35] also obtained the early result that the </w:t>
      </w:r>
      <w:proofErr w:type="gramStart"/>
      <w:r w:rsidRPr="00125962">
        <w:rPr>
          <w:sz w:val="20"/>
        </w:rPr>
        <w:t xml:space="preserve">quantity </w:t>
      </w:r>
      <w:proofErr w:type="gramEnd"/>
      <w:r w:rsidRPr="00125962">
        <w:rPr>
          <w:position w:val="-14"/>
          <w:sz w:val="20"/>
        </w:rPr>
        <w:object w:dxaOrig="1980" w:dyaOrig="380">
          <v:shape id="_x0000_i1332" type="#_x0000_t75" style="width:99.85pt;height:18.15pt" o:ole="">
            <v:imagedata r:id="rId1164" o:title=""/>
          </v:shape>
          <o:OLEObject Type="Embed" ProgID="Equation.DSMT4" ShapeID="_x0000_i1332" DrawAspect="Content" ObjectID="_1433920484" r:id="rId1165"/>
        </w:object>
      </w:r>
      <w:r w:rsidRPr="00125962">
        <w:rPr>
          <w:sz w:val="20"/>
        </w:rPr>
        <w:t xml:space="preserve">, where </w:t>
      </w:r>
      <m:oMath>
        <m:r>
          <w:rPr>
            <w:rFonts w:ascii="Cambria Math" w:hAnsi="Cambria Math"/>
            <w:sz w:val="20"/>
          </w:rPr>
          <m:t>z</m:t>
        </m:r>
      </m:oMath>
      <w:r w:rsidRPr="00125962">
        <w:rPr>
          <w:sz w:val="20"/>
        </w:rPr>
        <w:t xml:space="preserve"> is the redshift of light from distant galaxies. More recently, studies have focused on the fine structure constant, </w:t>
      </w:r>
      <w:r w:rsidRPr="00125962">
        <w:rPr>
          <w:position w:val="-6"/>
          <w:sz w:val="20"/>
        </w:rPr>
        <w:object w:dxaOrig="200" w:dyaOrig="200">
          <v:shape id="_x0000_i1333" type="#_x0000_t75" style="width:10.3pt;height:10.3pt" o:ole="">
            <v:imagedata r:id="rId1166" o:title=""/>
          </v:shape>
          <o:OLEObject Type="Embed" ProgID="Equation.DSMT4" ShapeID="_x0000_i1333" DrawAspect="Content" ObjectID="_1433920485" r:id="rId1167"/>
        </w:object>
      </w:r>
      <w:r w:rsidRPr="00125962">
        <w:rPr>
          <w:i/>
          <w:iCs/>
          <w:sz w:val="20"/>
        </w:rPr>
        <w:t xml:space="preserve"> </w:t>
      </w:r>
      <w:r w:rsidRPr="00125962">
        <w:rPr>
          <w:sz w:val="20"/>
        </w:rPr>
        <w:t xml:space="preserve">[36]. This constant is a combination of four quantities such that </w:t>
      </w:r>
      <w:r w:rsidRPr="00125962">
        <w:rPr>
          <w:position w:val="-16"/>
          <w:sz w:val="20"/>
        </w:rPr>
        <w:object w:dxaOrig="1879" w:dyaOrig="420">
          <v:shape id="_x0000_i1334" type="#_x0000_t75" style="width:93.8pt;height:20.55pt" o:ole="">
            <v:imagedata r:id="rId1168" o:title=""/>
          </v:shape>
          <o:OLEObject Type="Embed" ProgID="Equation.DSMT4" ShapeID="_x0000_i1334" DrawAspect="Content" ObjectID="_1433920486" r:id="rId1169"/>
        </w:object>
      </w:r>
      <w:r w:rsidRPr="00125962">
        <w:rPr>
          <w:sz w:val="20"/>
        </w:rPr>
        <w:t xml:space="preserve"> where </w:t>
      </w:r>
      <m:oMath>
        <m:r>
          <w:rPr>
            <w:rFonts w:ascii="Cambria Math" w:hAnsi="Cambria Math"/>
            <w:sz w:val="20"/>
          </w:rPr>
          <m:t>e</m:t>
        </m:r>
      </m:oMath>
      <w:r w:rsidRPr="00125962">
        <w:rPr>
          <w:i/>
          <w:iCs/>
          <w:sz w:val="20"/>
        </w:rPr>
        <w:t xml:space="preserve"> </w:t>
      </w:r>
      <w:r w:rsidRPr="00125962">
        <w:rPr>
          <w:sz w:val="20"/>
        </w:rPr>
        <w:t xml:space="preserve">is the electronic charge, and </w:t>
      </w:r>
      <w:r w:rsidRPr="00125962">
        <w:rPr>
          <w:position w:val="-6"/>
          <w:sz w:val="20"/>
        </w:rPr>
        <w:object w:dxaOrig="180" w:dyaOrig="200">
          <v:shape id="_x0000_i1335" type="#_x0000_t75" style="width:9.7pt;height:10.3pt" o:ole="">
            <v:imagedata r:id="rId1170" o:title=""/>
          </v:shape>
          <o:OLEObject Type="Embed" ProgID="Equation.DSMT4" ShapeID="_x0000_i1335" DrawAspect="Content" ObjectID="_1433920487" r:id="rId1171"/>
        </w:object>
      </w:r>
      <w:r w:rsidRPr="00125962">
        <w:rPr>
          <w:sz w:val="20"/>
        </w:rPr>
        <w:t xml:space="preserve"> the vacuum permittivity. Early observations have unequivocally shown </w:t>
      </w:r>
      <m:oMath>
        <m:r>
          <w:rPr>
            <w:rFonts w:hAnsi="Cambria Math"/>
            <w:sz w:val="20"/>
          </w:rPr>
          <m:t>h</m:t>
        </m:r>
        <m:r>
          <w:rPr>
            <w:rFonts w:ascii="Cambria Math" w:hAnsi="Cambria Math"/>
            <w:sz w:val="20"/>
          </w:rPr>
          <m:t>c</m:t>
        </m:r>
      </m:oMath>
      <w:r w:rsidRPr="00125962">
        <w:rPr>
          <w:i/>
          <w:iCs/>
          <w:sz w:val="20"/>
        </w:rPr>
        <w:t xml:space="preserve"> </w:t>
      </w:r>
      <w:r w:rsidRPr="00125962">
        <w:rPr>
          <w:sz w:val="20"/>
        </w:rPr>
        <w:t xml:space="preserve">is cosmologically invariant as in (7). However, observational evidence has shown that </w:t>
      </w:r>
      <m:oMath>
        <m:r>
          <w:rPr>
            <w:rFonts w:ascii="Cambria Math" w:hAnsi="Cambria Math"/>
            <w:sz w:val="20"/>
          </w:rPr>
          <m:t>α</m:t>
        </m:r>
      </m:oMath>
      <w:r w:rsidRPr="00125962">
        <w:rPr>
          <w:i/>
          <w:iCs/>
          <w:sz w:val="20"/>
        </w:rPr>
        <w:t xml:space="preserve"> </w:t>
      </w:r>
      <w:r w:rsidRPr="00125962">
        <w:rPr>
          <w:iCs/>
          <w:sz w:val="20"/>
        </w:rPr>
        <w:t xml:space="preserve">is also stable to one part in a million [37].  Given the data that leads to (7), these results </w:t>
      </w:r>
      <w:r w:rsidRPr="00125962">
        <w:rPr>
          <w:sz w:val="20"/>
        </w:rPr>
        <w:t>also require that throughout the cosmos</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iCs/>
          <w:position w:val="-20"/>
          <w:sz w:val="20"/>
        </w:rPr>
        <w:object w:dxaOrig="900" w:dyaOrig="560">
          <v:shape id="_x0000_i1336" type="#_x0000_t75" style="width:44.15pt;height:27.85pt" o:ole="">
            <v:imagedata r:id="rId1172" o:title=""/>
          </v:shape>
          <o:OLEObject Type="Embed" ProgID="Equation.DSMT4" ShapeID="_x0000_i1336" DrawAspect="Content" ObjectID="_1433920488" r:id="rId1173"/>
        </w:object>
      </w:r>
      <w:r w:rsidRPr="00125962">
        <w:rPr>
          <w:iCs/>
          <w:sz w:val="20"/>
        </w:rPr>
        <w:t xml:space="preserve"> .</w:t>
      </w:r>
      <w:r w:rsidRPr="00125962">
        <w:rPr>
          <w:iCs/>
          <w:sz w:val="20"/>
        </w:rPr>
        <w:tab/>
      </w:r>
      <w:r w:rsidRPr="00125962">
        <w:rPr>
          <w:iCs/>
          <w:sz w:val="20"/>
        </w:rPr>
        <w:tab/>
      </w:r>
      <w:r w:rsidRPr="00125962">
        <w:rPr>
          <w:iCs/>
          <w:sz w:val="20"/>
        </w:rPr>
        <w:tab/>
      </w:r>
      <w:r w:rsidRPr="00125962">
        <w:rPr>
          <w:iCs/>
          <w:sz w:val="20"/>
        </w:rPr>
        <w:tab/>
      </w:r>
      <w:r w:rsidRPr="00125962">
        <w:rPr>
          <w:iCs/>
          <w:sz w:val="20"/>
        </w:rPr>
        <w:tab/>
      </w:r>
      <w:r w:rsidRPr="00125962">
        <w:rPr>
          <w:i/>
          <w:sz w:val="20"/>
        </w:rPr>
        <w:t>(8)</w:t>
      </w:r>
    </w:p>
    <w:p w:rsidR="00416D75" w:rsidRPr="00125962" w:rsidRDefault="00416D75" w:rsidP="00416D75">
      <w:pPr>
        <w:pStyle w:val="NormPara"/>
        <w:ind w:firstLine="0"/>
        <w:rPr>
          <w:sz w:val="20"/>
        </w:rPr>
      </w:pPr>
      <w:r w:rsidRPr="00125962">
        <w:rPr>
          <w:sz w:val="20"/>
        </w:rPr>
        <w:t>The basic constancy of (8) over astronomical time was established early on by Dyson [38], Peres [39], Bahcall and Schmidt [40] and Wesson [41].</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lastRenderedPageBreak/>
        <w:t xml:space="preserve">These data, which uphold the constancy </w:t>
      </w:r>
      <w:proofErr w:type="gramStart"/>
      <w:r w:rsidRPr="00125962">
        <w:rPr>
          <w:sz w:val="20"/>
        </w:rPr>
        <w:t xml:space="preserve">of </w:t>
      </w:r>
      <w:proofErr w:type="gramEnd"/>
      <w:r w:rsidRPr="00125962">
        <w:rPr>
          <w:position w:val="-6"/>
          <w:sz w:val="20"/>
        </w:rPr>
        <w:object w:dxaOrig="200" w:dyaOrig="200">
          <v:shape id="_x0000_i1337" type="#_x0000_t75" style="width:10.3pt;height:10.3pt" o:ole="">
            <v:imagedata r:id="rId1174" o:title=""/>
          </v:shape>
          <o:OLEObject Type="Embed" ProgID="Equation.DSMT4" ShapeID="_x0000_i1337" DrawAspect="Content" ObjectID="_1433920489" r:id="rId1175"/>
        </w:object>
      </w:r>
      <w:r w:rsidRPr="00125962">
        <w:rPr>
          <w:i/>
          <w:iCs/>
          <w:sz w:val="20"/>
        </w:rPr>
        <w:t xml:space="preserve">, </w:t>
      </w:r>
      <w:r w:rsidRPr="00125962">
        <w:rPr>
          <w:sz w:val="20"/>
        </w:rPr>
        <w:t>are often taken as applying tight restrictions on any variability of the speed of light on a cosmological time scale. This has been the subject of John Webb’s research for a number of years [42]. There have only been very small suspected changes in the value of the fine structure constant</w:t>
      </w:r>
      <w:proofErr w:type="gramStart"/>
      <w:r w:rsidRPr="00125962">
        <w:rPr>
          <w:sz w:val="20"/>
        </w:rPr>
        <w:t xml:space="preserve">, </w:t>
      </w:r>
      <w:proofErr w:type="gramEnd"/>
      <w:r w:rsidRPr="00125962">
        <w:rPr>
          <w:position w:val="-6"/>
          <w:sz w:val="20"/>
        </w:rPr>
        <w:object w:dxaOrig="200" w:dyaOrig="200">
          <v:shape id="_x0000_i1338" type="#_x0000_t75" style="width:10.3pt;height:10.3pt" o:ole="">
            <v:imagedata r:id="rId1176" o:title=""/>
          </v:shape>
          <o:OLEObject Type="Embed" ProgID="Equation.DSMT4" ShapeID="_x0000_i1338" DrawAspect="Content" ObjectID="_1433920490" r:id="rId1177"/>
        </w:object>
      </w:r>
      <w:r w:rsidRPr="00125962">
        <w:rPr>
          <w:sz w:val="20"/>
        </w:rPr>
        <w:t xml:space="preserve">.  For this reason, those holding to a minimalist position regarding the variation of atomic constants have stated that </w:t>
      </w:r>
      <w:r w:rsidRPr="00125962">
        <w:rPr>
          <w:i/>
          <w:sz w:val="20"/>
        </w:rPr>
        <w:t>c</w:t>
      </w:r>
      <w:r w:rsidRPr="00125962">
        <w:rPr>
          <w:sz w:val="20"/>
        </w:rPr>
        <w:t xml:space="preserve"> cannot vary by any more than 1 part in about a million throughout astronomical time.  However, if the ZPE approach is adopted, it is to be expected that </w:t>
      </w:r>
      <m:oMath>
        <m:r>
          <w:rPr>
            <w:rFonts w:hAnsi="Cambria Math"/>
            <w:sz w:val="20"/>
          </w:rPr>
          <m:t>h</m:t>
        </m:r>
        <m:r>
          <w:rPr>
            <w:rFonts w:ascii="Cambria Math" w:hAnsi="Cambria Math"/>
            <w:sz w:val="20"/>
          </w:rPr>
          <m:t>c</m:t>
        </m:r>
        <m:r>
          <w:rPr>
            <w:rFonts w:ascii="Cambria Math"/>
            <w:sz w:val="20"/>
          </w:rPr>
          <m:t xml:space="preserve"> </m:t>
        </m:r>
      </m:oMath>
      <w:r w:rsidRPr="00125962">
        <w:rPr>
          <w:sz w:val="20"/>
        </w:rPr>
        <w:t xml:space="preserve">will remain fixed, but that the extent of any individual variation in </w:t>
      </w:r>
      <m:oMath>
        <m:r>
          <w:rPr>
            <w:rFonts w:hAnsi="Cambria Math"/>
            <w:sz w:val="20"/>
          </w:rPr>
          <m:t>h</m:t>
        </m:r>
        <m:r>
          <w:rPr>
            <w:rFonts w:ascii="Cambria Math"/>
            <w:sz w:val="20"/>
          </w:rPr>
          <m:t xml:space="preserve"> </m:t>
        </m:r>
      </m:oMath>
      <w:r w:rsidRPr="00125962">
        <w:rPr>
          <w:sz w:val="20"/>
        </w:rPr>
        <w:t xml:space="preserve">and </w:t>
      </w:r>
      <m:oMath>
        <m:r>
          <w:rPr>
            <w:rFonts w:ascii="Cambria Math" w:hAnsi="Cambria Math"/>
            <w:sz w:val="20"/>
          </w:rPr>
          <m:t>c</m:t>
        </m:r>
        <m:r>
          <w:rPr>
            <w:rFonts w:ascii="Cambria Math"/>
            <w:sz w:val="20"/>
          </w:rPr>
          <m:t xml:space="preserve"> </m:t>
        </m:r>
      </m:oMath>
      <w:r w:rsidRPr="00125962">
        <w:rPr>
          <w:sz w:val="20"/>
        </w:rPr>
        <w:t>separately cannot be deduced from these data alone.</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This means that quantities </w:t>
      </w:r>
      <w:proofErr w:type="gramStart"/>
      <w:r w:rsidRPr="00125962">
        <w:rPr>
          <w:sz w:val="20"/>
        </w:rPr>
        <w:t xml:space="preserve">like </w:t>
      </w:r>
      <m:oMath>
        <w:proofErr w:type="gramEnd"/>
        <m:r>
          <w:rPr>
            <w:rFonts w:hAnsi="Cambria Math"/>
            <w:sz w:val="20"/>
          </w:rPr>
          <m:t>h</m:t>
        </m:r>
        <m:r>
          <w:rPr>
            <w:rFonts w:ascii="Cambria Math" w:hAnsi="Cambria Math"/>
            <w:sz w:val="20"/>
          </w:rPr>
          <m:t>c</m:t>
        </m:r>
      </m:oMath>
      <w:r w:rsidRPr="00125962">
        <w:rPr>
          <w:i/>
          <w:sz w:val="20"/>
        </w:rPr>
        <w:t>,</w:t>
      </w:r>
      <w:r w:rsidRPr="00125962">
        <w:rPr>
          <w:sz w:val="20"/>
        </w:rPr>
        <w:t xml:space="preserve"> or the fine structure constant, </w:t>
      </w:r>
      <w:r w:rsidRPr="00125962">
        <w:rPr>
          <w:position w:val="-6"/>
          <w:sz w:val="20"/>
        </w:rPr>
        <w:object w:dxaOrig="200" w:dyaOrig="200">
          <v:shape id="_x0000_i1339" type="#_x0000_t75" style="width:10.3pt;height:10.3pt" o:ole="">
            <v:imagedata r:id="rId1178" o:title=""/>
          </v:shape>
          <o:OLEObject Type="Embed" ProgID="Equation.DSMT4" ShapeID="_x0000_i1339" DrawAspect="Content" ObjectID="_1433920491" r:id="rId1179"/>
        </w:object>
      </w:r>
      <w:r w:rsidRPr="00125962">
        <w:rPr>
          <w:i/>
          <w:sz w:val="20"/>
        </w:rPr>
        <w:t>,</w:t>
      </w:r>
      <w:r w:rsidRPr="00125962">
        <w:rPr>
          <w:sz w:val="20"/>
        </w:rPr>
        <w:t xml:space="preserve"> can themselves be invariant while their component parts may vary synchronously. Wesson was aware of just such a possibility. He wrote: </w:t>
      </w:r>
      <w:r w:rsidRPr="00125962">
        <w:rPr>
          <w:i/>
          <w:sz w:val="20"/>
        </w:rPr>
        <w:t>“It is conceivable that the dimensionless numbers ... could be absolute constants, while the component parameters comprising them are variable. The possibility of such a conspiracy between the dimensional numbers was recognised by Dirac (see Harwit 1971).”</w:t>
      </w:r>
      <w:r w:rsidRPr="00125962">
        <w:rPr>
          <w:sz w:val="20"/>
        </w:rPr>
        <w:t xml:space="preserve"> [43, 44]</w:t>
      </w:r>
    </w:p>
    <w:p w:rsidR="00416D75" w:rsidRPr="00125962" w:rsidRDefault="00416D75" w:rsidP="00416D75">
      <w:pPr>
        <w:pStyle w:val="NormPara"/>
        <w:ind w:firstLine="461"/>
        <w:rPr>
          <w:sz w:val="20"/>
        </w:rPr>
      </w:pPr>
    </w:p>
    <w:p w:rsidR="00416D75" w:rsidRPr="00125962" w:rsidRDefault="00416D75" w:rsidP="00416D75">
      <w:pPr>
        <w:pStyle w:val="NormPara"/>
        <w:ind w:firstLine="360"/>
        <w:rPr>
          <w:sz w:val="20"/>
        </w:rPr>
      </w:pPr>
      <w:r w:rsidRPr="00125962">
        <w:rPr>
          <w:sz w:val="20"/>
        </w:rPr>
        <w:t xml:space="preserve">A simple example can be shown with the number “12.”  The total of 12 will remain constant whether we get there by multiplying 1 x 12, 2 x 6, or 3 x 4.  In the same way, </w:t>
      </w:r>
      <w:r w:rsidRPr="00125962">
        <w:rPr>
          <w:i/>
          <w:sz w:val="20"/>
        </w:rPr>
        <w:t>hc</w:t>
      </w:r>
      <w:r w:rsidRPr="00125962">
        <w:rPr>
          <w:sz w:val="20"/>
        </w:rPr>
        <w:t xml:space="preserve"> can remain constant if </w:t>
      </w:r>
      <w:r w:rsidRPr="00125962">
        <w:rPr>
          <w:i/>
          <w:sz w:val="20"/>
        </w:rPr>
        <w:t>h</w:t>
      </w:r>
      <w:r w:rsidRPr="00125962">
        <w:rPr>
          <w:sz w:val="20"/>
        </w:rPr>
        <w:t xml:space="preserve"> increases at the same time </w:t>
      </w:r>
      <w:r w:rsidRPr="00125962">
        <w:rPr>
          <w:i/>
          <w:sz w:val="20"/>
        </w:rPr>
        <w:t>c</w:t>
      </w:r>
      <w:r w:rsidRPr="00125962">
        <w:rPr>
          <w:sz w:val="20"/>
        </w:rPr>
        <w:t xml:space="preserve"> decreases, or vice versa.</w:t>
      </w:r>
    </w:p>
    <w:p w:rsidR="00416D75" w:rsidRPr="00125962" w:rsidRDefault="00416D75" w:rsidP="00416D75">
      <w:pPr>
        <w:pStyle w:val="NormPara"/>
        <w:ind w:firstLine="36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Measured Variation in the Speed of Light, c</w:t>
      </w:r>
    </w:p>
    <w:p w:rsidR="00416D75" w:rsidRPr="00747889" w:rsidRDefault="00416D75" w:rsidP="00416D75">
      <w:pPr>
        <w:pStyle w:val="NoSpacing"/>
        <w:rPr>
          <w:rFonts w:ascii="Book Antiqua" w:hAnsi="Book Antiqua"/>
        </w:rPr>
      </w:pPr>
    </w:p>
    <w:p w:rsidR="00416D75" w:rsidRDefault="00416D75" w:rsidP="00416D75">
      <w:pPr>
        <w:pStyle w:val="NormPara"/>
        <w:ind w:firstLine="270"/>
        <w:rPr>
          <w:sz w:val="20"/>
        </w:rPr>
      </w:pPr>
      <w:r w:rsidRPr="00125962">
        <w:rPr>
          <w:sz w:val="20"/>
        </w:rPr>
        <w:t xml:space="preserve">From the mid 1800’s until the 1940’s, there was ongoing, and sometimes passionate, discussion in scientific journals regarding the fact that the speed of light had been measured as progressively changing. The data which indicated this were the result of </w:t>
      </w:r>
      <w:r w:rsidRPr="00575422">
        <w:rPr>
          <w:sz w:val="20"/>
        </w:rPr>
        <w:t>many</w:t>
      </w:r>
      <w:r>
        <w:rPr>
          <w:color w:val="FF0000"/>
          <w:sz w:val="20"/>
        </w:rPr>
        <w:t xml:space="preserve"> </w:t>
      </w:r>
      <w:r w:rsidRPr="00125962">
        <w:rPr>
          <w:sz w:val="20"/>
        </w:rPr>
        <w:t>hundreds of experiments by a number of methods over many years. Even physicists who had a strong preference for the constancy of atomic quantities</w:t>
      </w:r>
      <w:r>
        <w:rPr>
          <w:sz w:val="20"/>
        </w:rPr>
        <w:t>, like R. T. Birge,</w:t>
      </w:r>
      <w:r w:rsidRPr="00125962">
        <w:rPr>
          <w:sz w:val="20"/>
        </w:rPr>
        <w:t xml:space="preserve"> were forced to agree with Dorsey's admission: “</w:t>
      </w:r>
      <w:r w:rsidRPr="00125962">
        <w:rPr>
          <w:i/>
          <w:iCs/>
          <w:sz w:val="20"/>
        </w:rPr>
        <w:t xml:space="preserve">As is well known to those acquainted with the several determinations of the velocity of light, the definitive values successively reported … have, in general, decreased monotonously from Cornu’s 300.4 megametres per second in 1874 to Anderson’s 299.776 in 1940…” </w:t>
      </w:r>
      <w:r w:rsidRPr="00125962">
        <w:rPr>
          <w:sz w:val="20"/>
        </w:rPr>
        <w:t>[45]</w:t>
      </w:r>
    </w:p>
    <w:p w:rsidR="003442EA" w:rsidRDefault="003442EA" w:rsidP="00416D75">
      <w:pPr>
        <w:pStyle w:val="NormPara"/>
        <w:ind w:firstLine="270"/>
        <w:rPr>
          <w:sz w:val="20"/>
        </w:rPr>
      </w:pPr>
    </w:p>
    <w:p w:rsidR="00416D75" w:rsidRDefault="00416D75" w:rsidP="00416D75">
      <w:pPr>
        <w:pStyle w:val="NormPara"/>
        <w:ind w:firstLine="270"/>
        <w:rPr>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80"/>
        <w:gridCol w:w="4007"/>
      </w:tblGrid>
      <w:tr w:rsidR="00416D75" w:rsidRPr="00125962" w:rsidTr="003442EA">
        <w:trPr>
          <w:trHeight w:val="2872"/>
          <w:jc w:val="center"/>
        </w:trPr>
        <w:tc>
          <w:tcPr>
            <w:tcW w:w="3040" w:type="dxa"/>
          </w:tcPr>
          <w:p w:rsidR="00416D75" w:rsidRPr="00125962" w:rsidRDefault="00416D75" w:rsidP="003442EA">
            <w:pPr>
              <w:pStyle w:val="NormPara"/>
              <w:ind w:firstLine="0"/>
              <w:jc w:val="left"/>
              <w:rPr>
                <w:sz w:val="20"/>
              </w:rPr>
            </w:pPr>
            <w:r w:rsidRPr="00125962">
              <w:rPr>
                <w:noProof/>
                <w:sz w:val="20"/>
              </w:rPr>
              <w:drawing>
                <wp:inline distT="0" distB="0" distL="0" distR="0">
                  <wp:extent cx="2370684" cy="2609343"/>
                  <wp:effectExtent l="19050" t="0" r="0" b="0"/>
                  <wp:docPr id="42" name="il_fi" descr="http://www.nist.gov/pml/general/curie/images/dorse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st.gov/pml/general/curie/images/dorsey_1.jpg"/>
                          <pic:cNvPicPr>
                            <a:picLocks noChangeAspect="1" noChangeArrowheads="1"/>
                          </pic:cNvPicPr>
                        </pic:nvPicPr>
                        <pic:blipFill>
                          <a:blip r:embed="rId1180" cstate="print"/>
                          <a:srcRect b="23743"/>
                          <a:stretch>
                            <a:fillRect/>
                          </a:stretch>
                        </pic:blipFill>
                        <pic:spPr bwMode="auto">
                          <a:xfrm>
                            <a:off x="0" y="0"/>
                            <a:ext cx="2376701" cy="2615965"/>
                          </a:xfrm>
                          <a:prstGeom prst="rect">
                            <a:avLst/>
                          </a:prstGeom>
                          <a:noFill/>
                          <a:ln w="9525">
                            <a:noFill/>
                            <a:miter lim="800000"/>
                            <a:headEnd/>
                            <a:tailEnd/>
                          </a:ln>
                        </pic:spPr>
                      </pic:pic>
                    </a:graphicData>
                  </a:graphic>
                </wp:inline>
              </w:drawing>
            </w:r>
          </w:p>
        </w:tc>
        <w:tc>
          <w:tcPr>
            <w:tcW w:w="3066" w:type="dxa"/>
          </w:tcPr>
          <w:p w:rsidR="00416D75" w:rsidRPr="00125962" w:rsidRDefault="00416D75" w:rsidP="003442EA">
            <w:pPr>
              <w:pStyle w:val="NormPara"/>
              <w:ind w:firstLine="0"/>
              <w:jc w:val="left"/>
              <w:rPr>
                <w:sz w:val="20"/>
              </w:rPr>
            </w:pPr>
            <w:r w:rsidRPr="00125962">
              <w:rPr>
                <w:noProof/>
                <w:sz w:val="20"/>
              </w:rPr>
              <w:drawing>
                <wp:inline distT="0" distB="0" distL="0" distR="0">
                  <wp:extent cx="2388179" cy="2612571"/>
                  <wp:effectExtent l="19050" t="0" r="0" b="0"/>
                  <wp:docPr id="43" name="il_fi" descr="http://academictree.org/photo/cache.05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cademictree.org/photo/cache.051961.jpg"/>
                          <pic:cNvPicPr>
                            <a:picLocks noChangeAspect="1" noChangeArrowheads="1"/>
                          </pic:cNvPicPr>
                        </pic:nvPicPr>
                        <pic:blipFill>
                          <a:blip r:embed="rId1181" cstate="print"/>
                          <a:srcRect t="1083" r="29546" b="41203"/>
                          <a:stretch>
                            <a:fillRect/>
                          </a:stretch>
                        </pic:blipFill>
                        <pic:spPr bwMode="auto">
                          <a:xfrm>
                            <a:off x="0" y="0"/>
                            <a:ext cx="2392009" cy="2616761"/>
                          </a:xfrm>
                          <a:prstGeom prst="rect">
                            <a:avLst/>
                          </a:prstGeom>
                          <a:noFill/>
                          <a:ln w="9525">
                            <a:noFill/>
                            <a:miter lim="800000"/>
                            <a:headEnd/>
                            <a:tailEnd/>
                          </a:ln>
                        </pic:spPr>
                      </pic:pic>
                    </a:graphicData>
                  </a:graphic>
                </wp:inline>
              </w:drawing>
            </w:r>
          </w:p>
        </w:tc>
      </w:tr>
      <w:tr w:rsidR="00416D75" w:rsidRPr="00125962" w:rsidTr="003442EA">
        <w:trPr>
          <w:trHeight w:val="578"/>
          <w:jc w:val="center"/>
        </w:trPr>
        <w:tc>
          <w:tcPr>
            <w:tcW w:w="3040"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Noah Ernest Dorsey (1873-1959)</w:t>
            </w:r>
          </w:p>
        </w:tc>
        <w:tc>
          <w:tcPr>
            <w:tcW w:w="3066" w:type="dxa"/>
          </w:tcPr>
          <w:p w:rsidR="003442EA" w:rsidRDefault="003442EA" w:rsidP="003442EA">
            <w:pPr>
              <w:pStyle w:val="NormPara"/>
              <w:ind w:firstLine="0"/>
              <w:jc w:val="center"/>
              <w:rPr>
                <w:i/>
                <w:sz w:val="20"/>
              </w:rPr>
            </w:pPr>
          </w:p>
          <w:p w:rsidR="00416D75" w:rsidRPr="00125962" w:rsidRDefault="00416D75" w:rsidP="003442EA">
            <w:pPr>
              <w:pStyle w:val="NormPara"/>
              <w:ind w:firstLine="0"/>
              <w:jc w:val="center"/>
              <w:rPr>
                <w:i/>
                <w:sz w:val="20"/>
              </w:rPr>
            </w:pPr>
            <w:r w:rsidRPr="00125962">
              <w:rPr>
                <w:i/>
                <w:sz w:val="20"/>
              </w:rPr>
              <w:t>Raymond Thayer Birge (1887-1980)</w:t>
            </w:r>
          </w:p>
        </w:tc>
      </w:tr>
    </w:tbl>
    <w:p w:rsidR="00416D75" w:rsidRPr="00125962" w:rsidRDefault="00416D75" w:rsidP="00416D75">
      <w:pPr>
        <w:pStyle w:val="NormPara"/>
        <w:ind w:firstLine="27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lastRenderedPageBreak/>
        <w:t>Dorsey's re-working of the data was not able to avoid that conclusion. Dorsey hoped that by re-working the data and extending its error limits, he would be able to show that the speed of light was actually constant in time. He was not really successful in that exercise. Furthermore the whole rationale of the exercise was proven to be invalid by the Pulkovo data collected using the same instruments with the same errors by seasoned observers over a period of about a century. The Pulkovo aberration results are graphed in Figure 3, and the trend is immediately apparent.</w:t>
      </w:r>
    </w:p>
    <w:p w:rsidR="003442EA" w:rsidRPr="00125962" w:rsidRDefault="003442EA"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Spacing"/>
        <w:jc w:val="center"/>
        <w:rPr>
          <w:rFonts w:ascii="Book Antiqua" w:hAnsi="Book Antiqua"/>
          <w:bCs/>
          <w:i/>
          <w:iCs/>
          <w:sz w:val="20"/>
        </w:rPr>
      </w:pPr>
      <w:r w:rsidRPr="00125962">
        <w:rPr>
          <w:rFonts w:ascii="Book Antiqua" w:hAnsi="Book Antiqua"/>
          <w:bCs/>
          <w:i/>
          <w:iCs/>
          <w:noProof/>
          <w:sz w:val="20"/>
        </w:rPr>
        <w:drawing>
          <wp:inline distT="0" distB="0" distL="0" distR="0">
            <wp:extent cx="6487485" cy="4656524"/>
            <wp:effectExtent l="19050" t="0" r="27615" b="0"/>
            <wp:docPr id="4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2"/>
              </a:graphicData>
            </a:graphic>
          </wp:inline>
        </w:drawing>
      </w:r>
    </w:p>
    <w:p w:rsidR="00416D75" w:rsidRPr="00125962" w:rsidRDefault="00416D75" w:rsidP="00416D75">
      <w:pPr>
        <w:pStyle w:val="NoSpacing"/>
        <w:jc w:val="both"/>
        <w:rPr>
          <w:rFonts w:ascii="Book Antiqua" w:hAnsi="Book Antiqua"/>
          <w:bCs/>
          <w:i/>
          <w:iCs/>
          <w:sz w:val="20"/>
        </w:rPr>
      </w:pPr>
    </w:p>
    <w:p w:rsidR="00416D75" w:rsidRPr="00125962" w:rsidRDefault="00416D75" w:rsidP="00416D75">
      <w:pPr>
        <w:pStyle w:val="NoSpacing"/>
        <w:rPr>
          <w:rFonts w:ascii="Book Antiqua" w:hAnsi="Book Antiqua"/>
          <w:bCs/>
          <w:iCs/>
          <w:sz w:val="18"/>
          <w:szCs w:val="18"/>
        </w:rPr>
      </w:pPr>
    </w:p>
    <w:p w:rsidR="00416D75" w:rsidRPr="0025044F" w:rsidRDefault="00416D75" w:rsidP="00416D75">
      <w:pPr>
        <w:pStyle w:val="NoSpacing"/>
        <w:rPr>
          <w:rFonts w:ascii="Book Antiqua" w:hAnsi="Book Antiqua"/>
          <w:bCs/>
          <w:i/>
          <w:iCs/>
          <w:sz w:val="18"/>
          <w:szCs w:val="18"/>
        </w:rPr>
      </w:pPr>
      <w:r w:rsidRPr="0025044F">
        <w:rPr>
          <w:rFonts w:ascii="Book Antiqua" w:hAnsi="Book Antiqua"/>
          <w:b/>
          <w:bCs/>
          <w:i/>
          <w:iCs/>
          <w:sz w:val="18"/>
          <w:szCs w:val="18"/>
        </w:rPr>
        <w:t>Figure 3:</w:t>
      </w:r>
      <w:r w:rsidRPr="0025044F">
        <w:rPr>
          <w:rFonts w:ascii="Book Antiqua" w:hAnsi="Book Antiqua"/>
          <w:bCs/>
          <w:i/>
          <w:iCs/>
          <w:sz w:val="18"/>
          <w:szCs w:val="18"/>
        </w:rPr>
        <w:t xml:space="preserve"> Speed of light data from Pulkovo Observatory compared with their 1935 datum line. The first two values come from Bradley and Lindenau using the same method but prior to the opening of Pulkovo. They indicate a consistent trend for higher c values back in time. The least squares linear fit to the data gives a decline in the speed of light, c, of 6.15 km/s per year.</w:t>
      </w:r>
    </w:p>
    <w:p w:rsidR="00416D75" w:rsidRDefault="00416D75" w:rsidP="00416D75">
      <w:pPr>
        <w:pStyle w:val="NormPara"/>
        <w:ind w:firstLine="720"/>
        <w:rPr>
          <w:sz w:val="20"/>
        </w:rPr>
      </w:pP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In 1927, M.E.J. Gheury de Bray made an initial analysis of the </w:t>
      </w:r>
      <w:r w:rsidRPr="00125962">
        <w:rPr>
          <w:iCs/>
          <w:sz w:val="20"/>
        </w:rPr>
        <w:t>speed of light</w:t>
      </w:r>
      <w:r w:rsidRPr="00125962">
        <w:rPr>
          <w:i/>
          <w:iCs/>
          <w:sz w:val="20"/>
        </w:rPr>
        <w:t xml:space="preserve"> </w:t>
      </w:r>
      <w:r w:rsidRPr="00125962">
        <w:rPr>
          <w:sz w:val="20"/>
        </w:rPr>
        <w:t>data [46].  By April of 1931, after four new determinations, he stated: “</w:t>
      </w:r>
      <w:r w:rsidRPr="00125962">
        <w:rPr>
          <w:i/>
          <w:iCs/>
          <w:sz w:val="20"/>
        </w:rPr>
        <w:t xml:space="preserve">If the velocity of light is constant, how is it that, INVARIABLY, new determinations give values which are lower than the last one obtained. … There are twenty-two coincidences in favour of a decrease of the velocity of light, while there is not a single one against it” </w:t>
      </w:r>
      <w:r w:rsidRPr="00125962">
        <w:rPr>
          <w:sz w:val="20"/>
        </w:rPr>
        <w:t>[46]. Later that year he said, “</w:t>
      </w:r>
      <w:r w:rsidRPr="00125962">
        <w:rPr>
          <w:i/>
          <w:iCs/>
          <w:sz w:val="20"/>
        </w:rPr>
        <w:t xml:space="preserve">I believe that in any other field of inquiry such a discrepancy between observation and theory would be felt intolerable” </w:t>
      </w:r>
      <w:r w:rsidRPr="00125962">
        <w:rPr>
          <w:sz w:val="20"/>
        </w:rPr>
        <w:t xml:space="preserve">[46]. The </w:t>
      </w:r>
      <w:r w:rsidRPr="00125962">
        <w:rPr>
          <w:i/>
          <w:iCs/>
          <w:sz w:val="20"/>
        </w:rPr>
        <w:t xml:space="preserve">c </w:t>
      </w:r>
      <w:r w:rsidRPr="00125962">
        <w:rPr>
          <w:sz w:val="20"/>
        </w:rPr>
        <w:t>values that Birge, the “keeper of the constants” at UC Berkeley, recommended be accepted in 1941 [47] are in Fig. 4.</w:t>
      </w:r>
    </w:p>
    <w:p w:rsidR="00416D75" w:rsidRPr="00125962" w:rsidRDefault="00416D75" w:rsidP="00416D75">
      <w:pPr>
        <w:pStyle w:val="NormPara"/>
        <w:ind w:firstLine="0"/>
        <w:rPr>
          <w:sz w:val="20"/>
        </w:rPr>
      </w:pPr>
    </w:p>
    <w:p w:rsidR="00416D75" w:rsidRPr="00125962" w:rsidRDefault="00416D75" w:rsidP="00416D75">
      <w:pPr>
        <w:pStyle w:val="NormPara"/>
        <w:ind w:firstLine="270"/>
        <w:jc w:val="center"/>
        <w:rPr>
          <w:noProof/>
          <w:sz w:val="20"/>
        </w:rPr>
      </w:pPr>
      <w:r w:rsidRPr="00125962">
        <w:rPr>
          <w:noProof/>
          <w:sz w:val="20"/>
        </w:rPr>
        <w:lastRenderedPageBreak/>
        <w:drawing>
          <wp:inline distT="0" distB="0" distL="0" distR="0">
            <wp:extent cx="5517737" cy="6057900"/>
            <wp:effectExtent l="19050" t="0" r="6763" b="0"/>
            <wp:docPr id="45" name="Picture 2" descr="E:\BirgeSpeedOf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geSpeedOfLight.jpg"/>
                    <pic:cNvPicPr>
                      <a:picLocks noChangeAspect="1" noChangeArrowheads="1"/>
                    </pic:cNvPicPr>
                  </pic:nvPicPr>
                  <pic:blipFill>
                    <a:blip r:embed="rId73" cstate="print">
                      <a:lum contrast="20000"/>
                    </a:blip>
                    <a:srcRect/>
                    <a:stretch>
                      <a:fillRect/>
                    </a:stretch>
                  </pic:blipFill>
                  <pic:spPr bwMode="auto">
                    <a:xfrm>
                      <a:off x="0" y="0"/>
                      <a:ext cx="5518483" cy="6058719"/>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4:</w:t>
      </w:r>
      <w:r w:rsidRPr="0025044F">
        <w:rPr>
          <w:i/>
          <w:szCs w:val="18"/>
        </w:rPr>
        <w:t xml:space="preserve">  Experimental c values accepted by Birge</w:t>
      </w:r>
    </w:p>
    <w:p w:rsidR="00416D75" w:rsidRDefault="00416D75" w:rsidP="00416D75">
      <w:pPr>
        <w:pStyle w:val="NormPara"/>
        <w:ind w:firstLine="720"/>
        <w:rPr>
          <w:sz w:val="20"/>
        </w:rPr>
      </w:pPr>
    </w:p>
    <w:p w:rsidR="00416D75" w:rsidRPr="00125962" w:rsidRDefault="00416D75" w:rsidP="00416D75">
      <w:pPr>
        <w:pStyle w:val="NormPara"/>
        <w:ind w:firstLine="720"/>
        <w:rPr>
          <w:noProof/>
          <w:sz w:val="20"/>
        </w:rPr>
      </w:pPr>
      <w:r w:rsidRPr="00125962">
        <w:rPr>
          <w:sz w:val="20"/>
        </w:rPr>
        <w:t xml:space="preserve">In all, thousands of individual experiments, using 17 methods over 330 years resulted in the 163 determinations of </w:t>
      </w:r>
      <w:r w:rsidRPr="00125962">
        <w:rPr>
          <w:i/>
          <w:iCs/>
          <w:sz w:val="20"/>
        </w:rPr>
        <w:t xml:space="preserve">c </w:t>
      </w:r>
      <w:r w:rsidRPr="00125962">
        <w:rPr>
          <w:iCs/>
          <w:sz w:val="20"/>
        </w:rPr>
        <w:t>as published in science journals</w:t>
      </w:r>
      <w:r w:rsidRPr="00125962">
        <w:rPr>
          <w:i/>
          <w:iCs/>
          <w:sz w:val="20"/>
        </w:rPr>
        <w:t xml:space="preserve">.  </w:t>
      </w:r>
      <w:r w:rsidRPr="00125962">
        <w:rPr>
          <w:sz w:val="20"/>
        </w:rPr>
        <w:t xml:space="preserve">These data were documented along with the synchronously changing atomic constants in our initial Report in 1987 [31].  </w:t>
      </w:r>
      <w:r w:rsidRPr="00125962">
        <w:rPr>
          <w:noProof/>
          <w:sz w:val="20"/>
        </w:rPr>
        <w:t>Analysis there showed that the results from each individual method statistically supported a decline in the measured value of the speed of light.  Additionally, all data taken together also revealed that decline. In 1993, Alan Montgomery and Lambert Dolphin did an independent data analysis and came to the same conclusion in an article “Is the Speed of Light Constant in Time?” [48] A graph of their speed of light</w:t>
      </w:r>
      <w:r w:rsidRPr="00125962">
        <w:rPr>
          <w:i/>
          <w:noProof/>
          <w:sz w:val="20"/>
        </w:rPr>
        <w:t xml:space="preserve"> </w:t>
      </w:r>
      <w:r w:rsidRPr="00125962">
        <w:rPr>
          <w:noProof/>
          <w:sz w:val="20"/>
        </w:rPr>
        <w:t xml:space="preserve">values which </w:t>
      </w:r>
    </w:p>
    <w:p w:rsidR="00416D75" w:rsidRPr="00125962" w:rsidRDefault="00416D75" w:rsidP="00416D75">
      <w:pPr>
        <w:pStyle w:val="NormPara"/>
        <w:spacing w:before="120"/>
        <w:ind w:firstLine="0"/>
        <w:jc w:val="center"/>
        <w:rPr>
          <w:noProof/>
          <w:sz w:val="20"/>
        </w:rPr>
      </w:pPr>
      <w:r w:rsidRPr="00125962">
        <w:rPr>
          <w:noProof/>
          <w:sz w:val="20"/>
        </w:rPr>
        <w:lastRenderedPageBreak/>
        <w:drawing>
          <wp:inline distT="0" distB="0" distL="0" distR="0">
            <wp:extent cx="5267325" cy="3329647"/>
            <wp:effectExtent l="19050" t="0" r="9525" b="0"/>
            <wp:docPr id="46" name="Picture 3" descr="SpeedOfLight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edOfLight144"/>
                    <pic:cNvPicPr>
                      <a:picLocks noChangeAspect="1" noChangeArrowheads="1"/>
                    </pic:cNvPicPr>
                  </pic:nvPicPr>
                  <pic:blipFill>
                    <a:blip r:embed="rId75" cstate="print">
                      <a:lum contrast="20000"/>
                    </a:blip>
                    <a:srcRect t="9846" r="1509" b="7529"/>
                    <a:stretch>
                      <a:fillRect/>
                    </a:stretch>
                  </pic:blipFill>
                  <pic:spPr bwMode="auto">
                    <a:xfrm>
                      <a:off x="0" y="0"/>
                      <a:ext cx="5270612" cy="3331725"/>
                    </a:xfrm>
                    <a:prstGeom prst="rect">
                      <a:avLst/>
                    </a:prstGeom>
                    <a:noFill/>
                    <a:ln w="9525">
                      <a:noFill/>
                      <a:miter lim="800000"/>
                      <a:headEnd/>
                      <a:tailEnd/>
                    </a:ln>
                  </pic:spPr>
                </pic:pic>
              </a:graphicData>
            </a:graphic>
          </wp:inline>
        </w:drawing>
      </w:r>
    </w:p>
    <w:p w:rsidR="00416D75" w:rsidRPr="0025044F" w:rsidRDefault="00416D75" w:rsidP="00416D75">
      <w:pPr>
        <w:pStyle w:val="NormPara"/>
        <w:spacing w:before="80" w:after="80"/>
        <w:ind w:right="274" w:firstLine="0"/>
        <w:jc w:val="center"/>
        <w:rPr>
          <w:i/>
          <w:szCs w:val="18"/>
        </w:rPr>
      </w:pPr>
      <w:r w:rsidRPr="0025044F">
        <w:rPr>
          <w:b/>
          <w:i/>
          <w:szCs w:val="18"/>
        </w:rPr>
        <w:t>Figure 5:</w:t>
      </w:r>
      <w:r w:rsidRPr="0025044F">
        <w:rPr>
          <w:i/>
          <w:szCs w:val="18"/>
        </w:rPr>
        <w:t xml:space="preserve"> Graph of Montgomery/Dolphin </w:t>
      </w:r>
      <m:oMath>
        <m:r>
          <w:rPr>
            <w:rFonts w:ascii="Cambria Math"/>
            <w:szCs w:val="18"/>
          </w:rPr>
          <m:t xml:space="preserve">c </m:t>
        </m:r>
      </m:oMath>
      <w:r w:rsidRPr="0025044F">
        <w:rPr>
          <w:i/>
          <w:szCs w:val="18"/>
        </w:rPr>
        <w:t>data with errors below 0.1%. (</w:t>
      </w:r>
      <w:proofErr w:type="gramStart"/>
      <w:r w:rsidRPr="0025044F">
        <w:rPr>
          <w:i/>
          <w:szCs w:val="18"/>
        </w:rPr>
        <w:t>aberration</w:t>
      </w:r>
      <w:proofErr w:type="gramEnd"/>
      <w:r w:rsidRPr="0025044F">
        <w:rPr>
          <w:i/>
          <w:szCs w:val="18"/>
        </w:rPr>
        <w:t xml:space="preserve"> uncorrected)</w:t>
      </w:r>
    </w:p>
    <w:p w:rsidR="00416D75" w:rsidRPr="00125962" w:rsidRDefault="00416D75" w:rsidP="00416D75">
      <w:pPr>
        <w:pStyle w:val="NormPara"/>
        <w:spacing w:before="80" w:after="80"/>
        <w:ind w:right="274" w:firstLine="0"/>
        <w:rPr>
          <w:b/>
          <w:bCs/>
          <w:i/>
          <w:iCs/>
          <w:sz w:val="20"/>
        </w:rPr>
      </w:pPr>
    </w:p>
    <w:p w:rsidR="00416D75" w:rsidRPr="00125962" w:rsidRDefault="00416D75" w:rsidP="00416D75">
      <w:pPr>
        <w:pStyle w:val="NormPara"/>
        <w:ind w:firstLine="0"/>
        <w:jc w:val="center"/>
        <w:rPr>
          <w:sz w:val="20"/>
        </w:rPr>
      </w:pPr>
      <w:r w:rsidRPr="00125962">
        <w:rPr>
          <w:noProof/>
          <w:sz w:val="20"/>
        </w:rPr>
        <w:drawing>
          <wp:inline distT="0" distB="0" distL="0" distR="0">
            <wp:extent cx="5267325" cy="3571875"/>
            <wp:effectExtent l="19050" t="0" r="9525" b="0"/>
            <wp:docPr id="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3"/>
              </a:graphicData>
            </a:graphic>
          </wp:inline>
        </w:drawing>
      </w:r>
    </w:p>
    <w:p w:rsidR="00416D75" w:rsidRPr="0025044F" w:rsidRDefault="00416D75" w:rsidP="00416D75">
      <w:pPr>
        <w:pStyle w:val="NormalWeb"/>
        <w:jc w:val="center"/>
        <w:rPr>
          <w:rFonts w:ascii="Book Antiqua" w:hAnsi="Book Antiqua"/>
          <w:i/>
          <w:sz w:val="18"/>
          <w:szCs w:val="18"/>
        </w:rPr>
      </w:pPr>
      <w:r w:rsidRPr="0025044F">
        <w:rPr>
          <w:rFonts w:ascii="Book Antiqua" w:hAnsi="Book Antiqua"/>
          <w:b/>
          <w:i/>
          <w:sz w:val="18"/>
          <w:szCs w:val="18"/>
        </w:rPr>
        <w:t>Figure 6:</w:t>
      </w:r>
      <w:r w:rsidRPr="0025044F">
        <w:rPr>
          <w:rFonts w:ascii="Book Antiqua" w:hAnsi="Book Antiqua"/>
          <w:i/>
          <w:sz w:val="18"/>
          <w:szCs w:val="18"/>
        </w:rPr>
        <w:t xml:space="preserve"> Plot of all light-speed data from Ch. 3, Table 17 (aberration corrected).</w:t>
      </w:r>
    </w:p>
    <w:p w:rsidR="00416D75" w:rsidRPr="00125962" w:rsidRDefault="00416D75" w:rsidP="00416D75">
      <w:pPr>
        <w:pStyle w:val="NormPara"/>
        <w:ind w:firstLine="0"/>
        <w:rPr>
          <w:noProof/>
          <w:sz w:val="20"/>
        </w:rPr>
      </w:pPr>
      <w:r w:rsidRPr="00125962">
        <w:rPr>
          <w:noProof/>
          <w:sz w:val="20"/>
        </w:rPr>
        <w:lastRenderedPageBreak/>
        <w:t>had errors that were less than 0.1%  appears in Figure 5. The analysis performed in Chapter 3 here gave the data in Table 17 of that chapter which are graphed in Figure 6.</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What we see in Figs. 1 and 2 for Planck’s constant</w:t>
      </w:r>
      <w:proofErr w:type="gramStart"/>
      <w:r w:rsidRPr="00125962">
        <w:rPr>
          <w:sz w:val="20"/>
        </w:rPr>
        <w:t xml:space="preserve">, </w:t>
      </w:r>
      <m:oMath>
        <w:proofErr w:type="gramEnd"/>
        <m:r>
          <w:rPr>
            <w:rFonts w:hAnsi="Cambria Math"/>
            <w:sz w:val="20"/>
          </w:rPr>
          <m:t>h</m:t>
        </m:r>
      </m:oMath>
      <w:r w:rsidRPr="00125962">
        <w:rPr>
          <w:sz w:val="20"/>
        </w:rPr>
        <w:t>, and in Figs. 3 to 6 for lightspeed,</w:t>
      </w:r>
      <m:oMath>
        <m:r>
          <w:rPr>
            <w:rFonts w:ascii="Cambria Math"/>
            <w:sz w:val="20"/>
          </w:rPr>
          <m:t xml:space="preserve"> </m:t>
        </m:r>
        <m:r>
          <w:rPr>
            <w:rFonts w:ascii="Cambria Math" w:hAnsi="Cambria Math"/>
            <w:sz w:val="20"/>
          </w:rPr>
          <m:t>c</m:t>
        </m:r>
      </m:oMath>
      <w:r w:rsidRPr="00125962">
        <w:rPr>
          <w:sz w:val="20"/>
        </w:rPr>
        <w:t>, is not what would be seen if the only cause for change was due to apparatus whose precision and accuracy were increasing. If increasing accuracy had been the cause, we should see a scatter of data points around the true value, not the one-sided approach seen in these four figures.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Again, a flat point is noted in the data around 1970. It is possible that this consistent feature of the data is associated with the oscillation modes of the cosmos as suggested by Narlikar and Arp. Once the ZPE had built to its maximum, a contracting phase in the universal oscillation would mean the same amount of ZPE would be held in a smaller volume and so its strength would appear greater. The converse is also true. All ZPE-dependent quantities would be affected. In Fig. 7 two modes of oscillation of a system are shown, represented by the red and dark blue lines. However, since oscillation modes are additive, the combined overall oscillation, shown by the light blue line, reveals resultant flat regions. The modes of oscillation of the cosmos are most likely more complex than this illustration. More data and time are needed to determine the precise form of this oscillation.</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6419850" cy="2524125"/>
            <wp:effectExtent l="19050" t="0" r="0" b="0"/>
            <wp:docPr id="48" name="Picture 1" descr="http://www.physchem.co.za/OB12-wav/Graphics/wave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yschem.co.za/OB12-wav/Graphics/waves4.gif"/>
                    <pic:cNvPicPr>
                      <a:picLocks noChangeAspect="1" noChangeArrowheads="1"/>
                    </pic:cNvPicPr>
                  </pic:nvPicPr>
                  <pic:blipFill>
                    <a:blip r:embed="rId79" cstate="print"/>
                    <a:srcRect/>
                    <a:stretch>
                      <a:fillRect/>
                    </a:stretch>
                  </pic:blipFill>
                  <pic:spPr bwMode="auto">
                    <a:xfrm>
                      <a:off x="0" y="0"/>
                      <a:ext cx="6427198" cy="252701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7:</w:t>
      </w:r>
      <w:r w:rsidRPr="0025044F">
        <w:rPr>
          <w:i/>
          <w:szCs w:val="18"/>
        </w:rPr>
        <w:t xml:space="preserve">  Two oscillation modes (red &amp; dark blue) combine to give a flat point.</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 change in light speed, however, does not mean a change in wave lengths. Visualize an extremely long series of waves of fixed wavelength extending to us from some very distant astronomical object in a vacuum in which the ZPE is smoothly increasing. Because the ZPE is increasing homogeneously throughout the whole cosmos, the whole train of waves is slowing simultaneously. This means the horizontal distance between the wave crests remains the same. Only the frequency, the number of waves passing a given point in a unit of time, will drop. It is rather like a long train slowing down.  The size of the individual cars does not change, but the number of cars passing the observer becomes fewer in any given amount of time. Therefore, in the wave </w:t>
      </w:r>
      <w:proofErr w:type="gramStart"/>
      <w:r w:rsidRPr="00125962">
        <w:rPr>
          <w:sz w:val="20"/>
        </w:rPr>
        <w:t xml:space="preserve">equation </w:t>
      </w:r>
      <w:proofErr w:type="gramEnd"/>
      <w:r w:rsidRPr="00125962">
        <w:rPr>
          <w:position w:val="-10"/>
          <w:sz w:val="20"/>
        </w:rPr>
        <w:object w:dxaOrig="660" w:dyaOrig="280">
          <v:shape id="_x0000_i1340" type="#_x0000_t75" style="width:33.3pt;height:14.5pt" o:ole="">
            <v:imagedata r:id="rId1184" o:title=""/>
          </v:shape>
          <o:OLEObject Type="Embed" ProgID="Equation.DSMT4" ShapeID="_x0000_i1340" DrawAspect="Content" ObjectID="_1433920492" r:id="rId1185"/>
        </w:object>
      </w:r>
      <w:r w:rsidRPr="00125962">
        <w:rPr>
          <w:sz w:val="20"/>
        </w:rPr>
        <w:t xml:space="preserve">, where </w:t>
      </w:r>
      <m:oMath>
        <m:r>
          <w:rPr>
            <w:rFonts w:ascii="Cambria Math" w:hAnsi="Cambria Math"/>
            <w:sz w:val="20"/>
          </w:rPr>
          <m:t>c</m:t>
        </m:r>
        <m:r>
          <w:rPr>
            <w:rFonts w:ascii="Cambria Math"/>
            <w:sz w:val="20"/>
          </w:rPr>
          <m:t xml:space="preserve"> </m:t>
        </m:r>
      </m:oMath>
      <w:r w:rsidRPr="00125962">
        <w:rPr>
          <w:sz w:val="20"/>
        </w:rPr>
        <w:t>is light-speed,</w:t>
      </w:r>
      <m:oMath>
        <m:r>
          <w:rPr>
            <w:rFonts w:ascii="Cambria Math"/>
            <w:sz w:val="20"/>
          </w:rPr>
          <m:t xml:space="preserve"> </m:t>
        </m:r>
        <m:r>
          <w:rPr>
            <w:rFonts w:ascii="Cambria Math" w:hAnsi="Cambria Math"/>
            <w:sz w:val="20"/>
          </w:rPr>
          <m:t>f</m:t>
        </m:r>
        <m:r>
          <w:rPr>
            <w:rFonts w:ascii="Cambria Math"/>
            <w:sz w:val="20"/>
          </w:rPr>
          <m:t xml:space="preserve"> </m:t>
        </m:r>
      </m:oMath>
      <w:r w:rsidRPr="00125962">
        <w:rPr>
          <w:sz w:val="20"/>
        </w:rPr>
        <w:t xml:space="preserve">is frequency and </w:t>
      </w:r>
      <m:oMath>
        <m:r>
          <w:rPr>
            <w:rFonts w:ascii="Cambria Math" w:hAnsi="Cambria Math"/>
            <w:sz w:val="20"/>
          </w:rPr>
          <m:t>W</m:t>
        </m:r>
      </m:oMath>
      <w:r w:rsidRPr="00125962">
        <w:rPr>
          <w:sz w:val="20"/>
        </w:rPr>
        <w:t xml:space="preserve"> is wavelength, a constant. This means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10"/>
          <w:sz w:val="20"/>
        </w:rPr>
        <w:object w:dxaOrig="460" w:dyaOrig="280">
          <v:shape id="_x0000_i1341" type="#_x0000_t75" style="width:22.4pt;height:14.5pt" o:ole="">
            <v:imagedata r:id="rId1186" o:title=""/>
          </v:shape>
          <o:OLEObject Type="Embed" ProgID="Equation.DSMT4" ShapeID="_x0000_i1341" DrawAspect="Content" ObjectID="_1433920493" r:id="rId118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(9)</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lastRenderedPageBreak/>
        <w:t>Martin and Connor point out that there is no refraction or “bending” of the light beam if the wavelengths remain constant or are not “bunched up” in the new medium [49]. This means that there will be no refraction of light with any universal ZPE changes, since all wavelengths remain constant.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Atomic Masses and Atomic Time</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Origin for Atomic Mass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order to understand how the ZPE affects atomic time, atomic mass has to be defined.  There are a number of problems associated with standard models for atomic masses. Many modern theories envisage the sub-atomic particles (which Feynman referred to as ‘partons’) making up matter as being charged point particles with a form but no intrinsic mass. While this may seem strange initially, it forms the basis of physics research. This concept originated with the long line of investigators, including Planck and Einstein, who developed radiation theory based on the behavior of mass-less charged point particle oscillators. Since the resulting radiation theory was in agreement with the data, the problem was then to understand how mass was imparted to these mass-less oscillators, and hence to all matter.</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The problem was basically overcome after 1962, with the development of Stochastic Electrodynamics (SED physics). Contrary to Quantum Electrodynamics (QED physics), SED physics accepts a real physical Zero Point Energy.  It is seen as pervading the whole cosmos, instead of it being a mere mathematical abstraction.</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SED considers the ZPE itself as the agency that imparts mass to all subatomic particles. SED physicists note that the electromagnetic waves of the ZPE impinge upon all charged, massless particles. This causes them to jitter in a random manner similar to what we see in the Brownian motion of a dust particle bombarded by molecules of air. Schrödinger referred to this “jitter motion” by its German equivalent word, </w:t>
      </w:r>
      <w:r w:rsidRPr="00125962">
        <w:rPr>
          <w:i/>
          <w:iCs/>
          <w:sz w:val="20"/>
        </w:rPr>
        <w:t>Zitterbewegung</w:t>
      </w:r>
      <w:r w:rsidRPr="00125962">
        <w:rPr>
          <w:sz w:val="20"/>
        </w:rPr>
        <w:t xml:space="preserve">.  Dirac pointed out that the </w:t>
      </w:r>
      <w:r w:rsidRPr="00125962">
        <w:rPr>
          <w:i/>
          <w:iCs/>
          <w:sz w:val="20"/>
        </w:rPr>
        <w:t>Zitterbewegung</w:t>
      </w:r>
      <w:r w:rsidRPr="00125962">
        <w:rPr>
          <w:iCs/>
          <w:sz w:val="20"/>
        </w:rPr>
        <w:t xml:space="preserve"> jitter </w:t>
      </w:r>
      <w:r w:rsidRPr="00125962">
        <w:rPr>
          <w:sz w:val="20"/>
        </w:rPr>
        <w:t xml:space="preserve">occurs either at, or very close to, the speed of light. This conclusion has been sustained by recent studies and the term "ultra-relativistic" has been used to describe it [50, 51].  The physical reality of the </w:t>
      </w:r>
      <w:r w:rsidRPr="00125962">
        <w:rPr>
          <w:i/>
          <w:sz w:val="20"/>
        </w:rPr>
        <w:t>Zitterbewegung</w:t>
      </w:r>
      <w:r w:rsidRPr="00125962">
        <w:rPr>
          <w:sz w:val="20"/>
        </w:rPr>
        <w:t xml:space="preserve"> was demonstrated experimentally in 2010 with calcium ions by Roos and colleagues; Gerritsma was the lead author of the report [52].</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Hal Puthoff explains what happens according to SED physics</w:t>
      </w:r>
      <w:proofErr w:type="gramStart"/>
      <w:r w:rsidRPr="00125962">
        <w:rPr>
          <w:sz w:val="20"/>
        </w:rPr>
        <w:t>:</w:t>
      </w:r>
      <w:r w:rsidRPr="00125962">
        <w:rPr>
          <w:i/>
          <w:iCs/>
          <w:sz w:val="20"/>
        </w:rPr>
        <w:t>“</w:t>
      </w:r>
      <w:proofErr w:type="gramEnd"/>
      <w:r w:rsidRPr="00125962">
        <w:rPr>
          <w:i/>
          <w:iCs/>
          <w:sz w:val="20"/>
        </w:rPr>
        <w:t xml:space="preserve">In this view the particle mass </w:t>
      </w:r>
      <w:r w:rsidRPr="00125962">
        <w:rPr>
          <w:b/>
          <w:i/>
          <w:sz w:val="20"/>
        </w:rPr>
        <w:t>m</w:t>
      </w:r>
      <w:r w:rsidRPr="00125962">
        <w:rPr>
          <w:sz w:val="20"/>
        </w:rPr>
        <w:t xml:space="preserve"> </w:t>
      </w:r>
      <w:r w:rsidRPr="00125962">
        <w:rPr>
          <w:i/>
          <w:iCs/>
          <w:sz w:val="20"/>
        </w:rPr>
        <w:t xml:space="preserve">is of dynamical origin, originating in parton-motion response to the electromagnetic zeropoint fluctuations of the vacuum. It is therefore simply a special case of the general proposition that the internal kinetic energy of a system contributes to the effective mass of that system.” </w:t>
      </w:r>
      <w:r w:rsidRPr="00125962">
        <w:rPr>
          <w:sz w:val="20"/>
        </w:rPr>
        <w:t xml:space="preserve">[53] As a result, it has been stated that, even if it is found to exist, </w:t>
      </w:r>
      <w:r w:rsidRPr="00125962">
        <w:rPr>
          <w:i/>
          <w:sz w:val="20"/>
        </w:rPr>
        <w:t>“the Higgs might not be needed to explain rest mass at all. The inherent energy in a particle may be a result of its jittering motion [caused by the ZPE]. A massless particle may pick up energy from it [the ZPE], hence acquiring what we think of as rest mass.”</w:t>
      </w:r>
      <w:r w:rsidRPr="00125962">
        <w:rPr>
          <w:sz w:val="20"/>
        </w:rPr>
        <w:t xml:space="preserve"> [54] The calculations of SED physicists quantitatively support this view.</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The formulations of Haisch, Rueda and Puthoff show the parton’s rest mass</w:t>
      </w:r>
      <w:proofErr w:type="gramStart"/>
      <w:r w:rsidRPr="00125962">
        <w:rPr>
          <w:sz w:val="20"/>
        </w:rPr>
        <w:t xml:space="preserve">, </w:t>
      </w:r>
      <m:oMath>
        <w:proofErr w:type="gramEnd"/>
        <m:r>
          <w:rPr>
            <w:rFonts w:ascii="Cambria Math" w:hAnsi="Cambria Math"/>
            <w:sz w:val="20"/>
          </w:rPr>
          <m:t>m</m:t>
        </m:r>
      </m:oMath>
      <w:r w:rsidRPr="00125962">
        <w:rPr>
          <w:sz w:val="20"/>
        </w:rPr>
        <w:t>, of ZPE origin is given by [55, 56].</w:t>
      </w:r>
    </w:p>
    <w:p w:rsidR="00416D75" w:rsidRPr="00125962" w:rsidRDefault="00416D75" w:rsidP="00416D75">
      <w:pPr>
        <w:pStyle w:val="equation"/>
        <w:spacing w:before="80" w:after="80"/>
        <w:jc w:val="right"/>
        <w:rPr>
          <w:sz w:val="20"/>
        </w:rPr>
      </w:pPr>
      <w:r w:rsidRPr="00125962">
        <w:rPr>
          <w:sz w:val="20"/>
        </w:rPr>
        <w:tab/>
      </w:r>
      <w:r w:rsidRPr="00125962">
        <w:rPr>
          <w:position w:val="-22"/>
          <w:sz w:val="20"/>
        </w:rPr>
        <w:object w:dxaOrig="2100" w:dyaOrig="580">
          <v:shape id="_x0000_i1342" type="#_x0000_t75" style="width:105.9pt;height:29.65pt" o:ole="">
            <v:imagedata r:id="rId1188" o:title=""/>
          </v:shape>
          <o:OLEObject Type="Embed" ProgID="Equation.DSMT4" ShapeID="_x0000_i1342" DrawAspect="Content" ObjectID="_1433920494" r:id="rId1189"/>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(10)</w:t>
      </w:r>
    </w:p>
    <w:p w:rsidR="00416D75" w:rsidRPr="00125962" w:rsidRDefault="00416D75" w:rsidP="00416D75">
      <w:pPr>
        <w:pStyle w:val="NormPara"/>
        <w:ind w:firstLine="720"/>
        <w:rPr>
          <w:sz w:val="20"/>
        </w:rPr>
      </w:pPr>
      <w:r w:rsidRPr="00125962">
        <w:rPr>
          <w:sz w:val="20"/>
        </w:rPr>
        <w:t xml:space="preserve">In Eq. (10), </w:t>
      </w:r>
      <w:r w:rsidRPr="00125962">
        <w:rPr>
          <w:position w:val="-6"/>
          <w:sz w:val="20"/>
        </w:rPr>
        <w:object w:dxaOrig="200" w:dyaOrig="200">
          <v:shape id="_x0000_i1343" type="#_x0000_t75" style="width:10.3pt;height:10.3pt" o:ole="">
            <v:imagedata r:id="rId1190" o:title=""/>
          </v:shape>
          <o:OLEObject Type="Embed" ProgID="Equation.DSMT4" ShapeID="_x0000_i1343" DrawAspect="Content" ObjectID="_1433920495" r:id="rId1191"/>
        </w:object>
      </w:r>
      <w:r w:rsidRPr="00125962">
        <w:rPr>
          <w:sz w:val="20"/>
        </w:rPr>
        <w:t xml:space="preserve"> is the </w:t>
      </w:r>
      <w:r w:rsidRPr="00125962">
        <w:rPr>
          <w:rStyle w:val="Emphasis"/>
          <w:sz w:val="20"/>
        </w:rPr>
        <w:t xml:space="preserve">Zitterbewegung </w:t>
      </w:r>
      <w:r w:rsidRPr="00125962">
        <w:rPr>
          <w:sz w:val="20"/>
        </w:rPr>
        <w:t xml:space="preserve">oscillation frequency of the particle, while </w:t>
      </w:r>
      <w:r w:rsidRPr="00125962">
        <w:rPr>
          <w:position w:val="-4"/>
          <w:sz w:val="20"/>
        </w:rPr>
        <w:object w:dxaOrig="180" w:dyaOrig="200">
          <v:shape id="_x0000_i1344" type="#_x0000_t75" style="width:9.7pt;height:10.3pt" o:ole="">
            <v:imagedata r:id="rId1192" o:title=""/>
          </v:shape>
          <o:OLEObject Type="Embed" ProgID="Equation.DSMT4" ShapeID="_x0000_i1344" DrawAspect="Content" ObjectID="_1433920496" r:id="rId1193"/>
        </w:object>
      </w:r>
      <w:r w:rsidRPr="00125962">
        <w:rPr>
          <w:sz w:val="20"/>
        </w:rPr>
        <w:t>is the Abraham-Lorentz damping constant of the parton. The proportionalities in (10) hold because the terms [</w:t>
      </w:r>
      <w:r w:rsidRPr="00125962">
        <w:rPr>
          <w:position w:val="-6"/>
          <w:sz w:val="20"/>
        </w:rPr>
        <w:object w:dxaOrig="480" w:dyaOrig="300">
          <v:shape id="_x0000_i1345" type="#_x0000_t75" style="width:24.2pt;height:15.15pt" o:ole="">
            <v:imagedata r:id="rId1194" o:title=""/>
          </v:shape>
          <o:OLEObject Type="Embed" ProgID="Equation.DSMT4" ShapeID="_x0000_i1345" DrawAspect="Content" ObjectID="_1433920497" r:id="rId1195"/>
        </w:object>
      </w:r>
      <w:r w:rsidRPr="00125962">
        <w:rPr>
          <w:sz w:val="20"/>
        </w:rPr>
        <w:t xml:space="preserve">] which make up the numerator of (10) can be shown to remain constant in a changing ZPE scenario [57].  From (10) it can be seen that energy, </w:t>
      </w:r>
      <w:r w:rsidRPr="00125962">
        <w:rPr>
          <w:i/>
          <w:sz w:val="20"/>
        </w:rPr>
        <w:t>E</w:t>
      </w:r>
      <w:r w:rsidRPr="00125962">
        <w:rPr>
          <w:sz w:val="20"/>
        </w:rPr>
        <w:t xml:space="preserve">, will be conserved with any change in ZPE strength since atomic masses are changing as the inverse square of the speed of light. Thus, energy </w:t>
      </w:r>
      <w:r w:rsidRPr="00125962">
        <w:rPr>
          <w:position w:val="-6"/>
          <w:sz w:val="20"/>
        </w:rPr>
        <w:object w:dxaOrig="660" w:dyaOrig="300">
          <v:shape id="_x0000_i1346" type="#_x0000_t75" style="width:33.3pt;height:15.15pt" o:ole="">
            <v:imagedata r:id="rId1196" o:title=""/>
          </v:shape>
          <o:OLEObject Type="Embed" ProgID="Equation.DSMT4" ShapeID="_x0000_i1346" DrawAspect="Content" ObjectID="_1433920498" r:id="rId1197"/>
        </w:object>
      </w:r>
      <w:r w:rsidRPr="00125962">
        <w:rPr>
          <w:sz w:val="20"/>
        </w:rPr>
        <w:t xml:space="preserve"> will remain constant.</w:t>
      </w:r>
    </w:p>
    <w:p w:rsidR="00416D75" w:rsidRPr="00125962"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t>Experimentally, the recommended values of the electron rest-mass</w:t>
      </w:r>
      <w:proofErr w:type="gramStart"/>
      <w:r w:rsidRPr="00125962">
        <w:rPr>
          <w:sz w:val="20"/>
        </w:rPr>
        <w:t xml:space="preserve">, </w:t>
      </w:r>
      <m:oMath>
        <w:proofErr w:type="gramEnd"/>
        <m:r>
          <w:rPr>
            <w:rFonts w:ascii="Cambria Math" w:hAnsi="Cambria Math"/>
            <w:sz w:val="20"/>
          </w:rPr>
          <m:t>m</m:t>
        </m:r>
      </m:oMath>
      <w:r w:rsidRPr="00125962">
        <w:rPr>
          <w:sz w:val="20"/>
        </w:rPr>
        <w:t xml:space="preserve">, support the contention that the ZPE strength was increasing up to about 1970. The graph of these recommended values is given in Fig. 8. </w:t>
      </w:r>
    </w:p>
    <w:p w:rsidR="00416D75" w:rsidRDefault="00416D75" w:rsidP="00416D75">
      <w:pPr>
        <w:pStyle w:val="NormPara"/>
        <w:ind w:firstLine="720"/>
        <w:rPr>
          <w:sz w:val="20"/>
        </w:rPr>
      </w:pPr>
    </w:p>
    <w:p w:rsidR="00416D75" w:rsidRDefault="00416D75" w:rsidP="00416D75">
      <w:pPr>
        <w:pStyle w:val="NormPara"/>
        <w:ind w:firstLine="720"/>
        <w:rPr>
          <w:sz w:val="20"/>
        </w:rPr>
      </w:pPr>
      <w:r w:rsidRPr="00125962">
        <w:rPr>
          <w:sz w:val="20"/>
        </w:rPr>
        <w:lastRenderedPageBreak/>
        <w:t>A similar graph could be drawn of recommended rest-mass values</w:t>
      </w:r>
      <w:proofErr w:type="gramStart"/>
      <w:r w:rsidRPr="00125962">
        <w:rPr>
          <w:sz w:val="20"/>
        </w:rPr>
        <w:t xml:space="preserve">, </w:t>
      </w:r>
      <m:oMath>
        <w:proofErr w:type="gramEnd"/>
        <m:r>
          <w:rPr>
            <w:rFonts w:ascii="Cambria Math" w:hAnsi="Cambria Math"/>
            <w:sz w:val="20"/>
          </w:rPr>
          <m:t>m</m:t>
        </m:r>
      </m:oMath>
      <w:r w:rsidRPr="00125962">
        <w:rPr>
          <w:sz w:val="20"/>
        </w:rPr>
        <w:t>, for the proton. A “flat point” occurs around 1970 supporting the Narlikar-Arp oscillation idea.</w:t>
      </w: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Default="00416D75" w:rsidP="00416D75">
      <w:pPr>
        <w:pStyle w:val="NormPara"/>
        <w:ind w:firstLine="720"/>
        <w:rPr>
          <w:sz w:val="20"/>
        </w:rPr>
      </w:pPr>
    </w:p>
    <w:p w:rsidR="00416D75" w:rsidRPr="00125962" w:rsidRDefault="00416D75" w:rsidP="00416D75">
      <w:pPr>
        <w:pStyle w:val="NormPara"/>
        <w:ind w:firstLine="0"/>
        <w:jc w:val="center"/>
        <w:rPr>
          <w:sz w:val="20"/>
        </w:rPr>
      </w:pPr>
      <w:r w:rsidRPr="00125962">
        <w:rPr>
          <w:noProof/>
          <w:sz w:val="20"/>
        </w:rPr>
        <w:drawing>
          <wp:inline distT="0" distB="0" distL="0" distR="0">
            <wp:extent cx="4322429" cy="4441372"/>
            <wp:effectExtent l="19050" t="0" r="1921" b="0"/>
            <wp:docPr id="49" name="Picture 148" descr="E:\ElectronRestMass.jpg"/>
            <wp:cNvGraphicFramePr/>
            <a:graphic xmlns:a="http://schemas.openxmlformats.org/drawingml/2006/main">
              <a:graphicData uri="http://schemas.openxmlformats.org/drawingml/2006/picture">
                <pic:pic xmlns:pic="http://schemas.openxmlformats.org/drawingml/2006/picture">
                  <pic:nvPicPr>
                    <pic:cNvPr id="4" name="Picture 3" descr="E:\ElectronRestMass.jpg"/>
                    <pic:cNvPicPr/>
                  </pic:nvPicPr>
                  <pic:blipFill>
                    <a:blip r:embed="rId160" cstate="print">
                      <a:lum contrast="20000"/>
                    </a:blip>
                    <a:srcRect/>
                    <a:stretch>
                      <a:fillRect/>
                    </a:stretch>
                  </pic:blipFill>
                  <pic:spPr bwMode="auto">
                    <a:xfrm>
                      <a:off x="0" y="0"/>
                      <a:ext cx="4324350" cy="4443346"/>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color w:val="FF0000"/>
          <w:szCs w:val="18"/>
        </w:rPr>
      </w:pPr>
      <w:r w:rsidRPr="0025044F">
        <w:rPr>
          <w:b/>
          <w:i/>
          <w:szCs w:val="18"/>
        </w:rPr>
        <w:t>Figure 8:</w:t>
      </w:r>
      <w:r w:rsidRPr="0025044F">
        <w:rPr>
          <w:i/>
          <w:szCs w:val="18"/>
        </w:rPr>
        <w:t xml:space="preserve">  Recommended values of electron rest mass, m [17-29]</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Atomic Frequencies and Atomic Clocks</w:t>
      </w:r>
    </w:p>
    <w:p w:rsidR="00416D75" w:rsidRPr="00747889" w:rsidRDefault="00416D75" w:rsidP="00416D75">
      <w:pPr>
        <w:pStyle w:val="NoSpacing"/>
        <w:rPr>
          <w:rFonts w:ascii="Book Antiqua" w:hAnsi="Book Antiqua"/>
        </w:rPr>
      </w:pPr>
    </w:p>
    <w:p w:rsidR="00416D75" w:rsidRPr="00125962" w:rsidRDefault="00416D75" w:rsidP="00416D75">
      <w:pPr>
        <w:pStyle w:val="NormPara"/>
        <w:ind w:firstLine="270"/>
        <w:rPr>
          <w:sz w:val="20"/>
        </w:rPr>
      </w:pPr>
      <w:r w:rsidRPr="00125962">
        <w:rPr>
          <w:sz w:val="20"/>
        </w:rPr>
        <w:t xml:space="preserve">From 1750 to 1960 light-speed was measured as varying. Since the use of interferometers in the 1800’s there have been no observed changes in the standard wavelengths of light. Neither have there been fringe-shifts recorded by them. Birge admitted that this allowed only one conclusion. He said: </w:t>
      </w:r>
      <w:r w:rsidRPr="00125962">
        <w:rPr>
          <w:i/>
          <w:iCs/>
          <w:sz w:val="20"/>
        </w:rPr>
        <w:t xml:space="preserve">“if the value of </w:t>
      </w:r>
      <m:oMath>
        <m:r>
          <w:rPr>
            <w:rFonts w:ascii="Cambria Math" w:hAnsi="Cambria Math"/>
            <w:sz w:val="20"/>
          </w:rPr>
          <m:t>c</m:t>
        </m:r>
      </m:oMath>
      <w:r w:rsidRPr="00125962">
        <w:rPr>
          <w:i/>
          <w:iCs/>
          <w:sz w:val="20"/>
        </w:rPr>
        <w:t xml:space="preserve"> … is actually changing with time, but the value of</w:t>
      </w:r>
      <m:oMath>
        <m:r>
          <w:rPr>
            <w:rFonts w:ascii="Cambria Math"/>
            <w:sz w:val="20"/>
          </w:rPr>
          <m:t xml:space="preserve"> </m:t>
        </m:r>
        <m:r>
          <w:rPr>
            <w:rFonts w:ascii="Cambria Math" w:hAnsi="Cambria Math"/>
            <w:sz w:val="20"/>
          </w:rPr>
          <m:t>λ</m:t>
        </m:r>
      </m:oMath>
      <w:r w:rsidRPr="00125962">
        <w:rPr>
          <w:sz w:val="20"/>
        </w:rPr>
        <w:t xml:space="preserve"> </w:t>
      </w:r>
      <w:r w:rsidRPr="00125962">
        <w:rPr>
          <w:i/>
          <w:iCs/>
          <w:sz w:val="20"/>
        </w:rPr>
        <w:t xml:space="preserve">in terms of the standard metre shows no corresponding change, then it necessarily follows that the value of every atomic frequency ... must be changing.” </w:t>
      </w:r>
      <w:r w:rsidRPr="00125962">
        <w:rPr>
          <w:sz w:val="20"/>
        </w:rPr>
        <w:t xml:space="preserve">[58] This is in accord with Eq. (9). In order to see why Birge’s comment is correct, let us apply (10) to electrons in orbits and nucleons in orbitals. The kinetic energy of these particles is given by </w:t>
      </w:r>
      <m:oMath>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xml:space="preserve"> where </w:t>
      </w:r>
      <m:oMath>
        <m:r>
          <w:rPr>
            <w:rFonts w:ascii="Cambria Math" w:hAnsi="Cambria Math"/>
            <w:sz w:val="20"/>
          </w:rPr>
          <m:t>v</m:t>
        </m:r>
      </m:oMath>
      <w:r w:rsidRPr="00125962">
        <w:rPr>
          <w:sz w:val="20"/>
        </w:rPr>
        <w:t xml:space="preserve"> is the tangential velocity. If </w:t>
      </w:r>
      <m:oMath>
        <m:r>
          <w:rPr>
            <w:rFonts w:ascii="Cambria Math" w:hAnsi="Cambria Math"/>
            <w:sz w:val="20"/>
          </w:rPr>
          <m:t>m</m:t>
        </m:r>
      </m:oMath>
      <w:r w:rsidRPr="00125962">
        <w:rPr>
          <w:sz w:val="20"/>
        </w:rPr>
        <w:t xml:space="preserve"> varies as </w:t>
      </w:r>
      <m:oMath>
        <m:r>
          <w:rPr>
            <w:rFonts w:ascii="Cambria Math"/>
            <w:sz w:val="20"/>
          </w:rPr>
          <m:t>1/</m:t>
        </m:r>
        <m:sSup>
          <m:sSupPr>
            <m:ctrlPr>
              <w:rPr>
                <w:rFonts w:ascii="Cambria Math" w:hAnsi="Cambria Math"/>
                <w:i/>
                <w:sz w:val="20"/>
              </w:rPr>
            </m:ctrlPr>
          </m:sSupPr>
          <m:e>
            <m:r>
              <w:rPr>
                <w:rFonts w:ascii="Cambria Math" w:hAnsi="Cambria Math"/>
                <w:sz w:val="20"/>
              </w:rPr>
              <m:t>c</m:t>
            </m:r>
          </m:e>
          <m:sup>
            <m:r>
              <w:rPr>
                <w:rFonts w:ascii="Cambria Math"/>
                <w:sz w:val="20"/>
              </w:rPr>
              <m:t>2</m:t>
            </m:r>
          </m:sup>
        </m:sSup>
      </m:oMath>
      <w:r w:rsidRPr="00125962">
        <w:rPr>
          <w:sz w:val="20"/>
        </w:rPr>
        <w:t xml:space="preserve"> it follows that </w:t>
      </w:r>
      <m:oMath>
        <m:r>
          <w:rPr>
            <w:rFonts w:ascii="Cambria Math" w:hAnsi="Cambria Math"/>
            <w:sz w:val="20"/>
          </w:rPr>
          <m:t>v</m:t>
        </m:r>
      </m:oMath>
      <w:r w:rsidRPr="00125962">
        <w:rPr>
          <w:sz w:val="20"/>
        </w:rPr>
        <w:t xml:space="preserve"> must vary </w:t>
      </w:r>
      <w:proofErr w:type="gramStart"/>
      <w:r w:rsidRPr="00125962">
        <w:rPr>
          <w:sz w:val="20"/>
        </w:rPr>
        <w:t xml:space="preserve">as </w:t>
      </w:r>
      <m:oMath>
        <w:proofErr w:type="gramEnd"/>
        <m:r>
          <w:rPr>
            <w:rFonts w:ascii="Cambria Math" w:hAnsi="Cambria Math"/>
            <w:sz w:val="20"/>
          </w:rPr>
          <m:t>c</m:t>
        </m:r>
      </m:oMath>
      <w:r w:rsidRPr="00125962">
        <w:rPr>
          <w:i/>
          <w:sz w:val="20"/>
        </w:rPr>
        <w:t>,</w:t>
      </w:r>
      <w:r w:rsidRPr="00125962">
        <w:rPr>
          <w:sz w:val="20"/>
        </w:rPr>
        <w:t xml:space="preserve"> since kinetic energy is conserved in an atomic environment.  Birge’s statement about atomic frequencies, </w:t>
      </w:r>
      <m:oMath>
        <m:r>
          <w:rPr>
            <w:rFonts w:ascii="Cambria Math" w:hAnsi="Cambria Math"/>
            <w:sz w:val="20"/>
          </w:rPr>
          <m:t>f</m:t>
        </m:r>
        <m:r>
          <w:rPr>
            <w:rFonts w:ascii="Cambria Math"/>
            <w:sz w:val="20"/>
          </w:rPr>
          <m:t>,</m:t>
        </m:r>
      </m:oMath>
      <w:r w:rsidRPr="00125962">
        <w:rPr>
          <w:sz w:val="20"/>
        </w:rPr>
        <w:t xml:space="preserve"> or, inversely, atomic time intervals, </w:t>
      </w:r>
      <m:oMath>
        <m:r>
          <w:rPr>
            <w:rFonts w:ascii="Cambria Math" w:hAnsi="Cambria Math"/>
            <w:sz w:val="20"/>
          </w:rPr>
          <m:t>t</m:t>
        </m:r>
        <m:r>
          <w:rPr>
            <w:rFonts w:ascii="Cambria Math"/>
            <w:sz w:val="20"/>
          </w:rPr>
          <m:t>,</m:t>
        </m:r>
      </m:oMath>
      <w:r w:rsidRPr="00125962">
        <w:rPr>
          <w:sz w:val="20"/>
        </w:rPr>
        <w:t xml:space="preserve"> follows logically from this, since orbit velocities show the following proportionalities:</w:t>
      </w:r>
    </w:p>
    <w:p w:rsidR="00416D75" w:rsidRPr="00125962" w:rsidRDefault="00416D75" w:rsidP="00416D75">
      <w:pPr>
        <w:pStyle w:val="NormPara"/>
        <w:ind w:firstLine="270"/>
        <w:rPr>
          <w:sz w:val="20"/>
        </w:rPr>
      </w:pP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position w:val="-10"/>
          <w:sz w:val="20"/>
        </w:rPr>
        <w:object w:dxaOrig="740" w:dyaOrig="280">
          <v:shape id="_x0000_i1347" type="#_x0000_t75" style="width:36.9pt;height:14.5pt" o:ole="">
            <v:imagedata r:id="rId1198" o:title=""/>
          </v:shape>
          <o:OLEObject Type="Embed" ProgID="Equation.DSMT4" ShapeID="_x0000_i1347" DrawAspect="Content" ObjectID="_1433920499" r:id="rId119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(11)</w:t>
      </w:r>
    </w:p>
    <w:p w:rsidR="00416D75" w:rsidRDefault="00416D75" w:rsidP="00416D75">
      <w:pPr>
        <w:pStyle w:val="NormPara"/>
        <w:ind w:firstLine="0"/>
        <w:rPr>
          <w:sz w:val="20"/>
        </w:rPr>
      </w:pPr>
    </w:p>
    <w:p w:rsidR="00416D75" w:rsidRPr="00125962" w:rsidRDefault="00416D75" w:rsidP="00416D75">
      <w:pPr>
        <w:pStyle w:val="NormPara"/>
        <w:ind w:firstLine="0"/>
        <w:rPr>
          <w:sz w:val="20"/>
        </w:rPr>
      </w:pPr>
      <w:r w:rsidRPr="00125962">
        <w:rPr>
          <w:sz w:val="20"/>
        </w:rPr>
        <w:t>The formulation for electron velocity in the first Bohr orbit verifies this. Allen’s Astrophysical Quantities [59], gives the orbit velocity</w:t>
      </w:r>
      <w:proofErr w:type="gramStart"/>
      <w:r w:rsidRPr="00125962">
        <w:rPr>
          <w:sz w:val="20"/>
        </w:rPr>
        <w:t xml:space="preserve">, </w:t>
      </w:r>
      <m:oMath>
        <w:proofErr w:type="gramEnd"/>
        <m:r>
          <w:rPr>
            <w:rFonts w:ascii="Cambria Math" w:hAnsi="Cambria Math"/>
            <w:sz w:val="20"/>
          </w:rPr>
          <m:t>v</m:t>
        </m:r>
      </m:oMath>
      <w:r w:rsidRPr="00125962">
        <w:rPr>
          <w:sz w:val="20"/>
        </w:rPr>
        <w:t>, as</w:t>
      </w:r>
    </w:p>
    <w:p w:rsidR="00416D75" w:rsidRPr="00125962" w:rsidRDefault="00416D75" w:rsidP="00416D75">
      <w:pPr>
        <w:pStyle w:val="NormPara"/>
        <w:ind w:firstLine="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20"/>
          <w:sz w:val="20"/>
        </w:rPr>
        <w:object w:dxaOrig="1399" w:dyaOrig="560">
          <v:shape id="_x0000_i1348" type="#_x0000_t75" style="width:69.6pt;height:27.85pt" o:ole="">
            <v:imagedata r:id="rId1200" o:title=""/>
          </v:shape>
          <o:OLEObject Type="Embed" ProgID="Equation.3" ShapeID="_x0000_i1348" DrawAspect="Content" ObjectID="_1433920500" r:id="rId120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In (12), the proportionalities affirm French’s comment that the frequency of light emitted by an electron’s transition to the ground state orbit </w:t>
      </w:r>
      <w:r w:rsidRPr="00125962">
        <w:rPr>
          <w:i/>
          <w:sz w:val="20"/>
        </w:rPr>
        <w:t>“is identical with the frequency of revolution in the [ground state] orbit”</w:t>
      </w:r>
      <w:r w:rsidRPr="00125962">
        <w:rPr>
          <w:sz w:val="20"/>
        </w:rPr>
        <w:t xml:space="preserve"> [60]. Therefore we see that atomic frequencies generally obey Eq. (11) in the same way that photon frequencies do in (9). This means that when </w:t>
      </w:r>
      <w:r w:rsidRPr="00125962">
        <w:rPr>
          <w:i/>
          <w:sz w:val="20"/>
        </w:rPr>
        <w:t>c</w:t>
      </w:r>
      <w:r w:rsidRPr="00125962">
        <w:rPr>
          <w:sz w:val="20"/>
        </w:rPr>
        <w:t xml:space="preserve"> is higher, atomic frequencies are also higher.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proofErr w:type="gramStart"/>
      <w:r w:rsidRPr="00125962">
        <w:rPr>
          <w:sz w:val="20"/>
        </w:rPr>
        <w:t xml:space="preserve">Therefore, Birge's comment that </w:t>
      </w:r>
      <w:r w:rsidRPr="00125962">
        <w:rPr>
          <w:i/>
          <w:sz w:val="20"/>
        </w:rPr>
        <w:t>"every atomic frequency must be changing"</w:t>
      </w:r>
      <w:r w:rsidRPr="00125962">
        <w:rPr>
          <w:sz w:val="20"/>
        </w:rPr>
        <w:t xml:space="preserve"> synchronously with the speed of light is shown to be correct, even though he casually dismissed the idea without further examination [58].</w:t>
      </w:r>
      <w:proofErr w:type="gramEnd"/>
      <w:r w:rsidRPr="00125962">
        <w:rPr>
          <w:sz w:val="20"/>
        </w:rPr>
        <w:t xml:space="preserve">  When everything is considered, it can be shown that atomic clocks will tick at a rate proportional to </w:t>
      </w:r>
      <m:oMath>
        <m:r>
          <w:rPr>
            <w:rFonts w:ascii="Cambria Math" w:hAnsi="Cambria Math"/>
            <w:sz w:val="20"/>
          </w:rPr>
          <m:t>c</m:t>
        </m:r>
      </m:oMath>
      <w:r w:rsidRPr="00125962">
        <w:rPr>
          <w:sz w:val="20"/>
        </w:rPr>
        <w:t xml:space="preserve"> or, alternatively, </w:t>
      </w:r>
      <w:proofErr w:type="gramStart"/>
      <w:r w:rsidRPr="00125962">
        <w:rPr>
          <w:sz w:val="20"/>
        </w:rPr>
        <w:t xml:space="preserve">to </w:t>
      </w:r>
      <w:proofErr w:type="gramEnd"/>
      <w:r w:rsidRPr="00125962">
        <w:rPr>
          <w:position w:val="-10"/>
          <w:sz w:val="20"/>
        </w:rPr>
        <w:object w:dxaOrig="380" w:dyaOrig="280">
          <v:shape id="_x0000_i1349" type="#_x0000_t75" style="width:18.15pt;height:14.5pt" o:ole="">
            <v:imagedata r:id="rId1202" o:title=""/>
          </v:shape>
          <o:OLEObject Type="Embed" ProgID="Equation.3" ShapeID="_x0000_i1349" DrawAspect="Content" ObjectID="_1433920501" r:id="rId1203"/>
        </w:object>
      </w:r>
      <w:r w:rsidRPr="00125962">
        <w:rPr>
          <w:sz w:val="20"/>
        </w:rPr>
        <w:t>.</w:t>
      </w:r>
    </w:p>
    <w:p w:rsidR="00416D75" w:rsidRPr="00125962" w:rsidRDefault="00416D75" w:rsidP="00416D75">
      <w:pPr>
        <w:pStyle w:val="NormPara"/>
        <w:ind w:firstLine="720"/>
        <w:rPr>
          <w:sz w:val="20"/>
        </w:rPr>
      </w:pPr>
    </w:p>
    <w:p w:rsidR="00416D75" w:rsidRDefault="00416D75" w:rsidP="00416D75">
      <w:pPr>
        <w:pStyle w:val="NormPara"/>
        <w:ind w:firstLine="461"/>
        <w:rPr>
          <w:sz w:val="20"/>
        </w:rPr>
      </w:pPr>
      <w:r w:rsidRPr="00C718B2">
        <w:rPr>
          <w:sz w:val="20"/>
        </w:rPr>
        <w:t>Extensive investigation</w:t>
      </w:r>
      <w:r w:rsidRPr="00125962">
        <w:rPr>
          <w:sz w:val="20"/>
        </w:rPr>
        <w:t xml:space="preserve"> reveals that gravitational clocks will keep constant time with a changing ZPE strength [89].  However, since atomic frequencies vary in a manner proportional </w:t>
      </w:r>
      <w:proofErr w:type="gramStart"/>
      <w:r w:rsidRPr="00125962">
        <w:rPr>
          <w:sz w:val="20"/>
        </w:rPr>
        <w:t xml:space="preserve">to </w:t>
      </w:r>
      <m:oMath>
        <w:proofErr w:type="gramEnd"/>
        <m:r>
          <w:rPr>
            <w:rFonts w:ascii="Cambria Math" w:hAnsi="Cambria Math"/>
            <w:sz w:val="20"/>
          </w:rPr>
          <m:t>c</m:t>
        </m:r>
      </m:oMath>
      <w:r w:rsidRPr="00125962">
        <w:rPr>
          <w:sz w:val="20"/>
        </w:rPr>
        <w:t>, then atomic clock rates can be shown to vary against the gravitational standard.</w:t>
      </w:r>
    </w:p>
    <w:p w:rsidR="00416D75" w:rsidRDefault="00416D75" w:rsidP="00416D75">
      <w:pPr>
        <w:pStyle w:val="NormPara"/>
        <w:ind w:firstLine="461"/>
        <w:rPr>
          <w:sz w:val="20"/>
        </w:rPr>
      </w:pPr>
    </w:p>
    <w:p w:rsidR="00416D75" w:rsidRPr="00125962" w:rsidRDefault="00416D75" w:rsidP="00416D75">
      <w:pPr>
        <w:pStyle w:val="NormPara"/>
        <w:ind w:firstLine="461"/>
        <w:rPr>
          <w:sz w:val="20"/>
        </w:rPr>
      </w:pPr>
      <w:r w:rsidRPr="00125962">
        <w:rPr>
          <w:sz w:val="20"/>
        </w:rPr>
        <w:t xml:space="preserve"> Indeed, after investigation in 1965, Kovalevsky noted that if gravitational and atomic clock rates were different, </w:t>
      </w:r>
      <w:r w:rsidRPr="00125962">
        <w:rPr>
          <w:i/>
          <w:sz w:val="20"/>
        </w:rPr>
        <w:t>“then Planck’s constant as well as atomic frequencies would drift”</w:t>
      </w:r>
      <w:r w:rsidRPr="00125962">
        <w:rPr>
          <w:sz w:val="20"/>
        </w:rPr>
        <w:t xml:space="preserve"> [61]. These two effects have already been noted here, and the data confirm the proposition.  Observatories have noted the different clock rates. One analysis stated [62]:</w:t>
      </w:r>
    </w:p>
    <w:p w:rsidR="00416D75" w:rsidRPr="00125962" w:rsidRDefault="00416D75" w:rsidP="00416D75">
      <w:pPr>
        <w:pStyle w:val="NormPara"/>
        <w:ind w:firstLine="461"/>
        <w:rPr>
          <w:sz w:val="20"/>
        </w:rPr>
      </w:pPr>
    </w:p>
    <w:p w:rsidR="00416D75" w:rsidRDefault="00416D75" w:rsidP="00416D75">
      <w:pPr>
        <w:pStyle w:val="NormPara"/>
        <w:spacing w:before="80" w:after="80"/>
        <w:ind w:firstLine="187"/>
        <w:rPr>
          <w:i/>
          <w:sz w:val="20"/>
        </w:rPr>
      </w:pPr>
      <w:r w:rsidRPr="00125962">
        <w:rPr>
          <w:i/>
          <w:sz w:val="20"/>
        </w:rPr>
        <w:t>“Recently, several independent investigators have reported discrepancies between the optical observations and the planetary ephemerides. The discussions by Yao and Smith (1988, 1991, 1993)</w:t>
      </w:r>
      <w:r w:rsidRPr="00125962">
        <w:rPr>
          <w:sz w:val="20"/>
        </w:rPr>
        <w:t>[63 - 65]</w:t>
      </w:r>
      <w:r w:rsidRPr="00125962">
        <w:rPr>
          <w:i/>
          <w:sz w:val="20"/>
        </w:rPr>
        <w:t xml:space="preserve">, Krasinsky et al. (1993) </w:t>
      </w:r>
      <w:r w:rsidRPr="00125962">
        <w:rPr>
          <w:sz w:val="20"/>
        </w:rPr>
        <w:t>[66]</w:t>
      </w:r>
      <w:r w:rsidRPr="00125962">
        <w:rPr>
          <w:i/>
          <w:sz w:val="20"/>
        </w:rPr>
        <w:t xml:space="preserve">, Standish &amp; Williams (1990) </w:t>
      </w:r>
      <w:r w:rsidRPr="00125962">
        <w:rPr>
          <w:sz w:val="20"/>
        </w:rPr>
        <w:t>[67]</w:t>
      </w:r>
      <w:r w:rsidRPr="00125962">
        <w:rPr>
          <w:i/>
          <w:sz w:val="20"/>
        </w:rPr>
        <w:t xml:space="preserve">, Seidelman et al. (1985, 1986) </w:t>
      </w:r>
      <w:r w:rsidRPr="00125962">
        <w:rPr>
          <w:sz w:val="20"/>
        </w:rPr>
        <w:t>[68 - 69]</w:t>
      </w:r>
      <w:r w:rsidRPr="00125962">
        <w:rPr>
          <w:i/>
          <w:sz w:val="20"/>
        </w:rPr>
        <w:t xml:space="preserve">, Seidelman (1992) </w:t>
      </w:r>
      <w:r w:rsidRPr="00125962">
        <w:rPr>
          <w:sz w:val="20"/>
        </w:rPr>
        <w:t>[70]</w:t>
      </w:r>
      <w:r w:rsidRPr="00125962">
        <w:rPr>
          <w:i/>
          <w:sz w:val="20"/>
        </w:rPr>
        <w:t xml:space="preserve">, Kolesnik (1995, 1996) </w:t>
      </w:r>
      <w:r w:rsidRPr="00125962">
        <w:rPr>
          <w:sz w:val="20"/>
        </w:rPr>
        <w:t>[71 - 72]</w:t>
      </w:r>
      <w:r w:rsidRPr="00125962">
        <w:rPr>
          <w:i/>
          <w:sz w:val="20"/>
        </w:rPr>
        <w:t xml:space="preserve">, and Poppe et al. (1999) </w:t>
      </w:r>
      <w:r w:rsidRPr="00125962">
        <w:rPr>
          <w:sz w:val="20"/>
        </w:rPr>
        <w:t>[73]</w:t>
      </w:r>
      <w:r w:rsidRPr="00125962">
        <w:rPr>
          <w:i/>
          <w:sz w:val="20"/>
        </w:rPr>
        <w:t xml:space="preserve"> indicate that [atomic clocks had] a negative linear drift [slowing] before 1960, and an equivalent positive drift [speeding up] after that date. </w:t>
      </w:r>
    </w:p>
    <w:p w:rsidR="00416D75" w:rsidRPr="00125962" w:rsidRDefault="00416D75" w:rsidP="00416D75">
      <w:pPr>
        <w:pStyle w:val="NormPara"/>
        <w:spacing w:before="80" w:after="80"/>
        <w:ind w:firstLine="187"/>
        <w:rPr>
          <w:i/>
          <w:sz w:val="20"/>
        </w:rPr>
      </w:pPr>
    </w:p>
    <w:p w:rsidR="00416D75" w:rsidRDefault="00416D75" w:rsidP="00416D75">
      <w:pPr>
        <w:pStyle w:val="NormPara"/>
        <w:spacing w:before="80" w:after="80"/>
        <w:ind w:firstLine="187"/>
        <w:rPr>
          <w:i/>
          <w:sz w:val="20"/>
        </w:rPr>
      </w:pPr>
      <w:r w:rsidRPr="00125962">
        <w:rPr>
          <w:i/>
          <w:sz w:val="20"/>
        </w:rPr>
        <w:t>“A paper by Yuri Kolesnik (1996) reports on positive drift of the planets relative to their ephemerides based on optical observations covering thirty years with atomic time. This study uses data from many observatories around the world, and all observations independently detect the planetary drifts. …</w:t>
      </w:r>
    </w:p>
    <w:p w:rsidR="00416D75" w:rsidRPr="00125962" w:rsidRDefault="00416D75" w:rsidP="00416D75">
      <w:pPr>
        <w:pStyle w:val="NormPara"/>
        <w:spacing w:before="80" w:after="80"/>
        <w:ind w:firstLine="187"/>
        <w:rPr>
          <w:i/>
          <w:sz w:val="20"/>
        </w:rPr>
      </w:pPr>
      <w:r w:rsidRPr="00125962">
        <w:rPr>
          <w:i/>
          <w:sz w:val="20"/>
        </w:rPr>
        <w:t xml:space="preserve"> </w:t>
      </w:r>
    </w:p>
    <w:p w:rsidR="00416D75" w:rsidRPr="00125962" w:rsidRDefault="00416D75" w:rsidP="00416D75">
      <w:pPr>
        <w:pStyle w:val="NormPara"/>
        <w:spacing w:before="80" w:after="80"/>
        <w:ind w:left="187" w:firstLine="187"/>
        <w:rPr>
          <w:sz w:val="20"/>
        </w:rPr>
      </w:pPr>
      <w:r w:rsidRPr="00125962">
        <w:rPr>
          <w:i/>
          <w:sz w:val="20"/>
        </w:rPr>
        <w:t>“[T]he planetary drifts Kolesnik and several other investigators have detected are based on accurate modern optical observations and they use atomic time. Therefore, these drifts are unquestionably real.”</w:t>
      </w:r>
      <w:r w:rsidRPr="00125962">
        <w:rPr>
          <w:sz w:val="20"/>
        </w:rPr>
        <w:t xml:space="preserve"> [62]</w:t>
      </w:r>
    </w:p>
    <w:p w:rsidR="00416D75" w:rsidRPr="00125962" w:rsidRDefault="00416D75" w:rsidP="00416D75">
      <w:pPr>
        <w:pStyle w:val="NormPara"/>
        <w:ind w:firstLine="270"/>
        <w:rPr>
          <w:sz w:val="20"/>
        </w:rPr>
      </w:pPr>
    </w:p>
    <w:p w:rsidR="00416D75" w:rsidRDefault="00416D75" w:rsidP="00416D75">
      <w:pPr>
        <w:pStyle w:val="NormPara"/>
        <w:ind w:firstLine="720"/>
        <w:rPr>
          <w:sz w:val="20"/>
        </w:rPr>
      </w:pPr>
      <w:r w:rsidRPr="00125962">
        <w:rPr>
          <w:sz w:val="20"/>
        </w:rPr>
        <w:t xml:space="preserve">Some typical data are plotted in Figs. 9 and 10.  There the vertical axis is effectively the atomic clock rate while the horizontal axis is our orbital dates.  The data turn-around which occurred around 1970 is again apparent in these figures. Figs. 9 and 10 are to approximately the same scale [62].  </w:t>
      </w:r>
    </w:p>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This turnaround, which is now apparent in all the ZPE-dependent data, can be attributed to the change in the Narlikar-Arp oscillation mode of the cosmos.</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594866" cy="2409825"/>
            <wp:effectExtent l="19050" t="0" r="5584" b="0"/>
            <wp:docPr id="50" name="Picture 7" descr="AtomicClock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omicClockRates"/>
                    <pic:cNvPicPr>
                      <a:picLocks noChangeAspect="1" noChangeArrowheads="1"/>
                    </pic:cNvPicPr>
                  </pic:nvPicPr>
                  <pic:blipFill>
                    <a:blip r:embed="rId1204" cstate="print">
                      <a:lum contrast="20000"/>
                    </a:blip>
                    <a:srcRect/>
                    <a:stretch>
                      <a:fillRect/>
                    </a:stretch>
                  </pic:blipFill>
                  <pic:spPr bwMode="auto">
                    <a:xfrm>
                      <a:off x="0" y="0"/>
                      <a:ext cx="3594866" cy="240982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jc w:val="left"/>
        <w:rPr>
          <w:szCs w:val="18"/>
        </w:rPr>
      </w:pPr>
    </w:p>
    <w:p w:rsidR="00416D75" w:rsidRPr="0025044F" w:rsidRDefault="00416D75" w:rsidP="00416D75">
      <w:pPr>
        <w:pStyle w:val="NormPara"/>
        <w:spacing w:before="80" w:after="80"/>
        <w:ind w:right="274" w:firstLine="0"/>
        <w:jc w:val="center"/>
        <w:rPr>
          <w:i/>
          <w:szCs w:val="18"/>
        </w:rPr>
      </w:pPr>
      <w:r w:rsidRPr="0025044F">
        <w:rPr>
          <w:b/>
          <w:i/>
          <w:szCs w:val="18"/>
        </w:rPr>
        <w:t>Figure 9:</w:t>
      </w:r>
      <w:r w:rsidRPr="0025044F">
        <w:rPr>
          <w:i/>
          <w:szCs w:val="18"/>
        </w:rPr>
        <w:t xml:space="preserve">  Atomic clock rates on the y-axis compared to orbital rates. Graph re-plotted from data for Mercury from 1910 to 1995 in [62].</w:t>
      </w:r>
    </w:p>
    <w:p w:rsidR="00416D75" w:rsidRPr="00125962" w:rsidRDefault="00416D75" w:rsidP="00416D75">
      <w:pPr>
        <w:pStyle w:val="NormPara"/>
        <w:spacing w:before="80" w:after="80"/>
        <w:ind w:left="274" w:right="274" w:firstLine="0"/>
        <w:jc w:val="center"/>
        <w:rPr>
          <w:sz w:val="20"/>
        </w:rPr>
      </w:pPr>
    </w:p>
    <w:p w:rsidR="00416D75" w:rsidRPr="00125962" w:rsidRDefault="00416D75" w:rsidP="00416D75">
      <w:pPr>
        <w:pStyle w:val="NormPara"/>
        <w:spacing w:before="80" w:after="80"/>
        <w:ind w:left="274" w:right="274" w:firstLine="0"/>
        <w:jc w:val="center"/>
        <w:rPr>
          <w:b/>
          <w:sz w:val="20"/>
        </w:rPr>
      </w:pPr>
      <w:r w:rsidRPr="00125962">
        <w:rPr>
          <w:b/>
          <w:noProof/>
          <w:sz w:val="20"/>
        </w:rPr>
        <w:drawing>
          <wp:inline distT="0" distB="0" distL="0" distR="0">
            <wp:extent cx="3471545" cy="2190750"/>
            <wp:effectExtent l="19050" t="0" r="14605" b="0"/>
            <wp:docPr id="52"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5"/>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25044F" w:rsidRDefault="00416D75" w:rsidP="00416D75">
      <w:pPr>
        <w:pStyle w:val="NormPara"/>
        <w:spacing w:before="80" w:after="80"/>
        <w:ind w:right="274" w:firstLine="0"/>
        <w:jc w:val="center"/>
        <w:rPr>
          <w:i/>
          <w:szCs w:val="18"/>
        </w:rPr>
      </w:pPr>
      <w:r w:rsidRPr="0025044F">
        <w:rPr>
          <w:b/>
          <w:i/>
          <w:szCs w:val="18"/>
        </w:rPr>
        <w:t>Figure 10:</w:t>
      </w:r>
      <w:r w:rsidRPr="0025044F">
        <w:rPr>
          <w:i/>
          <w:szCs w:val="18"/>
        </w:rPr>
        <w:t xml:space="preserve">  Atomic clock rates (y-axis) compared to orbital rates using solar data 1910 to 1999. Graph re-plotted from data in [62].</w:t>
      </w:r>
    </w:p>
    <w:p w:rsidR="00416D75" w:rsidRPr="00125962" w:rsidRDefault="00416D75" w:rsidP="00416D75">
      <w:pPr>
        <w:pStyle w:val="NormPara"/>
        <w:spacing w:before="80" w:after="80"/>
        <w:ind w:right="274" w:firstLine="0"/>
        <w:jc w:val="left"/>
        <w:rPr>
          <w:szCs w:val="18"/>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 xml:space="preserve">The ZPE and the Redshift </w:t>
      </w:r>
    </w:p>
    <w:p w:rsidR="00416D75" w:rsidRPr="00125962" w:rsidRDefault="00416D75" w:rsidP="00416D75">
      <w:pPr>
        <w:pStyle w:val="ListParagraph"/>
        <w:spacing w:before="120" w:after="120" w:line="240" w:lineRule="atLeast"/>
        <w:ind w:left="274"/>
        <w:jc w:val="both"/>
        <w:outlineLvl w:val="0"/>
        <w:rPr>
          <w:rFonts w:ascii="Book Antiqua" w:hAnsi="Book Antiqua"/>
          <w:b/>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The ZPE and Atomic Orbits</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The Zero Point Energy is not only responsible for the slowing of both light and atomic clocks, it also provides the answer to a problem found in classical physics. Classical physics requires an electron orbiting a nucleus to be radiating energy.  Losing energy, it would then seem to have to spiral into the nucleus. This does not happen. Interestingly, the all-pervasive ZPE ‘sea’ has been shown to maintain the stability of atomic orbits across the cosmos.  According to SED physics, the electron’s loss of energy must be coupled with the energy that it absorbs from the ZPE. A stable orbit then results when the energy radiated by the electron exactly matches the energy absorbed from the ZPE.</w:t>
      </w:r>
    </w:p>
    <w:p w:rsidR="00416D75" w:rsidRPr="00125962" w:rsidRDefault="00416D75" w:rsidP="00416D75">
      <w:pPr>
        <w:pStyle w:val="NormPara"/>
        <w:ind w:firstLine="720"/>
        <w:rPr>
          <w:sz w:val="20"/>
        </w:rPr>
      </w:pPr>
    </w:p>
    <w:p w:rsidR="00416D75" w:rsidRPr="00125962" w:rsidRDefault="00416D75" w:rsidP="00416D75">
      <w:pPr>
        <w:pStyle w:val="NormPara"/>
        <w:ind w:firstLine="720"/>
        <w:rPr>
          <w:iCs/>
          <w:sz w:val="20"/>
        </w:rPr>
      </w:pPr>
      <w:r w:rsidRPr="00125962">
        <w:rPr>
          <w:sz w:val="20"/>
        </w:rPr>
        <w:lastRenderedPageBreak/>
        <w:t>Quantitative analyses of this effect were done, and the results summarized by stating that “</w:t>
      </w:r>
      <w:r w:rsidRPr="00125962">
        <w:rPr>
          <w:i/>
          <w:iCs/>
          <w:sz w:val="20"/>
        </w:rPr>
        <w:t xml:space="preserve">Boyer </w:t>
      </w:r>
      <w:r w:rsidRPr="00125962">
        <w:rPr>
          <w:iCs/>
          <w:sz w:val="20"/>
        </w:rPr>
        <w:t>[74]</w:t>
      </w:r>
      <w:r w:rsidRPr="00125962">
        <w:rPr>
          <w:i/>
          <w:iCs/>
          <w:sz w:val="20"/>
        </w:rPr>
        <w:t xml:space="preserve"> and Claverie &amp; Diner </w:t>
      </w:r>
      <w:r w:rsidRPr="00125962">
        <w:rPr>
          <w:iCs/>
          <w:sz w:val="20"/>
        </w:rPr>
        <w:t>[75]</w:t>
      </w:r>
      <w:r w:rsidRPr="00125962">
        <w:rPr>
          <w:i/>
          <w:iCs/>
          <w:sz w:val="20"/>
        </w:rPr>
        <w:t xml:space="preserve"> have shown that if one considers circular orbits only, then one obtains an equilibrium [orbit] radius of the expected size [the Bohr radius]: for smaller distances, the electron absorbs too much energy from the [ZPE] field…and tends to escape, whereas for larger distances it radiates too much and tends to fall towards the nucleus.”</w:t>
      </w:r>
      <w:r w:rsidRPr="00125962">
        <w:rPr>
          <w:iCs/>
          <w:sz w:val="20"/>
        </w:rPr>
        <w:t xml:space="preserve"> [76]</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w:t>
      </w:r>
      <w:proofErr w:type="gramStart"/>
      <w:r w:rsidRPr="00125962">
        <w:rPr>
          <w:sz w:val="20"/>
        </w:rPr>
        <w:t>2006 ,</w:t>
      </w:r>
      <w:proofErr w:type="gramEnd"/>
      <w:r w:rsidRPr="00125962">
        <w:rPr>
          <w:sz w:val="20"/>
        </w:rPr>
        <w:t xml:space="preserve"> Spicka et al. noted that </w:t>
      </w:r>
      <w:r w:rsidRPr="00125962">
        <w:rPr>
          <w:i/>
          <w:sz w:val="20"/>
        </w:rPr>
        <w:t>"It is an enormously fruitful idea developed in the frame of SED physics that the moving charged particle, electron for example, can be kept on a stationary orbit in consequence of dynamical equilibrium between absorbed ZPR [Zero-Point Radiation] and emitted recoil radiation.”</w:t>
      </w:r>
      <w:r w:rsidRPr="00125962">
        <w:rPr>
          <w:sz w:val="20"/>
        </w:rPr>
        <w:t xml:space="preserve"> [77]</w:t>
      </w:r>
    </w:p>
    <w:p w:rsidR="00416D75" w:rsidRPr="00125962" w:rsidRDefault="00416D75" w:rsidP="00416D75">
      <w:pPr>
        <w:pStyle w:val="NormPara"/>
        <w:ind w:firstLine="461"/>
        <w:rPr>
          <w:sz w:val="20"/>
        </w:rPr>
      </w:pPr>
    </w:p>
    <w:p w:rsidR="00416D75" w:rsidRPr="00125962" w:rsidRDefault="00416D75" w:rsidP="00416D75">
      <w:pPr>
        <w:pStyle w:val="NormPara"/>
        <w:ind w:firstLine="720"/>
        <w:rPr>
          <w:sz w:val="20"/>
        </w:rPr>
      </w:pPr>
      <w:r w:rsidRPr="00125962">
        <w:rPr>
          <w:sz w:val="20"/>
        </w:rPr>
        <w:t>Spicka et al. then go on to illustrate that an electron moving in an orbit around a proton is under the influence of its electrostatic attraction. As it orbits, the electron undergoes a series of elastic collisions with the impacting waves of the ZPE which perturb the orbit. These impacting waves force the electron to change direction. The whole 'orbit' then becomes composed of a series of essentially straight line segments whose direction is continually being changed by the impact of these ZPE waves.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Every time the electron is impacted by the ZPE, it emits recoil radiation, just as classical physics requires. Calculations based on the Compton frequency reveal that the electron may receive over 18,700 hits from the ZPE waves for every orbit around the nucleus. It is these hits which cause the uncertainty in both the position of the electron and its actual orbit around the proton. This is the physical cause of the uncertainty that Heisenberg hypothesized.</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For a stable orbit, the power absorbed by the electron from the ZPE wave collision must be equal to the power emitted by the electron's recoil radiation. When the ZPE is stronger, there are more ZPE waves per unit volume and so there are more hits per second on the electron as it travels in its orbit. This means that the electron is now emitting more recoil radiation, and so has a tendency to move towards the nucleus as pointed out in the above quote from reference [77].  The means that the orbit radius</w:t>
      </w:r>
      <w:proofErr w:type="gramStart"/>
      <w:r w:rsidRPr="00125962">
        <w:rPr>
          <w:sz w:val="20"/>
        </w:rPr>
        <w:t xml:space="preserve">, </w:t>
      </w:r>
      <m:oMath>
        <w:proofErr w:type="gramEnd"/>
        <m:r>
          <w:rPr>
            <w:rFonts w:ascii="Cambria Math" w:hAnsi="Cambria Math"/>
            <w:sz w:val="20"/>
          </w:rPr>
          <m:t>r</m:t>
        </m:r>
      </m:oMath>
      <w:r w:rsidRPr="00125962">
        <w:rPr>
          <w:sz w:val="20"/>
        </w:rPr>
        <w:t xml:space="preserve">, will tend to decrease. But the wavelengths of emitted light, W, depend on orbit radius </w:t>
      </w:r>
      <m:oMath>
        <m:r>
          <w:rPr>
            <w:rFonts w:ascii="Cambria Math" w:hAnsi="Cambria Math"/>
            <w:sz w:val="20"/>
          </w:rPr>
          <m:t>r</m:t>
        </m:r>
      </m:oMath>
      <w:r w:rsidRPr="00125962">
        <w:rPr>
          <w:sz w:val="20"/>
        </w:rPr>
        <w:t xml:space="preserve"> since the standard equation has [59, 60]</w:t>
      </w:r>
    </w:p>
    <w:p w:rsidR="00416D75" w:rsidRPr="00125962" w:rsidRDefault="00416D75" w:rsidP="00416D75">
      <w:pPr>
        <w:pStyle w:val="equation"/>
        <w:spacing w:before="80" w:after="80"/>
        <w:jc w:val="right"/>
        <w:rPr>
          <w:sz w:val="20"/>
        </w:rPr>
      </w:pPr>
      <w:r w:rsidRPr="00125962">
        <w:rPr>
          <w:sz w:val="20"/>
        </w:rPr>
        <w:tab/>
      </w:r>
      <w:r w:rsidRPr="00125962">
        <w:rPr>
          <w:position w:val="-24"/>
          <w:sz w:val="20"/>
        </w:rPr>
        <w:object w:dxaOrig="1859" w:dyaOrig="560">
          <v:shape id="_x0000_i1350" type="#_x0000_t75" style="width:92.55pt;height:27.85pt" o:ole="">
            <v:imagedata r:id="rId1206" o:title=""/>
          </v:shape>
          <o:OLEObject Type="Embed" ProgID="Equation.DSMT4" ShapeID="_x0000_i1350" DrawAspect="Content" ObjectID="_1433920502" r:id="rId1207"/>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t>(13)</w:t>
      </w:r>
    </w:p>
    <w:p w:rsidR="00416D75" w:rsidRPr="00125962" w:rsidRDefault="00416D75" w:rsidP="00416D75">
      <w:pPr>
        <w:pStyle w:val="NormPara"/>
        <w:ind w:firstLine="0"/>
        <w:rPr>
          <w:sz w:val="20"/>
        </w:rPr>
      </w:pPr>
      <w:r w:rsidRPr="00125962">
        <w:rPr>
          <w:sz w:val="20"/>
        </w:rPr>
        <w:t>We have seen that both (</w:t>
      </w:r>
      <m:oMath>
        <m:r>
          <w:rPr>
            <w:rFonts w:ascii="Cambria Math" w:hAnsi="Cambria Math"/>
            <w:sz w:val="20"/>
          </w:rPr>
          <m:t>ε</m:t>
        </m:r>
        <m:r>
          <w:rPr>
            <w:rFonts w:ascii="Cambria Math"/>
            <w:sz w:val="20"/>
          </w:rPr>
          <m:t>/</m:t>
        </m:r>
        <m:sSup>
          <m:sSupPr>
            <m:ctrlPr>
              <w:rPr>
                <w:rFonts w:ascii="Cambria Math" w:hAnsi="Cambria Math"/>
                <w:i/>
                <w:sz w:val="20"/>
              </w:rPr>
            </m:ctrlPr>
          </m:sSupPr>
          <m:e>
            <m:r>
              <w:rPr>
                <w:rFonts w:ascii="Cambria Math" w:hAnsi="Cambria Math"/>
                <w:sz w:val="20"/>
              </w:rPr>
              <m:t>e</m:t>
            </m:r>
          </m:e>
          <m:sup>
            <m:r>
              <w:rPr>
                <w:rFonts w:ascii="Cambria Math"/>
                <w:sz w:val="20"/>
              </w:rPr>
              <m:t>2</m:t>
            </m:r>
          </m:sup>
        </m:sSup>
      </m:oMath>
      <w:r w:rsidRPr="00125962">
        <w:rPr>
          <w:sz w:val="20"/>
        </w:rPr>
        <w:t>) and (</w:t>
      </w:r>
      <m:oMath>
        <m:r>
          <w:rPr>
            <w:rFonts w:hAnsi="Cambria Math"/>
            <w:sz w:val="20"/>
          </w:rPr>
          <m:t>h</m:t>
        </m:r>
        <m:r>
          <w:rPr>
            <w:rFonts w:ascii="Cambria Math" w:hAnsi="Cambria Math"/>
            <w:sz w:val="20"/>
          </w:rPr>
          <m:t>c</m:t>
        </m:r>
        <m:r>
          <w:rPr>
            <w:rFonts w:ascii="Cambria Math"/>
            <w:sz w:val="20"/>
          </w:rPr>
          <m:t>)</m:t>
        </m:r>
      </m:oMath>
      <w:r w:rsidRPr="00125962">
        <w:rPr>
          <w:sz w:val="20"/>
        </w:rPr>
        <w:t xml:space="preserve"> are invariant with increasing ZPE strength</w:t>
      </w:r>
      <w:proofErr w:type="gramStart"/>
      <w:r w:rsidRPr="00125962">
        <w:rPr>
          <w:sz w:val="20"/>
        </w:rPr>
        <w:t xml:space="preserve">, </w:t>
      </w:r>
      <m:oMath>
        <w:proofErr w:type="gramEnd"/>
        <m:r>
          <w:rPr>
            <w:rFonts w:ascii="Cambria Math" w:hAnsi="Cambria Math"/>
            <w:sz w:val="20"/>
          </w:rPr>
          <m:t>U</m:t>
        </m:r>
      </m:oMath>
      <w:r w:rsidRPr="00125962">
        <w:rPr>
          <w:sz w:val="20"/>
        </w:rPr>
        <w:t>.  From (13) it is then seen that the emitted wavelengths,</w:t>
      </w:r>
      <m:oMath>
        <m:r>
          <w:rPr>
            <w:rFonts w:ascii="Cambria Math"/>
            <w:sz w:val="20"/>
          </w:rPr>
          <m:t xml:space="preserve"> </m:t>
        </m:r>
        <m:r>
          <w:rPr>
            <w:rFonts w:ascii="Cambria Math" w:hAnsi="Cambria Math"/>
            <w:sz w:val="20"/>
          </w:rPr>
          <m:t>W</m:t>
        </m:r>
      </m:oMath>
      <w:proofErr w:type="gramStart"/>
      <w:r w:rsidRPr="00125962">
        <w:rPr>
          <w:sz w:val="20"/>
        </w:rPr>
        <w:t>,</w:t>
      </w:r>
      <w:proofErr w:type="gramEnd"/>
      <w:r w:rsidRPr="00125962">
        <w:rPr>
          <w:sz w:val="20"/>
        </w:rPr>
        <w:t xml:space="preserve"> are directly proportional to the orbit radius, </w:t>
      </w:r>
      <m:oMath>
        <m:r>
          <w:rPr>
            <w:rFonts w:ascii="Cambria Math" w:hAnsi="Cambria Math"/>
            <w:sz w:val="20"/>
          </w:rPr>
          <m:t>r</m:t>
        </m:r>
      </m:oMath>
      <w:r w:rsidRPr="00125962">
        <w:rPr>
          <w:sz w:val="20"/>
        </w:rPr>
        <w:t>, so we can write</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6"/>
          <w:sz w:val="20"/>
        </w:rPr>
        <w:object w:dxaOrig="540" w:dyaOrig="240">
          <v:shape id="_x0000_i1351" type="#_x0000_t75" style="width:27.85pt;height:12.1pt" o:ole="">
            <v:imagedata r:id="rId1208" o:title=""/>
          </v:shape>
          <o:OLEObject Type="Embed" ProgID="PowerPoint.Slide.12" ShapeID="_x0000_i1351" DrawAspect="Content" ObjectID="_1433920503" r:id="rId1209"/>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(14)</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Consequently, an increasing ZPE strength will result in both atomic orbits and the wavelengths of emitted light decreasing. Shorter wavelengths mean bluer light. This means that as the ZPE increased, atoms emitted light which was intrinsically bluer. This is why, as we look farther out into space (and thus further back in time), we would expect to see light progressively shifted toward the red end of the spectrum.  This is, in fact, what we do see. This redshift is a feature of astronomical observations.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usual explanation for the redshift is that it is an effect produced by an expanding universe.  If this were the case, all spectral lines of emitted light should be significantly broadened in the same way that wavelengths are lengthened; they are not. Also, we should see the redshift measurements increasing smoothly with distance. That is not seen either. What is seen are narrow spectral lines, and redshift measurements that come in groups, or quantities, with no intervening </w:t>
      </w:r>
      <w:proofErr w:type="gramStart"/>
      <w:r w:rsidRPr="00125962">
        <w:rPr>
          <w:sz w:val="20"/>
        </w:rPr>
        <w:t>measurements.</w:t>
      </w:r>
      <w:proofErr w:type="gramEnd"/>
      <w:r w:rsidRPr="00125962">
        <w:rPr>
          <w:sz w:val="20"/>
        </w:rPr>
        <w:t xml:space="preserve">  This is referred to as the quantized redshift. Because every atomic orbit must exactly accommodate the de Broglie wavelength of the orbiting electron, it can be shown that a quantized redshift results from the orbit changes caused by an increasing ZPE. When followed through, the values of the quantization observed by Tifft [78], Arp [79], Guthrie &amp; Napier [80-82], and others can be accurately reproduced. A graph of some of Guthrie and Napier’s results is in Fig. 11.</w:t>
      </w:r>
    </w:p>
    <w:p w:rsidR="00416D75" w:rsidRPr="00125962" w:rsidRDefault="00416D75" w:rsidP="00416D75">
      <w:pPr>
        <w:pStyle w:val="NormPara"/>
        <w:ind w:firstLine="720"/>
        <w:rPr>
          <w:sz w:val="20"/>
        </w:rPr>
      </w:pPr>
    </w:p>
    <w:p w:rsidR="00416D75" w:rsidRPr="00125962" w:rsidRDefault="00416D75" w:rsidP="00416D75">
      <w:pPr>
        <w:pStyle w:val="NormPara"/>
        <w:spacing w:before="120"/>
        <w:ind w:firstLine="0"/>
        <w:jc w:val="center"/>
        <w:rPr>
          <w:sz w:val="20"/>
        </w:rPr>
      </w:pPr>
      <w:r w:rsidRPr="00125962">
        <w:rPr>
          <w:noProof/>
          <w:sz w:val="20"/>
        </w:rPr>
        <w:lastRenderedPageBreak/>
        <w:drawing>
          <wp:inline distT="0" distB="0" distL="0" distR="0">
            <wp:extent cx="3819525" cy="2524125"/>
            <wp:effectExtent l="19050" t="0" r="9525" b="0"/>
            <wp:docPr id="53" name="Picture 10" descr="GuthrieNapier grap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uthrieNapier graph 2"/>
                    <pic:cNvPicPr>
                      <a:picLocks noChangeAspect="1" noChangeArrowheads="1"/>
                    </pic:cNvPicPr>
                  </pic:nvPicPr>
                  <pic:blipFill>
                    <a:blip r:embed="rId183" cstate="print"/>
                    <a:srcRect/>
                    <a:stretch>
                      <a:fillRect/>
                    </a:stretch>
                  </pic:blipFill>
                  <pic:spPr bwMode="auto">
                    <a:xfrm>
                      <a:off x="0" y="0"/>
                      <a:ext cx="3823655" cy="2526854"/>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120"/>
        <w:ind w:firstLine="0"/>
        <w:jc w:val="center"/>
        <w:rPr>
          <w:sz w:val="20"/>
        </w:rPr>
      </w:pPr>
    </w:p>
    <w:p w:rsidR="00416D75" w:rsidRPr="0025044F" w:rsidRDefault="00416D75" w:rsidP="00416D75">
      <w:pPr>
        <w:pStyle w:val="NormPara"/>
        <w:spacing w:before="80" w:after="80"/>
        <w:ind w:right="274" w:firstLine="0"/>
        <w:jc w:val="left"/>
        <w:rPr>
          <w:i/>
          <w:szCs w:val="18"/>
        </w:rPr>
      </w:pPr>
      <w:r w:rsidRPr="0025044F">
        <w:rPr>
          <w:b/>
          <w:i/>
          <w:szCs w:val="18"/>
        </w:rPr>
        <w:t>Figure 11:</w:t>
      </w:r>
      <w:r w:rsidRPr="0025044F">
        <w:rPr>
          <w:i/>
          <w:szCs w:val="18"/>
        </w:rPr>
        <w:t xml:space="preserve">  Guthrie and Napier's redshift quantization results for 1996 expressed as speeds of recession (</w:t>
      </w:r>
      <w:proofErr w:type="gramStart"/>
      <w:r w:rsidRPr="0025044F">
        <w:rPr>
          <w:i/>
          <w:szCs w:val="18"/>
        </w:rPr>
        <w:t>cz</w:t>
      </w:r>
      <w:proofErr w:type="gramEnd"/>
      <w:r w:rsidRPr="0025044F">
        <w:rPr>
          <w:i/>
          <w:szCs w:val="18"/>
        </w:rPr>
        <w:t>) in km/sec. The peaks in the graph show where quantum steps occur in multiples of 37.5 km/sec. These galaxies are in the direction of the Virgo cluster.</w:t>
      </w:r>
    </w:p>
    <w:p w:rsidR="00416D75" w:rsidRPr="00125962" w:rsidRDefault="00416D75" w:rsidP="00416D75">
      <w:pPr>
        <w:pStyle w:val="NormPara"/>
        <w:spacing w:before="80" w:after="80"/>
        <w:ind w:left="274" w:right="274" w:firstLine="0"/>
        <w:jc w:val="left"/>
        <w:rPr>
          <w:szCs w:val="18"/>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 xml:space="preserve">The Behavior of the ZPE </w:t>
      </w:r>
      <w:proofErr w:type="gramStart"/>
      <w:r w:rsidRPr="00125962">
        <w:rPr>
          <w:rFonts w:ascii="Book Antiqua" w:hAnsi="Book Antiqua" w:cs="Times New Roman"/>
          <w:b w:val="0"/>
          <w:sz w:val="20"/>
          <w:szCs w:val="20"/>
        </w:rPr>
        <w:t>Through</w:t>
      </w:r>
      <w:proofErr w:type="gramEnd"/>
      <w:r w:rsidRPr="00125962">
        <w:rPr>
          <w:rFonts w:ascii="Book Antiqua" w:hAnsi="Book Antiqua" w:cs="Times New Roman"/>
          <w:b w:val="0"/>
          <w:sz w:val="20"/>
          <w:szCs w:val="20"/>
        </w:rPr>
        <w:t xml:space="preserve"> Time.</w:t>
      </w:r>
    </w:p>
    <w:p w:rsidR="00416D75" w:rsidRPr="00125962" w:rsidRDefault="00416D75" w:rsidP="00416D75">
      <w:pPr>
        <w:rPr>
          <w:rFonts w:ascii="Book Antiqua" w:hAnsi="Book Antiqua"/>
        </w:rPr>
      </w:pPr>
    </w:p>
    <w:p w:rsidR="00416D75" w:rsidRPr="00125962" w:rsidRDefault="00416D75" w:rsidP="00416D75">
      <w:pPr>
        <w:pStyle w:val="NormPara"/>
        <w:ind w:firstLine="270"/>
        <w:rPr>
          <w:sz w:val="20"/>
        </w:rPr>
      </w:pPr>
      <w:r w:rsidRPr="00125962">
        <w:rPr>
          <w:sz w:val="20"/>
        </w:rPr>
        <w:t xml:space="preserve">The idea of universal expansion is </w:t>
      </w:r>
      <w:r w:rsidRPr="00C718B2">
        <w:rPr>
          <w:sz w:val="20"/>
        </w:rPr>
        <w:t>thus</w:t>
      </w:r>
      <w:r w:rsidRPr="00125962">
        <w:rPr>
          <w:sz w:val="20"/>
        </w:rPr>
        <w:t xml:space="preserve"> negated by the hydrogen cloud data, the un-broadened spectral lines, and quantized redshift data.  Since the redshift is the result of an increase in ZPE strength, it can then give us information as to how the ZPE strength built up over the lifetime of the cosmos. When this analysis is complete, the ZPE strength</w:t>
      </w:r>
      <w:proofErr w:type="gramStart"/>
      <w:r w:rsidRPr="00125962">
        <w:rPr>
          <w:sz w:val="20"/>
        </w:rPr>
        <w:t xml:space="preserve">, </w:t>
      </w:r>
      <m:oMath>
        <w:proofErr w:type="gramEnd"/>
        <m:r>
          <w:rPr>
            <w:rFonts w:ascii="Cambria Math" w:hAnsi="Cambria Math"/>
            <w:sz w:val="20"/>
          </w:rPr>
          <m:t>U</m:t>
        </m:r>
      </m:oMath>
      <w:r w:rsidRPr="00125962">
        <w:rPr>
          <w:sz w:val="20"/>
        </w:rPr>
        <w:t xml:space="preserve">, and redshift, </w:t>
      </w:r>
      <m:oMath>
        <m:r>
          <w:rPr>
            <w:rFonts w:ascii="Cambria Math" w:hAnsi="Cambria Math"/>
            <w:sz w:val="20"/>
          </w:rPr>
          <m:t>z</m:t>
        </m:r>
      </m:oMath>
      <w:r w:rsidRPr="00125962">
        <w:rPr>
          <w:sz w:val="20"/>
        </w:rPr>
        <w:t>, are related in the following way:</w:t>
      </w:r>
    </w:p>
    <w:p w:rsidR="00416D75" w:rsidRPr="00125962" w:rsidRDefault="00416D75" w:rsidP="00416D75">
      <w:pPr>
        <w:pStyle w:val="NormPara"/>
        <w:ind w:firstLine="270"/>
        <w:rPr>
          <w:sz w:val="20"/>
        </w:rPr>
      </w:pPr>
    </w:p>
    <w:p w:rsidR="00416D75" w:rsidRPr="00125962" w:rsidRDefault="00416D75" w:rsidP="00416D75">
      <w:pPr>
        <w:pStyle w:val="equation"/>
        <w:spacing w:before="80" w:after="80"/>
        <w:jc w:val="right"/>
        <w:rPr>
          <w:i/>
          <w:sz w:val="20"/>
        </w:rPr>
      </w:pPr>
      <w:r w:rsidRPr="00125962">
        <w:rPr>
          <w:sz w:val="20"/>
        </w:rPr>
        <w:tab/>
      </w:r>
      <w:r w:rsidRPr="00125962">
        <w:rPr>
          <w:position w:val="-30"/>
          <w:sz w:val="20"/>
        </w:rPr>
        <w:object w:dxaOrig="2920" w:dyaOrig="680">
          <v:shape id="_x0000_i1352" type="#_x0000_t75" style="width:146.4pt;height:33.3pt" o:ole="">
            <v:imagedata r:id="rId1210" o:title=""/>
          </v:shape>
          <o:OLEObject Type="Embed" ProgID="PowerPoint.Slide.12" ShapeID="_x0000_i1352" DrawAspect="Content" ObjectID="_1433920504" r:id="rId1211"/>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(15)</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(15) the constant of proportionality, K, is related to the square-root of the Compton frequency and another factor discussed in Chapter 5.  In (15), the distance </w:t>
      </w:r>
      <m:oMath>
        <m:r>
          <w:rPr>
            <w:rFonts w:ascii="Cambria Math" w:hAnsi="Cambria Math"/>
            <w:sz w:val="20"/>
          </w:rPr>
          <m:t>x</m:t>
        </m:r>
      </m:oMath>
      <w:r w:rsidRPr="00125962">
        <w:rPr>
          <w:sz w:val="20"/>
        </w:rPr>
        <w:t xml:space="preserve"> is a fraction so that </w:t>
      </w:r>
      <m:oMath>
        <m:r>
          <w:rPr>
            <w:rFonts w:ascii="Cambria Math" w:hAnsi="Cambria Math"/>
            <w:sz w:val="20"/>
          </w:rPr>
          <m:t>x</m:t>
        </m:r>
        <m:r>
          <w:rPr>
            <w:rFonts w:ascii="Cambria Math"/>
            <w:sz w:val="20"/>
          </w:rPr>
          <m:t xml:space="preserve"> = 0</m:t>
        </m:r>
      </m:oMath>
      <w:r w:rsidRPr="00125962">
        <w:rPr>
          <w:sz w:val="20"/>
        </w:rPr>
        <w:t xml:space="preserve"> where the redshift function ends close to, or in, our galaxy, and </w:t>
      </w:r>
      <m:oMath>
        <m:r>
          <w:rPr>
            <w:rFonts w:ascii="Cambria Math" w:hAnsi="Cambria Math"/>
            <w:sz w:val="20"/>
          </w:rPr>
          <m:t>x</m:t>
        </m:r>
        <m:r>
          <w:rPr>
            <w:rFonts w:ascii="Cambria Math"/>
            <w:sz w:val="20"/>
          </w:rPr>
          <m:t xml:space="preserve"> = 1</m:t>
        </m:r>
      </m:oMath>
      <w:r w:rsidRPr="00125962">
        <w:rPr>
          <w:sz w:val="20"/>
        </w:rPr>
        <w:t xml:space="preserve"> at the distance that corresponds with the inception of the cosmos. Looking out into space at progressively more distant galaxies is equivalent to looking further back in actual orbital time</w:t>
      </w:r>
      <w:proofErr w:type="gramStart"/>
      <w:r w:rsidRPr="00125962">
        <w:rPr>
          <w:sz w:val="20"/>
        </w:rPr>
        <w:t xml:space="preserve">, </w:t>
      </w:r>
      <m:oMath>
        <w:proofErr w:type="gramEnd"/>
        <m:r>
          <w:rPr>
            <w:rFonts w:ascii="Cambria Math" w:hAnsi="Cambria Math"/>
            <w:sz w:val="20"/>
          </w:rPr>
          <m:t>T</m:t>
        </m:r>
      </m:oMath>
      <w:r w:rsidRPr="00125962">
        <w:rPr>
          <w:sz w:val="20"/>
        </w:rPr>
        <w:t>. Since we take orbital time as passing in a linear fashion, and since distance is also linear, we can substitute orbital time</w:t>
      </w:r>
      <w:proofErr w:type="gramStart"/>
      <w:r w:rsidRPr="00125962">
        <w:rPr>
          <w:sz w:val="20"/>
        </w:rPr>
        <w:t xml:space="preserve">, </w:t>
      </w:r>
      <m:oMath>
        <w:proofErr w:type="gramEnd"/>
        <m:r>
          <w:rPr>
            <w:rFonts w:ascii="Cambria Math" w:hAnsi="Cambria Math"/>
            <w:sz w:val="20"/>
          </w:rPr>
          <m:t>T</m:t>
        </m:r>
      </m:oMath>
      <w:r w:rsidRPr="00125962">
        <w:rPr>
          <w:i/>
          <w:sz w:val="20"/>
        </w:rPr>
        <w:t>,</w:t>
      </w:r>
      <w:r w:rsidRPr="00125962">
        <w:rPr>
          <w:sz w:val="20"/>
        </w:rPr>
        <w:t xml:space="preserve"> for distance, </w:t>
      </w:r>
      <m:oMath>
        <m:r>
          <w:rPr>
            <w:rFonts w:ascii="Cambria Math" w:hAnsi="Cambria Math"/>
            <w:sz w:val="20"/>
          </w:rPr>
          <m:t>x</m:t>
        </m:r>
      </m:oMath>
      <w:r w:rsidRPr="00125962">
        <w:rPr>
          <w:i/>
          <w:sz w:val="20"/>
        </w:rPr>
        <w:t>,</w:t>
      </w:r>
      <w:r w:rsidRPr="00125962">
        <w:rPr>
          <w:sz w:val="20"/>
        </w:rPr>
        <w:t xml:space="preserve"> giving the result that</w:t>
      </w:r>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tab/>
      </w:r>
      <w:r w:rsidRPr="00125962">
        <w:rPr>
          <w:position w:val="-28"/>
          <w:sz w:val="20"/>
        </w:rPr>
        <w:object w:dxaOrig="1240" w:dyaOrig="580">
          <v:shape id="_x0000_i1353" type="#_x0000_t75" style="width:61.7pt;height:29.65pt" o:ole="">
            <v:imagedata r:id="rId1212" o:title=""/>
          </v:shape>
          <o:OLEObject Type="Embed" ProgID="Equation.DSMT4" ShapeID="_x0000_i1353" DrawAspect="Content" ObjectID="_1433920505" r:id="rId1213"/>
        </w:object>
      </w:r>
      <w:r w:rsidRPr="00125962">
        <w:rPr>
          <w:sz w:val="20"/>
        </w:rPr>
        <w:t xml:space="preserve"> .</w: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(16)</w:t>
      </w:r>
    </w:p>
    <w:p w:rsidR="00416D75" w:rsidRPr="00125962" w:rsidRDefault="00416D75" w:rsidP="00416D75">
      <w:pPr>
        <w:pStyle w:val="equation"/>
        <w:spacing w:before="80" w:after="80"/>
        <w:rPr>
          <w:sz w:val="20"/>
        </w:rPr>
      </w:pPr>
    </w:p>
    <w:p w:rsidR="00416D75" w:rsidRPr="00125962" w:rsidRDefault="00416D75" w:rsidP="00416D75">
      <w:pPr>
        <w:pStyle w:val="NormPara"/>
        <w:ind w:firstLine="720"/>
        <w:rPr>
          <w:sz w:val="20"/>
        </w:rPr>
      </w:pPr>
      <w:r w:rsidRPr="00125962">
        <w:rPr>
          <w:sz w:val="20"/>
        </w:rPr>
        <w:t xml:space="preserve">In Eq. (16), </w:t>
      </w:r>
      <m:oMath>
        <m:r>
          <w:rPr>
            <w:rFonts w:ascii="Cambria Math" w:hAnsi="Cambria Math"/>
            <w:sz w:val="20"/>
          </w:rPr>
          <m:t>T</m:t>
        </m:r>
      </m:oMath>
      <w:r w:rsidRPr="00125962">
        <w:rPr>
          <w:sz w:val="20"/>
        </w:rPr>
        <w:t xml:space="preserve"> is in orbital time such that </w:t>
      </w:r>
      <m:oMath>
        <m:r>
          <w:rPr>
            <w:rFonts w:ascii="Cambria Math" w:hAnsi="Cambria Math"/>
            <w:sz w:val="20"/>
          </w:rPr>
          <m:t>T</m:t>
        </m:r>
        <m:r>
          <w:rPr>
            <w:rFonts w:ascii="Cambria Math"/>
            <w:sz w:val="20"/>
          </w:rPr>
          <m:t xml:space="preserve"> = 1</m:t>
        </m:r>
      </m:oMath>
      <w:r w:rsidRPr="00125962">
        <w:rPr>
          <w:sz w:val="20"/>
        </w:rPr>
        <w:t xml:space="preserve"> at the origin of the cosmos while we have </w:t>
      </w:r>
      <m:oMath>
        <m:r>
          <w:rPr>
            <w:rFonts w:ascii="Cambria Math" w:hAnsi="Cambria Math"/>
            <w:sz w:val="20"/>
          </w:rPr>
          <m:t>T</m:t>
        </m:r>
        <m:r>
          <w:rPr>
            <w:rFonts w:ascii="Cambria Math"/>
            <w:sz w:val="20"/>
          </w:rPr>
          <m:t xml:space="preserve"> = 0</m:t>
        </m:r>
      </m:oMath>
      <w:r w:rsidRPr="00125962">
        <w:rPr>
          <w:sz w:val="20"/>
        </w:rPr>
        <w:t xml:space="preserve"> when the redshift function ceases at a position in space in, or near, our galaxy. This is exactly in line with the treatment </w:t>
      </w:r>
      <w:proofErr w:type="gramStart"/>
      <w:r w:rsidRPr="00125962">
        <w:rPr>
          <w:sz w:val="20"/>
        </w:rPr>
        <w:t xml:space="preserve">for </w:t>
      </w:r>
      <m:oMath>
        <w:proofErr w:type="gramEnd"/>
        <m:r>
          <w:rPr>
            <w:rFonts w:ascii="Cambria Math" w:hAnsi="Cambria Math"/>
            <w:sz w:val="20"/>
          </w:rPr>
          <m:t>x</m:t>
        </m:r>
      </m:oMath>
      <w:r w:rsidRPr="00125962">
        <w:rPr>
          <w:sz w:val="20"/>
        </w:rPr>
        <w:t xml:space="preserve">. </w:t>
      </w:r>
      <w:proofErr w:type="gramStart"/>
      <w:r w:rsidRPr="00125962">
        <w:rPr>
          <w:sz w:val="20"/>
        </w:rPr>
        <w:t>Therefore the behavior of ZPE-dependent quantities over time follows the relationship in Eq. (17) below which is graphed in Fig. 12.</w:t>
      </w:r>
      <w:proofErr w:type="gramEnd"/>
    </w:p>
    <w:p w:rsidR="00416D75" w:rsidRPr="00125962" w:rsidRDefault="00416D75" w:rsidP="00416D75">
      <w:pPr>
        <w:pStyle w:val="NormPara"/>
        <w:ind w:firstLine="720"/>
        <w:rPr>
          <w:sz w:val="20"/>
        </w:rPr>
      </w:pPr>
    </w:p>
    <w:p w:rsidR="00416D75" w:rsidRPr="00125962" w:rsidRDefault="00416D75" w:rsidP="00416D75">
      <w:pPr>
        <w:pStyle w:val="equation"/>
        <w:spacing w:before="80" w:after="80"/>
        <w:jc w:val="right"/>
        <w:rPr>
          <w:sz w:val="20"/>
        </w:rPr>
      </w:pPr>
      <w:r w:rsidRPr="00125962">
        <w:rPr>
          <w:sz w:val="20"/>
        </w:rPr>
        <w:lastRenderedPageBreak/>
        <w:tab/>
      </w:r>
      <w:r w:rsidRPr="00125962">
        <w:rPr>
          <w:position w:val="-30"/>
          <w:sz w:val="20"/>
        </w:rPr>
        <w:object w:dxaOrig="3960" w:dyaOrig="680">
          <v:shape id="_x0000_i1354" type="#_x0000_t75" style="width:197.85pt;height:33.3pt" o:ole="">
            <v:imagedata r:id="rId1214" o:title=""/>
          </v:shape>
          <o:OLEObject Type="Embed" ProgID="Equation.DSMT4" ShapeID="_x0000_i1354" DrawAspect="Content" ObjectID="_1433920506" r:id="rId1215"/>
        </w:object>
      </w:r>
      <w:r w:rsidRPr="00125962">
        <w:rPr>
          <w:sz w:val="20"/>
        </w:rPr>
        <w:tab/>
      </w:r>
      <w:r w:rsidRPr="00125962">
        <w:rPr>
          <w:sz w:val="20"/>
        </w:rPr>
        <w:tab/>
      </w:r>
      <w:r w:rsidRPr="00125962">
        <w:rPr>
          <w:sz w:val="20"/>
        </w:rPr>
        <w:tab/>
      </w:r>
      <w:r w:rsidRPr="00125962">
        <w:rPr>
          <w:sz w:val="20"/>
        </w:rPr>
        <w:tab/>
      </w:r>
      <w:r w:rsidRPr="00125962">
        <w:rPr>
          <w:sz w:val="20"/>
        </w:rPr>
        <w:tab/>
      </w:r>
      <w:r w:rsidRPr="00125962">
        <w:rPr>
          <w:i/>
          <w:sz w:val="20"/>
        </w:rPr>
        <w:t>(17)</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4981575" cy="4752975"/>
            <wp:effectExtent l="19050" t="0" r="9525" b="0"/>
            <wp:docPr id="56" name="Picture 42" descr="Set_Figur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t_Figure_10"/>
                    <pic:cNvPicPr>
                      <a:picLocks noChangeAspect="1" noChangeArrowheads="1"/>
                    </pic:cNvPicPr>
                  </pic:nvPicPr>
                  <pic:blipFill>
                    <a:blip r:embed="rId1216" cstate="print"/>
                    <a:srcRect l="1038" t="2760" r="1807" b="2563"/>
                    <a:stretch>
                      <a:fillRect/>
                    </a:stretch>
                  </pic:blipFill>
                  <pic:spPr bwMode="auto">
                    <a:xfrm>
                      <a:off x="0" y="0"/>
                      <a:ext cx="4987098" cy="4758245"/>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left"/>
        <w:rPr>
          <w:szCs w:val="18"/>
        </w:rPr>
      </w:pPr>
    </w:p>
    <w:p w:rsidR="00416D75" w:rsidRPr="0092452E" w:rsidRDefault="00416D75" w:rsidP="00416D75">
      <w:pPr>
        <w:pStyle w:val="NormPara"/>
        <w:spacing w:before="80" w:after="80"/>
        <w:ind w:right="274" w:firstLine="0"/>
        <w:jc w:val="left"/>
        <w:rPr>
          <w:i/>
          <w:szCs w:val="18"/>
        </w:rPr>
      </w:pPr>
      <w:r w:rsidRPr="0092452E">
        <w:rPr>
          <w:b/>
          <w:i/>
          <w:szCs w:val="18"/>
        </w:rPr>
        <w:t>Figure 12:</w:t>
      </w:r>
      <w:r w:rsidRPr="0092452E">
        <w:rPr>
          <w:i/>
          <w:szCs w:val="18"/>
        </w:rPr>
        <w:t xml:space="preserve">  Graph of behavior of lightspeed c, atomic clock rates and frequencies, f, and redshift z with orbital time </w:t>
      </w:r>
      <w:proofErr w:type="gramStart"/>
      <w:r w:rsidRPr="0092452E">
        <w:rPr>
          <w:i/>
          <w:szCs w:val="18"/>
        </w:rPr>
        <w:t>T  horizontally</w:t>
      </w:r>
      <w:proofErr w:type="gramEnd"/>
      <w:r w:rsidRPr="0092452E">
        <w:rPr>
          <w:i/>
          <w:szCs w:val="18"/>
        </w:rPr>
        <w:t xml:space="preserve">. The scale of the vertical axis follows redshift which must be multiplied by </w:t>
      </w:r>
      <w:r>
        <w:rPr>
          <w:i/>
          <w:szCs w:val="18"/>
        </w:rPr>
        <w:t xml:space="preserve">a proportionality </w:t>
      </w:r>
      <w:r w:rsidRPr="0092452E">
        <w:rPr>
          <w:i/>
          <w:szCs w:val="18"/>
        </w:rPr>
        <w:t xml:space="preserve">constant K </w:t>
      </w:r>
      <w:r>
        <w:rPr>
          <w:i/>
          <w:szCs w:val="18"/>
        </w:rPr>
        <w:t xml:space="preserve">or K* </w:t>
      </w:r>
      <w:r w:rsidRPr="0092452E">
        <w:rPr>
          <w:i/>
          <w:szCs w:val="18"/>
        </w:rPr>
        <w:t>for the other quantities.</w:t>
      </w:r>
    </w:p>
    <w:p w:rsidR="00416D75" w:rsidRPr="00125962" w:rsidRDefault="00416D75" w:rsidP="00416D75">
      <w:pPr>
        <w:pStyle w:val="equation"/>
        <w:spacing w:before="80" w:after="8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Implications in Other Disciplines</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Implications for Plasma Physics</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Around 1990, plasma physics opened up new vistas in astronomy based on interacting electric and magnetic fields in plasma filaments in contrast to gravitational interactions [83, 84].  Experimentation with plasma filaments in laboratories have shown that the electric and magnetic interactions in these filaments form, in miniature, all the various shapes of galaxies that astronomy is familiar with. </w:t>
      </w:r>
    </w:p>
    <w:p w:rsidR="00416D75" w:rsidRPr="00125962" w:rsidRDefault="00416D75" w:rsidP="00416D75">
      <w:pPr>
        <w:pStyle w:val="NormPara"/>
        <w:ind w:firstLine="270"/>
        <w:rPr>
          <w:sz w:val="20"/>
        </w:rPr>
      </w:pPr>
      <w:r w:rsidRPr="00125962">
        <w:rPr>
          <w:sz w:val="20"/>
        </w:rPr>
        <w:t xml:space="preserve">One set of experiments, using the interaction of two plasma filaments, produced the miniature galaxies shown in Fig. 11 at the bottom. These laboratory results can be compared with the galaxies we see out in the cosmos. Bennett pinches on </w:t>
      </w:r>
      <w:r w:rsidRPr="00125962">
        <w:rPr>
          <w:sz w:val="20"/>
        </w:rPr>
        <w:lastRenderedPageBreak/>
        <w:t>plasma filaments forms stars like beads on a string. This is shown in miniature in the last three frames of Fig. 13 at the bottom, and in reality in the galaxy M81 at the top. Similar processes form planets.</w:t>
      </w:r>
    </w:p>
    <w:p w:rsidR="00416D75" w:rsidRPr="00125962" w:rsidRDefault="00416D75" w:rsidP="00416D75">
      <w:pPr>
        <w:pStyle w:val="equation"/>
        <w:spacing w:before="80" w:after="80"/>
        <w:rPr>
          <w:sz w:val="20"/>
        </w:rPr>
      </w:pPr>
    </w:p>
    <w:p w:rsidR="00416D75" w:rsidRPr="00125962" w:rsidRDefault="00416D75" w:rsidP="00416D75">
      <w:pPr>
        <w:pStyle w:val="NormPara"/>
        <w:spacing w:before="120"/>
        <w:ind w:firstLine="0"/>
        <w:jc w:val="center"/>
        <w:rPr>
          <w:sz w:val="20"/>
        </w:rPr>
      </w:pPr>
      <w:r w:rsidRPr="00125962">
        <w:rPr>
          <w:noProof/>
          <w:sz w:val="20"/>
        </w:rPr>
        <w:drawing>
          <wp:inline distT="0" distB="0" distL="0" distR="0">
            <wp:extent cx="5086350" cy="1987769"/>
            <wp:effectExtent l="19050" t="0" r="0" b="0"/>
            <wp:docPr id="57" name="il_fi" descr="http://setterfield.org/ZPE-Plasma_model_clip_image00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etterfield.org/ZPE-Plasma_model_clip_image002_0006.jpg"/>
                    <pic:cNvPicPr>
                      <a:picLocks noChangeAspect="1" noChangeArrowheads="1"/>
                    </pic:cNvPicPr>
                  </pic:nvPicPr>
                  <pic:blipFill>
                    <a:blip r:embed="rId1217" cstate="print"/>
                    <a:srcRect t="62740"/>
                    <a:stretch>
                      <a:fillRect/>
                    </a:stretch>
                  </pic:blipFill>
                  <pic:spPr bwMode="auto">
                    <a:xfrm>
                      <a:off x="0" y="0"/>
                      <a:ext cx="5093159" cy="1990430"/>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right="274" w:firstLine="0"/>
        <w:rPr>
          <w:szCs w:val="18"/>
        </w:rPr>
      </w:pPr>
    </w:p>
    <w:p w:rsidR="00416D75" w:rsidRPr="0092452E" w:rsidRDefault="00416D75" w:rsidP="00416D75">
      <w:pPr>
        <w:pStyle w:val="NormPara"/>
        <w:spacing w:before="80" w:after="80"/>
        <w:ind w:right="274" w:firstLine="0"/>
        <w:rPr>
          <w:i/>
          <w:szCs w:val="18"/>
        </w:rPr>
      </w:pPr>
      <w:r w:rsidRPr="0092452E">
        <w:rPr>
          <w:b/>
          <w:i/>
          <w:szCs w:val="18"/>
        </w:rPr>
        <w:t>Figure 13:</w:t>
      </w:r>
      <w:r w:rsidRPr="0092452E">
        <w:rPr>
          <w:i/>
          <w:szCs w:val="18"/>
        </w:rPr>
        <w:t xml:space="preserve">  Looking down the long axis of two interacting plasma filaments in the lab which produced miniature galaxies. Simulations used up to 12 interacting filaments, but all galaxy types can be produced with two or three filaments. Stars form along plasma filaments making up the spiral arms like beads on a string due to plasma pinch effects, like the 3 final frames at bottom.</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The magnitude of the electric and magnetic interactions which form galaxies, stars and planets is dependent upon the strength of the Zero Point Energy (ZPE). With an increase in the ZPE strength over time, it can be shown that voltages were reduced, as were current strengths and the speed of plasma interactions. Resistances remained unaltered, while capacitances increased in proportion to </w:t>
      </w:r>
      <m:oMath>
        <m:r>
          <w:rPr>
            <w:rFonts w:ascii="Cambria Math" w:hAnsi="Cambria Math"/>
            <w:sz w:val="20"/>
          </w:rPr>
          <m:t>U</m:t>
        </m:r>
      </m:oMath>
      <w:r w:rsidRPr="00125962">
        <w:rPr>
          <w:sz w:val="20"/>
        </w:rPr>
        <w:t xml:space="preserve"> [85].  Analysis also indicates that a lower ZPE in earlier times resulted in filaments approaching each other and interacting more quickly than now.  This would have speeded up galaxy formation. The faster accumulation of material coupled with instabilities from pinches in the filaments also resulted in more rapid star and planet formation.  More efficient Marklund convection, which sorts elements in filaments in order of ionization potential, resulted in the layered structures of planets as well as the differences in their relative compositions out from the sun [85].</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Higher currents and voltages in the earlier days of our solar system may have caused the planetary plasma-spheres (magnetospheres) to go into glow mode and be very visible.  Planetary alignments may then have resulted in massive electrical discharges between the planets. There is a persistent theme in myths and legends regarding both planetary gods in the sky (visible plasma-spheres), as well as massively destructive ‘thunderbolts’ associated with them which inspired terror in the people.</w:t>
      </w:r>
    </w:p>
    <w:p w:rsidR="00416D75" w:rsidRPr="00125962" w:rsidRDefault="00416D75" w:rsidP="00416D75">
      <w:pPr>
        <w:pStyle w:val="NormPara"/>
        <w:ind w:firstLine="270"/>
        <w:rPr>
          <w:sz w:val="20"/>
        </w:rPr>
      </w:pPr>
    </w:p>
    <w:p w:rsidR="00416D75" w:rsidRPr="00125962" w:rsidRDefault="00416D75" w:rsidP="00416D75">
      <w:pPr>
        <w:pStyle w:val="NormPara"/>
        <w:ind w:firstLine="270"/>
        <w:rPr>
          <w:sz w:val="20"/>
        </w:rPr>
      </w:pPr>
      <w:r w:rsidRPr="00125962">
        <w:rPr>
          <w:sz w:val="20"/>
        </w:rPr>
        <w:t xml:space="preserve"> Higher currents and voltages in the past might also have been responsible for electromagnetic effects which studies show could have resulted in some structures on planetary surfaces [96].  In other words, a lower ZPE in the past, combined with plasma physics, may be offering an entirely different explanation for some puzzling astronomical and archaeological phenomena.</w:t>
      </w:r>
    </w:p>
    <w:p w:rsidR="00416D75" w:rsidRPr="00125962" w:rsidRDefault="00416D75" w:rsidP="00416D75">
      <w:pPr>
        <w:pStyle w:val="NormPara"/>
        <w:ind w:firstLine="27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Support from the Fossil Record</w:t>
      </w:r>
    </w:p>
    <w:p w:rsidR="00416D75" w:rsidRPr="00C718B2"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The Zero Point Energy has been shown to be responsible for a number of astronomical effects.  However there may also be something else it is at least partially responsible for.  We have been puzzled for many years by gigantism in the fossil record.  The giant dinosaurs were prominent in the Mesozoic Era. But earlier, in the Paleozoic, we see evidence </w:t>
      </w:r>
      <w:r w:rsidRPr="00125962">
        <w:rPr>
          <w:sz w:val="20"/>
        </w:rPr>
        <w:lastRenderedPageBreak/>
        <w:t>of giant sea-scorpions and giant millipedes, both over 2 meters long. In the more recent Cenozoic Era, a giant wombat, the size of a rhinoceros, may have been</w:t>
      </w:r>
      <w:r w:rsidRPr="00125962">
        <w:rPr>
          <w:color w:val="FF0000"/>
          <w:sz w:val="20"/>
        </w:rPr>
        <w:t xml:space="preserve"> </w:t>
      </w:r>
      <w:r w:rsidRPr="00125962">
        <w:rPr>
          <w:sz w:val="20"/>
        </w:rPr>
        <w:t>the largest marsupial to ever inhabit Earth. Similarly, many early plant types grew to extraordinary sizes. In contrast, the plants and animals in our world now are often very much smaller.  How could the ZPE be implicated in this?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Nerves in all vertebrate animals, including humans, operate by conducting electrical impulses.  In the same way a wire must be insulated to keep the electrical current from dissipating, nerves in most vertebrate species are insulated by a fatty layer called myelin. This myelin coating allows the nerve impulses to travel at a high speed in one direction and not be dissipated in all directions.</w:t>
      </w:r>
      <w:r w:rsidRPr="00125962">
        <w:rPr>
          <w:color w:val="FF0000"/>
          <w:sz w:val="20"/>
        </w:rPr>
        <w:t xml:space="preserve"> </w:t>
      </w:r>
      <w:r w:rsidRPr="00125962">
        <w:rPr>
          <w:sz w:val="20"/>
        </w:rPr>
        <w:t>This speed rises from about 1 meter per second for a bare nerve fiber, about 10 microns in diameter, to over 50 meters per second for the same axon (nerve fiber) sheathed in myelin. (A micron is one millionth of a meter.)</w:t>
      </w:r>
    </w:p>
    <w:p w:rsidR="00416D75" w:rsidRPr="00125962" w:rsidRDefault="00416D75" w:rsidP="00416D75">
      <w:pPr>
        <w:pStyle w:val="NormPara"/>
        <w:spacing w:before="120"/>
        <w:ind w:firstLine="0"/>
        <w:jc w:val="center"/>
        <w:rPr>
          <w:noProof/>
          <w:sz w:val="20"/>
        </w:rPr>
      </w:pPr>
      <w:r w:rsidRPr="00125962">
        <w:rPr>
          <w:noProof/>
          <w:sz w:val="20"/>
        </w:rPr>
        <w:drawing>
          <wp:inline distT="0" distB="0" distL="0" distR="0">
            <wp:extent cx="3781425" cy="1714500"/>
            <wp:effectExtent l="19050" t="0" r="9525" b="0"/>
            <wp:docPr id="58" name="Picture 105" descr="ne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uron"/>
                    <pic:cNvPicPr>
                      <a:picLocks noChangeAspect="1" noChangeArrowheads="1"/>
                    </pic:cNvPicPr>
                  </pic:nvPicPr>
                  <pic:blipFill>
                    <a:blip r:embed="rId1097" cstate="print"/>
                    <a:srcRect l="8040" t="10022" r="5371" b="10190"/>
                    <a:stretch>
                      <a:fillRect/>
                    </a:stretch>
                  </pic:blipFill>
                  <pic:spPr bwMode="auto">
                    <a:xfrm>
                      <a:off x="0" y="0"/>
                      <a:ext cx="3789158" cy="1718006"/>
                    </a:xfrm>
                    <a:prstGeom prst="rect">
                      <a:avLst/>
                    </a:prstGeom>
                    <a:noFill/>
                    <a:ln w="9525">
                      <a:noFill/>
                      <a:miter lim="800000"/>
                      <a:headEnd/>
                      <a:tailEnd/>
                    </a:ln>
                  </pic:spPr>
                </pic:pic>
              </a:graphicData>
            </a:graphic>
          </wp:inline>
        </w:drawing>
      </w:r>
    </w:p>
    <w:p w:rsidR="00416D75" w:rsidRPr="00125962" w:rsidRDefault="00416D75" w:rsidP="00416D75">
      <w:pPr>
        <w:pStyle w:val="NormPara"/>
        <w:spacing w:before="80" w:after="80"/>
        <w:ind w:left="274" w:right="274" w:firstLine="0"/>
        <w:jc w:val="center"/>
        <w:rPr>
          <w:b/>
          <w:sz w:val="20"/>
        </w:rPr>
      </w:pPr>
    </w:p>
    <w:p w:rsidR="00416D75" w:rsidRPr="0092452E" w:rsidRDefault="00416D75" w:rsidP="00416D75">
      <w:pPr>
        <w:pStyle w:val="NormPara"/>
        <w:spacing w:before="80" w:after="80"/>
        <w:ind w:right="274"/>
        <w:jc w:val="center"/>
        <w:rPr>
          <w:i/>
          <w:szCs w:val="18"/>
        </w:rPr>
      </w:pPr>
      <w:r w:rsidRPr="0092452E">
        <w:rPr>
          <w:b/>
          <w:i/>
          <w:szCs w:val="18"/>
        </w:rPr>
        <w:t>Figure 14:</w:t>
      </w:r>
      <w:r w:rsidRPr="0092452E">
        <w:rPr>
          <w:i/>
          <w:szCs w:val="18"/>
        </w:rPr>
        <w:t xml:space="preserve">  Typical nerve cell (neuron). Schwan's cells make myelin.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In contrast, the invertebrates, like the giant sea scorpions, the monster millipedes and the immense dragonflies, all had non-myelinated nerves. The rate of nerve transmission today appears to limit the size of these organisms to about 30 centimeters. Yet to survive, animals</w:t>
      </w:r>
      <w:r w:rsidRPr="00125962">
        <w:rPr>
          <w:color w:val="FF0000"/>
          <w:sz w:val="20"/>
        </w:rPr>
        <w:t xml:space="preserve"> </w:t>
      </w:r>
      <w:r w:rsidRPr="00125962">
        <w:rPr>
          <w:sz w:val="20"/>
        </w:rPr>
        <w:t>must have an efficient nervous system which conducts nerve impulses sufficiently rapidly for them to have a viable reaction time. How was this achieved with the larger animals of the past?</w:t>
      </w:r>
    </w:p>
    <w:p w:rsidR="00416D75" w:rsidRPr="00125962" w:rsidRDefault="00416D75" w:rsidP="00416D75">
      <w:pPr>
        <w:pStyle w:val="NormPara"/>
        <w:ind w:firstLine="720"/>
        <w:rPr>
          <w:sz w:val="20"/>
        </w:rPr>
      </w:pPr>
    </w:p>
    <w:p w:rsidR="00416D75" w:rsidRPr="00125962" w:rsidRDefault="00416D75" w:rsidP="00416D75">
      <w:pPr>
        <w:pStyle w:val="NormPara"/>
        <w:ind w:firstLine="720"/>
        <w:rPr>
          <w:i/>
          <w:sz w:val="20"/>
        </w:rPr>
      </w:pPr>
      <w:r w:rsidRPr="00125962">
        <w:rPr>
          <w:sz w:val="20"/>
        </w:rPr>
        <w:t xml:space="preserve">This is where the importance of bio-electro-magnetism arises. J. Malmivuo and R. Plonsey have made some key comments which have a bearing on our problem. In [86], page 33, they state: </w:t>
      </w:r>
      <w:r w:rsidRPr="00125962">
        <w:rPr>
          <w:i/>
          <w:sz w:val="20"/>
        </w:rPr>
        <w:t xml:space="preserve">"All cells exhibit a voltage difference across the cell membrane. Nerve cells and muscle cells are excitable. Their cell membrane can produce electrochemical impulses and conduct them along the membrane. In muscle cells, this electric </w:t>
      </w:r>
      <w:proofErr w:type="gramStart"/>
      <w:r w:rsidRPr="00125962">
        <w:rPr>
          <w:i/>
          <w:sz w:val="20"/>
        </w:rPr>
        <w:t>phenomena</w:t>
      </w:r>
      <w:proofErr w:type="gramEnd"/>
      <w:r w:rsidRPr="00125962">
        <w:rPr>
          <w:i/>
          <w:sz w:val="20"/>
        </w:rPr>
        <w:t xml:space="preserve"> is also associated with the contraction of the cell [the working of the muscle]. In other cells, such as gland cells and ciliated cells, it is believed that the membrane voltage is important to the execution of cell function."</w:t>
      </w:r>
    </w:p>
    <w:p w:rsidR="00416D75" w:rsidRPr="00125962" w:rsidRDefault="00416D75" w:rsidP="00416D75">
      <w:pPr>
        <w:pStyle w:val="NormPara"/>
        <w:ind w:firstLine="461"/>
        <w:rPr>
          <w:i/>
          <w:sz w:val="20"/>
        </w:rPr>
      </w:pPr>
    </w:p>
    <w:p w:rsidR="00416D75" w:rsidRPr="00125962" w:rsidRDefault="00416D75" w:rsidP="00416D75">
      <w:pPr>
        <w:pStyle w:val="NormPara"/>
        <w:ind w:firstLine="720"/>
        <w:rPr>
          <w:sz w:val="20"/>
        </w:rPr>
      </w:pPr>
      <w:r w:rsidRPr="00125962">
        <w:rPr>
          <w:sz w:val="20"/>
        </w:rPr>
        <w:t>These authors [page 42, Eq. (2.1)] show that the axon’s nerve signal velocity is inversely proportional to its capacitance. Mathematically, all other terms which would be variable under changing ZPE conditions cancel out. This leaves axon capacitance as the sole player where nerve conduction velocities are concerned. When the ZPE strength was lower, and all voltages intrinsically higher, currents were stronger, and capacitances lower. Thus, when the ZPE strength was 1/10th of its current value, so also was the capacitance of the axons. This meant nerve signals were not only stronger, but traveled 10 times as fast down the axon.  So both nerve signal velocities and reaction times would have been much faster as in the past [87].  If the rate of nerve transmission is, indeed, one of the factors affecting the final size of an organism, a lower ZPE might have been one reason for the gigantism of the past. Alternately, the high ZPE strength of today necessitates small sizes for animals now.</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 parallel situation exists with fossil plants. Their great size and prolific numbers in the past suggest that some factor involving photosynthesis has changed. Photosynthesis depends on light and light is affected by the Zero Point Energy. Examination of this option reveals some pertinent facts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previously demonstrated [87], when the ZPE was lower, the production rate of light waves (or photons) by the sun and stars was higher in inverse proportion [85]. This holds whether nuclear or electric processes are involved [85]. Thus, when the ZPE strength was 1/10</w:t>
      </w:r>
      <w:r w:rsidRPr="00125962">
        <w:rPr>
          <w:sz w:val="20"/>
          <w:vertAlign w:val="superscript"/>
        </w:rPr>
        <w:t>th</w:t>
      </w:r>
      <w:r w:rsidRPr="00125962">
        <w:rPr>
          <w:sz w:val="20"/>
        </w:rPr>
        <w:t xml:space="preserve"> of what it is today, the speed of light was 10 times higher, meaning the earth received 10 times as many waves or photons per second as it does now. However this did not damage anything because the high number was offset by the fact that the electric and magnetic properties of the vacuum would have had only 1/10</w:t>
      </w:r>
      <w:r w:rsidRPr="00125962">
        <w:rPr>
          <w:sz w:val="20"/>
          <w:vertAlign w:val="superscript"/>
        </w:rPr>
        <w:t>th</w:t>
      </w:r>
      <w:r w:rsidRPr="00125962">
        <w:rPr>
          <w:sz w:val="20"/>
        </w:rPr>
        <w:t xml:space="preserve"> of their current value. Since it is these properties that govern the intensity or brightness of the waves or photons, each only had 1/10</w:t>
      </w:r>
      <w:r w:rsidRPr="00125962">
        <w:rPr>
          <w:sz w:val="20"/>
          <w:vertAlign w:val="superscript"/>
        </w:rPr>
        <w:t>th</w:t>
      </w:r>
      <w:r w:rsidRPr="00125962">
        <w:rPr>
          <w:sz w:val="20"/>
        </w:rPr>
        <w:t xml:space="preserve"> of the intensity that it has today. Therefore, even though there were 10 times as many photons or waves, the total intensity or brightness of light would have been the same as today. Note that the energy of each photon or wave (that is, its color) would have been the same as today and therefore unchanged [85, 87].</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When the ZPE was low, plants received more photons of light of a given color (energy) per unit area per second than they do now. Under these conditions, analysis indicates that photosynthetic processes would have been more efficient when the ZPE was lower, so that plants would have grown more rapidly and to enhanced sizes.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As we then examine the effects of a lower Zero Point Energy in the past, it becomes evident that these effects may not have been confined to “outer space.”  More efficient photosynthesis in plants and more efficient nerve transmissions in animals both would have been the result of a lower ZPE.  This may well have contributed to the gigantism we see in the fossil record.  Put another way, the gigantism we see among fossils may itself be testimony to a lower ZPE in the past.</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4" w:hanging="274"/>
        <w:jc w:val="both"/>
        <w:outlineLvl w:val="0"/>
        <w:rPr>
          <w:rFonts w:ascii="Book Antiqua" w:hAnsi="Book Antiqua"/>
          <w:b/>
          <w:sz w:val="20"/>
        </w:rPr>
      </w:pPr>
      <w:r w:rsidRPr="00125962">
        <w:rPr>
          <w:rFonts w:ascii="Book Antiqua" w:hAnsi="Book Antiqua"/>
          <w:b/>
          <w:sz w:val="20"/>
        </w:rPr>
        <w:t>The ZPE and Relativity</w:t>
      </w: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sz w:val="20"/>
          <w:szCs w:val="20"/>
        </w:rPr>
      </w:pPr>
      <w:r w:rsidRPr="00125962">
        <w:rPr>
          <w:rFonts w:ascii="Book Antiqua" w:hAnsi="Book Antiqua" w:cs="Times New Roman"/>
          <w:sz w:val="20"/>
          <w:szCs w:val="20"/>
        </w:rPr>
        <w:t>The Concept of the “Aether”</w:t>
      </w:r>
    </w:p>
    <w:p w:rsidR="00416D75" w:rsidRPr="00125962" w:rsidRDefault="00416D75" w:rsidP="00416D75">
      <w:pPr>
        <w:pStyle w:val="NoSpacing"/>
      </w:pPr>
    </w:p>
    <w:p w:rsidR="00416D75" w:rsidRPr="00125962" w:rsidRDefault="00416D75" w:rsidP="00416D75">
      <w:pPr>
        <w:pStyle w:val="NormPara"/>
        <w:ind w:firstLine="720"/>
        <w:rPr>
          <w:sz w:val="20"/>
        </w:rPr>
      </w:pPr>
      <w:r w:rsidRPr="00125962">
        <w:rPr>
          <w:sz w:val="20"/>
        </w:rPr>
        <w:t>At the beginning of the twentieth century, it was assumed that there had to be a medium filling the vacuum of space so that light waves could be transmitted. This ‘light carrying medium’ was called the ether (or aether). It was assumed that the ether was universally at rest. As a result of the orbital motion of the earth through this stationary ether, it was then thought possible to detect the "ether drift" past the earth. The simplest way of doing this was to send beams of light in different directions and measure the difference in light speed as it traveled either with or against the ether drift by using fringe shifts in an interferometer. This experiment could be performed since the orbital speed of the earth is about 30 km/s, and this velocity difference was measurable by the proposed interferometer fringe shifts. Michelson and Morley (M-M) performed this experiment in 1881 and the only drift recorded, about 8 km/s, was considered by most to be near the error limits of the equipment. As a consequence, the official position has been that no drift was recorded.</w:t>
      </w:r>
    </w:p>
    <w:p w:rsidR="00416D75" w:rsidRDefault="00416D75" w:rsidP="00416D75">
      <w:pPr>
        <w:pStyle w:val="NormPara"/>
        <w:ind w:firstLine="0"/>
        <w:rPr>
          <w:sz w:val="20"/>
        </w:rPr>
      </w:pPr>
    </w:p>
    <w:p w:rsidR="00416D75" w:rsidRDefault="00416D75" w:rsidP="00416D75">
      <w:pPr>
        <w:pStyle w:val="NormPara"/>
        <w:ind w:firstLine="0"/>
        <w:jc w:val="center"/>
        <w:rPr>
          <w:sz w:val="20"/>
        </w:rPr>
      </w:pPr>
      <w:r w:rsidRPr="00D25417">
        <w:rPr>
          <w:noProof/>
          <w:sz w:val="20"/>
        </w:rPr>
        <w:drawing>
          <wp:inline distT="0" distB="0" distL="0" distR="0">
            <wp:extent cx="3208244" cy="2101952"/>
            <wp:effectExtent l="19050" t="0" r="0" b="0"/>
            <wp:docPr id="59" name="il_fi" descr="http://www.mystica.gr/philex_3.files/MichelsonMor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ystica.gr/philex_3.files/MichelsonMorley.jpg"/>
                    <pic:cNvPicPr>
                      <a:picLocks noChangeAspect="1" noChangeArrowheads="1"/>
                    </pic:cNvPicPr>
                  </pic:nvPicPr>
                  <pic:blipFill>
                    <a:blip r:embed="rId1218" cstate="print"/>
                    <a:srcRect/>
                    <a:stretch>
                      <a:fillRect/>
                    </a:stretch>
                  </pic:blipFill>
                  <pic:spPr bwMode="auto">
                    <a:xfrm>
                      <a:off x="0" y="0"/>
                      <a:ext cx="3216175" cy="2107148"/>
                    </a:xfrm>
                    <a:prstGeom prst="rect">
                      <a:avLst/>
                    </a:prstGeom>
                    <a:noFill/>
                    <a:ln w="9525">
                      <a:noFill/>
                      <a:miter lim="800000"/>
                      <a:headEnd/>
                      <a:tailEnd/>
                    </a:ln>
                  </pic:spPr>
                </pic:pic>
              </a:graphicData>
            </a:graphic>
          </wp:inline>
        </w:drawing>
      </w:r>
    </w:p>
    <w:p w:rsidR="00416D75" w:rsidRPr="00125962" w:rsidRDefault="00416D75" w:rsidP="00416D75">
      <w:pPr>
        <w:pStyle w:val="NormPara"/>
        <w:ind w:firstLine="0"/>
        <w:rPr>
          <w:sz w:val="20"/>
        </w:rPr>
      </w:pPr>
    </w:p>
    <w:p w:rsidR="00416D75" w:rsidRPr="00125962" w:rsidRDefault="00416D75" w:rsidP="00416D75">
      <w:pPr>
        <w:pStyle w:val="NormPara"/>
        <w:ind w:firstLine="270"/>
        <w:rPr>
          <w:sz w:val="20"/>
        </w:rPr>
      </w:pPr>
      <w:r w:rsidRPr="00125962">
        <w:rPr>
          <w:sz w:val="20"/>
        </w:rPr>
        <w:lastRenderedPageBreak/>
        <w:t>In order to account for this lack of motion through the stationary ether, a number of proposals were made by a variety of physicists, including Fitzgerald, Lorentz and Einstein. Even as late as 1929, Einstein was stating in his lectures that, though the ether was still considered to exist, the theory of relativity explained why no "ether drift" was detected. He proposed that there were changes in space and time, and that there was no absolute frame of reference against which anything could be measured. That was the prime reason for his special theory of relativity (SR), which later opened up the way for the general theory of relativity (GR). Historically, Einstein's theory was accepted as the explanation.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rStyle w:val="Emphasis"/>
          <w:sz w:val="20"/>
        </w:rPr>
      </w:pPr>
      <w:r w:rsidRPr="00125962">
        <w:rPr>
          <w:sz w:val="20"/>
        </w:rPr>
        <w:t>The ZPE is the all-pervasive ‘light carrying medium’ or ‘ether’ that exists in reality. Its properties are vastly different from those imagined by physicists when the Michelson-Morley experiment was done. One key property of the ZPE was discussed by Timothy Boyer in his article, “The Classical Vacuum” as follows [88]: “</w:t>
      </w:r>
      <w:r w:rsidRPr="00125962">
        <w:rPr>
          <w:rStyle w:val="Emphasis"/>
          <w:sz w:val="20"/>
        </w:rPr>
        <w:t xml:space="preserve">It turns out that the zero-point spectrum can </w:t>
      </w:r>
      <w:r w:rsidRPr="00125962">
        <w:rPr>
          <w:iCs/>
          <w:sz w:val="20"/>
        </w:rPr>
        <w:t>only</w:t>
      </w:r>
      <w:r w:rsidRPr="00125962">
        <w:rPr>
          <w:rStyle w:val="Emphasis"/>
          <w:sz w:val="20"/>
        </w:rPr>
        <w:t xml:space="preserve"> have one possible shape…the intensity of the radiation at any frequency must be proportional to the cube of that frequency. A spectrum defined by such a cubic curve is the same for all unaccelerated observers, no matter what their velocity; moreover, it is the only spectrum that has this property.”</w:t>
      </w:r>
    </w:p>
    <w:p w:rsidR="00416D75" w:rsidRPr="00125962" w:rsidRDefault="00416D75" w:rsidP="00416D75">
      <w:pPr>
        <w:pStyle w:val="NormPara"/>
        <w:ind w:firstLine="720"/>
        <w:rPr>
          <w:rStyle w:val="Emphasis"/>
          <w:sz w:val="20"/>
        </w:rPr>
      </w:pPr>
    </w:p>
    <w:p w:rsidR="00416D75" w:rsidRPr="00125962" w:rsidRDefault="00416D75" w:rsidP="00416D75">
      <w:pPr>
        <w:pStyle w:val="NormPara"/>
        <w:ind w:firstLine="720"/>
        <w:rPr>
          <w:sz w:val="20"/>
        </w:rPr>
      </w:pPr>
      <w:r w:rsidRPr="00125962">
        <w:rPr>
          <w:rStyle w:val="Emphasis"/>
          <w:i w:val="0"/>
          <w:sz w:val="20"/>
        </w:rPr>
        <w:t>In other words, t</w:t>
      </w:r>
      <w:r w:rsidRPr="00125962">
        <w:rPr>
          <w:sz w:val="20"/>
        </w:rPr>
        <w:t>he ZPE is Lorentz invariant, meaning you cannot distinguish motion through it. Furthermore, since the ZPE is uniform through all space at any given time, the speed of light will also be uniform throughout all of space at any given time. It is only changes in the strength of the ZPE which will affect the speed of light, not its direction of travel. If this had been known, the results of the M-M experiment could have been readily explained.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Increasing Masses and Slowing Clocks</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It is known that Einstein's relativity made predictions that proved correct. However these same predictions can be made using intuitive concepts from the ZPE approach and very much simpler mathematics in the process [89].</w:t>
      </w:r>
    </w:p>
    <w:p w:rsidR="00416D75" w:rsidRPr="00125962" w:rsidRDefault="00416D75" w:rsidP="00416D75">
      <w:pPr>
        <w:pStyle w:val="NormPara"/>
        <w:ind w:firstLine="360"/>
        <w:rPr>
          <w:sz w:val="20"/>
        </w:rPr>
      </w:pPr>
    </w:p>
    <w:p w:rsidR="00416D75" w:rsidRPr="00125962" w:rsidRDefault="00416D75" w:rsidP="00416D75">
      <w:pPr>
        <w:pStyle w:val="NormPara"/>
        <w:ind w:firstLine="720"/>
        <w:rPr>
          <w:sz w:val="20"/>
        </w:rPr>
      </w:pPr>
      <w:r w:rsidRPr="00125962">
        <w:rPr>
          <w:sz w:val="20"/>
        </w:rPr>
        <w:t>Special Relativity deals with how velocities affect moving objects. As velocities increase, atomic masses also increase and atomic clocks slow. We have observed that the acceleration of an electron through a linear accelerator results in an increase in mass of the electron. This has been hailed as proof that relativity is correct. However, the SED approach predicts exactly the same effect as a result of the existence of the ZPE. The SED approach has shown that the masses of sub-atomic particles are all results of the "jiggling" of these particles by the impacting waves of the ZPE. This "jiggling" imparts kinetic energy to these mass-less particles and this energy appears atomically as mass. An increased "jiggling" occurs when a particle is in motion, because more ZPE waves are impacting the particle than when it is at rest. An increase in particle mass is then the result. The higher the velocity, the more ZPE waves are being encountered per second and so more "jiggling" occurs and so there is a greater mass. This has been mathematically quantified by SED physicists.</w:t>
      </w:r>
    </w:p>
    <w:p w:rsidR="00416D75" w:rsidRPr="00125962"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t xml:space="preserve">In addition, as atomic masses, </w:t>
      </w:r>
      <w:r w:rsidRPr="00125962">
        <w:rPr>
          <w:i/>
          <w:sz w:val="20"/>
        </w:rPr>
        <w:t>m</w:t>
      </w:r>
      <w:r w:rsidRPr="00125962">
        <w:rPr>
          <w:sz w:val="20"/>
        </w:rPr>
        <w:t xml:space="preserve">, increase by this process, it can be shown that the rate of ticking of atomic clocks slows down. This occurs because kinetic </w:t>
      </w:r>
      <w:proofErr w:type="gramStart"/>
      <w:r w:rsidRPr="00125962">
        <w:rPr>
          <w:sz w:val="20"/>
        </w:rPr>
        <w:t xml:space="preserve">energy </w:t>
      </w:r>
      <m:oMath>
        <w:proofErr w:type="gramEnd"/>
        <m:r>
          <w:rPr>
            <w:rFonts w:ascii="Cambria Math"/>
            <w:sz w:val="20"/>
          </w:rPr>
          <m:t>(</m:t>
        </m:r>
        <m:r>
          <w:rPr>
            <w:sz w:val="20"/>
          </w:rPr>
          <m:t>½</m:t>
        </m:r>
        <m:r>
          <w:rPr>
            <w:rFonts w:ascii="Cambria Math"/>
            <w:sz w:val="20"/>
          </w:rPr>
          <m:t xml:space="preserve"> </m:t>
        </m:r>
        <m:r>
          <w:rPr>
            <w:rFonts w:ascii="Cambria Math" w:hAnsi="Cambria Math"/>
            <w:sz w:val="20"/>
          </w:rPr>
          <m:t>m</m:t>
        </m:r>
        <m:sSup>
          <m:sSupPr>
            <m:ctrlPr>
              <w:rPr>
                <w:rFonts w:ascii="Cambria Math" w:hAnsi="Cambria Math"/>
                <w:i/>
                <w:sz w:val="20"/>
              </w:rPr>
            </m:ctrlPr>
          </m:sSupPr>
          <m:e>
            <m:r>
              <w:rPr>
                <w:rFonts w:ascii="Cambria Math" w:hAnsi="Cambria Math"/>
                <w:sz w:val="20"/>
              </w:rPr>
              <m:t>v</m:t>
            </m:r>
          </m:e>
          <m:sup>
            <m:r>
              <w:rPr>
                <w:rFonts w:ascii="Cambria Math"/>
                <w:sz w:val="20"/>
              </w:rPr>
              <m:t>2</m:t>
            </m:r>
          </m:sup>
        </m:sSup>
      </m:oMath>
      <w:r w:rsidRPr="00125962">
        <w:rPr>
          <w:sz w:val="20"/>
        </w:rPr>
        <w:t>) is conserved in atomic processes. This energy conservation requires that atomic particles must move more slowly as they gain mass -- that is their velocities</w:t>
      </w:r>
      <w:proofErr w:type="gramStart"/>
      <w:r w:rsidRPr="00125962">
        <w:rPr>
          <w:sz w:val="20"/>
        </w:rPr>
        <w:t xml:space="preserve">, </w:t>
      </w:r>
      <m:oMath>
        <w:proofErr w:type="gramEnd"/>
        <m:r>
          <w:rPr>
            <w:rFonts w:ascii="Cambria Math" w:hAnsi="Cambria Math"/>
            <w:sz w:val="20"/>
          </w:rPr>
          <m:t>v</m:t>
        </m:r>
      </m:oMath>
      <w:r w:rsidRPr="00125962">
        <w:rPr>
          <w:sz w:val="20"/>
        </w:rPr>
        <w:t>, decrease. Slowing atomic processes, in turn, then mean that atomic time slows with increases in mass. The converse is also true; atomic processes will speed up with a decrease in atomic mass (which comes from a decrease in the ZPE). Changes in atomic masses result in changes in atomic clock rates.</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Bending Light in a Gravitational Field</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Pr>
          <w:sz w:val="20"/>
        </w:rPr>
        <w:t xml:space="preserve">In terms of gravity, </w:t>
      </w:r>
      <w:r w:rsidRPr="00337D7B">
        <w:rPr>
          <w:sz w:val="20"/>
        </w:rPr>
        <w:t>SED physics also presents the same predictions as General Relativity (GR).</w:t>
      </w:r>
      <w:r w:rsidRPr="00125962">
        <w:rPr>
          <w:sz w:val="20"/>
        </w:rPr>
        <w:t xml:space="preserve">  Using intuitive concepts and simple mathematics, even the awkward movements of Mercury, known as the advance of its perihelion, can be explained [89].  As early as 1920, working on an intuitive level and using simple mathematics, Sir Arthur Eddington wrote [90]:</w:t>
      </w:r>
    </w:p>
    <w:p w:rsidR="00416D75" w:rsidRPr="00125962" w:rsidRDefault="00416D75" w:rsidP="00416D75">
      <w:pPr>
        <w:pStyle w:val="NormPara"/>
        <w:ind w:firstLine="720"/>
        <w:rPr>
          <w:sz w:val="20"/>
        </w:rPr>
      </w:pPr>
    </w:p>
    <w:p w:rsidR="00416D75" w:rsidRPr="00125962" w:rsidRDefault="00416D75" w:rsidP="00416D75">
      <w:pPr>
        <w:pStyle w:val="NormPara"/>
        <w:spacing w:before="80" w:after="80"/>
        <w:ind w:firstLine="0"/>
        <w:rPr>
          <w:rStyle w:val="Emphasis"/>
          <w:sz w:val="20"/>
        </w:rPr>
      </w:pPr>
      <w:r w:rsidRPr="00125962">
        <w:rPr>
          <w:rStyle w:val="Emphasis"/>
          <w:sz w:val="20"/>
        </w:rPr>
        <w:lastRenderedPageBreak/>
        <w:t xml:space="preserve">“Light moves more slowly in a material medium than in a vacuum, the velocity being inversely proportional to the refractive index of the medium.... We can thus imitate the [GR] gravitational effect on light precisely, if we imagine the space round the sun filled with a refracting medium which gives the appropriate velocity of light. To give the </w:t>
      </w:r>
      <w:proofErr w:type="gramStart"/>
      <w:r w:rsidRPr="00125962">
        <w:rPr>
          <w:rStyle w:val="Emphasis"/>
          <w:sz w:val="20"/>
        </w:rPr>
        <w:t xml:space="preserve">velocity </w:t>
      </w:r>
      <w:proofErr w:type="gramEnd"/>
      <w:r w:rsidRPr="00125962">
        <w:rPr>
          <w:i/>
          <w:iCs/>
          <w:position w:val="-12"/>
          <w:sz w:val="20"/>
        </w:rPr>
        <w:object w:dxaOrig="940" w:dyaOrig="340">
          <v:shape id="_x0000_i1355" type="#_x0000_t75" style="width:47.2pt;height:17.55pt" o:ole="">
            <v:imagedata r:id="rId1219" o:title=""/>
          </v:shape>
          <o:OLEObject Type="Embed" ProgID="Equation.DSMT4" ShapeID="_x0000_i1355" DrawAspect="Content" ObjectID="_1433920507" r:id="rId1220"/>
        </w:object>
      </w:r>
      <w:r w:rsidRPr="00125962">
        <w:rPr>
          <w:rStyle w:val="Emphasis"/>
          <w:sz w:val="20"/>
        </w:rPr>
        <w:t xml:space="preserve">, the refractive index must be </w:t>
      </w:r>
      <w:r w:rsidRPr="00125962">
        <w:rPr>
          <w:i/>
          <w:iCs/>
          <w:position w:val="-12"/>
          <w:sz w:val="20"/>
        </w:rPr>
        <w:object w:dxaOrig="999" w:dyaOrig="340">
          <v:shape id="_x0000_i1356" type="#_x0000_t75" style="width:50.2pt;height:17.55pt" o:ole="">
            <v:imagedata r:id="rId1221" o:title=""/>
          </v:shape>
          <o:OLEObject Type="Embed" ProgID="Equation.DSMT4" ShapeID="_x0000_i1356" DrawAspect="Content" ObjectID="_1433920508" r:id="rId1222"/>
        </w:object>
      </w:r>
      <w:r w:rsidRPr="00125962">
        <w:rPr>
          <w:rStyle w:val="Emphasis"/>
          <w:sz w:val="20"/>
        </w:rPr>
        <w:t>. …Any problem on the paths of rays near the sun can now be solved by the methods of geometrical optics applied to the equivalent refracting medium.”</w:t>
      </w:r>
    </w:p>
    <w:p w:rsidR="00416D75" w:rsidRPr="00125962" w:rsidRDefault="00416D75" w:rsidP="00416D75">
      <w:pPr>
        <w:pStyle w:val="NormPara"/>
        <w:spacing w:before="80" w:after="80"/>
        <w:ind w:left="274" w:firstLine="0"/>
        <w:rPr>
          <w:sz w:val="20"/>
        </w:rPr>
      </w:pPr>
    </w:p>
    <w:p w:rsidR="00416D75" w:rsidRPr="00125962" w:rsidRDefault="00416D75" w:rsidP="00416D75">
      <w:pPr>
        <w:pStyle w:val="NormPara"/>
        <w:ind w:firstLine="720"/>
        <w:rPr>
          <w:sz w:val="20"/>
        </w:rPr>
      </w:pPr>
      <w:r w:rsidRPr="00125962">
        <w:rPr>
          <w:sz w:val="20"/>
        </w:rPr>
        <w:t xml:space="preserve">It can be demonstrated that the build-up of the ZPE strength around collections of particles provides just such an </w:t>
      </w:r>
      <w:r w:rsidRPr="00125962">
        <w:rPr>
          <w:i/>
          <w:sz w:val="20"/>
        </w:rPr>
        <w:t>“equivalent refracting medium”</w:t>
      </w:r>
      <w:r w:rsidRPr="00125962">
        <w:rPr>
          <w:sz w:val="20"/>
        </w:rPr>
        <w:t>. When subatomic particles are “jiggled” by the ZPE, they send out secondary radiation which boosts the ZPE strength locally. The larger the collection of particles, the greater the local boost to the ZPE becomes. Since a stronger ZPE means a slowing of light photons and waves in their travel, then the boosted ZPE acts as an ‘equivalent refractive medium’. Refraction occurs in this case because the ZPE strength changes locally, not in a uniform or simultaneously manner across the entire universe. It is this local change in the ZPE which bends the rays of light. Since this effect only occurs in the vicinity of a massive collection of jiggling particles, its cause is attributed to the “gravitational field.”</w:t>
      </w:r>
    </w:p>
    <w:p w:rsidR="00416D75" w:rsidRPr="00125962" w:rsidRDefault="00416D75" w:rsidP="00416D75">
      <w:pPr>
        <w:pStyle w:val="NormPara"/>
        <w:ind w:firstLine="72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Is There an Absolute Reference Frame?</w:t>
      </w:r>
    </w:p>
    <w:p w:rsidR="00416D75" w:rsidRPr="00125962" w:rsidRDefault="00416D75" w:rsidP="00416D75">
      <w:pPr>
        <w:rPr>
          <w:rFonts w:ascii="Book Antiqua" w:hAnsi="Book Antiqua"/>
        </w:rPr>
      </w:pPr>
    </w:p>
    <w:p w:rsidR="00416D75" w:rsidRPr="00125962" w:rsidRDefault="00416D75" w:rsidP="00416D75">
      <w:pPr>
        <w:pStyle w:val="NormPara"/>
        <w:ind w:firstLine="720"/>
        <w:rPr>
          <w:sz w:val="20"/>
        </w:rPr>
      </w:pPr>
      <w:r w:rsidRPr="00125962">
        <w:rPr>
          <w:sz w:val="20"/>
        </w:rPr>
        <w:t xml:space="preserve">Einstein’s basic postulate, from which the theory of relativity takes its name, is that there is no absolute frame of reference anywhere in the universe. However, in 1964 the Cosmic Microwave Background Radiation (CMBR) was discovered by Penzias and Wilson. The physical reality of the CMBR has provided an absolute rest frame against which the actual velocity of the solar system, our galaxy, and our Local Group of galaxies can be measured. </w:t>
      </w:r>
      <w:proofErr w:type="gramStart"/>
      <w:r w:rsidRPr="00125962">
        <w:rPr>
          <w:sz w:val="20"/>
        </w:rPr>
        <w:t>Cosmologist and astronomer, Martin Harwit.</w:t>
      </w:r>
      <w:proofErr w:type="gramEnd"/>
      <w:r w:rsidRPr="00125962">
        <w:rPr>
          <w:sz w:val="20"/>
        </w:rPr>
        <w:t xml:space="preserve"> </w:t>
      </w:r>
      <w:proofErr w:type="gramStart"/>
      <w:r w:rsidRPr="00125962">
        <w:rPr>
          <w:sz w:val="20"/>
        </w:rPr>
        <w:t>writes</w:t>
      </w:r>
      <w:proofErr w:type="gramEnd"/>
      <w:r w:rsidRPr="00125962">
        <w:rPr>
          <w:sz w:val="20"/>
        </w:rPr>
        <w:t xml:space="preserve"> [91]:</w:t>
      </w:r>
    </w:p>
    <w:p w:rsidR="00416D75" w:rsidRPr="00125962" w:rsidRDefault="00416D75" w:rsidP="00416D75">
      <w:pPr>
        <w:pStyle w:val="NormPara"/>
        <w:spacing w:before="80" w:after="80"/>
        <w:ind w:firstLine="360"/>
        <w:rPr>
          <w:rStyle w:val="Emphasis"/>
          <w:i w:val="0"/>
          <w:sz w:val="20"/>
        </w:rPr>
      </w:pPr>
      <w:r w:rsidRPr="00125962">
        <w:rPr>
          <w:rStyle w:val="Emphasis"/>
          <w:sz w:val="20"/>
        </w:rPr>
        <w:t>“</w:t>
      </w:r>
      <w:r w:rsidRPr="00125962">
        <w:rPr>
          <w:i/>
          <w:iCs/>
          <w:sz w:val="20"/>
        </w:rPr>
        <w:t>Current</w:t>
      </w:r>
      <w:r w:rsidRPr="00125962">
        <w:rPr>
          <w:rStyle w:val="Emphasis"/>
          <w:sz w:val="20"/>
        </w:rPr>
        <w:t xml:space="preserve"> observations indicate that the universe is bathed by an isotropic bath of microwave radiation. It is interesting that the presence of such a radiation field should allow us to determine an absolute rest frame on the basis of local measurement.”</w:t>
      </w:r>
      <w:r w:rsidRPr="00125962">
        <w:rPr>
          <w:sz w:val="20"/>
        </w:rPr>
        <w:t xml:space="preserve">Harwit then goes on to salvage what he can for relativity by saying  </w:t>
      </w:r>
      <w:r w:rsidRPr="00125962">
        <w:rPr>
          <w:rStyle w:val="Emphasis"/>
          <w:sz w:val="20"/>
        </w:rPr>
        <w:t>”...the establishment of an absolute rest frame would emphasize the fact that special relativity is really only able to deal with small-scale phenomena and that phenomena on larger scales allow us to determine a preferred frame of reference in which cosmic processes look isotropic.”</w:t>
      </w:r>
      <w:r w:rsidRPr="00125962">
        <w:rPr>
          <w:rStyle w:val="Emphasis"/>
          <w:i w:val="0"/>
          <w:sz w:val="20"/>
        </w:rPr>
        <w:t>[91]</w:t>
      </w:r>
    </w:p>
    <w:p w:rsidR="00416D75" w:rsidRPr="00125962" w:rsidRDefault="00416D75" w:rsidP="00416D75">
      <w:pPr>
        <w:pStyle w:val="NormPara"/>
        <w:ind w:firstLine="0"/>
        <w:rPr>
          <w:sz w:val="20"/>
        </w:rPr>
      </w:pPr>
    </w:p>
    <w:p w:rsidR="00416D75" w:rsidRPr="00125962" w:rsidRDefault="00416D75" w:rsidP="00416D75">
      <w:pPr>
        <w:pStyle w:val="NormPara"/>
        <w:ind w:firstLine="360"/>
        <w:rPr>
          <w:sz w:val="20"/>
        </w:rPr>
      </w:pPr>
      <w:r w:rsidRPr="00125962">
        <w:rPr>
          <w:sz w:val="20"/>
        </w:rPr>
        <w:t xml:space="preserve">In other words, special relativity applies at an atomic level but not a macroscopic one. Further discussion </w:t>
      </w:r>
      <w:r>
        <w:rPr>
          <w:sz w:val="20"/>
        </w:rPr>
        <w:t>can be found on this matter in</w:t>
      </w:r>
      <w:r w:rsidRPr="00125962">
        <w:rPr>
          <w:sz w:val="20"/>
        </w:rPr>
        <w:t xml:space="preserve"> Chapter 7.</w:t>
      </w:r>
    </w:p>
    <w:p w:rsidR="00416D75" w:rsidRPr="00125962" w:rsidRDefault="00416D75" w:rsidP="00416D75">
      <w:pPr>
        <w:pStyle w:val="NormPara"/>
        <w:ind w:firstLine="0"/>
        <w:rPr>
          <w:sz w:val="20"/>
        </w:rPr>
      </w:pPr>
    </w:p>
    <w:p w:rsidR="00416D75" w:rsidRPr="00125962" w:rsidRDefault="00416D75" w:rsidP="00416D75">
      <w:pPr>
        <w:pStyle w:val="Heading2"/>
        <w:widowControl/>
        <w:numPr>
          <w:ilvl w:val="1"/>
          <w:numId w:val="34"/>
        </w:numPr>
        <w:spacing w:before="80" w:after="80" w:line="240" w:lineRule="atLeast"/>
        <w:ind w:left="360"/>
        <w:rPr>
          <w:rFonts w:ascii="Book Antiqua" w:hAnsi="Book Antiqua" w:cs="Times New Roman"/>
          <w:b w:val="0"/>
          <w:sz w:val="20"/>
          <w:szCs w:val="20"/>
        </w:rPr>
      </w:pPr>
      <w:r w:rsidRPr="00125962">
        <w:rPr>
          <w:rFonts w:ascii="Book Antiqua" w:hAnsi="Book Antiqua" w:cs="Times New Roman"/>
          <w:b w:val="0"/>
          <w:sz w:val="20"/>
          <w:szCs w:val="20"/>
        </w:rPr>
        <w:t>Gravity, General Relativity and the ZPE</w:t>
      </w:r>
    </w:p>
    <w:p w:rsidR="00416D75" w:rsidRPr="00B92084" w:rsidRDefault="00416D75" w:rsidP="00416D75">
      <w:pPr>
        <w:pStyle w:val="NoSpacing"/>
        <w:rPr>
          <w:rFonts w:ascii="Book Antiqua" w:hAnsi="Book Antiqua"/>
        </w:rPr>
      </w:pPr>
    </w:p>
    <w:p w:rsidR="00416D75" w:rsidRPr="00125962" w:rsidRDefault="00416D75" w:rsidP="00416D75">
      <w:pPr>
        <w:pStyle w:val="NormPara"/>
        <w:ind w:firstLine="720"/>
        <w:rPr>
          <w:sz w:val="20"/>
        </w:rPr>
      </w:pPr>
      <w:r w:rsidRPr="00125962">
        <w:rPr>
          <w:sz w:val="20"/>
        </w:rPr>
        <w:t xml:space="preserve">Finally, there is the question of what gravity really is. While it may be correct to state that GR is a good mathematical </w:t>
      </w:r>
      <w:proofErr w:type="gramStart"/>
      <w:r w:rsidRPr="00125962">
        <w:rPr>
          <w:sz w:val="20"/>
        </w:rPr>
        <w:t>model, that</w:t>
      </w:r>
      <w:proofErr w:type="gramEnd"/>
      <w:r w:rsidRPr="00125962">
        <w:rPr>
          <w:sz w:val="20"/>
        </w:rPr>
        <w:t xml:space="preserve"> is not the same as explaining how gravitational forces originate. The GR model is often presented using the "rubber sheet" analogy. In this analogy, the picture is often given of a heavy ball-bearing, representing a massive body like the earth or sun, which deforms the surface of a rubber sheet (space-time) and causes it to curve. The problems with both the mathematics and the analogy were mentioned by Tom Van Flandern and others at a conference in 2002. It was described as follows [92]: </w:t>
      </w:r>
    </w:p>
    <w:p w:rsidR="00416D75" w:rsidRPr="00125962" w:rsidRDefault="00416D75" w:rsidP="00416D75">
      <w:pPr>
        <w:pStyle w:val="NormPara"/>
        <w:spacing w:before="80" w:after="80"/>
        <w:ind w:firstLine="720"/>
        <w:rPr>
          <w:rStyle w:val="Strong"/>
          <w:rFonts w:eastAsia="Calibri"/>
          <w:b w:val="0"/>
          <w:i/>
          <w:iCs/>
          <w:sz w:val="20"/>
        </w:rPr>
      </w:pPr>
      <w:r w:rsidRPr="00125962">
        <w:rPr>
          <w:rStyle w:val="Emphasis"/>
          <w:sz w:val="20"/>
        </w:rPr>
        <w:t xml:space="preserve">"In the geometric interpretation of gravity, a source mass curves the ‘space-time’ around it, causing bodies to follow that curvature in preference to following straight lines through space. This is often described by using the ‘rubber sheet’ analogy ... However, it is not widely appreciated that this is a purely mathematical model, lacking a physical mechanism to initiate motion. For example, if a ‘space-time manifold’ (like the rubber sheet) exists near a source mass, why would a small particle placed at rest in that manifold (on the rubber sheet) begin to move towards the source mass? Indeed, why would curvature of the manifold (rubber sheet) even have a sense of ‘down’ unless some force such as gravity already existed? Logically, the small particle at rest on a curved </w:t>
      </w:r>
      <w:r w:rsidRPr="00125962">
        <w:rPr>
          <w:rStyle w:val="Emphasis"/>
          <w:sz w:val="20"/>
        </w:rPr>
        <w:lastRenderedPageBreak/>
        <w:t xml:space="preserve">manifold would have no reason to end its rest unless a force acted on it. </w:t>
      </w:r>
      <w:proofErr w:type="gramStart"/>
      <w:r w:rsidRPr="00125962">
        <w:rPr>
          <w:rStyle w:val="Strong"/>
          <w:rFonts w:eastAsia="Calibri"/>
          <w:i/>
          <w:iCs/>
          <w:sz w:val="20"/>
        </w:rPr>
        <w:t>However successful this geometric interpretation may be as a mathematical model, it lacks physics and a causal mechanism."</w:t>
      </w:r>
      <w:proofErr w:type="gramEnd"/>
      <w:r w:rsidR="00C044EE">
        <w:rPr>
          <w:rStyle w:val="Strong"/>
          <w:rFonts w:eastAsia="Calibri"/>
          <w:i/>
          <w:iCs/>
          <w:sz w:val="20"/>
        </w:rPr>
        <w:t xml:space="preserve"> </w:t>
      </w:r>
      <w:r w:rsidR="00C044EE" w:rsidRPr="00C044EE">
        <w:rPr>
          <w:rStyle w:val="Strong"/>
          <w:rFonts w:eastAsia="Calibri"/>
          <w:b w:val="0"/>
          <w:iCs/>
          <w:sz w:val="20"/>
        </w:rPr>
        <w:t>(Emphasis added)</w:t>
      </w:r>
    </w:p>
    <w:p w:rsidR="00416D75" w:rsidRPr="00125962" w:rsidRDefault="00416D75" w:rsidP="00416D75">
      <w:pPr>
        <w:pStyle w:val="NormPara"/>
        <w:ind w:firstLine="720"/>
        <w:rPr>
          <w:i/>
          <w:sz w:val="20"/>
        </w:rPr>
      </w:pPr>
      <w:r w:rsidRPr="00125962">
        <w:rPr>
          <w:sz w:val="20"/>
        </w:rPr>
        <w:t xml:space="preserve">This problem was also noted by Haisch and his colleagues at the California Institute for Physics and Astrophysics (CIPA). They say [93]: </w:t>
      </w:r>
      <w:r w:rsidRPr="00125962">
        <w:rPr>
          <w:i/>
          <w:sz w:val="20"/>
        </w:rPr>
        <w:t xml:space="preserve">“The mathematical formulation of GR represents spacetime as curved due to the presence of matter and is called geometrodynamics because it explains the dynamics (motions) of objects in terms of four-dimensional geometry. Here is the crucial point that is not widely understood: Geometrodynamics merely tells you what path (called a geodesic) that a freely moving object will follow. But if you constrain an object to follow some different path (or not to move at all) geometrodynamics does not tell you how or why a force arises. … Logically you wind up having to assume that a force arises because when you deviate from a geodesic you are accelerating, but that is exactly what you are trying to explain in the first place: Why does a force arise when you accelerate? … </w:t>
      </w:r>
      <w:proofErr w:type="gramStart"/>
      <w:r w:rsidRPr="00125962">
        <w:rPr>
          <w:i/>
          <w:sz w:val="20"/>
        </w:rPr>
        <w:t>this</w:t>
      </w:r>
      <w:proofErr w:type="gramEnd"/>
      <w:r w:rsidRPr="00125962">
        <w:rPr>
          <w:i/>
          <w:sz w:val="20"/>
        </w:rPr>
        <w:t xml:space="preserve"> merely takes us in a logical  full circle.”</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 xml:space="preserve">In view of these shortcomings, alternative proposals need to be examined. One of these comes directly from SED physics as a result of the ZPE. It involves the positively and negatively charged virtual particles of the vacuum.  SED physicists have noted that all charged partons in the universe undergo the </w:t>
      </w:r>
      <w:r w:rsidRPr="00125962">
        <w:rPr>
          <w:i/>
          <w:sz w:val="20"/>
        </w:rPr>
        <w:t>Zitterbewegung</w:t>
      </w:r>
      <w:r w:rsidRPr="00125962">
        <w:rPr>
          <w:sz w:val="20"/>
        </w:rPr>
        <w:t xml:space="preserve"> jostling through interaction with the ZPF. These fluctuations are relativistic so that the charges move at velocities close to that of light. Haisch, Rueda and Puthoff then say [94]: </w:t>
      </w:r>
    </w:p>
    <w:p w:rsidR="00416D75" w:rsidRPr="00125962" w:rsidRDefault="00416D75" w:rsidP="00416D75">
      <w:pPr>
        <w:pStyle w:val="NormPara"/>
        <w:ind w:firstLine="0"/>
        <w:rPr>
          <w:sz w:val="20"/>
        </w:rPr>
      </w:pPr>
    </w:p>
    <w:p w:rsidR="00416D75" w:rsidRPr="00125962" w:rsidRDefault="00416D75" w:rsidP="00416D75">
      <w:pPr>
        <w:pStyle w:val="NormPara"/>
        <w:spacing w:before="80" w:after="80"/>
        <w:ind w:firstLine="720"/>
        <w:rPr>
          <w:i/>
          <w:sz w:val="20"/>
        </w:rPr>
      </w:pPr>
      <w:r w:rsidRPr="00125962">
        <w:rPr>
          <w:i/>
          <w:sz w:val="20"/>
        </w:rPr>
        <w:t>“Now a basic result from classical electrodynamics is that a fluctuating charge emits an electromagnetic radiation field. The result is that all charges in the universe will emit secondary electromagnetic fields in response to their interactions with the primary field, the ZPF. The secondary electromagnetic fields turn out to have a remarkable property. Between any two [charged] particles they give rise to an attractive force. The force is much weaker than the ordinary attractive or repulsive forces between two stationary electric charges, and is always attractive, whether the charges are positive or negative. The result is that the secondary fields give rise to an attractive force we propose may be identified with gravity. … Since the gravitational force is caused by the trembling motion, there is no need to speak any longer of a gravitational mass as the source of gravitation. The source of gravitation is the driven motion of a charge, not the attractive power of the thing physicists are used to thinking of as mass.”</w:t>
      </w:r>
    </w:p>
    <w:p w:rsidR="00416D75" w:rsidRDefault="00416D75" w:rsidP="00416D75">
      <w:pPr>
        <w:pStyle w:val="NormPara"/>
        <w:spacing w:before="80" w:after="80"/>
        <w:ind w:firstLine="0"/>
        <w:rPr>
          <w:sz w:val="20"/>
        </w:rPr>
      </w:pPr>
    </w:p>
    <w:tbl>
      <w:tblPr>
        <w:tblW w:w="0" w:type="auto"/>
        <w:jc w:val="center"/>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58"/>
        <w:gridCol w:w="5054"/>
      </w:tblGrid>
      <w:tr w:rsidR="00416D75" w:rsidRPr="00125962" w:rsidTr="00C8716A">
        <w:trPr>
          <w:trHeight w:val="5237"/>
          <w:jc w:val="center"/>
        </w:trPr>
        <w:tc>
          <w:tcPr>
            <w:tcW w:w="4958"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80060" cy="3234978"/>
                  <wp:effectExtent l="19050" t="0" r="1240" b="0"/>
                  <wp:docPr id="60" name="il_fi" descr="http://www.tantor.com/AuthorImage/Haisch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antor.com/AuthorImage/Haisch_B.jpg"/>
                          <pic:cNvPicPr>
                            <a:picLocks noChangeAspect="1" noChangeArrowheads="1"/>
                          </pic:cNvPicPr>
                        </pic:nvPicPr>
                        <pic:blipFill>
                          <a:blip r:embed="rId1223" cstate="print"/>
                          <a:srcRect r="9885" b="21071"/>
                          <a:stretch>
                            <a:fillRect/>
                          </a:stretch>
                        </pic:blipFill>
                        <pic:spPr bwMode="auto">
                          <a:xfrm>
                            <a:off x="0" y="0"/>
                            <a:ext cx="2786268" cy="3242202"/>
                          </a:xfrm>
                          <a:prstGeom prst="rect">
                            <a:avLst/>
                          </a:prstGeom>
                          <a:noFill/>
                          <a:ln w="9525">
                            <a:noFill/>
                            <a:miter lim="800000"/>
                            <a:headEnd/>
                            <a:tailEnd/>
                          </a:ln>
                        </pic:spPr>
                      </pic:pic>
                    </a:graphicData>
                  </a:graphic>
                </wp:inline>
              </w:drawing>
            </w:r>
          </w:p>
        </w:tc>
        <w:tc>
          <w:tcPr>
            <w:tcW w:w="5054" w:type="dxa"/>
          </w:tcPr>
          <w:p w:rsidR="00416D75" w:rsidRPr="00125962" w:rsidRDefault="00416D75" w:rsidP="003442EA">
            <w:pPr>
              <w:pStyle w:val="NoSpacing"/>
              <w:jc w:val="center"/>
              <w:rPr>
                <w:rFonts w:ascii="Book Antiqua" w:hAnsi="Book Antiqua"/>
                <w:sz w:val="20"/>
              </w:rPr>
            </w:pPr>
            <w:r w:rsidRPr="00125962">
              <w:rPr>
                <w:rFonts w:ascii="Book Antiqua" w:hAnsi="Book Antiqua"/>
                <w:noProof/>
                <w:sz w:val="20"/>
              </w:rPr>
              <w:drawing>
                <wp:inline distT="0" distB="0" distL="0" distR="0">
                  <wp:extent cx="2775270" cy="3234978"/>
                  <wp:effectExtent l="19050" t="0" r="6030" b="0"/>
                  <wp:docPr id="63" name="il_fi" descr="http://thelivingmoon.com/41pegasus/04images/General/putho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livingmoon.com/41pegasus/04images/General/puthoff1.png"/>
                          <pic:cNvPicPr>
                            <a:picLocks noChangeAspect="1" noChangeArrowheads="1"/>
                          </pic:cNvPicPr>
                        </pic:nvPicPr>
                        <pic:blipFill>
                          <a:blip r:embed="rId1224" cstate="print"/>
                          <a:srcRect b="22182"/>
                          <a:stretch>
                            <a:fillRect/>
                          </a:stretch>
                        </pic:blipFill>
                        <pic:spPr bwMode="auto">
                          <a:xfrm>
                            <a:off x="0" y="0"/>
                            <a:ext cx="2773205" cy="3232571"/>
                          </a:xfrm>
                          <a:prstGeom prst="rect">
                            <a:avLst/>
                          </a:prstGeom>
                          <a:noFill/>
                          <a:ln w="9525">
                            <a:noFill/>
                            <a:miter lim="800000"/>
                            <a:headEnd/>
                            <a:tailEnd/>
                          </a:ln>
                        </pic:spPr>
                      </pic:pic>
                    </a:graphicData>
                  </a:graphic>
                </wp:inline>
              </w:drawing>
            </w:r>
          </w:p>
        </w:tc>
      </w:tr>
      <w:tr w:rsidR="00416D75" w:rsidRPr="00125962" w:rsidTr="00C8716A">
        <w:trPr>
          <w:trHeight w:val="245"/>
          <w:jc w:val="center"/>
        </w:trPr>
        <w:tc>
          <w:tcPr>
            <w:tcW w:w="4958"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Bernard Haisch</w:t>
            </w:r>
          </w:p>
        </w:tc>
        <w:tc>
          <w:tcPr>
            <w:tcW w:w="5054" w:type="dxa"/>
          </w:tcPr>
          <w:p w:rsidR="00416D75" w:rsidRPr="00125962" w:rsidRDefault="00416D75" w:rsidP="003442EA">
            <w:pPr>
              <w:pStyle w:val="NoSpacing"/>
              <w:jc w:val="center"/>
              <w:rPr>
                <w:rFonts w:ascii="Book Antiqua" w:hAnsi="Book Antiqua"/>
                <w:i/>
                <w:sz w:val="20"/>
              </w:rPr>
            </w:pPr>
            <w:r w:rsidRPr="00125962">
              <w:rPr>
                <w:rFonts w:ascii="Book Antiqua" w:hAnsi="Book Antiqua"/>
                <w:i/>
                <w:sz w:val="20"/>
              </w:rPr>
              <w:t>Harold E. Puthoff</w:t>
            </w:r>
          </w:p>
        </w:tc>
      </w:tr>
    </w:tbl>
    <w:p w:rsidR="00416D75" w:rsidRDefault="00416D75" w:rsidP="00416D75">
      <w:pPr>
        <w:pStyle w:val="NormPara"/>
        <w:ind w:firstLine="720"/>
        <w:rPr>
          <w:sz w:val="20"/>
        </w:rPr>
      </w:pPr>
    </w:p>
    <w:p w:rsidR="00416D75" w:rsidRPr="00125962" w:rsidRDefault="00416D75" w:rsidP="00416D75">
      <w:pPr>
        <w:pStyle w:val="NormPara"/>
        <w:ind w:firstLine="720"/>
        <w:rPr>
          <w:sz w:val="20"/>
        </w:rPr>
      </w:pPr>
      <w:r w:rsidRPr="00125962">
        <w:rPr>
          <w:sz w:val="20"/>
        </w:rPr>
        <w:lastRenderedPageBreak/>
        <w:t>This may be explained as follows. First, there is the bare charge which is intrinsic to the electron or parton. The mere existence of this charge polarizes the vacuum. For a negative electron, the layer of virtual particles next to the electron will tend to be positive charges, then a layer of negative charges next to that, and so on. This vacuum polarization acts to attract other partons and/or electrons which may be nearby. The sign of the charge does not matter; it only affects the phase of the interactions.</w:t>
      </w:r>
    </w:p>
    <w:p w:rsidR="00416D75" w:rsidRPr="00125962" w:rsidRDefault="00416D75" w:rsidP="00416D75">
      <w:pPr>
        <w:pStyle w:val="NormPara"/>
        <w:ind w:firstLine="0"/>
        <w:rPr>
          <w:sz w:val="20"/>
        </w:rPr>
      </w:pPr>
    </w:p>
    <w:p w:rsidR="00416D75" w:rsidRPr="00125962" w:rsidRDefault="00416D75" w:rsidP="00416D75">
      <w:pPr>
        <w:pStyle w:val="NormPara"/>
        <w:ind w:firstLine="720"/>
        <w:rPr>
          <w:sz w:val="20"/>
        </w:rPr>
      </w:pPr>
      <w:r w:rsidRPr="00125962">
        <w:rPr>
          <w:sz w:val="20"/>
        </w:rPr>
        <w:t xml:space="preserve">However, that is only the first step. This same charge is also undergoing the </w:t>
      </w:r>
      <w:r w:rsidRPr="00125962">
        <w:rPr>
          <w:i/>
          <w:sz w:val="20"/>
        </w:rPr>
        <w:t>Zitterbewegung</w:t>
      </w:r>
      <w:r w:rsidRPr="00125962">
        <w:rPr>
          <w:sz w:val="20"/>
        </w:rPr>
        <w:t xml:space="preserve"> which gives it its atomic mass from the kinetic energy of the ‘jitter.’ In this case, there is the also polarization which arises from the jitter itself.  This arises because the random acceleration, imparted by the impacting ZPE waves to the jittering partons or electrons, causes them to emit secondary radiation. This secondary radiation locally boosts the strength of the ZPE, which in turn causes more virtual particle pairs to come into existence per unit volume proportional to ZPE strength</w:t>
      </w:r>
      <w:proofErr w:type="gramStart"/>
      <w:r w:rsidRPr="00125962">
        <w:rPr>
          <w:sz w:val="20"/>
        </w:rPr>
        <w:t>,</w:t>
      </w:r>
      <w:r w:rsidRPr="00125962">
        <w:rPr>
          <w:i/>
          <w:sz w:val="20"/>
        </w:rPr>
        <w:t xml:space="preserve"> </w:t>
      </w:r>
      <m:oMath>
        <w:proofErr w:type="gramEnd"/>
        <m:r>
          <w:rPr>
            <w:rFonts w:ascii="Cambria Math" w:hAnsi="Cambria Math"/>
            <w:sz w:val="20"/>
          </w:rPr>
          <m:t>U</m:t>
        </m:r>
      </m:oMath>
      <w:r w:rsidRPr="00125962">
        <w:rPr>
          <w:sz w:val="20"/>
        </w:rPr>
        <w:t>. This results in a stronger polarization than if the parton or electron was at rest with no secondary radiation. Therefore, around this charge which is jittering, there is a double polarization effect. This net attractive force between the partons and electrons has been shown by SED physicists to be quantitatively identical to gravity.</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It follows</w:t>
      </w:r>
      <w:r>
        <w:rPr>
          <w:sz w:val="20"/>
        </w:rPr>
        <w:t xml:space="preserve"> </w:t>
      </w:r>
      <w:r w:rsidRPr="00125962">
        <w:rPr>
          <w:sz w:val="20"/>
        </w:rPr>
        <w:t xml:space="preserve">that where there are many particles, there are many intrinsic charges undergoing the jitter of the </w:t>
      </w:r>
      <w:r w:rsidRPr="00125962">
        <w:rPr>
          <w:i/>
          <w:sz w:val="20"/>
        </w:rPr>
        <w:t>Zitterbewegung</w:t>
      </w:r>
      <w:r w:rsidRPr="00125962">
        <w:rPr>
          <w:sz w:val="20"/>
        </w:rPr>
        <w:t xml:space="preserve">. </w:t>
      </w:r>
      <w:r>
        <w:rPr>
          <w:sz w:val="20"/>
        </w:rPr>
        <w:t>Therefore,</w:t>
      </w:r>
      <w:r w:rsidRPr="00125962">
        <w:rPr>
          <w:sz w:val="20"/>
        </w:rPr>
        <w:t xml:space="preserve"> the larger the collection of particles, the stronger is the resulting attraction we call gravity. Haisch concluded his explanation when he said, </w:t>
      </w:r>
      <w:r w:rsidRPr="00125962">
        <w:rPr>
          <w:i/>
          <w:sz w:val="20"/>
        </w:rPr>
        <w:t>“This might explain why gravity is so weak. One mass does not pull directly on another mass but only through the intermediary of the [charged virtual particles that make up the] vacuum.”</w:t>
      </w:r>
      <w:r w:rsidRPr="00125962">
        <w:rPr>
          <w:sz w:val="20"/>
        </w:rPr>
        <w:t xml:space="preserve"> [95] On this basis, then, gravitation and mass may be considered to be simply manifestations of electromagnetic effects linked with the ZPE.</w:t>
      </w:r>
    </w:p>
    <w:p w:rsidR="00416D75" w:rsidRPr="00125962" w:rsidRDefault="00416D75" w:rsidP="00416D75">
      <w:pPr>
        <w:pStyle w:val="NormPara"/>
        <w:ind w:firstLine="720"/>
        <w:rPr>
          <w:sz w:val="20"/>
        </w:rPr>
      </w:pPr>
    </w:p>
    <w:p w:rsidR="00416D75" w:rsidRPr="00125962" w:rsidRDefault="00416D75" w:rsidP="00416D75">
      <w:pPr>
        <w:pStyle w:val="ListParagraph"/>
        <w:numPr>
          <w:ilvl w:val="0"/>
          <w:numId w:val="34"/>
        </w:numPr>
        <w:spacing w:before="120" w:after="120" w:line="240" w:lineRule="atLeast"/>
        <w:ind w:left="270" w:hanging="270"/>
        <w:jc w:val="both"/>
        <w:outlineLvl w:val="0"/>
        <w:rPr>
          <w:rFonts w:ascii="Book Antiqua" w:hAnsi="Book Antiqua"/>
          <w:b/>
          <w:sz w:val="20"/>
        </w:rPr>
      </w:pPr>
      <w:r w:rsidRPr="00125962">
        <w:rPr>
          <w:rFonts w:ascii="Book Antiqua" w:hAnsi="Book Antiqua"/>
          <w:b/>
          <w:sz w:val="20"/>
        </w:rPr>
        <w:t>Conclusion</w:t>
      </w:r>
    </w:p>
    <w:p w:rsidR="00416D75" w:rsidRPr="00125962" w:rsidRDefault="00416D75" w:rsidP="00416D75">
      <w:pPr>
        <w:pStyle w:val="NormPara"/>
        <w:ind w:firstLine="270"/>
        <w:rPr>
          <w:sz w:val="20"/>
        </w:rPr>
      </w:pPr>
    </w:p>
    <w:p w:rsidR="00416D75" w:rsidRPr="00125962" w:rsidRDefault="00416D75" w:rsidP="00416D75">
      <w:pPr>
        <w:pStyle w:val="NormPara"/>
        <w:ind w:firstLine="720"/>
        <w:rPr>
          <w:sz w:val="20"/>
        </w:rPr>
      </w:pPr>
      <w:r w:rsidRPr="00125962">
        <w:rPr>
          <w:sz w:val="20"/>
        </w:rPr>
        <w:t>While QED physics has treated the Zero Point Energy as a mathematical abstraction, SED physics has accepted it as a measureable reality. Its existence is considered by some to explain gravity itself as well as quantum phenomena. Evidence points to an increase in the ZPE through time, and it is this change which has affected light speed, atomic masses, and atomic clocks.   This change also affected the interactions of the plasma filaments in space, allowing galaxies, stars and planets to be formed much more quickly than gravity allows.  Additional evidence points to the influence the changing ZPE had on life on Earth in the past, producing the gigantism we see among flora and fauna in the fossil record.  In short, it can be seen that SED physics with a real Zero Point Energy, which has increased with time, holds potential answers to a number of problems that science currently faces in a multitude of disciplines.</w:t>
      </w:r>
    </w:p>
    <w:p w:rsidR="00416D75" w:rsidRPr="00125962" w:rsidRDefault="00416D75" w:rsidP="00416D75">
      <w:pPr>
        <w:pStyle w:val="NoSpacing"/>
        <w:rPr>
          <w:rFonts w:ascii="Book Antiqua" w:hAnsi="Book Antiqua" w:cs="BookAntiqua"/>
          <w:sz w:val="16"/>
          <w:szCs w:val="16"/>
        </w:rPr>
      </w:pP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References </w:t>
      </w:r>
      <w:r w:rsidRPr="00125962">
        <w:rPr>
          <w:rFonts w:ascii="Book Antiqua" w:hAnsi="Book Antiqua" w:cs="Times New Roman"/>
          <w:i/>
          <w:sz w:val="20"/>
          <w:szCs w:val="20"/>
        </w:rPr>
        <w:t xml:space="preserve">– </w:t>
      </w:r>
      <w:r w:rsidRPr="00125962">
        <w:rPr>
          <w:rFonts w:ascii="Book Antiqua" w:hAnsi="Book Antiqua" w:cs="Times New Roman"/>
          <w:b w:val="0"/>
          <w:i/>
          <w:sz w:val="20"/>
          <w:szCs w:val="20"/>
        </w:rPr>
        <w:t>All URL’s retrieved 9/13/12</w:t>
      </w:r>
    </w:p>
    <w:p w:rsidR="00416D75" w:rsidRPr="00125962" w:rsidRDefault="00416D75" w:rsidP="00416D75">
      <w:pPr>
        <w:pStyle w:val="reference"/>
        <w:ind w:left="450" w:hanging="450"/>
        <w:jc w:val="left"/>
        <w:rPr>
          <w:szCs w:val="16"/>
        </w:rPr>
      </w:pPr>
      <w:proofErr w:type="gramStart"/>
      <w:r w:rsidRPr="00125962">
        <w:rPr>
          <w:szCs w:val="16"/>
        </w:rPr>
        <w:t>[1]</w:t>
      </w:r>
      <w:r w:rsidRPr="00125962">
        <w:rPr>
          <w:szCs w:val="16"/>
        </w:rPr>
        <w:tab/>
        <w:t xml:space="preserve">M. Planck, </w:t>
      </w:r>
      <w:r w:rsidRPr="00125962">
        <w:rPr>
          <w:i/>
          <w:szCs w:val="16"/>
        </w:rPr>
        <w:t>Verhandlungen der Deutschen Physikalischen Gesellschaft</w:t>
      </w:r>
      <w:r w:rsidRPr="00125962">
        <w:rPr>
          <w:szCs w:val="16"/>
        </w:rPr>
        <w:t xml:space="preserve"> </w:t>
      </w:r>
      <w:r w:rsidRPr="00125962">
        <w:rPr>
          <w:b/>
          <w:bCs/>
          <w:szCs w:val="16"/>
        </w:rPr>
        <w:t>13</w:t>
      </w:r>
      <w:r w:rsidRPr="00125962">
        <w:rPr>
          <w:szCs w:val="16"/>
        </w:rPr>
        <w:t>: 138 (1911).</w:t>
      </w:r>
      <w:proofErr w:type="gramEnd"/>
    </w:p>
    <w:p w:rsidR="00416D75" w:rsidRPr="00125962" w:rsidRDefault="00416D75" w:rsidP="00416D75">
      <w:pPr>
        <w:pStyle w:val="reference"/>
        <w:ind w:left="450" w:hanging="450"/>
        <w:jc w:val="left"/>
        <w:rPr>
          <w:szCs w:val="16"/>
        </w:rPr>
      </w:pPr>
      <w:r w:rsidRPr="00125962">
        <w:rPr>
          <w:szCs w:val="16"/>
        </w:rPr>
        <w:t>[2]</w:t>
      </w:r>
      <w:r w:rsidRPr="00125962">
        <w:rPr>
          <w:szCs w:val="16"/>
        </w:rPr>
        <w:tab/>
        <w:t xml:space="preserve">A.  Einstein, O. Stern, </w:t>
      </w:r>
      <w:r w:rsidRPr="00125962">
        <w:rPr>
          <w:i/>
          <w:szCs w:val="16"/>
        </w:rPr>
        <w:t>Ann. Physik</w:t>
      </w:r>
      <w:r w:rsidRPr="00125962">
        <w:rPr>
          <w:szCs w:val="16"/>
        </w:rPr>
        <w:t xml:space="preserve"> </w:t>
      </w:r>
      <w:r w:rsidRPr="00125962">
        <w:rPr>
          <w:b/>
          <w:bCs/>
          <w:szCs w:val="16"/>
        </w:rPr>
        <w:t>40</w:t>
      </w:r>
      <w:r w:rsidRPr="00125962">
        <w:rPr>
          <w:szCs w:val="16"/>
        </w:rPr>
        <w:t>: 551 (1913).</w:t>
      </w:r>
    </w:p>
    <w:p w:rsidR="00416D75" w:rsidRPr="00125962" w:rsidRDefault="00416D75" w:rsidP="00416D75">
      <w:pPr>
        <w:pStyle w:val="reference"/>
        <w:ind w:left="450" w:hanging="450"/>
        <w:jc w:val="left"/>
        <w:rPr>
          <w:szCs w:val="16"/>
        </w:rPr>
      </w:pPr>
      <w:r w:rsidRPr="00125962">
        <w:rPr>
          <w:color w:val="000000"/>
          <w:szCs w:val="16"/>
        </w:rPr>
        <w:t>[3]</w:t>
      </w:r>
      <w:r w:rsidRPr="00125962">
        <w:rPr>
          <w:color w:val="000000"/>
          <w:szCs w:val="16"/>
        </w:rPr>
        <w:tab/>
      </w:r>
      <w:r w:rsidRPr="00125962">
        <w:rPr>
          <w:szCs w:val="16"/>
        </w:rPr>
        <w:t xml:space="preserve">W. Nernst, </w:t>
      </w:r>
      <w:r w:rsidRPr="00125962">
        <w:rPr>
          <w:i/>
          <w:szCs w:val="16"/>
        </w:rPr>
        <w:t>Verhandlungen der Deutschen Physikalischen Gesellschaft</w:t>
      </w:r>
      <w:r w:rsidRPr="00125962">
        <w:rPr>
          <w:szCs w:val="16"/>
        </w:rPr>
        <w:t xml:space="preserve"> </w:t>
      </w:r>
      <w:r w:rsidRPr="00125962">
        <w:rPr>
          <w:b/>
          <w:bCs/>
          <w:szCs w:val="16"/>
        </w:rPr>
        <w:t>4</w:t>
      </w:r>
      <w:r w:rsidRPr="00125962">
        <w:rPr>
          <w:szCs w:val="16"/>
        </w:rPr>
        <w:t>: 83-116 (1916).</w:t>
      </w:r>
    </w:p>
    <w:p w:rsidR="00416D75" w:rsidRPr="00125962" w:rsidRDefault="00416D75" w:rsidP="00416D75">
      <w:pPr>
        <w:pStyle w:val="reference"/>
        <w:ind w:left="450" w:hanging="450"/>
        <w:jc w:val="left"/>
        <w:rPr>
          <w:szCs w:val="16"/>
        </w:rPr>
      </w:pPr>
      <w:r w:rsidRPr="00125962">
        <w:rPr>
          <w:color w:val="000000"/>
          <w:szCs w:val="16"/>
        </w:rPr>
        <w:t>[4]</w:t>
      </w:r>
      <w:r w:rsidRPr="00125962">
        <w:rPr>
          <w:color w:val="000000"/>
          <w:szCs w:val="16"/>
        </w:rPr>
        <w:tab/>
      </w:r>
      <w:r w:rsidRPr="00125962">
        <w:rPr>
          <w:szCs w:val="16"/>
        </w:rPr>
        <w:t xml:space="preserve">U. Mohideen, A. Roy, </w:t>
      </w:r>
      <w:r w:rsidRPr="00125962">
        <w:rPr>
          <w:i/>
          <w:szCs w:val="16"/>
        </w:rPr>
        <w:t>Phys. Rev. Lett</w:t>
      </w:r>
      <w:r w:rsidRPr="00125962">
        <w:rPr>
          <w:szCs w:val="16"/>
        </w:rPr>
        <w:t xml:space="preserve">. </w:t>
      </w:r>
      <w:proofErr w:type="gramStart"/>
      <w:r w:rsidRPr="00125962">
        <w:rPr>
          <w:b/>
          <w:bCs/>
          <w:szCs w:val="16"/>
        </w:rPr>
        <w:t>81</w:t>
      </w:r>
      <w:r w:rsidRPr="00125962">
        <w:rPr>
          <w:szCs w:val="16"/>
        </w:rPr>
        <w:t>: 4549 (1998).</w:t>
      </w:r>
      <w:proofErr w:type="gramEnd"/>
    </w:p>
    <w:p w:rsidR="00416D75" w:rsidRPr="00125962" w:rsidRDefault="00416D75" w:rsidP="00416D75">
      <w:pPr>
        <w:pStyle w:val="reference"/>
        <w:ind w:left="450" w:hanging="450"/>
        <w:jc w:val="left"/>
        <w:rPr>
          <w:szCs w:val="16"/>
        </w:rPr>
      </w:pPr>
      <w:r w:rsidRPr="00125962">
        <w:rPr>
          <w:szCs w:val="16"/>
        </w:rPr>
        <w:t>[5]</w:t>
      </w:r>
      <w:r w:rsidRPr="00125962">
        <w:rPr>
          <w:szCs w:val="16"/>
        </w:rPr>
        <w:tab/>
        <w:t xml:space="preserve">L. Ashmore, in F. Potter, Ed., </w:t>
      </w:r>
      <w:r w:rsidRPr="00125962">
        <w:rPr>
          <w:i/>
          <w:iCs/>
          <w:szCs w:val="16"/>
        </w:rPr>
        <w:t>2nd Crisis in Cosmology Conference, CCC-2, ASP Conference Series</w:t>
      </w:r>
      <w:r w:rsidRPr="00125962">
        <w:rPr>
          <w:szCs w:val="16"/>
        </w:rPr>
        <w:t xml:space="preserve"> </w:t>
      </w:r>
      <w:r w:rsidRPr="00125962">
        <w:rPr>
          <w:b/>
          <w:szCs w:val="16"/>
        </w:rPr>
        <w:t>413</w:t>
      </w:r>
      <w:r w:rsidRPr="00125962">
        <w:rPr>
          <w:szCs w:val="16"/>
        </w:rPr>
        <w:t>: 3 (Proceedings of the Conference held 7-11 September 2008, at Port Angeles, Washington, USA, Astronomical Society of the Pacific, San Francisco, 2009).</w:t>
      </w:r>
    </w:p>
    <w:p w:rsidR="00416D75" w:rsidRPr="00125962" w:rsidRDefault="00416D75" w:rsidP="00416D75">
      <w:pPr>
        <w:pStyle w:val="reference"/>
        <w:ind w:left="450" w:hanging="450"/>
        <w:jc w:val="left"/>
        <w:rPr>
          <w:szCs w:val="16"/>
        </w:rPr>
      </w:pPr>
      <w:proofErr w:type="gramStart"/>
      <w:r w:rsidRPr="00125962">
        <w:rPr>
          <w:szCs w:val="16"/>
        </w:rPr>
        <w:t>[6]</w:t>
      </w:r>
      <w:r w:rsidRPr="00125962">
        <w:rPr>
          <w:szCs w:val="16"/>
        </w:rPr>
        <w:tab/>
        <w:t xml:space="preserve">L. Ashmore, “An Explanation of Redshift in a Static Universe”, </w:t>
      </w:r>
      <w:r w:rsidRPr="00125962">
        <w:rPr>
          <w:i/>
          <w:iCs/>
          <w:szCs w:val="16"/>
        </w:rPr>
        <w:t xml:space="preserve">Proceedings of the NPA </w:t>
      </w:r>
      <w:r w:rsidRPr="00125962">
        <w:rPr>
          <w:b/>
          <w:bCs/>
          <w:szCs w:val="16"/>
        </w:rPr>
        <w:t>7</w:t>
      </w:r>
      <w:r w:rsidRPr="00125962">
        <w:rPr>
          <w:szCs w:val="16"/>
        </w:rPr>
        <w:t>: 17-22 (Long Beach, CA, 2010).</w:t>
      </w:r>
      <w:proofErr w:type="gramEnd"/>
    </w:p>
    <w:p w:rsidR="00416D75" w:rsidRPr="00125962" w:rsidRDefault="00416D75" w:rsidP="00416D75">
      <w:pPr>
        <w:pStyle w:val="reference"/>
        <w:ind w:left="450" w:hanging="450"/>
        <w:jc w:val="left"/>
        <w:rPr>
          <w:szCs w:val="16"/>
        </w:rPr>
      </w:pPr>
      <w:r w:rsidRPr="00125962">
        <w:rPr>
          <w:szCs w:val="16"/>
        </w:rPr>
        <w:t>[7]</w:t>
      </w:r>
      <w:r w:rsidRPr="00125962">
        <w:rPr>
          <w:szCs w:val="16"/>
        </w:rPr>
        <w:tab/>
        <w:t xml:space="preserve">C. H. Gibson, “Turbulence and Mixing in the Early Universe”, Keynote Paper, International Conference Mechanical Engineering, Dhaka, Bangladesh, Dec. 26 to 28, 2001, </w:t>
      </w:r>
      <w:hyperlink r:id="rId1225" w:history="1">
        <w:r w:rsidRPr="00125962">
          <w:rPr>
            <w:rStyle w:val="Hyperlink"/>
            <w:i/>
            <w:szCs w:val="16"/>
          </w:rPr>
          <w:t>http://arxiv.org/abs/ astro-ph/0110012</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[8]</w:t>
      </w:r>
      <w:r w:rsidRPr="00125962">
        <w:rPr>
          <w:szCs w:val="16"/>
        </w:rPr>
        <w:tab/>
        <w:t xml:space="preserve">F. Hoyle, G. Burbidge, J. Narlikar, </w:t>
      </w:r>
      <w:r w:rsidRPr="00125962">
        <w:rPr>
          <w:bCs/>
          <w:i/>
          <w:szCs w:val="16"/>
        </w:rPr>
        <w:t>A Different Approach to Cosmology</w:t>
      </w:r>
      <w:r w:rsidRPr="00125962">
        <w:rPr>
          <w:szCs w:val="16"/>
        </w:rPr>
        <w:t>, p. 108 ff. (Cambridge University Press, Cambridge, 2005).</w:t>
      </w:r>
    </w:p>
    <w:p w:rsidR="00416D75" w:rsidRPr="00125962" w:rsidRDefault="00416D75" w:rsidP="00416D75">
      <w:pPr>
        <w:pStyle w:val="reference"/>
        <w:ind w:left="450" w:hanging="450"/>
        <w:jc w:val="left"/>
        <w:rPr>
          <w:color w:val="000000"/>
          <w:szCs w:val="16"/>
        </w:rPr>
      </w:pPr>
      <w:proofErr w:type="gramStart"/>
      <w:r w:rsidRPr="00125962">
        <w:rPr>
          <w:szCs w:val="16"/>
        </w:rPr>
        <w:t>[9]</w:t>
      </w:r>
      <w:r w:rsidRPr="00125962">
        <w:rPr>
          <w:szCs w:val="16"/>
        </w:rPr>
        <w:tab/>
        <w:t xml:space="preserve">C. Bizon et al, in J. Karkheck, Ed., </w:t>
      </w:r>
      <w:r w:rsidRPr="00125962">
        <w:rPr>
          <w:i/>
          <w:szCs w:val="16"/>
        </w:rPr>
        <w:t>Dynamics: Models and Kinetic Methods for Non-equilibrium Many Body Systems</w:t>
      </w:r>
      <w:r w:rsidRPr="00125962">
        <w:rPr>
          <w:szCs w:val="16"/>
        </w:rPr>
        <w:t xml:space="preserve"> (Kluwer, Dordrecht, 1999).</w:t>
      </w:r>
      <w:proofErr w:type="gramEnd"/>
    </w:p>
    <w:p w:rsidR="00416D75" w:rsidRPr="00125962" w:rsidRDefault="00416D75" w:rsidP="00416D75">
      <w:pPr>
        <w:pStyle w:val="reference"/>
        <w:ind w:left="450" w:hanging="450"/>
        <w:jc w:val="left"/>
        <w:rPr>
          <w:szCs w:val="16"/>
        </w:rPr>
      </w:pPr>
      <w:r w:rsidRPr="00125962">
        <w:rPr>
          <w:szCs w:val="16"/>
        </w:rPr>
        <w:t>[10]</w:t>
      </w:r>
      <w:r w:rsidRPr="00125962">
        <w:rPr>
          <w:szCs w:val="16"/>
        </w:rPr>
        <w:tab/>
        <w:t xml:space="preserve">H. E. Puthoff, </w:t>
      </w:r>
      <w:r w:rsidRPr="00125962">
        <w:rPr>
          <w:i/>
          <w:szCs w:val="16"/>
        </w:rPr>
        <w:t>Phys.</w:t>
      </w:r>
      <w:r w:rsidRPr="00125962">
        <w:rPr>
          <w:szCs w:val="16"/>
        </w:rPr>
        <w:t xml:space="preserve"> </w:t>
      </w:r>
      <w:r w:rsidRPr="00125962">
        <w:rPr>
          <w:i/>
          <w:szCs w:val="16"/>
        </w:rPr>
        <w:t xml:space="preserve">Rev. </w:t>
      </w:r>
      <w:proofErr w:type="gramStart"/>
      <w:r w:rsidRPr="00125962">
        <w:rPr>
          <w:i/>
          <w:szCs w:val="16"/>
        </w:rPr>
        <w:t>A</w:t>
      </w:r>
      <w:proofErr w:type="gramEnd"/>
      <w:r w:rsidRPr="00125962">
        <w:rPr>
          <w:szCs w:val="16"/>
        </w:rPr>
        <w:t xml:space="preserve"> </w:t>
      </w:r>
      <w:r w:rsidRPr="00125962">
        <w:rPr>
          <w:b/>
          <w:szCs w:val="16"/>
        </w:rPr>
        <w:t>40</w:t>
      </w:r>
      <w:r w:rsidRPr="00125962">
        <w:rPr>
          <w:szCs w:val="16"/>
        </w:rPr>
        <w:t xml:space="preserve"> (9): 4857 (1989); also Science Editor, </w:t>
      </w:r>
      <w:r w:rsidRPr="00125962">
        <w:rPr>
          <w:i/>
          <w:szCs w:val="16"/>
        </w:rPr>
        <w:t>New Scientist</w:t>
      </w:r>
      <w:r w:rsidRPr="00125962">
        <w:rPr>
          <w:szCs w:val="16"/>
        </w:rPr>
        <w:t>, p. 14 (2 Dec 1989).</w:t>
      </w:r>
    </w:p>
    <w:p w:rsidR="00416D75" w:rsidRPr="00125962" w:rsidRDefault="00416D75" w:rsidP="00416D75">
      <w:pPr>
        <w:pStyle w:val="reference"/>
        <w:ind w:left="450" w:hanging="450"/>
        <w:jc w:val="left"/>
        <w:rPr>
          <w:szCs w:val="16"/>
        </w:rPr>
      </w:pPr>
      <w:r w:rsidRPr="00125962">
        <w:rPr>
          <w:color w:val="000000"/>
          <w:szCs w:val="16"/>
        </w:rPr>
        <w:t>[11]</w:t>
      </w:r>
      <w:r w:rsidRPr="00125962">
        <w:rPr>
          <w:color w:val="000000"/>
          <w:szCs w:val="16"/>
        </w:rPr>
        <w:tab/>
      </w:r>
      <w:r w:rsidRPr="00125962">
        <w:rPr>
          <w:szCs w:val="16"/>
        </w:rPr>
        <w:t xml:space="preserve">J. Narlikar &amp; H. Arp, </w:t>
      </w:r>
      <w:r w:rsidRPr="00125962">
        <w:rPr>
          <w:i/>
          <w:iCs/>
          <w:szCs w:val="16"/>
        </w:rPr>
        <w:t xml:space="preserve">Astrophysical Journal </w:t>
      </w:r>
      <w:r w:rsidRPr="00125962">
        <w:rPr>
          <w:b/>
          <w:bCs/>
          <w:szCs w:val="16"/>
        </w:rPr>
        <w:t>405</w:t>
      </w:r>
      <w:r w:rsidRPr="00125962">
        <w:rPr>
          <w:szCs w:val="16"/>
        </w:rPr>
        <w:t>: 51 (1993).</w:t>
      </w:r>
    </w:p>
    <w:p w:rsidR="00416D75" w:rsidRPr="00125962" w:rsidRDefault="00416D75" w:rsidP="00416D75">
      <w:pPr>
        <w:pStyle w:val="reference"/>
        <w:ind w:left="450" w:hanging="450"/>
        <w:jc w:val="left"/>
        <w:rPr>
          <w:szCs w:val="16"/>
        </w:rPr>
      </w:pPr>
      <w:r w:rsidRPr="00125962">
        <w:rPr>
          <w:szCs w:val="16"/>
        </w:rPr>
        <w:t>[12]</w:t>
      </w:r>
      <w:r w:rsidRPr="00125962">
        <w:rPr>
          <w:szCs w:val="16"/>
        </w:rPr>
        <w:tab/>
        <w:t xml:space="preserve">L. de Broglie, </w:t>
      </w:r>
      <w:r w:rsidRPr="00125962">
        <w:rPr>
          <w:i/>
          <w:szCs w:val="16"/>
        </w:rPr>
        <w:t>New Perspectives in Physics</w:t>
      </w:r>
      <w:r w:rsidRPr="00125962">
        <w:rPr>
          <w:szCs w:val="16"/>
        </w:rPr>
        <w:t xml:space="preserve"> (Basic Books Publishing Co., New York, 1962).</w:t>
      </w:r>
    </w:p>
    <w:p w:rsidR="00416D75" w:rsidRPr="00125962" w:rsidRDefault="00416D75" w:rsidP="00416D75">
      <w:pPr>
        <w:pStyle w:val="reference"/>
        <w:ind w:left="450" w:hanging="450"/>
        <w:jc w:val="left"/>
        <w:rPr>
          <w:szCs w:val="16"/>
        </w:rPr>
      </w:pPr>
      <w:r w:rsidRPr="00125962">
        <w:rPr>
          <w:szCs w:val="16"/>
        </w:rPr>
        <w:t>[13]</w:t>
      </w:r>
      <w:r w:rsidRPr="00125962">
        <w:rPr>
          <w:szCs w:val="16"/>
        </w:rPr>
        <w:tab/>
        <w:t xml:space="preserve">E. Nelson, </w:t>
      </w:r>
      <w:r w:rsidRPr="00125962">
        <w:rPr>
          <w:i/>
          <w:szCs w:val="16"/>
        </w:rPr>
        <w:t>Phys. Rev.</w:t>
      </w:r>
      <w:r w:rsidRPr="00125962">
        <w:rPr>
          <w:szCs w:val="16"/>
        </w:rPr>
        <w:t xml:space="preserve"> </w:t>
      </w:r>
      <w:r w:rsidRPr="00125962">
        <w:rPr>
          <w:b/>
          <w:szCs w:val="16"/>
        </w:rPr>
        <w:t>150</w:t>
      </w:r>
      <w:r w:rsidRPr="00125962">
        <w:rPr>
          <w:szCs w:val="16"/>
        </w:rPr>
        <w:t xml:space="preserve">: 1079 (1966); Also, </w:t>
      </w:r>
      <w:r w:rsidRPr="00125962">
        <w:rPr>
          <w:i/>
          <w:szCs w:val="16"/>
        </w:rPr>
        <w:t>Dynamical Theories of Brownian Motion</w:t>
      </w:r>
      <w:r w:rsidRPr="00125962">
        <w:rPr>
          <w:szCs w:val="16"/>
        </w:rPr>
        <w:t xml:space="preserve"> (Princeton University Press, 1967).</w:t>
      </w:r>
    </w:p>
    <w:p w:rsidR="00416D75" w:rsidRPr="00125962" w:rsidRDefault="00416D75" w:rsidP="00416D75">
      <w:pPr>
        <w:pStyle w:val="reference"/>
        <w:ind w:left="450" w:hanging="450"/>
        <w:jc w:val="left"/>
        <w:rPr>
          <w:szCs w:val="16"/>
        </w:rPr>
      </w:pPr>
      <w:r w:rsidRPr="00125962">
        <w:rPr>
          <w:szCs w:val="16"/>
        </w:rPr>
        <w:lastRenderedPageBreak/>
        <w:t>[14]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50" w:hanging="450"/>
        <w:jc w:val="left"/>
        <w:rPr>
          <w:szCs w:val="16"/>
        </w:rPr>
      </w:pPr>
      <w:r w:rsidRPr="00125962">
        <w:rPr>
          <w:szCs w:val="16"/>
        </w:rPr>
        <w:t>[15]</w:t>
      </w:r>
      <w:r w:rsidRPr="00125962">
        <w:rPr>
          <w:szCs w:val="16"/>
        </w:rPr>
        <w:tab/>
        <w:t xml:space="preserve">M. R. Wehr, J. A. Richards, </w:t>
      </w:r>
      <w:r w:rsidRPr="00125962">
        <w:rPr>
          <w:i/>
          <w:szCs w:val="16"/>
        </w:rPr>
        <w:t>Physics of the Atom,</w:t>
      </w:r>
      <w:r w:rsidRPr="00125962">
        <w:rPr>
          <w:szCs w:val="16"/>
        </w:rPr>
        <w:t xml:space="preserve"> p. 37 (Addison Wesley, 1960).</w:t>
      </w:r>
    </w:p>
    <w:p w:rsidR="00416D75" w:rsidRPr="00125962" w:rsidRDefault="00416D75" w:rsidP="00416D75">
      <w:pPr>
        <w:pStyle w:val="reference"/>
        <w:ind w:left="450" w:hanging="450"/>
        <w:jc w:val="left"/>
        <w:rPr>
          <w:szCs w:val="16"/>
        </w:rPr>
      </w:pPr>
      <w:r w:rsidRPr="00125962">
        <w:rPr>
          <w:szCs w:val="16"/>
        </w:rPr>
        <w:t>[16]</w:t>
      </w:r>
      <w:r w:rsidRPr="00125962">
        <w:rPr>
          <w:szCs w:val="16"/>
        </w:rPr>
        <w:tab/>
        <w:t xml:space="preserve">B. Haisch, A. Rueda, </w:t>
      </w:r>
      <w:r w:rsidRPr="00125962">
        <w:rPr>
          <w:i/>
          <w:szCs w:val="16"/>
        </w:rPr>
        <w:t xml:space="preserve">Phys. Lett. </w:t>
      </w:r>
      <w:proofErr w:type="gramStart"/>
      <w:r w:rsidRPr="00125962">
        <w:rPr>
          <w:i/>
          <w:szCs w:val="16"/>
        </w:rPr>
        <w:t>A</w:t>
      </w:r>
      <w:r w:rsidRPr="00125962">
        <w:rPr>
          <w:szCs w:val="16"/>
        </w:rPr>
        <w:t xml:space="preserve"> </w:t>
      </w:r>
      <w:r w:rsidRPr="00125962">
        <w:rPr>
          <w:b/>
          <w:szCs w:val="16"/>
        </w:rPr>
        <w:t>268</w:t>
      </w:r>
      <w:r w:rsidRPr="00125962">
        <w:rPr>
          <w:szCs w:val="16"/>
        </w:rPr>
        <w:t>: 224 (2000).</w:t>
      </w:r>
      <w:proofErr w:type="gramEnd"/>
    </w:p>
    <w:p w:rsidR="00416D75" w:rsidRPr="00125962" w:rsidRDefault="00416D75" w:rsidP="00416D75">
      <w:pPr>
        <w:pStyle w:val="reference"/>
        <w:ind w:left="450" w:hanging="450"/>
        <w:jc w:val="left"/>
        <w:rPr>
          <w:color w:val="000000"/>
          <w:szCs w:val="16"/>
        </w:rPr>
      </w:pPr>
      <w:r w:rsidRPr="00125962">
        <w:rPr>
          <w:color w:val="000000"/>
          <w:szCs w:val="16"/>
        </w:rPr>
        <w:t>[17]</w:t>
      </w:r>
      <w:r w:rsidRPr="00125962">
        <w:rPr>
          <w:color w:val="000000"/>
          <w:szCs w:val="16"/>
        </w:rPr>
        <w:tab/>
        <w:t xml:space="preserve">F.G. </w:t>
      </w:r>
      <w:r w:rsidRPr="00125962">
        <w:rPr>
          <w:szCs w:val="16"/>
        </w:rPr>
        <w:t xml:space="preserve">Dunnington, “The Atomic Constants”, </w:t>
      </w:r>
      <w:r w:rsidRPr="00125962">
        <w:rPr>
          <w:i/>
          <w:iCs/>
          <w:szCs w:val="16"/>
        </w:rPr>
        <w:t>Reviews of Modern Physics</w:t>
      </w:r>
      <w:r w:rsidRPr="00125962">
        <w:rPr>
          <w:szCs w:val="16"/>
        </w:rPr>
        <w:t xml:space="preserve"> </w:t>
      </w:r>
      <w:r w:rsidRPr="00125962">
        <w:rPr>
          <w:b/>
          <w:bCs/>
          <w:szCs w:val="16"/>
        </w:rPr>
        <w:t>11</w:t>
      </w:r>
      <w:r w:rsidRPr="00125962">
        <w:rPr>
          <w:szCs w:val="16"/>
        </w:rPr>
        <w:t xml:space="preserve"> (2): 65-83 (Apr 1939</w:t>
      </w:r>
      <w:r w:rsidRPr="00125962">
        <w:rPr>
          <w:color w:val="000000"/>
          <w:szCs w:val="16"/>
        </w:rPr>
        <w:t>).</w:t>
      </w:r>
    </w:p>
    <w:p w:rsidR="00416D75" w:rsidRPr="00125962" w:rsidRDefault="00416D75" w:rsidP="00416D75">
      <w:pPr>
        <w:pStyle w:val="reference"/>
        <w:ind w:left="450" w:hanging="450"/>
        <w:jc w:val="left"/>
        <w:rPr>
          <w:szCs w:val="16"/>
        </w:rPr>
      </w:pPr>
      <w:r w:rsidRPr="00125962">
        <w:rPr>
          <w:szCs w:val="16"/>
        </w:rPr>
        <w:t>[18]</w:t>
      </w:r>
      <w:r w:rsidRPr="00125962">
        <w:rPr>
          <w:szCs w:val="16"/>
        </w:rPr>
        <w:tab/>
        <w:t xml:space="preserve">R. T. Birge, “A New Table of Values of the General Physical Constants”, </w:t>
      </w:r>
      <w:r w:rsidRPr="00125962">
        <w:rPr>
          <w:i/>
          <w:iCs/>
          <w:szCs w:val="16"/>
        </w:rPr>
        <w:t>Reviews of Modern Physics</w:t>
      </w:r>
      <w:r w:rsidRPr="00125962">
        <w:rPr>
          <w:szCs w:val="16"/>
        </w:rPr>
        <w:t xml:space="preserve"> </w:t>
      </w:r>
      <w:r w:rsidRPr="00125962">
        <w:rPr>
          <w:b/>
          <w:bCs/>
          <w:szCs w:val="16"/>
        </w:rPr>
        <w:t>13</w:t>
      </w:r>
      <w:r w:rsidRPr="00125962">
        <w:rPr>
          <w:szCs w:val="16"/>
        </w:rPr>
        <w:t xml:space="preserve"> (4): 233-239 (Oct 1941).</w:t>
      </w:r>
    </w:p>
    <w:p w:rsidR="00416D75" w:rsidRPr="00125962" w:rsidRDefault="00416D75" w:rsidP="00416D75">
      <w:pPr>
        <w:pStyle w:val="reference"/>
        <w:ind w:left="450" w:hanging="450"/>
        <w:jc w:val="left"/>
        <w:rPr>
          <w:szCs w:val="16"/>
        </w:rPr>
      </w:pPr>
      <w:r w:rsidRPr="00125962">
        <w:rPr>
          <w:szCs w:val="16"/>
        </w:rPr>
        <w:t>[19]</w:t>
      </w:r>
      <w:r w:rsidRPr="00125962">
        <w:rPr>
          <w:szCs w:val="16"/>
        </w:rPr>
        <w:tab/>
        <w:t xml:space="preserve">J. W. M. DuMond, E. R. Cohen, “Our Knowledge of the Atomic Constants F, N, m and h in 1947, and of Other Constants Derivable Therefrom”, </w:t>
      </w:r>
      <w:r w:rsidRPr="00125962">
        <w:rPr>
          <w:i/>
          <w:iCs/>
          <w:szCs w:val="16"/>
        </w:rPr>
        <w:t>Reviews of Modern Physics</w:t>
      </w:r>
      <w:r w:rsidRPr="00125962">
        <w:rPr>
          <w:szCs w:val="16"/>
        </w:rPr>
        <w:t xml:space="preserve"> </w:t>
      </w:r>
      <w:r w:rsidRPr="00125962">
        <w:rPr>
          <w:b/>
          <w:bCs/>
          <w:szCs w:val="16"/>
        </w:rPr>
        <w:t>20</w:t>
      </w:r>
      <w:r w:rsidRPr="00125962">
        <w:rPr>
          <w:szCs w:val="16"/>
        </w:rPr>
        <w:t xml:space="preserve"> (1): 82-108 (Jan 1948).</w:t>
      </w:r>
    </w:p>
    <w:p w:rsidR="00416D75" w:rsidRPr="00125962" w:rsidRDefault="00416D75" w:rsidP="00416D75">
      <w:pPr>
        <w:pStyle w:val="reference"/>
        <w:ind w:left="450" w:hanging="450"/>
        <w:jc w:val="left"/>
        <w:rPr>
          <w:szCs w:val="16"/>
        </w:rPr>
      </w:pPr>
      <w:r w:rsidRPr="00125962">
        <w:rPr>
          <w:szCs w:val="16"/>
        </w:rPr>
        <w:t>[20]</w:t>
      </w:r>
      <w:r w:rsidRPr="00125962">
        <w:rPr>
          <w:szCs w:val="16"/>
        </w:rPr>
        <w:tab/>
        <w:t xml:space="preserve">J. A. Bearden, H. M. Watts, “A Re-Evaluation of the Fundamental Atomic Constants”, </w:t>
      </w:r>
      <w:r w:rsidRPr="00125962">
        <w:rPr>
          <w:i/>
          <w:iCs/>
          <w:szCs w:val="16"/>
        </w:rPr>
        <w:t>Physical Review</w:t>
      </w:r>
      <w:r w:rsidRPr="00125962">
        <w:rPr>
          <w:szCs w:val="16"/>
        </w:rPr>
        <w:t xml:space="preserve"> </w:t>
      </w:r>
      <w:r w:rsidRPr="00125962">
        <w:rPr>
          <w:b/>
          <w:szCs w:val="16"/>
        </w:rPr>
        <w:t>81</w:t>
      </w:r>
      <w:r w:rsidRPr="00125962">
        <w:rPr>
          <w:szCs w:val="16"/>
        </w:rPr>
        <w:t>: 73-81 (Jan 1951).</w:t>
      </w:r>
    </w:p>
    <w:p w:rsidR="00416D75" w:rsidRPr="00125962" w:rsidRDefault="00416D75" w:rsidP="00416D75">
      <w:pPr>
        <w:pStyle w:val="reference"/>
        <w:ind w:left="450" w:hanging="450"/>
        <w:jc w:val="left"/>
        <w:rPr>
          <w:szCs w:val="16"/>
        </w:rPr>
      </w:pPr>
      <w:proofErr w:type="gramStart"/>
      <w:r w:rsidRPr="00125962">
        <w:rPr>
          <w:szCs w:val="16"/>
        </w:rPr>
        <w:t>[21]</w:t>
      </w:r>
      <w:r w:rsidRPr="00125962">
        <w:rPr>
          <w:szCs w:val="16"/>
        </w:rPr>
        <w:tab/>
        <w:t xml:space="preserve">J. W. M. DuMond, E. R. Cohen, “Least Squares Adjustment of the Atomic Constants, 1952”, </w:t>
      </w:r>
      <w:r w:rsidRPr="00125962">
        <w:rPr>
          <w:i/>
          <w:iCs/>
          <w:szCs w:val="16"/>
        </w:rPr>
        <w:t>Rev. Mod.</w:t>
      </w:r>
      <w:proofErr w:type="gramEnd"/>
      <w:r w:rsidRPr="00125962">
        <w:rPr>
          <w:i/>
          <w:iCs/>
          <w:szCs w:val="16"/>
        </w:rPr>
        <w:t xml:space="preserve"> Phys.</w:t>
      </w:r>
      <w:r w:rsidRPr="00125962">
        <w:rPr>
          <w:szCs w:val="16"/>
        </w:rPr>
        <w:t xml:space="preserve"> </w:t>
      </w:r>
      <w:r w:rsidRPr="00125962">
        <w:rPr>
          <w:b/>
          <w:bCs/>
          <w:szCs w:val="16"/>
        </w:rPr>
        <w:t>25</w:t>
      </w:r>
      <w:r w:rsidRPr="00125962">
        <w:rPr>
          <w:szCs w:val="16"/>
        </w:rPr>
        <w:t xml:space="preserve"> (3): 691-708 (Jul 1953).</w:t>
      </w:r>
    </w:p>
    <w:p w:rsidR="00416D75" w:rsidRPr="00125962" w:rsidRDefault="00416D75" w:rsidP="00416D75">
      <w:pPr>
        <w:pStyle w:val="reference"/>
        <w:ind w:left="450" w:hanging="450"/>
        <w:jc w:val="left"/>
        <w:rPr>
          <w:szCs w:val="16"/>
        </w:rPr>
      </w:pPr>
      <w:r w:rsidRPr="00125962">
        <w:rPr>
          <w:szCs w:val="16"/>
        </w:rPr>
        <w:t>[22]</w:t>
      </w:r>
      <w:r w:rsidRPr="00125962">
        <w:rPr>
          <w:szCs w:val="16"/>
        </w:rPr>
        <w:tab/>
        <w:t xml:space="preserve">E. R. Cohen et al, “Analysis of Variance of the 1952 Data on the Atomic Constants and a New Adjustment, 1955”, </w:t>
      </w:r>
      <w:r w:rsidRPr="00125962">
        <w:rPr>
          <w:i/>
          <w:iCs/>
          <w:szCs w:val="16"/>
        </w:rPr>
        <w:t>Reviews of Modern Physics</w:t>
      </w:r>
      <w:r w:rsidRPr="00125962">
        <w:rPr>
          <w:szCs w:val="16"/>
        </w:rPr>
        <w:t xml:space="preserve"> </w:t>
      </w:r>
      <w:r w:rsidRPr="00125962">
        <w:rPr>
          <w:b/>
          <w:bCs/>
          <w:szCs w:val="16"/>
        </w:rPr>
        <w:t>27</w:t>
      </w:r>
      <w:r w:rsidRPr="00125962">
        <w:rPr>
          <w:szCs w:val="16"/>
        </w:rPr>
        <w:t xml:space="preserve"> (4): 363-380 (Oct 1955).</w:t>
      </w:r>
    </w:p>
    <w:p w:rsidR="00416D75" w:rsidRPr="00125962" w:rsidRDefault="00416D75" w:rsidP="00416D75">
      <w:pPr>
        <w:pStyle w:val="reference"/>
        <w:ind w:left="450" w:hanging="450"/>
        <w:jc w:val="left"/>
        <w:rPr>
          <w:szCs w:val="16"/>
        </w:rPr>
      </w:pPr>
      <w:r w:rsidRPr="00125962">
        <w:rPr>
          <w:szCs w:val="16"/>
        </w:rPr>
        <w:t>[23]</w:t>
      </w:r>
      <w:r w:rsidRPr="00125962">
        <w:rPr>
          <w:szCs w:val="16"/>
        </w:rPr>
        <w:tab/>
        <w:t xml:space="preserve">E. R. Cohen, J.W. M. DuMond, “Present Status of our Knowledge of the Numerical Values of the Fundamental Constants”, in W. H. Johnson, Jr., Ed., </w:t>
      </w:r>
      <w:r w:rsidRPr="00125962">
        <w:rPr>
          <w:i/>
          <w:iCs/>
          <w:szCs w:val="16"/>
        </w:rPr>
        <w:t>Proceedings of the Second International Conference on Nuclidic Masses</w:t>
      </w:r>
      <w:r w:rsidRPr="00125962">
        <w:rPr>
          <w:szCs w:val="16"/>
        </w:rPr>
        <w:t>, pp. 152-186 (Vienna, Austria, July 15-19, 1963, Springer-Verlag, Wien, 1964).</w:t>
      </w:r>
    </w:p>
    <w:p w:rsidR="00416D75" w:rsidRPr="00125962" w:rsidRDefault="00416D75" w:rsidP="00416D75">
      <w:pPr>
        <w:pStyle w:val="reference"/>
        <w:ind w:left="450" w:hanging="450"/>
        <w:jc w:val="left"/>
        <w:rPr>
          <w:szCs w:val="16"/>
        </w:rPr>
      </w:pPr>
      <w:r w:rsidRPr="00125962">
        <w:rPr>
          <w:szCs w:val="16"/>
        </w:rPr>
        <w:t>[24]</w:t>
      </w:r>
      <w:r w:rsidRPr="00125962">
        <w:rPr>
          <w:szCs w:val="16"/>
        </w:rPr>
        <w:tab/>
        <w:t xml:space="preserve">E. R. Cohen, J. W. M. DuMond, “Our Knowledge of the Fundamental Constants of Physics and Chemistry in 1965”, </w:t>
      </w:r>
      <w:r w:rsidRPr="00125962">
        <w:rPr>
          <w:i/>
          <w:iCs/>
          <w:szCs w:val="16"/>
        </w:rPr>
        <w:t>Reviews of Modern Physics</w:t>
      </w:r>
      <w:r w:rsidRPr="00125962">
        <w:rPr>
          <w:szCs w:val="16"/>
        </w:rPr>
        <w:t xml:space="preserve"> </w:t>
      </w:r>
      <w:r w:rsidRPr="00125962">
        <w:rPr>
          <w:b/>
          <w:bCs/>
          <w:szCs w:val="16"/>
        </w:rPr>
        <w:t>37</w:t>
      </w:r>
      <w:r w:rsidRPr="00125962">
        <w:rPr>
          <w:szCs w:val="16"/>
        </w:rPr>
        <w:t xml:space="preserve"> (4): 537-594 (Oct 1965).</w:t>
      </w:r>
    </w:p>
    <w:p w:rsidR="00416D75" w:rsidRPr="00125962" w:rsidRDefault="00416D75" w:rsidP="00416D75">
      <w:pPr>
        <w:pStyle w:val="reference"/>
        <w:ind w:left="450" w:hanging="450"/>
        <w:jc w:val="left"/>
        <w:rPr>
          <w:szCs w:val="16"/>
        </w:rPr>
      </w:pPr>
      <w:r w:rsidRPr="00125962">
        <w:rPr>
          <w:szCs w:val="16"/>
        </w:rPr>
        <w:t>[25]</w:t>
      </w:r>
      <w:r w:rsidRPr="00125962">
        <w:rPr>
          <w:szCs w:val="16"/>
        </w:rPr>
        <w:tab/>
        <w:t xml:space="preserve">B. N. Taylor, W. H. Parker, D. N. Langenberg, “Determination of e/h Using Macroscopic Quantum Phase Coherence in Superconductors: Implications for Quantum Electrodynamics and the Fundamental Physical Constants”, </w:t>
      </w:r>
      <w:r w:rsidRPr="00125962">
        <w:rPr>
          <w:i/>
          <w:iCs/>
          <w:szCs w:val="16"/>
        </w:rPr>
        <w:t>Reviews of Modern Physics</w:t>
      </w:r>
      <w:r w:rsidRPr="00125962">
        <w:rPr>
          <w:szCs w:val="16"/>
        </w:rPr>
        <w:t xml:space="preserve"> </w:t>
      </w:r>
      <w:r w:rsidRPr="00125962">
        <w:rPr>
          <w:b/>
          <w:bCs/>
          <w:szCs w:val="16"/>
        </w:rPr>
        <w:t>41</w:t>
      </w:r>
      <w:r w:rsidRPr="00125962">
        <w:rPr>
          <w:szCs w:val="16"/>
        </w:rPr>
        <w:t xml:space="preserve"> (3): 375-496 (Jul 1969).</w:t>
      </w:r>
    </w:p>
    <w:p w:rsidR="00416D75" w:rsidRPr="00125962" w:rsidRDefault="00416D75" w:rsidP="00416D75">
      <w:pPr>
        <w:pStyle w:val="reference"/>
        <w:ind w:left="450" w:hanging="450"/>
        <w:jc w:val="left"/>
        <w:rPr>
          <w:szCs w:val="16"/>
        </w:rPr>
      </w:pPr>
      <w:r w:rsidRPr="00125962">
        <w:rPr>
          <w:szCs w:val="16"/>
        </w:rPr>
        <w:t>[26]</w:t>
      </w:r>
      <w:r w:rsidRPr="00125962">
        <w:rPr>
          <w:szCs w:val="16"/>
        </w:rPr>
        <w:tab/>
        <w:t xml:space="preserve">E. R. Cohen, B. N. Taylor, “The 1973 Least-Squares Adjustment of the Fundamental Constants”, </w:t>
      </w:r>
      <w:r w:rsidRPr="00125962">
        <w:rPr>
          <w:i/>
          <w:iCs/>
          <w:szCs w:val="16"/>
        </w:rPr>
        <w:t>Journal of Physical and Chemical Reference Data</w:t>
      </w:r>
      <w:r w:rsidRPr="00125962">
        <w:rPr>
          <w:szCs w:val="16"/>
        </w:rPr>
        <w:t xml:space="preserve"> </w:t>
      </w:r>
      <w:r w:rsidRPr="00125962">
        <w:rPr>
          <w:b/>
          <w:bCs/>
          <w:szCs w:val="16"/>
        </w:rPr>
        <w:t>2</w:t>
      </w:r>
      <w:r w:rsidRPr="00125962">
        <w:rPr>
          <w:szCs w:val="16"/>
        </w:rPr>
        <w:t xml:space="preserve"> (4): 663-718 (1973).</w:t>
      </w:r>
    </w:p>
    <w:p w:rsidR="00416D75" w:rsidRPr="00125962" w:rsidRDefault="00416D75" w:rsidP="00416D75">
      <w:pPr>
        <w:pStyle w:val="reference"/>
        <w:ind w:left="450" w:hanging="450"/>
        <w:jc w:val="left"/>
        <w:rPr>
          <w:szCs w:val="16"/>
        </w:rPr>
      </w:pPr>
      <w:r w:rsidRPr="00125962">
        <w:rPr>
          <w:szCs w:val="16"/>
        </w:rPr>
        <w:t>[27]</w:t>
      </w:r>
      <w:r w:rsidRPr="00125962">
        <w:rPr>
          <w:szCs w:val="16"/>
        </w:rPr>
        <w:tab/>
        <w:t xml:space="preserve">E. R. Cohen, B. M. Taylor, “The 1986 Adjustment of the Fundamental Physical Constants”, </w:t>
      </w:r>
      <w:r w:rsidRPr="00125962">
        <w:rPr>
          <w:i/>
          <w:szCs w:val="16"/>
        </w:rPr>
        <w:t xml:space="preserve">Codata Bulletin </w:t>
      </w:r>
      <w:r w:rsidRPr="00125962">
        <w:rPr>
          <w:b/>
          <w:szCs w:val="16"/>
        </w:rPr>
        <w:t>63</w:t>
      </w:r>
      <w:r w:rsidRPr="00125962">
        <w:rPr>
          <w:szCs w:val="16"/>
        </w:rPr>
        <w:t xml:space="preserve"> (Pergamum Press, Nov 1986).</w:t>
      </w:r>
    </w:p>
    <w:p w:rsidR="00416D75" w:rsidRPr="00125962" w:rsidRDefault="00416D75" w:rsidP="00416D75">
      <w:pPr>
        <w:pStyle w:val="reference"/>
        <w:ind w:left="450" w:hanging="450"/>
        <w:jc w:val="left"/>
        <w:rPr>
          <w:szCs w:val="16"/>
        </w:rPr>
      </w:pPr>
      <w:proofErr w:type="gramStart"/>
      <w:r w:rsidRPr="00125962">
        <w:rPr>
          <w:szCs w:val="16"/>
        </w:rPr>
        <w:t>[28]</w:t>
      </w:r>
      <w:r w:rsidRPr="00125962">
        <w:rPr>
          <w:szCs w:val="16"/>
        </w:rPr>
        <w:tab/>
        <w:t xml:space="preserve">P. J. Mohr, B.N. Taylor, “Codata Recommended Values of the Fundamental Physical Constants, 1998”, </w:t>
      </w:r>
      <w:r w:rsidRPr="00125962">
        <w:rPr>
          <w:i/>
          <w:iCs/>
          <w:szCs w:val="16"/>
        </w:rPr>
        <w:t>Rev. Mod.</w:t>
      </w:r>
      <w:proofErr w:type="gramEnd"/>
      <w:r w:rsidRPr="00125962">
        <w:rPr>
          <w:szCs w:val="16"/>
        </w:rPr>
        <w:t xml:space="preserve"> </w:t>
      </w:r>
      <w:proofErr w:type="gramStart"/>
      <w:r w:rsidRPr="00125962">
        <w:rPr>
          <w:i/>
          <w:iCs/>
          <w:szCs w:val="16"/>
        </w:rPr>
        <w:t>Physics</w:t>
      </w:r>
      <w:r w:rsidRPr="00125962">
        <w:rPr>
          <w:szCs w:val="16"/>
        </w:rPr>
        <w:t xml:space="preserve"> (Apr 2000).</w:t>
      </w:r>
      <w:proofErr w:type="gramEnd"/>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[29</w:t>
      </w:r>
      <w:proofErr w:type="gramStart"/>
      <w:r w:rsidRPr="00125962">
        <w:rPr>
          <w:rFonts w:ascii="Book Antiqua" w:hAnsi="Book Antiqua"/>
          <w:sz w:val="16"/>
          <w:szCs w:val="16"/>
        </w:rPr>
        <w:t xml:space="preserve">]  </w:t>
      </w:r>
      <w:proofErr w:type="gramEnd"/>
      <w:r w:rsidR="007B3EBC">
        <w:fldChar w:fldCharType="begin"/>
      </w:r>
      <w:r>
        <w:instrText>HYPERLINK "http://physics.nist.gov/cuu/Constants/index.html"</w:instrText>
      </w:r>
      <w:r w:rsidR="007B3EBC">
        <w:fldChar w:fldCharType="separate"/>
      </w:r>
      <w:r w:rsidRPr="00125962">
        <w:rPr>
          <w:rStyle w:val="Hyperlink"/>
          <w:rFonts w:ascii="Book Antiqua" w:hAnsi="Book Antiqua"/>
          <w:i/>
          <w:szCs w:val="16"/>
        </w:rPr>
        <w:t>http://physics.nist.gov/cuu/Constants/index.html</w:t>
      </w:r>
      <w:r w:rsidR="007B3EBC">
        <w:fldChar w:fldCharType="end"/>
      </w:r>
    </w:p>
    <w:p w:rsidR="00416D75" w:rsidRPr="00125962" w:rsidRDefault="00416D75" w:rsidP="00416D75">
      <w:pPr>
        <w:pStyle w:val="reference"/>
        <w:ind w:left="450" w:hanging="450"/>
        <w:jc w:val="left"/>
        <w:rPr>
          <w:color w:val="000000"/>
          <w:szCs w:val="16"/>
        </w:rPr>
      </w:pPr>
      <w:r w:rsidRPr="00125962">
        <w:rPr>
          <w:color w:val="000000"/>
          <w:szCs w:val="16"/>
        </w:rPr>
        <w:t>[30]</w:t>
      </w:r>
      <w:r w:rsidRPr="00125962">
        <w:rPr>
          <w:color w:val="000000"/>
          <w:szCs w:val="16"/>
        </w:rPr>
        <w:tab/>
        <w:t xml:space="preserve">J. H. Sanders, </w:t>
      </w:r>
      <w:proofErr w:type="gramStart"/>
      <w:r w:rsidRPr="00125962">
        <w:rPr>
          <w:i/>
          <w:iCs/>
          <w:color w:val="000000"/>
          <w:szCs w:val="16"/>
        </w:rPr>
        <w:t>The</w:t>
      </w:r>
      <w:proofErr w:type="gramEnd"/>
      <w:r w:rsidRPr="00125962">
        <w:rPr>
          <w:i/>
          <w:iCs/>
          <w:color w:val="000000"/>
          <w:szCs w:val="16"/>
        </w:rPr>
        <w:t xml:space="preserve"> Fundamental Atomic Constants, </w:t>
      </w:r>
      <w:r w:rsidRPr="00125962">
        <w:rPr>
          <w:iCs/>
          <w:color w:val="000000"/>
          <w:szCs w:val="16"/>
        </w:rPr>
        <w:t>p. 13</w:t>
      </w:r>
      <w:r w:rsidRPr="00125962">
        <w:rPr>
          <w:i/>
          <w:iCs/>
          <w:color w:val="000000"/>
          <w:szCs w:val="16"/>
        </w:rPr>
        <w:t xml:space="preserve"> (</w:t>
      </w:r>
      <w:r w:rsidRPr="00125962">
        <w:rPr>
          <w:color w:val="000000"/>
          <w:szCs w:val="16"/>
        </w:rPr>
        <w:t>Oxford University Press, Oxford, 1965).</w:t>
      </w:r>
    </w:p>
    <w:p w:rsidR="00416D75" w:rsidRPr="00125962" w:rsidRDefault="00416D75" w:rsidP="00416D75">
      <w:pPr>
        <w:pStyle w:val="reference"/>
        <w:ind w:left="450" w:hanging="450"/>
        <w:jc w:val="left"/>
        <w:rPr>
          <w:color w:val="000000"/>
          <w:szCs w:val="16"/>
        </w:rPr>
      </w:pPr>
      <w:r w:rsidRPr="00125962">
        <w:rPr>
          <w:color w:val="000000"/>
          <w:szCs w:val="16"/>
        </w:rPr>
        <w:t>[31]</w:t>
      </w:r>
      <w:r w:rsidRPr="00125962">
        <w:rPr>
          <w:color w:val="000000"/>
          <w:szCs w:val="16"/>
        </w:rPr>
        <w:tab/>
        <w:t xml:space="preserve">T. Norman, B. Setterfield, </w:t>
      </w:r>
      <w:r w:rsidRPr="00125962">
        <w:rPr>
          <w:i/>
          <w:iCs/>
          <w:color w:val="000000"/>
          <w:szCs w:val="16"/>
        </w:rPr>
        <w:t>The Atomic Constants, Light, and Time</w:t>
      </w:r>
      <w:r w:rsidRPr="00125962">
        <w:rPr>
          <w:i/>
          <w:color w:val="000000"/>
          <w:szCs w:val="16"/>
        </w:rPr>
        <w:t>,</w:t>
      </w:r>
      <w:r w:rsidRPr="00125962">
        <w:rPr>
          <w:color w:val="000000"/>
          <w:szCs w:val="16"/>
        </w:rPr>
        <w:t xml:space="preserve"> Research Report, p. 35 (Stanford Research Institute (SRI) International &amp; Flinders University, South Australia, Aug 1987).</w:t>
      </w:r>
    </w:p>
    <w:p w:rsidR="00416D75" w:rsidRPr="00125962" w:rsidRDefault="00416D75" w:rsidP="00416D75">
      <w:pPr>
        <w:pStyle w:val="reference"/>
        <w:ind w:left="450" w:hanging="450"/>
        <w:jc w:val="left"/>
        <w:rPr>
          <w:szCs w:val="16"/>
        </w:rPr>
      </w:pPr>
      <w:r w:rsidRPr="00125962">
        <w:rPr>
          <w:szCs w:val="16"/>
        </w:rPr>
        <w:t>[32]</w:t>
      </w:r>
      <w:r w:rsidRPr="00125962">
        <w:rPr>
          <w:szCs w:val="16"/>
        </w:rPr>
        <w:tab/>
        <w:t xml:space="preserve"> J. N. Bahcall, E. E. Salpeter, </w:t>
      </w:r>
      <w:r w:rsidRPr="00125962">
        <w:rPr>
          <w:i/>
          <w:szCs w:val="16"/>
        </w:rPr>
        <w:t>Astrophys. J</w:t>
      </w:r>
      <w:r w:rsidRPr="00125962">
        <w:rPr>
          <w:szCs w:val="16"/>
        </w:rPr>
        <w:t xml:space="preserve">. </w:t>
      </w:r>
      <w:r w:rsidRPr="00125962">
        <w:rPr>
          <w:b/>
          <w:szCs w:val="16"/>
        </w:rPr>
        <w:t>142</w:t>
      </w:r>
      <w:r w:rsidRPr="00125962">
        <w:rPr>
          <w:szCs w:val="16"/>
        </w:rPr>
        <w:t>: 1677-1681 (1965).</w:t>
      </w:r>
    </w:p>
    <w:p w:rsidR="00416D75" w:rsidRPr="00125962" w:rsidRDefault="00416D75" w:rsidP="00416D75">
      <w:pPr>
        <w:pStyle w:val="reference"/>
        <w:ind w:left="450" w:hanging="450"/>
        <w:jc w:val="left"/>
        <w:rPr>
          <w:szCs w:val="16"/>
        </w:rPr>
      </w:pPr>
      <w:r w:rsidRPr="00125962">
        <w:rPr>
          <w:szCs w:val="16"/>
        </w:rPr>
        <w:t>[33]</w:t>
      </w:r>
      <w:r w:rsidRPr="00125962">
        <w:rPr>
          <w:szCs w:val="16"/>
        </w:rPr>
        <w:tab/>
        <w:t xml:space="preserve">W. A. Baum, R. Florentin-Nielsen, </w:t>
      </w:r>
      <w:r w:rsidRPr="00125962">
        <w:rPr>
          <w:i/>
          <w:szCs w:val="16"/>
        </w:rPr>
        <w:t>Astrophys. J.</w:t>
      </w:r>
      <w:r w:rsidRPr="00125962">
        <w:rPr>
          <w:szCs w:val="16"/>
        </w:rPr>
        <w:t xml:space="preserve"> </w:t>
      </w:r>
      <w:r w:rsidRPr="00125962">
        <w:rPr>
          <w:b/>
          <w:szCs w:val="16"/>
        </w:rPr>
        <w:t>209</w:t>
      </w:r>
      <w:r w:rsidRPr="00125962">
        <w:rPr>
          <w:szCs w:val="16"/>
        </w:rPr>
        <w:t>: 319-329 (1976).</w:t>
      </w:r>
    </w:p>
    <w:p w:rsidR="00416D75" w:rsidRPr="00125962" w:rsidRDefault="00416D75" w:rsidP="00416D75">
      <w:pPr>
        <w:pStyle w:val="reference"/>
        <w:ind w:left="450" w:hanging="450"/>
        <w:jc w:val="left"/>
        <w:rPr>
          <w:szCs w:val="16"/>
        </w:rPr>
      </w:pPr>
      <w:r w:rsidRPr="00125962">
        <w:rPr>
          <w:szCs w:val="16"/>
        </w:rPr>
        <w:t>[34]</w:t>
      </w:r>
      <w:r w:rsidRPr="00125962">
        <w:rPr>
          <w:szCs w:val="16"/>
        </w:rPr>
        <w:tab/>
        <w:t xml:space="preserve">J. E. Solheim, T.G. Barnes, H.J. Smith, </w:t>
      </w:r>
      <w:r w:rsidRPr="00125962">
        <w:rPr>
          <w:i/>
          <w:szCs w:val="16"/>
        </w:rPr>
        <w:t>Astrophys. J.</w:t>
      </w:r>
      <w:r w:rsidRPr="00125962">
        <w:rPr>
          <w:szCs w:val="16"/>
        </w:rPr>
        <w:t xml:space="preserve"> </w:t>
      </w:r>
      <w:r w:rsidRPr="00125962">
        <w:rPr>
          <w:b/>
          <w:szCs w:val="16"/>
        </w:rPr>
        <w:t>209</w:t>
      </w:r>
      <w:r w:rsidRPr="00125962">
        <w:rPr>
          <w:szCs w:val="16"/>
        </w:rPr>
        <w:t>: 330-4 (1976).</w:t>
      </w:r>
    </w:p>
    <w:p w:rsidR="00416D75" w:rsidRPr="00125962" w:rsidRDefault="00416D75" w:rsidP="00416D75">
      <w:pPr>
        <w:pStyle w:val="reference"/>
        <w:ind w:left="450" w:hanging="450"/>
        <w:jc w:val="left"/>
        <w:rPr>
          <w:szCs w:val="16"/>
        </w:rPr>
      </w:pPr>
      <w:r w:rsidRPr="00125962">
        <w:rPr>
          <w:szCs w:val="16"/>
        </w:rPr>
        <w:t>[35]</w:t>
      </w:r>
      <w:r w:rsidRPr="00125962">
        <w:rPr>
          <w:szCs w:val="16"/>
        </w:rPr>
        <w:tab/>
        <w:t xml:space="preserve">P. D. Noerdlinger, </w:t>
      </w:r>
      <w:r w:rsidRPr="00125962">
        <w:rPr>
          <w:i/>
          <w:szCs w:val="16"/>
        </w:rPr>
        <w:t>Phys. Rev. Lett.</w:t>
      </w:r>
      <w:r w:rsidRPr="00125962">
        <w:rPr>
          <w:szCs w:val="16"/>
        </w:rPr>
        <w:t xml:space="preserve"> </w:t>
      </w:r>
      <w:r w:rsidRPr="00125962">
        <w:rPr>
          <w:b/>
          <w:szCs w:val="16"/>
        </w:rPr>
        <w:t>30</w:t>
      </w:r>
      <w:r w:rsidRPr="00125962">
        <w:rPr>
          <w:szCs w:val="16"/>
        </w:rPr>
        <w:t>: 761-762 (1973).</w:t>
      </w:r>
    </w:p>
    <w:p w:rsidR="00416D75" w:rsidRPr="00125962" w:rsidRDefault="00416D75" w:rsidP="00416D75">
      <w:pPr>
        <w:pStyle w:val="reference"/>
        <w:ind w:left="450" w:hanging="450"/>
        <w:jc w:val="left"/>
        <w:rPr>
          <w:szCs w:val="16"/>
        </w:rPr>
      </w:pPr>
      <w:r w:rsidRPr="00125962">
        <w:rPr>
          <w:szCs w:val="16"/>
        </w:rPr>
        <w:t>[36]</w:t>
      </w:r>
      <w:r w:rsidRPr="00125962">
        <w:rPr>
          <w:szCs w:val="16"/>
        </w:rPr>
        <w:tab/>
        <w:t xml:space="preserve">R. Srianand et al. also D. Monroe, </w:t>
      </w:r>
      <w:r w:rsidRPr="00125962">
        <w:rPr>
          <w:i/>
          <w:szCs w:val="16"/>
        </w:rPr>
        <w:t>Phys. Rev. Lett.</w:t>
      </w:r>
      <w:r w:rsidRPr="00125962">
        <w:rPr>
          <w:szCs w:val="16"/>
        </w:rPr>
        <w:t xml:space="preserve"> </w:t>
      </w:r>
      <w:r w:rsidRPr="00125962">
        <w:rPr>
          <w:b/>
          <w:szCs w:val="16"/>
        </w:rPr>
        <w:t>92</w:t>
      </w:r>
      <w:r w:rsidRPr="00125962">
        <w:rPr>
          <w:szCs w:val="16"/>
        </w:rPr>
        <w:t>: 121302 (2004).</w:t>
      </w:r>
    </w:p>
    <w:p w:rsidR="00416D75" w:rsidRPr="00125962" w:rsidRDefault="00416D75" w:rsidP="00416D75">
      <w:pPr>
        <w:pStyle w:val="reference"/>
        <w:ind w:left="450" w:hanging="450"/>
        <w:jc w:val="left"/>
        <w:rPr>
          <w:szCs w:val="16"/>
        </w:rPr>
      </w:pPr>
      <w:r w:rsidRPr="00125962">
        <w:rPr>
          <w:szCs w:val="16"/>
        </w:rPr>
        <w:t>[37]</w:t>
      </w:r>
      <w:r w:rsidRPr="00125962">
        <w:rPr>
          <w:szCs w:val="16"/>
        </w:rPr>
        <w:tab/>
        <w:t xml:space="preserve">L. L. Cowie, A. Songaila, </w:t>
      </w:r>
      <w:r w:rsidRPr="00125962">
        <w:rPr>
          <w:i/>
          <w:szCs w:val="16"/>
        </w:rPr>
        <w:t>Nature</w:t>
      </w:r>
      <w:r w:rsidRPr="00125962">
        <w:rPr>
          <w:szCs w:val="16"/>
        </w:rPr>
        <w:t xml:space="preserve">, </w:t>
      </w:r>
      <w:r w:rsidRPr="00125962">
        <w:rPr>
          <w:b/>
          <w:szCs w:val="16"/>
        </w:rPr>
        <w:t>428</w:t>
      </w:r>
      <w:r w:rsidRPr="00125962">
        <w:rPr>
          <w:szCs w:val="16"/>
        </w:rPr>
        <w:t>: 132 (2004).</w:t>
      </w:r>
    </w:p>
    <w:p w:rsidR="00416D75" w:rsidRPr="00125962" w:rsidRDefault="00416D75" w:rsidP="00416D75">
      <w:pPr>
        <w:pStyle w:val="reference"/>
        <w:ind w:left="450" w:hanging="450"/>
        <w:jc w:val="left"/>
        <w:rPr>
          <w:szCs w:val="16"/>
        </w:rPr>
      </w:pPr>
      <w:r w:rsidRPr="00125962">
        <w:rPr>
          <w:szCs w:val="16"/>
        </w:rPr>
        <w:t>[38]</w:t>
      </w:r>
      <w:r w:rsidRPr="00125962">
        <w:rPr>
          <w:szCs w:val="16"/>
        </w:rPr>
        <w:tab/>
        <w:t xml:space="preserve">F. J. Dyson, </w:t>
      </w:r>
      <w:r w:rsidRPr="00125962">
        <w:rPr>
          <w:i/>
          <w:szCs w:val="16"/>
        </w:rPr>
        <w:t>Phys. Rev. Lett</w:t>
      </w:r>
      <w:r w:rsidRPr="00125962">
        <w:rPr>
          <w:szCs w:val="16"/>
        </w:rPr>
        <w:t xml:space="preserve">. </w:t>
      </w:r>
      <w:r w:rsidRPr="00125962">
        <w:rPr>
          <w:b/>
          <w:szCs w:val="16"/>
        </w:rPr>
        <w:t>19</w:t>
      </w:r>
      <w:r w:rsidRPr="00125962">
        <w:rPr>
          <w:szCs w:val="16"/>
        </w:rPr>
        <w:t>: 1291-1293 (1967).</w:t>
      </w:r>
    </w:p>
    <w:p w:rsidR="00416D75" w:rsidRPr="00125962" w:rsidRDefault="00416D75" w:rsidP="00416D75">
      <w:pPr>
        <w:pStyle w:val="reference"/>
        <w:ind w:left="450" w:hanging="450"/>
        <w:jc w:val="left"/>
        <w:rPr>
          <w:szCs w:val="16"/>
        </w:rPr>
      </w:pPr>
      <w:r w:rsidRPr="00125962">
        <w:rPr>
          <w:szCs w:val="16"/>
        </w:rPr>
        <w:t>[39]</w:t>
      </w:r>
      <w:r w:rsidRPr="00125962">
        <w:rPr>
          <w:szCs w:val="16"/>
        </w:rPr>
        <w:tab/>
        <w:t xml:space="preserve">A. Peres, </w:t>
      </w:r>
      <w:r w:rsidRPr="00125962">
        <w:rPr>
          <w:i/>
          <w:szCs w:val="16"/>
        </w:rPr>
        <w:t>Phys. Rev. Lett.</w:t>
      </w:r>
      <w:r w:rsidRPr="00125962">
        <w:rPr>
          <w:szCs w:val="16"/>
        </w:rPr>
        <w:t xml:space="preserve"> </w:t>
      </w:r>
      <w:r w:rsidRPr="00125962">
        <w:rPr>
          <w:b/>
          <w:szCs w:val="16"/>
        </w:rPr>
        <w:t>19</w:t>
      </w:r>
      <w:r w:rsidRPr="00125962">
        <w:rPr>
          <w:szCs w:val="16"/>
        </w:rPr>
        <w:t>: 1293-1294 (1967).</w:t>
      </w:r>
    </w:p>
    <w:p w:rsidR="00416D75" w:rsidRPr="00125962" w:rsidRDefault="00416D75" w:rsidP="00416D75">
      <w:pPr>
        <w:pStyle w:val="reference"/>
        <w:ind w:left="450" w:hanging="450"/>
        <w:jc w:val="left"/>
        <w:rPr>
          <w:szCs w:val="16"/>
        </w:rPr>
      </w:pPr>
      <w:r w:rsidRPr="00125962">
        <w:rPr>
          <w:szCs w:val="16"/>
        </w:rPr>
        <w:t>[40]</w:t>
      </w:r>
      <w:r w:rsidRPr="00125962">
        <w:rPr>
          <w:szCs w:val="16"/>
        </w:rPr>
        <w:tab/>
        <w:t xml:space="preserve">J. N. Bahcall, M. Schmidt, </w:t>
      </w:r>
      <w:r w:rsidRPr="00125962">
        <w:rPr>
          <w:i/>
          <w:szCs w:val="16"/>
        </w:rPr>
        <w:t>Phys. Rev. Lett.</w:t>
      </w:r>
      <w:r w:rsidRPr="00125962">
        <w:rPr>
          <w:szCs w:val="16"/>
        </w:rPr>
        <w:t xml:space="preserve"> </w:t>
      </w:r>
      <w:r w:rsidRPr="00125962">
        <w:rPr>
          <w:b/>
          <w:szCs w:val="16"/>
        </w:rPr>
        <w:t>19</w:t>
      </w:r>
      <w:r w:rsidRPr="00125962">
        <w:rPr>
          <w:szCs w:val="16"/>
        </w:rPr>
        <w:t xml:space="preserve">: 1294-1295 (1967). </w:t>
      </w:r>
    </w:p>
    <w:p w:rsidR="00416D75" w:rsidRPr="00125962" w:rsidRDefault="00416D75" w:rsidP="00416D75">
      <w:pPr>
        <w:pStyle w:val="reference"/>
        <w:ind w:left="450" w:hanging="450"/>
        <w:jc w:val="left"/>
        <w:rPr>
          <w:szCs w:val="16"/>
        </w:rPr>
      </w:pPr>
      <w:r w:rsidRPr="00125962">
        <w:rPr>
          <w:szCs w:val="16"/>
        </w:rPr>
        <w:t>[41]</w:t>
      </w:r>
      <w:r w:rsidRPr="00125962">
        <w:rPr>
          <w:szCs w:val="16"/>
        </w:rPr>
        <w:tab/>
        <w:t xml:space="preserve">P. S. Wesson, </w:t>
      </w:r>
      <w:r w:rsidRPr="00125962">
        <w:rPr>
          <w:i/>
          <w:szCs w:val="16"/>
        </w:rPr>
        <w:t>Cosmology and Geophysics,</w:t>
      </w:r>
      <w:r w:rsidRPr="00125962">
        <w:rPr>
          <w:szCs w:val="16"/>
        </w:rPr>
        <w:t xml:space="preserve"> Monographs on Astronomical Subjects, pp. 65-66, 88-89, 115-122, 207-208 (Adam Hilger Ltd, Bristol, 1978).</w:t>
      </w:r>
    </w:p>
    <w:p w:rsidR="00416D75" w:rsidRPr="00125962" w:rsidRDefault="00416D75" w:rsidP="00416D75">
      <w:pPr>
        <w:pStyle w:val="reference"/>
        <w:ind w:left="450" w:hanging="450"/>
        <w:jc w:val="left"/>
        <w:rPr>
          <w:szCs w:val="16"/>
        </w:rPr>
      </w:pPr>
      <w:r w:rsidRPr="00125962">
        <w:rPr>
          <w:szCs w:val="16"/>
        </w:rPr>
        <w:t>[42]</w:t>
      </w:r>
      <w:r w:rsidRPr="00125962">
        <w:rPr>
          <w:szCs w:val="16"/>
        </w:rPr>
        <w:tab/>
        <w:t xml:space="preserve">M. Brooks, “Operation Alpha”, </w:t>
      </w:r>
      <w:r w:rsidRPr="00125962">
        <w:rPr>
          <w:i/>
          <w:szCs w:val="16"/>
        </w:rPr>
        <w:t>New Scientist</w:t>
      </w:r>
      <w:r w:rsidRPr="00125962">
        <w:rPr>
          <w:szCs w:val="16"/>
        </w:rPr>
        <w:t>, p. 33-35 (23 Oct 2010)</w:t>
      </w:r>
    </w:p>
    <w:p w:rsidR="00416D75" w:rsidRPr="00125962" w:rsidRDefault="00416D75" w:rsidP="00416D75">
      <w:pPr>
        <w:pStyle w:val="reference"/>
        <w:ind w:left="450" w:hanging="450"/>
        <w:jc w:val="left"/>
        <w:rPr>
          <w:szCs w:val="16"/>
        </w:rPr>
      </w:pPr>
      <w:r w:rsidRPr="00125962">
        <w:rPr>
          <w:szCs w:val="16"/>
        </w:rPr>
        <w:t>[43]</w:t>
      </w:r>
      <w:r w:rsidRPr="00125962">
        <w:rPr>
          <w:szCs w:val="16"/>
        </w:rPr>
        <w:tab/>
        <w:t>P. S. Wesson, op. cit., pp. 65-66, 88-89, 115-122, 207-208.</w:t>
      </w:r>
    </w:p>
    <w:p w:rsidR="00416D75" w:rsidRPr="00125962" w:rsidRDefault="00416D75" w:rsidP="00416D75">
      <w:pPr>
        <w:pStyle w:val="reference"/>
        <w:ind w:left="450" w:hanging="450"/>
        <w:jc w:val="left"/>
        <w:rPr>
          <w:szCs w:val="16"/>
        </w:rPr>
      </w:pPr>
      <w:r w:rsidRPr="00125962">
        <w:rPr>
          <w:szCs w:val="16"/>
        </w:rPr>
        <w:t>[44]</w:t>
      </w:r>
      <w:r w:rsidRPr="00125962">
        <w:rPr>
          <w:szCs w:val="16"/>
        </w:rPr>
        <w:tab/>
        <w:t xml:space="preserve">M. Harwit, </w:t>
      </w:r>
      <w:r w:rsidRPr="00125962">
        <w:rPr>
          <w:i/>
          <w:szCs w:val="16"/>
        </w:rPr>
        <w:t>Bull. Astron. Inst. Czech</w:t>
      </w:r>
      <w:r w:rsidRPr="00125962">
        <w:rPr>
          <w:szCs w:val="16"/>
        </w:rPr>
        <w:t xml:space="preserve">. </w:t>
      </w:r>
      <w:r w:rsidRPr="00125962">
        <w:rPr>
          <w:b/>
          <w:szCs w:val="16"/>
        </w:rPr>
        <w:t>22</w:t>
      </w:r>
      <w:r w:rsidRPr="00125962">
        <w:rPr>
          <w:szCs w:val="16"/>
        </w:rPr>
        <w:t>: 22-29 (1971).</w:t>
      </w:r>
    </w:p>
    <w:p w:rsidR="00416D75" w:rsidRPr="00125962" w:rsidRDefault="00416D75" w:rsidP="00416D75">
      <w:pPr>
        <w:pStyle w:val="reference"/>
        <w:ind w:left="450" w:hanging="450"/>
        <w:jc w:val="left"/>
        <w:rPr>
          <w:szCs w:val="16"/>
        </w:rPr>
      </w:pPr>
      <w:r w:rsidRPr="00125962">
        <w:rPr>
          <w:szCs w:val="16"/>
        </w:rPr>
        <w:t>[45]</w:t>
      </w:r>
      <w:r w:rsidRPr="00125962">
        <w:rPr>
          <w:szCs w:val="16"/>
        </w:rPr>
        <w:tab/>
        <w:t xml:space="preserve">N. E. Dorsey, </w:t>
      </w:r>
      <w:r w:rsidRPr="00125962">
        <w:rPr>
          <w:i/>
          <w:szCs w:val="16"/>
        </w:rPr>
        <w:t>Trans. Am. Phil. Soc.</w:t>
      </w:r>
      <w:r w:rsidRPr="00125962">
        <w:rPr>
          <w:szCs w:val="16"/>
        </w:rPr>
        <w:t xml:space="preserve"> </w:t>
      </w:r>
      <w:r w:rsidRPr="00125962">
        <w:rPr>
          <w:b/>
          <w:szCs w:val="16"/>
        </w:rPr>
        <w:t>34</w:t>
      </w:r>
      <w:r w:rsidRPr="00125962">
        <w:rPr>
          <w:szCs w:val="16"/>
        </w:rPr>
        <w:t>: 1 (1944).</w:t>
      </w:r>
    </w:p>
    <w:p w:rsidR="00416D75" w:rsidRPr="00125962" w:rsidRDefault="00416D75" w:rsidP="00416D75">
      <w:pPr>
        <w:pStyle w:val="reference"/>
        <w:ind w:left="450" w:hanging="450"/>
        <w:jc w:val="left"/>
        <w:rPr>
          <w:szCs w:val="16"/>
        </w:rPr>
      </w:pPr>
      <w:proofErr w:type="gramStart"/>
      <w:r w:rsidRPr="00125962">
        <w:rPr>
          <w:szCs w:val="16"/>
        </w:rPr>
        <w:t>[46]</w:t>
      </w:r>
      <w:r w:rsidRPr="00125962">
        <w:rPr>
          <w:szCs w:val="16"/>
        </w:rPr>
        <w:tab/>
        <w:t xml:space="preserve">M. E. J. Gheury de Bray, </w:t>
      </w:r>
      <w:r w:rsidRPr="00125962">
        <w:rPr>
          <w:i/>
          <w:szCs w:val="16"/>
        </w:rPr>
        <w:t>Nature</w:t>
      </w:r>
      <w:r w:rsidRPr="00125962">
        <w:rPr>
          <w:szCs w:val="16"/>
        </w:rPr>
        <w:t xml:space="preserve"> </w:t>
      </w:r>
      <w:r w:rsidRPr="00125962">
        <w:rPr>
          <w:b/>
          <w:szCs w:val="16"/>
        </w:rPr>
        <w:t>120</w:t>
      </w:r>
      <w:r w:rsidRPr="00125962">
        <w:rPr>
          <w:szCs w:val="16"/>
        </w:rPr>
        <w:t xml:space="preserve">: 602 (1927); </w:t>
      </w:r>
      <w:r w:rsidRPr="00125962">
        <w:rPr>
          <w:b/>
          <w:szCs w:val="16"/>
        </w:rPr>
        <w:t>127</w:t>
      </w:r>
      <w:r w:rsidRPr="00125962">
        <w:rPr>
          <w:szCs w:val="16"/>
        </w:rPr>
        <w:t xml:space="preserve">: 522 (1931); and </w:t>
      </w:r>
      <w:r w:rsidRPr="00125962">
        <w:rPr>
          <w:b/>
          <w:szCs w:val="16"/>
        </w:rPr>
        <w:t>127</w:t>
      </w:r>
      <w:r w:rsidRPr="00125962">
        <w:rPr>
          <w:szCs w:val="16"/>
        </w:rPr>
        <w:t>: 892 (1931).</w:t>
      </w:r>
      <w:proofErr w:type="gramEnd"/>
    </w:p>
    <w:p w:rsidR="00416D75" w:rsidRPr="00125962" w:rsidRDefault="00416D75" w:rsidP="00416D75">
      <w:pPr>
        <w:pStyle w:val="reference"/>
        <w:ind w:left="450" w:hanging="450"/>
        <w:jc w:val="left"/>
        <w:rPr>
          <w:szCs w:val="16"/>
        </w:rPr>
      </w:pPr>
      <w:r w:rsidRPr="00125962">
        <w:rPr>
          <w:szCs w:val="16"/>
        </w:rPr>
        <w:t>[47]</w:t>
      </w:r>
      <w:r w:rsidRPr="00125962">
        <w:rPr>
          <w:szCs w:val="16"/>
        </w:rPr>
        <w:tab/>
        <w:t xml:space="preserve">R. T. Birge, </w:t>
      </w:r>
      <w:r w:rsidRPr="00125962">
        <w:rPr>
          <w:i/>
          <w:szCs w:val="16"/>
        </w:rPr>
        <w:t xml:space="preserve">Rep. Prog. </w:t>
      </w:r>
      <w:proofErr w:type="gramStart"/>
      <w:r w:rsidRPr="00125962">
        <w:rPr>
          <w:i/>
          <w:szCs w:val="16"/>
        </w:rPr>
        <w:t>Phys</w:t>
      </w:r>
      <w:r w:rsidRPr="00125962">
        <w:rPr>
          <w:szCs w:val="16"/>
        </w:rPr>
        <w:t>.</w:t>
      </w:r>
      <w:r w:rsidRPr="00125962">
        <w:rPr>
          <w:b/>
          <w:szCs w:val="16"/>
        </w:rPr>
        <w:t xml:space="preserve"> 8</w:t>
      </w:r>
      <w:r w:rsidRPr="00125962">
        <w:rPr>
          <w:szCs w:val="16"/>
        </w:rPr>
        <w:t>: 90 (1941).</w:t>
      </w:r>
      <w:proofErr w:type="gramEnd"/>
    </w:p>
    <w:p w:rsidR="00416D75" w:rsidRPr="00125962" w:rsidRDefault="00416D75" w:rsidP="00416D75">
      <w:pPr>
        <w:pStyle w:val="reference"/>
        <w:ind w:left="450" w:hanging="450"/>
        <w:jc w:val="left"/>
        <w:rPr>
          <w:szCs w:val="16"/>
        </w:rPr>
      </w:pPr>
      <w:r w:rsidRPr="00125962">
        <w:rPr>
          <w:szCs w:val="16"/>
        </w:rPr>
        <w:t>[48]</w:t>
      </w:r>
      <w:r w:rsidRPr="00125962">
        <w:rPr>
          <w:szCs w:val="16"/>
        </w:rPr>
        <w:tab/>
        <w:t>A. Montgomery, L. Dolphin, “Is the Velocity of Light Constant in Time?</w:t>
      </w:r>
      <w:proofErr w:type="gramStart"/>
      <w:r w:rsidRPr="00125962">
        <w:rPr>
          <w:szCs w:val="16"/>
        </w:rPr>
        <w:t>”,</w:t>
      </w:r>
      <w:proofErr w:type="gramEnd"/>
      <w:r w:rsidRPr="00125962">
        <w:rPr>
          <w:szCs w:val="16"/>
        </w:rPr>
        <w:t xml:space="preserve"> </w:t>
      </w:r>
      <w:r w:rsidRPr="00125962">
        <w:rPr>
          <w:i/>
          <w:szCs w:val="16"/>
        </w:rPr>
        <w:t>Galilean Electrodynamics</w:t>
      </w:r>
      <w:r w:rsidRPr="00125962">
        <w:rPr>
          <w:szCs w:val="16"/>
        </w:rPr>
        <w:t xml:space="preserve"> </w:t>
      </w:r>
      <w:r w:rsidRPr="00125962">
        <w:rPr>
          <w:b/>
          <w:szCs w:val="16"/>
        </w:rPr>
        <w:t>4</w:t>
      </w:r>
      <w:r w:rsidRPr="00125962">
        <w:rPr>
          <w:szCs w:val="16"/>
        </w:rPr>
        <w:t xml:space="preserve"> (5): 93ff (1993).</w:t>
      </w:r>
    </w:p>
    <w:p w:rsidR="00416D75" w:rsidRPr="00125962" w:rsidRDefault="00416D75" w:rsidP="00416D75">
      <w:pPr>
        <w:pStyle w:val="reference"/>
        <w:ind w:left="450" w:hanging="450"/>
        <w:jc w:val="left"/>
        <w:rPr>
          <w:szCs w:val="16"/>
        </w:rPr>
      </w:pPr>
      <w:r w:rsidRPr="00125962">
        <w:rPr>
          <w:szCs w:val="16"/>
        </w:rPr>
        <w:t>[49]</w:t>
      </w:r>
      <w:r w:rsidRPr="00125962">
        <w:rPr>
          <w:szCs w:val="16"/>
        </w:rPr>
        <w:tab/>
        <w:t>S. L. Martin, A. K. Connor</w:t>
      </w:r>
      <w:r w:rsidRPr="00125962">
        <w:rPr>
          <w:b/>
          <w:i/>
          <w:szCs w:val="16"/>
        </w:rPr>
        <w:t>, Basic Physics</w:t>
      </w:r>
      <w:r w:rsidRPr="00125962">
        <w:rPr>
          <w:szCs w:val="16"/>
        </w:rPr>
        <w:t>, Vol. 3, 6</w:t>
      </w:r>
      <w:r w:rsidRPr="00125962">
        <w:rPr>
          <w:szCs w:val="16"/>
          <w:vertAlign w:val="superscript"/>
        </w:rPr>
        <w:t>th</w:t>
      </w:r>
      <w:r w:rsidRPr="00125962">
        <w:rPr>
          <w:szCs w:val="16"/>
        </w:rPr>
        <w:t xml:space="preserve"> Ed., p. 1193 (Whitcombe and Tombs Pty. Ltd., Melbourne, Australia, 1958).</w:t>
      </w:r>
    </w:p>
    <w:p w:rsidR="00416D75" w:rsidRPr="00125962" w:rsidRDefault="00416D75" w:rsidP="00416D75">
      <w:pPr>
        <w:pStyle w:val="reference"/>
        <w:ind w:left="450" w:hanging="450"/>
        <w:jc w:val="left"/>
        <w:rPr>
          <w:szCs w:val="16"/>
        </w:rPr>
      </w:pPr>
      <w:r w:rsidRPr="00125962">
        <w:rPr>
          <w:szCs w:val="16"/>
        </w:rPr>
        <w:t>[50]</w:t>
      </w:r>
      <w:r w:rsidRPr="00125962">
        <w:rPr>
          <w:szCs w:val="16"/>
        </w:rPr>
        <w:tab/>
        <w:t xml:space="preserve">B. Haisch, A. Rueda, H. E. Puthoff, </w:t>
      </w:r>
      <w:r w:rsidRPr="00125962">
        <w:rPr>
          <w:i/>
          <w:szCs w:val="16"/>
        </w:rPr>
        <w:t>Speculations in Science and Technology</w:t>
      </w:r>
      <w:r w:rsidRPr="00125962">
        <w:rPr>
          <w:szCs w:val="16"/>
        </w:rPr>
        <w:t xml:space="preserve"> </w:t>
      </w:r>
      <w:r w:rsidRPr="00125962">
        <w:rPr>
          <w:b/>
          <w:szCs w:val="16"/>
        </w:rPr>
        <w:t>20</w:t>
      </w:r>
      <w:r w:rsidRPr="00125962">
        <w:rPr>
          <w:szCs w:val="16"/>
        </w:rPr>
        <w:t>: 99-114 (1997).</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1</w:t>
      </w:r>
      <w:r w:rsidRPr="00125962">
        <w:rPr>
          <w:szCs w:val="16"/>
        </w:rPr>
        <w:t>]</w:t>
      </w:r>
      <w:r w:rsidRPr="00125962">
        <w:rPr>
          <w:szCs w:val="16"/>
        </w:rPr>
        <w:tab/>
        <w:t xml:space="preserve">Science Editor, </w:t>
      </w:r>
      <w:r w:rsidRPr="00125962">
        <w:rPr>
          <w:i/>
          <w:szCs w:val="16"/>
        </w:rPr>
        <w:t>New Scientist</w:t>
      </w:r>
      <w:r w:rsidRPr="00125962">
        <w:rPr>
          <w:szCs w:val="16"/>
        </w:rPr>
        <w:t xml:space="preserve"> </w:t>
      </w:r>
      <w:r w:rsidRPr="00125962">
        <w:rPr>
          <w:b/>
          <w:szCs w:val="16"/>
        </w:rPr>
        <w:t>2611</w:t>
      </w:r>
      <w:r w:rsidRPr="00125962">
        <w:rPr>
          <w:szCs w:val="16"/>
        </w:rPr>
        <w:t xml:space="preserve"> (7 July 2007).</w:t>
      </w:r>
    </w:p>
    <w:p w:rsidR="00416D75" w:rsidRPr="00125962" w:rsidRDefault="00416D75" w:rsidP="00416D75">
      <w:pPr>
        <w:pStyle w:val="reference"/>
        <w:ind w:left="450" w:hanging="450"/>
        <w:jc w:val="left"/>
        <w:rPr>
          <w:szCs w:val="16"/>
        </w:rPr>
      </w:pPr>
      <w:proofErr w:type="gramStart"/>
      <w:r w:rsidRPr="00125962">
        <w:rPr>
          <w:szCs w:val="16"/>
        </w:rPr>
        <w:t>[52]</w:t>
      </w:r>
      <w:r w:rsidRPr="00125962">
        <w:rPr>
          <w:szCs w:val="16"/>
        </w:rPr>
        <w:tab/>
        <w:t xml:space="preserve">R. Gerritsma et al, </w:t>
      </w:r>
      <w:r w:rsidRPr="00125962">
        <w:rPr>
          <w:i/>
          <w:szCs w:val="16"/>
        </w:rPr>
        <w:t>Nature</w:t>
      </w:r>
      <w:r w:rsidRPr="00125962">
        <w:rPr>
          <w:szCs w:val="16"/>
        </w:rPr>
        <w:t xml:space="preserve"> </w:t>
      </w:r>
      <w:r w:rsidRPr="00125962">
        <w:rPr>
          <w:b/>
          <w:szCs w:val="16"/>
        </w:rPr>
        <w:t>463</w:t>
      </w:r>
      <w:r w:rsidRPr="00125962">
        <w:rPr>
          <w:szCs w:val="16"/>
        </w:rPr>
        <w:t>: 68-71 (7 Jan 2010), pp. 68-71.</w:t>
      </w:r>
      <w:proofErr w:type="gramEnd"/>
    </w:p>
    <w:p w:rsidR="00416D75" w:rsidRPr="00125962" w:rsidRDefault="00416D75" w:rsidP="00416D75">
      <w:pPr>
        <w:pStyle w:val="reference"/>
        <w:ind w:left="450" w:hanging="450"/>
        <w:jc w:val="left"/>
        <w:rPr>
          <w:szCs w:val="16"/>
        </w:rPr>
      </w:pPr>
      <w:r w:rsidRPr="00125962">
        <w:rPr>
          <w:szCs w:val="16"/>
        </w:rPr>
        <w:t>[53]</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(1989).</w:t>
      </w:r>
    </w:p>
    <w:p w:rsidR="00416D75" w:rsidRPr="00125962" w:rsidRDefault="00416D75" w:rsidP="00416D75">
      <w:pPr>
        <w:pStyle w:val="reference"/>
        <w:ind w:left="450" w:hanging="450"/>
        <w:jc w:val="left"/>
        <w:rPr>
          <w:szCs w:val="16"/>
        </w:rPr>
      </w:pPr>
      <w:r w:rsidRPr="00125962">
        <w:rPr>
          <w:szCs w:val="16"/>
        </w:rPr>
        <w:t>[54]</w:t>
      </w:r>
      <w:r w:rsidRPr="00125962">
        <w:rPr>
          <w:szCs w:val="16"/>
        </w:rPr>
        <w:tab/>
        <w:t xml:space="preserve">M. Chown, </w:t>
      </w:r>
      <w:r w:rsidRPr="00125962">
        <w:rPr>
          <w:i/>
          <w:szCs w:val="16"/>
        </w:rPr>
        <w:t>New Scientist</w:t>
      </w:r>
      <w:r w:rsidRPr="00125962">
        <w:rPr>
          <w:szCs w:val="16"/>
        </w:rPr>
        <w:t>, pp. 22-25 (3 Feb 2001).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5</w:t>
      </w:r>
      <w:r w:rsidRPr="00125962">
        <w:rPr>
          <w:szCs w:val="16"/>
        </w:rPr>
        <w:t>]</w:t>
      </w:r>
      <w:r w:rsidRPr="00125962">
        <w:rPr>
          <w:szCs w:val="16"/>
        </w:rPr>
        <w:tab/>
        <w:t xml:space="preserve">B. Haisch, A. Rueda, H. E. Puthoff, </w:t>
      </w:r>
      <w:r w:rsidRPr="00125962">
        <w:rPr>
          <w:i/>
          <w:szCs w:val="16"/>
        </w:rPr>
        <w:t>Physical Review A</w:t>
      </w:r>
      <w:r w:rsidRPr="00125962">
        <w:rPr>
          <w:szCs w:val="16"/>
        </w:rPr>
        <w:t xml:space="preserve"> </w:t>
      </w:r>
      <w:r w:rsidRPr="00125962">
        <w:rPr>
          <w:b/>
          <w:szCs w:val="16"/>
        </w:rPr>
        <w:t>49</w:t>
      </w:r>
      <w:r w:rsidRPr="00125962">
        <w:rPr>
          <w:szCs w:val="16"/>
        </w:rPr>
        <w:t xml:space="preserve"> (2): 678-694 (Feb 1994).</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6</w:t>
      </w:r>
      <w:r w:rsidRPr="00125962">
        <w:rPr>
          <w:szCs w:val="16"/>
        </w:rPr>
        <w:t>]</w:t>
      </w:r>
      <w:r w:rsidRPr="00125962">
        <w:rPr>
          <w:szCs w:val="16"/>
        </w:rPr>
        <w:tab/>
        <w:t xml:space="preserve">H. E. Puthoff, </w:t>
      </w:r>
      <w:r w:rsidRPr="00125962">
        <w:rPr>
          <w:i/>
          <w:iCs/>
          <w:szCs w:val="16"/>
        </w:rPr>
        <w:t xml:space="preserve">Phys. Rev. A </w:t>
      </w:r>
      <w:r w:rsidRPr="00125962">
        <w:rPr>
          <w:b/>
          <w:bCs/>
          <w:szCs w:val="16"/>
        </w:rPr>
        <w:t xml:space="preserve">39 </w:t>
      </w:r>
      <w:r w:rsidRPr="00125962">
        <w:rPr>
          <w:szCs w:val="16"/>
        </w:rPr>
        <w:t>(5): 2333-2342 (1 Mar 1989).</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7</w:t>
      </w:r>
      <w:r w:rsidRPr="00125962">
        <w:rPr>
          <w:szCs w:val="16"/>
        </w:rPr>
        <w:t>]</w:t>
      </w:r>
      <w:r w:rsidRPr="00125962">
        <w:rPr>
          <w:szCs w:val="16"/>
        </w:rPr>
        <w:tab/>
        <w:t>B. Setterfield</w:t>
      </w:r>
      <w:proofErr w:type="gramStart"/>
      <w:r w:rsidRPr="00125962">
        <w:rPr>
          <w:szCs w:val="16"/>
        </w:rPr>
        <w:t>, ”</w:t>
      </w:r>
      <w:proofErr w:type="gramEnd"/>
      <w:r w:rsidRPr="00125962">
        <w:rPr>
          <w:szCs w:val="16"/>
        </w:rPr>
        <w:t xml:space="preserve">Reviewing the Zero Point Energy,” </w:t>
      </w:r>
      <w:r w:rsidRPr="00125962">
        <w:rPr>
          <w:i/>
          <w:szCs w:val="16"/>
        </w:rPr>
        <w:t>Journal of Vectorial Relativity</w:t>
      </w:r>
      <w:r w:rsidRPr="00125962">
        <w:rPr>
          <w:szCs w:val="16"/>
        </w:rPr>
        <w:t xml:space="preserve"> </w:t>
      </w:r>
      <w:r w:rsidRPr="00125962">
        <w:rPr>
          <w:b/>
          <w:szCs w:val="16"/>
        </w:rPr>
        <w:t>2</w:t>
      </w:r>
      <w:r w:rsidRPr="00125962">
        <w:rPr>
          <w:szCs w:val="16"/>
        </w:rPr>
        <w:t xml:space="preserve"> (3): 1-28 (2007) and also in reference [31].</w:t>
      </w:r>
    </w:p>
    <w:p w:rsidR="00416D75" w:rsidRPr="00125962" w:rsidRDefault="00416D75" w:rsidP="00416D75">
      <w:pPr>
        <w:pStyle w:val="reference"/>
        <w:ind w:left="450" w:hanging="450"/>
        <w:jc w:val="left"/>
        <w:rPr>
          <w:szCs w:val="16"/>
        </w:rPr>
      </w:pPr>
      <w:r w:rsidRPr="00125962">
        <w:rPr>
          <w:szCs w:val="16"/>
        </w:rPr>
        <w:t>[5</w:t>
      </w:r>
      <w:r w:rsidRPr="00125962">
        <w:rPr>
          <w:color w:val="000000"/>
          <w:szCs w:val="16"/>
        </w:rPr>
        <w:t>8</w:t>
      </w:r>
      <w:r w:rsidRPr="00125962">
        <w:rPr>
          <w:szCs w:val="16"/>
        </w:rPr>
        <w:t>]</w:t>
      </w:r>
      <w:r w:rsidRPr="00125962">
        <w:rPr>
          <w:szCs w:val="16"/>
        </w:rPr>
        <w:tab/>
        <w:t xml:space="preserve">R. T. Birge, </w:t>
      </w:r>
      <w:r w:rsidRPr="00125962">
        <w:rPr>
          <w:i/>
          <w:szCs w:val="16"/>
        </w:rPr>
        <w:t>Nature</w:t>
      </w:r>
      <w:r w:rsidRPr="00125962">
        <w:rPr>
          <w:szCs w:val="16"/>
        </w:rPr>
        <w:t xml:space="preserve"> </w:t>
      </w:r>
      <w:r w:rsidRPr="00125962">
        <w:rPr>
          <w:b/>
          <w:szCs w:val="16"/>
        </w:rPr>
        <w:t>134</w:t>
      </w:r>
      <w:r w:rsidRPr="00125962">
        <w:rPr>
          <w:szCs w:val="16"/>
        </w:rPr>
        <w:t>: 771-772 (1934).</w:t>
      </w:r>
    </w:p>
    <w:p w:rsidR="00416D75" w:rsidRPr="00125962" w:rsidRDefault="00416D75" w:rsidP="00416D75">
      <w:pPr>
        <w:pStyle w:val="reference"/>
        <w:ind w:left="450" w:hanging="450"/>
        <w:jc w:val="left"/>
        <w:rPr>
          <w:szCs w:val="16"/>
        </w:rPr>
      </w:pPr>
      <w:r w:rsidRPr="00125962">
        <w:rPr>
          <w:szCs w:val="16"/>
        </w:rPr>
        <w:lastRenderedPageBreak/>
        <w:t>[59]</w:t>
      </w:r>
      <w:r w:rsidRPr="00125962">
        <w:rPr>
          <w:szCs w:val="16"/>
        </w:rPr>
        <w:tab/>
        <w:t xml:space="preserve">A.N. Cox, </w:t>
      </w:r>
      <w:r w:rsidRPr="00125962">
        <w:rPr>
          <w:i/>
          <w:szCs w:val="16"/>
        </w:rPr>
        <w:t>Allen’s Astrophysical Quantities</w:t>
      </w:r>
      <w:r w:rsidRPr="00125962">
        <w:rPr>
          <w:szCs w:val="16"/>
        </w:rPr>
        <w:t>, p. 9 (Springer-Verlag, 2000).</w:t>
      </w:r>
    </w:p>
    <w:p w:rsidR="00416D75" w:rsidRPr="00125962" w:rsidRDefault="00416D75" w:rsidP="00416D75">
      <w:pPr>
        <w:pStyle w:val="reference"/>
        <w:ind w:left="450" w:hanging="450"/>
        <w:jc w:val="left"/>
        <w:rPr>
          <w:szCs w:val="16"/>
        </w:rPr>
      </w:pPr>
      <w:r w:rsidRPr="00125962">
        <w:rPr>
          <w:szCs w:val="16"/>
        </w:rPr>
        <w:t>[60]</w:t>
      </w:r>
      <w:r w:rsidRPr="00125962">
        <w:rPr>
          <w:szCs w:val="16"/>
        </w:rPr>
        <w:tab/>
        <w:t xml:space="preserve">A. P. French, </w:t>
      </w:r>
      <w:r w:rsidRPr="00125962">
        <w:rPr>
          <w:i/>
          <w:szCs w:val="16"/>
        </w:rPr>
        <w:t>Principles of Modern Physics,</w:t>
      </w:r>
      <w:r w:rsidRPr="00125962">
        <w:rPr>
          <w:szCs w:val="16"/>
        </w:rPr>
        <w:t xml:space="preserve"> p.114 (Wiley 1959).</w:t>
      </w:r>
    </w:p>
    <w:p w:rsidR="00416D75" w:rsidRPr="00125962" w:rsidRDefault="00416D75" w:rsidP="00416D75">
      <w:pPr>
        <w:pStyle w:val="reference"/>
        <w:ind w:left="450" w:hanging="450"/>
        <w:jc w:val="left"/>
        <w:rPr>
          <w:szCs w:val="16"/>
        </w:rPr>
      </w:pPr>
      <w:r w:rsidRPr="00125962">
        <w:rPr>
          <w:szCs w:val="16"/>
        </w:rPr>
        <w:t>[61]</w:t>
      </w:r>
      <w:r w:rsidRPr="00125962">
        <w:rPr>
          <w:szCs w:val="16"/>
        </w:rPr>
        <w:tab/>
        <w:t xml:space="preserve">J. Kovalevsky, </w:t>
      </w:r>
      <w:r w:rsidRPr="00125962">
        <w:rPr>
          <w:i/>
          <w:szCs w:val="16"/>
        </w:rPr>
        <w:t>Metrologia</w:t>
      </w:r>
      <w:r w:rsidRPr="00125962">
        <w:rPr>
          <w:szCs w:val="16"/>
        </w:rPr>
        <w:t xml:space="preserve"> </w:t>
      </w:r>
      <w:r w:rsidRPr="00125962">
        <w:rPr>
          <w:b/>
          <w:szCs w:val="16"/>
        </w:rPr>
        <w:t>1</w:t>
      </w:r>
      <w:r w:rsidRPr="00125962">
        <w:rPr>
          <w:szCs w:val="16"/>
        </w:rPr>
        <w:t xml:space="preserve"> (4): 169-180 (1965).</w:t>
      </w:r>
    </w:p>
    <w:p w:rsidR="00416D75" w:rsidRPr="00125962" w:rsidRDefault="00416D75" w:rsidP="00416D75">
      <w:pPr>
        <w:pStyle w:val="reference"/>
        <w:ind w:left="450" w:hanging="450"/>
        <w:jc w:val="left"/>
        <w:rPr>
          <w:szCs w:val="16"/>
        </w:rPr>
      </w:pPr>
      <w:r w:rsidRPr="00125962">
        <w:rPr>
          <w:szCs w:val="16"/>
        </w:rPr>
        <w:t>[62]</w:t>
      </w:r>
      <w:r w:rsidRPr="00125962">
        <w:rPr>
          <w:szCs w:val="16"/>
        </w:rPr>
        <w:tab/>
        <w:t xml:space="preserve">C. J. Masreliez, </w:t>
      </w:r>
      <w:r w:rsidRPr="00125962">
        <w:rPr>
          <w:rStyle w:val="Emphasis"/>
          <w:szCs w:val="16"/>
        </w:rPr>
        <w:t>Aperion</w:t>
      </w:r>
      <w:r w:rsidRPr="00125962">
        <w:rPr>
          <w:szCs w:val="16"/>
        </w:rPr>
        <w:t xml:space="preserve"> </w:t>
      </w:r>
      <w:r w:rsidRPr="00125962">
        <w:rPr>
          <w:rStyle w:val="Strong"/>
          <w:rFonts w:eastAsia="Calibri"/>
          <w:szCs w:val="16"/>
        </w:rPr>
        <w:t>11</w:t>
      </w:r>
      <w:r w:rsidRPr="00125962">
        <w:rPr>
          <w:szCs w:val="16"/>
        </w:rPr>
        <w:t xml:space="preserve">: 4 (Oct 2004); also Masreliez &amp; Kolesnik, </w:t>
      </w:r>
      <w:r w:rsidRPr="00125962">
        <w:rPr>
          <w:rStyle w:val="Emphasis"/>
          <w:szCs w:val="16"/>
        </w:rPr>
        <w:t>Astronomical Journal</w:t>
      </w:r>
      <w:r w:rsidRPr="00125962">
        <w:rPr>
          <w:szCs w:val="16"/>
        </w:rPr>
        <w:t xml:space="preserve"> (Aug 2004); Y.B. Kolesnik, “Analysis of the secular variations of the longitudes of the Sun, Mercury, and Venus from Optical observations” (2005), Available at: </w:t>
      </w:r>
      <w:hyperlink r:id="rId1226" w:history="1">
        <w:r w:rsidRPr="00125962">
          <w:rPr>
            <w:rStyle w:val="Hyperlink"/>
            <w:i/>
            <w:szCs w:val="16"/>
          </w:rPr>
          <w:t>http://www.estfound.org/ analysis.htm</w:t>
        </w:r>
      </w:hyperlink>
      <w:r w:rsidRPr="00125962">
        <w:rPr>
          <w:szCs w:val="16"/>
        </w:rPr>
        <w:t>.</w:t>
      </w:r>
    </w:p>
    <w:p w:rsidR="00416D75" w:rsidRPr="00125962" w:rsidRDefault="00416D75" w:rsidP="00416D75">
      <w:pPr>
        <w:pStyle w:val="reference"/>
        <w:ind w:left="450" w:hanging="450"/>
        <w:jc w:val="left"/>
        <w:rPr>
          <w:szCs w:val="16"/>
        </w:rPr>
      </w:pPr>
      <w:r w:rsidRPr="00125962">
        <w:rPr>
          <w:szCs w:val="16"/>
        </w:rPr>
        <w:t>[63]</w:t>
      </w:r>
      <w:r w:rsidRPr="00125962">
        <w:rPr>
          <w:szCs w:val="16"/>
        </w:rPr>
        <w:tab/>
        <w:t xml:space="preserve">Z-G. Yao, C. Smith in S. Debarbat et al, Eds., </w:t>
      </w:r>
      <w:r w:rsidRPr="00125962">
        <w:rPr>
          <w:rStyle w:val="Emphasis"/>
          <w:szCs w:val="16"/>
        </w:rPr>
        <w:t>Mapping the Sky</w:t>
      </w:r>
      <w:r w:rsidRPr="00125962">
        <w:rPr>
          <w:szCs w:val="16"/>
        </w:rPr>
        <w:t>, p. 501 (Kluwer, Dordrecht, 1988).</w:t>
      </w:r>
    </w:p>
    <w:p w:rsidR="00416D75" w:rsidRPr="00125962" w:rsidRDefault="00416D75" w:rsidP="00416D75">
      <w:pPr>
        <w:pStyle w:val="reference"/>
        <w:ind w:left="450" w:hanging="450"/>
        <w:jc w:val="left"/>
        <w:rPr>
          <w:szCs w:val="16"/>
        </w:rPr>
      </w:pPr>
      <w:r w:rsidRPr="00125962">
        <w:rPr>
          <w:szCs w:val="16"/>
        </w:rPr>
        <w:t>[64]</w:t>
      </w:r>
      <w:r w:rsidRPr="00125962">
        <w:rPr>
          <w:szCs w:val="16"/>
        </w:rPr>
        <w:tab/>
        <w:t xml:space="preserve">Z-G. Yao, C. Smith, </w:t>
      </w:r>
      <w:r w:rsidRPr="00125962">
        <w:rPr>
          <w:rStyle w:val="Emphasis"/>
          <w:szCs w:val="16"/>
        </w:rPr>
        <w:t xml:space="preserve">Astrophys. </w:t>
      </w:r>
      <w:proofErr w:type="gramStart"/>
      <w:r w:rsidRPr="00125962">
        <w:rPr>
          <w:rStyle w:val="Emphasis"/>
          <w:szCs w:val="16"/>
        </w:rPr>
        <w:t>and</w:t>
      </w:r>
      <w:proofErr w:type="gramEnd"/>
      <w:r w:rsidRPr="00125962">
        <w:rPr>
          <w:rStyle w:val="Emphasis"/>
          <w:szCs w:val="16"/>
        </w:rPr>
        <w:t xml:space="preserve"> Space Science</w:t>
      </w:r>
      <w:r w:rsidRPr="00125962">
        <w:rPr>
          <w:szCs w:val="16"/>
        </w:rPr>
        <w:t xml:space="preserve"> </w:t>
      </w:r>
      <w:r w:rsidRPr="00125962">
        <w:rPr>
          <w:rStyle w:val="Strong"/>
          <w:rFonts w:eastAsia="Calibri"/>
          <w:szCs w:val="16"/>
        </w:rPr>
        <w:t>177</w:t>
      </w:r>
      <w:r w:rsidRPr="00125962">
        <w:rPr>
          <w:szCs w:val="16"/>
        </w:rPr>
        <w:t>: 181 (1991).</w:t>
      </w:r>
    </w:p>
    <w:p w:rsidR="00416D75" w:rsidRPr="00125962" w:rsidRDefault="00416D75" w:rsidP="00416D75">
      <w:pPr>
        <w:pStyle w:val="reference"/>
        <w:ind w:left="450" w:hanging="450"/>
        <w:jc w:val="left"/>
        <w:rPr>
          <w:szCs w:val="16"/>
        </w:rPr>
      </w:pPr>
      <w:r w:rsidRPr="00125962">
        <w:rPr>
          <w:szCs w:val="16"/>
        </w:rPr>
        <w:t>[65]</w:t>
      </w:r>
      <w:r w:rsidRPr="00125962">
        <w:rPr>
          <w:szCs w:val="16"/>
        </w:rPr>
        <w:tab/>
        <w:t xml:space="preserve">Z-G. Yao, C. Smith in I. I. Muller, B. Kolaczek, Eds., </w:t>
      </w:r>
      <w:r w:rsidRPr="00125962">
        <w:rPr>
          <w:rStyle w:val="Emphasis"/>
          <w:szCs w:val="16"/>
        </w:rPr>
        <w:t>Developments in Astrometry and Their Impact on Astrophysics and Geodynamics</w:t>
      </w:r>
      <w:r w:rsidRPr="00125962">
        <w:rPr>
          <w:szCs w:val="16"/>
        </w:rPr>
        <w:t>, p. 403 (Kluwer, Dordrecht, 1993).</w:t>
      </w:r>
    </w:p>
    <w:p w:rsidR="00416D75" w:rsidRPr="00125962" w:rsidRDefault="00416D75" w:rsidP="00416D75">
      <w:pPr>
        <w:pStyle w:val="reference"/>
        <w:ind w:left="450" w:hanging="450"/>
        <w:jc w:val="left"/>
        <w:rPr>
          <w:szCs w:val="16"/>
        </w:rPr>
      </w:pPr>
      <w:r w:rsidRPr="00125962">
        <w:rPr>
          <w:szCs w:val="16"/>
        </w:rPr>
        <w:t>[66]</w:t>
      </w:r>
      <w:r w:rsidRPr="00125962">
        <w:rPr>
          <w:szCs w:val="16"/>
        </w:rPr>
        <w:tab/>
        <w:t xml:space="preserve">G. A. Krasinsky et al, </w:t>
      </w:r>
      <w:r w:rsidRPr="00125962">
        <w:rPr>
          <w:rStyle w:val="Emphasis"/>
          <w:szCs w:val="16"/>
        </w:rPr>
        <w:t xml:space="preserve">Cel. </w:t>
      </w:r>
      <w:proofErr w:type="gramStart"/>
      <w:r w:rsidRPr="00125962">
        <w:rPr>
          <w:rStyle w:val="Emphasis"/>
          <w:szCs w:val="16"/>
        </w:rPr>
        <w:t>Mec.</w:t>
      </w:r>
      <w:proofErr w:type="gramEnd"/>
      <w:r w:rsidRPr="00125962">
        <w:rPr>
          <w:rStyle w:val="Emphasis"/>
          <w:szCs w:val="16"/>
        </w:rPr>
        <w:t xml:space="preserve"> Dyn Astron</w:t>
      </w:r>
      <w:r w:rsidRPr="00125962">
        <w:rPr>
          <w:rStyle w:val="Strong"/>
          <w:rFonts w:eastAsia="Calibri"/>
          <w:szCs w:val="16"/>
        </w:rPr>
        <w:t xml:space="preserve"> 55</w:t>
      </w:r>
      <w:r w:rsidRPr="00125962">
        <w:rPr>
          <w:szCs w:val="16"/>
        </w:rPr>
        <w:t>: 1 (1993).</w:t>
      </w:r>
    </w:p>
    <w:p w:rsidR="00416D75" w:rsidRPr="00125962" w:rsidRDefault="00416D75" w:rsidP="00416D75">
      <w:pPr>
        <w:pStyle w:val="reference"/>
        <w:ind w:left="450" w:hanging="450"/>
        <w:jc w:val="left"/>
        <w:rPr>
          <w:szCs w:val="16"/>
        </w:rPr>
      </w:pPr>
      <w:r w:rsidRPr="00125962">
        <w:rPr>
          <w:szCs w:val="16"/>
        </w:rPr>
        <w:t>[67]</w:t>
      </w:r>
      <w:r w:rsidRPr="00125962">
        <w:rPr>
          <w:szCs w:val="16"/>
        </w:rPr>
        <w:tab/>
        <w:t xml:space="preserve">E. M. Standish, J. G. Williams, in J. H. Lieske, V. K. Abalakin, Eds., </w:t>
      </w:r>
      <w:r w:rsidRPr="00125962">
        <w:rPr>
          <w:rStyle w:val="Emphasis"/>
          <w:szCs w:val="16"/>
        </w:rPr>
        <w:t>Inertial Coordinate System on the Sky</w:t>
      </w:r>
      <w:r w:rsidRPr="00125962">
        <w:rPr>
          <w:szCs w:val="16"/>
        </w:rPr>
        <w:t>, p. 173 (Kluwer, Dordrecht, 1990).</w:t>
      </w:r>
    </w:p>
    <w:p w:rsidR="00416D75" w:rsidRPr="00125962" w:rsidRDefault="00416D75" w:rsidP="00416D75">
      <w:pPr>
        <w:pStyle w:val="reference"/>
        <w:ind w:left="450" w:hanging="450"/>
        <w:jc w:val="left"/>
        <w:rPr>
          <w:szCs w:val="16"/>
        </w:rPr>
      </w:pPr>
      <w:r w:rsidRPr="00125962">
        <w:rPr>
          <w:szCs w:val="16"/>
        </w:rPr>
        <w:t>[68]</w:t>
      </w:r>
      <w:r w:rsidRPr="00125962">
        <w:rPr>
          <w:szCs w:val="16"/>
        </w:rPr>
        <w:tab/>
        <w:t xml:space="preserve">P. K. Seidelman et al, in V. Szebenhey, B. Balazs, Eds., </w:t>
      </w:r>
      <w:r w:rsidRPr="00125962">
        <w:rPr>
          <w:rStyle w:val="Emphasis"/>
          <w:szCs w:val="16"/>
        </w:rPr>
        <w:t>Dynamical Astronomy</w:t>
      </w:r>
      <w:r w:rsidRPr="00125962">
        <w:rPr>
          <w:szCs w:val="16"/>
        </w:rPr>
        <w:t>, p. 55 (Austin, TX, 1985).</w:t>
      </w:r>
    </w:p>
    <w:p w:rsidR="00416D75" w:rsidRPr="00125962" w:rsidRDefault="00416D75" w:rsidP="00416D75">
      <w:pPr>
        <w:pStyle w:val="reference"/>
        <w:ind w:left="450" w:hanging="450"/>
        <w:jc w:val="left"/>
        <w:rPr>
          <w:szCs w:val="16"/>
        </w:rPr>
      </w:pPr>
      <w:r w:rsidRPr="00125962">
        <w:rPr>
          <w:szCs w:val="16"/>
        </w:rPr>
        <w:t>[69]</w:t>
      </w:r>
      <w:r w:rsidRPr="00125962">
        <w:rPr>
          <w:szCs w:val="16"/>
        </w:rPr>
        <w:tab/>
        <w:t xml:space="preserve">P. K. Seidelman et al, in J. Kovalevsky, V. A. Brumberg, Eds., </w:t>
      </w:r>
      <w:r w:rsidRPr="00125962">
        <w:rPr>
          <w:rStyle w:val="Emphasis"/>
          <w:szCs w:val="16"/>
        </w:rPr>
        <w:t>Relativity in Celestial Mechanics and Astrometry</w:t>
      </w:r>
      <w:r w:rsidRPr="00125962">
        <w:rPr>
          <w:szCs w:val="16"/>
        </w:rPr>
        <w:t>, p. 99 (Kluwer, Dordrecht, 1986).</w:t>
      </w:r>
    </w:p>
    <w:p w:rsidR="00416D75" w:rsidRPr="00125962" w:rsidRDefault="00416D75" w:rsidP="00416D75">
      <w:pPr>
        <w:pStyle w:val="reference"/>
        <w:ind w:left="450" w:hanging="450"/>
        <w:jc w:val="left"/>
        <w:rPr>
          <w:szCs w:val="16"/>
        </w:rPr>
      </w:pPr>
      <w:r w:rsidRPr="00125962">
        <w:rPr>
          <w:szCs w:val="16"/>
        </w:rPr>
        <w:t>[70]</w:t>
      </w:r>
      <w:r w:rsidRPr="00125962">
        <w:rPr>
          <w:szCs w:val="16"/>
        </w:rPr>
        <w:tab/>
        <w:t xml:space="preserve">P. K. Seidelman, in S. Ferraz-Mello et al, Eds., </w:t>
      </w:r>
      <w:r w:rsidRPr="00125962">
        <w:rPr>
          <w:rStyle w:val="Emphasis"/>
          <w:szCs w:val="16"/>
        </w:rPr>
        <w:t>Chaos, Resonance and Collective Dynamical Phenomena in the Solar System</w:t>
      </w:r>
      <w:r w:rsidRPr="00125962">
        <w:rPr>
          <w:szCs w:val="16"/>
        </w:rPr>
        <w:t>, p. 49 (Kluwer, Dordrecht, 1992).</w:t>
      </w:r>
    </w:p>
    <w:p w:rsidR="00416D75" w:rsidRPr="00125962" w:rsidRDefault="00416D75" w:rsidP="00416D75">
      <w:pPr>
        <w:pStyle w:val="reference"/>
        <w:ind w:left="450" w:hanging="450"/>
        <w:jc w:val="left"/>
        <w:rPr>
          <w:szCs w:val="16"/>
        </w:rPr>
      </w:pPr>
      <w:proofErr w:type="gramStart"/>
      <w:r w:rsidRPr="00125962">
        <w:rPr>
          <w:szCs w:val="16"/>
        </w:rPr>
        <w:t>[71]</w:t>
      </w:r>
      <w:r w:rsidRPr="00125962">
        <w:rPr>
          <w:szCs w:val="16"/>
        </w:rPr>
        <w:tab/>
        <w:t xml:space="preserve">Y. B. Kolesnik, </w:t>
      </w:r>
      <w:r w:rsidRPr="00125962">
        <w:rPr>
          <w:rStyle w:val="Emphasis"/>
          <w:szCs w:val="16"/>
        </w:rPr>
        <w:t>Astronomy and Astrophtsics</w:t>
      </w:r>
      <w:r w:rsidRPr="00125962">
        <w:rPr>
          <w:szCs w:val="16"/>
        </w:rPr>
        <w:t xml:space="preserve"> </w:t>
      </w:r>
      <w:r w:rsidRPr="00125962">
        <w:rPr>
          <w:rStyle w:val="Strong"/>
          <w:rFonts w:eastAsia="Calibri"/>
          <w:szCs w:val="16"/>
        </w:rPr>
        <w:t>294</w:t>
      </w:r>
      <w:r w:rsidRPr="00125962">
        <w:rPr>
          <w:szCs w:val="16"/>
        </w:rPr>
        <w:t>:  876 (1995).</w:t>
      </w:r>
      <w:proofErr w:type="gramEnd"/>
    </w:p>
    <w:p w:rsidR="00416D75" w:rsidRPr="00125962" w:rsidRDefault="00416D75" w:rsidP="00416D75">
      <w:pPr>
        <w:pStyle w:val="reference"/>
        <w:ind w:left="450" w:hanging="450"/>
        <w:jc w:val="left"/>
        <w:rPr>
          <w:szCs w:val="16"/>
        </w:rPr>
      </w:pPr>
      <w:r w:rsidRPr="00125962">
        <w:rPr>
          <w:szCs w:val="16"/>
        </w:rPr>
        <w:t>[72]</w:t>
      </w:r>
      <w:r w:rsidRPr="00125962">
        <w:rPr>
          <w:szCs w:val="16"/>
        </w:rPr>
        <w:tab/>
        <w:t xml:space="preserve">Y. B. Kolesnik, in S. Ferraz-Mello et al, Eds., </w:t>
      </w:r>
      <w:r w:rsidRPr="00125962">
        <w:rPr>
          <w:rStyle w:val="Emphasis"/>
          <w:szCs w:val="16"/>
        </w:rPr>
        <w:t>Dynamics, Ephemerides and Astrometry of the Solar System</w:t>
      </w:r>
      <w:r w:rsidRPr="00125962">
        <w:rPr>
          <w:szCs w:val="16"/>
        </w:rPr>
        <w:t>, p 477 (Reidel, Dordrecht, 1996).</w:t>
      </w:r>
    </w:p>
    <w:p w:rsidR="00416D75" w:rsidRPr="00125962" w:rsidRDefault="00416D75" w:rsidP="00416D75">
      <w:pPr>
        <w:pStyle w:val="reference"/>
        <w:ind w:left="450" w:hanging="450"/>
        <w:jc w:val="left"/>
        <w:rPr>
          <w:szCs w:val="16"/>
        </w:rPr>
      </w:pPr>
      <w:r w:rsidRPr="00125962">
        <w:rPr>
          <w:szCs w:val="16"/>
        </w:rPr>
        <w:t>[73]</w:t>
      </w:r>
      <w:r w:rsidRPr="00125962">
        <w:rPr>
          <w:szCs w:val="16"/>
        </w:rPr>
        <w:tab/>
        <w:t xml:space="preserve">P. S. R. Poppe et al, </w:t>
      </w:r>
      <w:r w:rsidRPr="00125962">
        <w:rPr>
          <w:rStyle w:val="Emphasis"/>
          <w:szCs w:val="16"/>
        </w:rPr>
        <w:t>Astronomical Journal</w:t>
      </w:r>
      <w:r w:rsidRPr="00125962">
        <w:rPr>
          <w:szCs w:val="16"/>
        </w:rPr>
        <w:t xml:space="preserve"> </w:t>
      </w:r>
      <w:r w:rsidRPr="00125962">
        <w:rPr>
          <w:rStyle w:val="Strong"/>
          <w:rFonts w:eastAsia="Calibri"/>
          <w:szCs w:val="16"/>
        </w:rPr>
        <w:t>116</w:t>
      </w:r>
      <w:r w:rsidRPr="00125962">
        <w:rPr>
          <w:szCs w:val="16"/>
        </w:rPr>
        <w:t>: 2 (1999).</w:t>
      </w:r>
    </w:p>
    <w:p w:rsidR="00416D75" w:rsidRPr="00125962" w:rsidRDefault="00416D75" w:rsidP="00416D75">
      <w:pPr>
        <w:pStyle w:val="reference"/>
        <w:ind w:left="446" w:hanging="446"/>
        <w:jc w:val="left"/>
        <w:rPr>
          <w:szCs w:val="16"/>
        </w:rPr>
      </w:pPr>
      <w:r w:rsidRPr="00125962">
        <w:rPr>
          <w:szCs w:val="16"/>
        </w:rPr>
        <w:t>[74]</w:t>
      </w:r>
      <w:r w:rsidRPr="00125962">
        <w:rPr>
          <w:szCs w:val="16"/>
        </w:rPr>
        <w:tab/>
        <w:t xml:space="preserve">T. H. Boyer, </w:t>
      </w:r>
      <w:r w:rsidRPr="00125962">
        <w:rPr>
          <w:i/>
          <w:szCs w:val="16"/>
        </w:rPr>
        <w:t>Phys. Rev. D</w:t>
      </w:r>
      <w:r w:rsidRPr="00125962">
        <w:rPr>
          <w:b/>
          <w:szCs w:val="16"/>
        </w:rPr>
        <w:t xml:space="preserve"> 11</w:t>
      </w:r>
      <w:r w:rsidRPr="00125962">
        <w:rPr>
          <w:szCs w:val="16"/>
        </w:rPr>
        <w:t>: 790 (1975).</w:t>
      </w:r>
    </w:p>
    <w:p w:rsidR="00416D75" w:rsidRPr="00125962" w:rsidRDefault="00416D75" w:rsidP="00416D75">
      <w:pPr>
        <w:pStyle w:val="reference"/>
        <w:ind w:left="446" w:hanging="446"/>
        <w:jc w:val="left"/>
        <w:rPr>
          <w:szCs w:val="16"/>
        </w:rPr>
      </w:pPr>
      <w:r w:rsidRPr="00125962">
        <w:rPr>
          <w:szCs w:val="16"/>
        </w:rPr>
        <w:t>[75]</w:t>
      </w:r>
      <w:r w:rsidRPr="00125962">
        <w:rPr>
          <w:szCs w:val="16"/>
        </w:rPr>
        <w:tab/>
        <w:t xml:space="preserve">P. Claverie, S. Diner, in O. Chalvet et al, Eds., </w:t>
      </w:r>
      <w:r w:rsidRPr="00125962">
        <w:rPr>
          <w:i/>
          <w:szCs w:val="16"/>
        </w:rPr>
        <w:t>Localization and Delocalization in Quantum Chemistry</w:t>
      </w:r>
      <w:r w:rsidRPr="00125962">
        <w:rPr>
          <w:b/>
          <w:szCs w:val="16"/>
        </w:rPr>
        <w:t>,</w:t>
      </w:r>
      <w:r w:rsidRPr="00125962">
        <w:rPr>
          <w:szCs w:val="16"/>
        </w:rPr>
        <w:t xml:space="preserve"> Vol. II, p. 395 (Reidel, Dorchrecht, 1976).</w:t>
      </w:r>
    </w:p>
    <w:p w:rsidR="00416D75" w:rsidRPr="00125962" w:rsidRDefault="00416D75" w:rsidP="00416D75">
      <w:pPr>
        <w:pStyle w:val="reference"/>
        <w:ind w:left="446" w:hanging="446"/>
        <w:jc w:val="left"/>
        <w:rPr>
          <w:szCs w:val="16"/>
        </w:rPr>
      </w:pPr>
      <w:r w:rsidRPr="00125962">
        <w:rPr>
          <w:szCs w:val="16"/>
        </w:rPr>
        <w:t>[76]</w:t>
      </w:r>
      <w:r w:rsidRPr="00125962">
        <w:rPr>
          <w:szCs w:val="16"/>
        </w:rPr>
        <w:tab/>
        <w:t xml:space="preserve">L. de la Pena, “Stochastic Electrodynamics: Its Development, Present Situation, and Perspectives”, in B. Gomez et al, Eds., </w:t>
      </w:r>
      <w:r w:rsidRPr="00125962">
        <w:rPr>
          <w:i/>
          <w:szCs w:val="16"/>
        </w:rPr>
        <w:t>Stochastic Processes Applied to Physics and other Related Fields</w:t>
      </w:r>
      <w:r w:rsidRPr="00125962">
        <w:rPr>
          <w:szCs w:val="16"/>
        </w:rPr>
        <w:t>, pp. 428-581 (Proceedings of the Escuela Lationamericana de Fisica held in Cali, Colombia, 21 June- 9 July, 1982; World Scientific, 1983).</w:t>
      </w:r>
    </w:p>
    <w:p w:rsidR="00416D75" w:rsidRPr="00125962" w:rsidRDefault="00416D75" w:rsidP="00416D75">
      <w:pPr>
        <w:pStyle w:val="reference"/>
        <w:ind w:left="446" w:hanging="446"/>
        <w:jc w:val="left"/>
        <w:rPr>
          <w:szCs w:val="16"/>
        </w:rPr>
      </w:pPr>
      <w:proofErr w:type="gramStart"/>
      <w:r w:rsidRPr="00125962">
        <w:rPr>
          <w:szCs w:val="16"/>
        </w:rPr>
        <w:t>[77]</w:t>
      </w:r>
      <w:r w:rsidRPr="00125962">
        <w:rPr>
          <w:szCs w:val="16"/>
        </w:rPr>
        <w:tab/>
        <w:t xml:space="preserve">V. Spicka et al, in Theo. M. Nieuwenhuizen, Ed, </w:t>
      </w:r>
      <w:r w:rsidRPr="00125962">
        <w:rPr>
          <w:i/>
          <w:szCs w:val="16"/>
        </w:rPr>
        <w:t>Beyond the Quantum</w:t>
      </w:r>
      <w:r w:rsidRPr="00125962">
        <w:rPr>
          <w:szCs w:val="16"/>
        </w:rPr>
        <w:t>, pp. 247-270 (World Scientific, 2007).</w:t>
      </w:r>
      <w:proofErr w:type="gramEnd"/>
    </w:p>
    <w:p w:rsidR="00416D75" w:rsidRPr="00125962" w:rsidRDefault="00416D75" w:rsidP="00416D75">
      <w:pPr>
        <w:pStyle w:val="reference"/>
        <w:ind w:left="446" w:hanging="446"/>
        <w:jc w:val="left"/>
        <w:rPr>
          <w:szCs w:val="16"/>
        </w:rPr>
      </w:pPr>
      <w:proofErr w:type="gramStart"/>
      <w:r w:rsidRPr="00125962">
        <w:rPr>
          <w:szCs w:val="16"/>
        </w:rPr>
        <w:t>[78]</w:t>
      </w:r>
      <w:r w:rsidRPr="00125962">
        <w:rPr>
          <w:szCs w:val="16"/>
        </w:rPr>
        <w:tab/>
        <w:t xml:space="preserve">W. G. Tifft, </w:t>
      </w:r>
      <w:r w:rsidRPr="00125962">
        <w:rPr>
          <w:i/>
          <w:iCs/>
          <w:szCs w:val="16"/>
        </w:rPr>
        <w:t xml:space="preserve">Astrophysical Journal </w:t>
      </w:r>
      <w:r w:rsidRPr="00125962">
        <w:rPr>
          <w:b/>
          <w:bCs/>
          <w:szCs w:val="16"/>
        </w:rPr>
        <w:t>206</w:t>
      </w:r>
      <w:r w:rsidRPr="00125962">
        <w:rPr>
          <w:szCs w:val="16"/>
        </w:rPr>
        <w:t xml:space="preserve">: 38 (1976); </w:t>
      </w:r>
      <w:r w:rsidRPr="00125962">
        <w:rPr>
          <w:i/>
          <w:iCs/>
          <w:szCs w:val="16"/>
        </w:rPr>
        <w:t>Astrophysical Journal</w:t>
      </w:r>
      <w:r w:rsidRPr="00125962">
        <w:rPr>
          <w:szCs w:val="16"/>
        </w:rPr>
        <w:t xml:space="preserve"> </w:t>
      </w:r>
      <w:r w:rsidRPr="00125962">
        <w:rPr>
          <w:b/>
          <w:bCs/>
          <w:szCs w:val="16"/>
        </w:rPr>
        <w:t>211</w:t>
      </w:r>
      <w:r w:rsidRPr="00125962">
        <w:rPr>
          <w:szCs w:val="16"/>
        </w:rPr>
        <w:t xml:space="preserve">: 31 (1977); </w:t>
      </w:r>
      <w:r w:rsidRPr="00125962">
        <w:rPr>
          <w:i/>
          <w:iCs/>
          <w:szCs w:val="16"/>
        </w:rPr>
        <w:t>Astrophysical Journal</w:t>
      </w:r>
      <w:r w:rsidRPr="00125962">
        <w:rPr>
          <w:szCs w:val="16"/>
        </w:rPr>
        <w:t xml:space="preserve"> </w:t>
      </w:r>
      <w:r w:rsidRPr="00125962">
        <w:rPr>
          <w:b/>
          <w:bCs/>
          <w:szCs w:val="16"/>
        </w:rPr>
        <w:t>382</w:t>
      </w:r>
      <w:r w:rsidRPr="00125962">
        <w:rPr>
          <w:szCs w:val="16"/>
        </w:rPr>
        <w:t>: 396 (1991).</w:t>
      </w:r>
      <w:proofErr w:type="gramEnd"/>
    </w:p>
    <w:p w:rsidR="00416D75" w:rsidRPr="00125962" w:rsidRDefault="00416D75" w:rsidP="00416D75">
      <w:pPr>
        <w:pStyle w:val="reference"/>
        <w:ind w:left="446" w:hanging="446"/>
        <w:jc w:val="left"/>
        <w:rPr>
          <w:szCs w:val="16"/>
        </w:rPr>
      </w:pPr>
      <w:r w:rsidRPr="00125962">
        <w:rPr>
          <w:szCs w:val="16"/>
        </w:rPr>
        <w:t>[79]</w:t>
      </w:r>
      <w:r w:rsidRPr="00125962">
        <w:rPr>
          <w:szCs w:val="16"/>
        </w:rPr>
        <w:tab/>
        <w:t xml:space="preserve">H. Arp, </w:t>
      </w:r>
      <w:r w:rsidRPr="00125962">
        <w:rPr>
          <w:i/>
          <w:iCs/>
          <w:szCs w:val="16"/>
        </w:rPr>
        <w:t>Quasars, Redshifts and Controversies</w:t>
      </w:r>
      <w:r w:rsidRPr="00125962">
        <w:rPr>
          <w:szCs w:val="16"/>
        </w:rPr>
        <w:t xml:space="preserve">, p. 112 (Interstellar Media, Berkeley, CA, 1987); </w:t>
      </w:r>
      <w:r w:rsidRPr="00125962">
        <w:rPr>
          <w:i/>
          <w:iCs/>
          <w:szCs w:val="16"/>
        </w:rPr>
        <w:t>Seeing Red: Redshifts, Cosmology and Academic Science</w:t>
      </w:r>
      <w:r w:rsidRPr="00125962">
        <w:rPr>
          <w:i/>
          <w:szCs w:val="16"/>
        </w:rPr>
        <w:t xml:space="preserve">, </w:t>
      </w:r>
      <w:r w:rsidRPr="00125962">
        <w:rPr>
          <w:szCs w:val="16"/>
        </w:rPr>
        <w:t>p. 199 (Apeiron, Montreal, Canada, 1998).</w:t>
      </w:r>
    </w:p>
    <w:p w:rsidR="00416D75" w:rsidRPr="00125962" w:rsidRDefault="00416D75" w:rsidP="00416D75">
      <w:pPr>
        <w:pStyle w:val="reference"/>
        <w:ind w:left="446" w:hanging="446"/>
        <w:jc w:val="left"/>
        <w:rPr>
          <w:szCs w:val="16"/>
        </w:rPr>
      </w:pPr>
      <w:r w:rsidRPr="00125962">
        <w:rPr>
          <w:szCs w:val="16"/>
        </w:rPr>
        <w:t>[80]</w:t>
      </w:r>
      <w:r w:rsidRPr="00125962">
        <w:rPr>
          <w:szCs w:val="16"/>
        </w:rPr>
        <w:tab/>
        <w:t xml:space="preserve">P. F. Schewe &amp; B. Stein, American Institute Physics, </w:t>
      </w:r>
      <w:r w:rsidRPr="00125962">
        <w:rPr>
          <w:i/>
          <w:iCs/>
          <w:szCs w:val="16"/>
        </w:rPr>
        <w:t xml:space="preserve">Physics News Update, </w:t>
      </w:r>
      <w:r w:rsidRPr="00125962">
        <w:rPr>
          <w:szCs w:val="16"/>
        </w:rPr>
        <w:t>No. 61 (3 Jan 1992); No. 104 (25 Nov 1992).</w:t>
      </w:r>
    </w:p>
    <w:p w:rsidR="00416D75" w:rsidRPr="00125962" w:rsidRDefault="00416D75" w:rsidP="00416D75">
      <w:pPr>
        <w:pStyle w:val="reference"/>
        <w:ind w:left="446" w:hanging="446"/>
        <w:jc w:val="left"/>
        <w:rPr>
          <w:szCs w:val="16"/>
        </w:rPr>
      </w:pPr>
      <w:r w:rsidRPr="00125962">
        <w:rPr>
          <w:szCs w:val="16"/>
        </w:rPr>
        <w:t>[81]</w:t>
      </w:r>
      <w:r w:rsidRPr="00125962">
        <w:rPr>
          <w:szCs w:val="16"/>
        </w:rPr>
        <w:tab/>
        <w:t xml:space="preserve">News Editor, </w:t>
      </w:r>
      <w:r w:rsidRPr="00125962">
        <w:rPr>
          <w:i/>
          <w:iCs/>
          <w:szCs w:val="16"/>
        </w:rPr>
        <w:t>Scientific American</w:t>
      </w:r>
      <w:r w:rsidRPr="00125962">
        <w:rPr>
          <w:szCs w:val="16"/>
        </w:rPr>
        <w:t xml:space="preserve"> (Dec 1992).</w:t>
      </w:r>
    </w:p>
    <w:p w:rsidR="00416D75" w:rsidRPr="00125962" w:rsidRDefault="00416D75" w:rsidP="00416D75">
      <w:pPr>
        <w:pStyle w:val="reference"/>
        <w:ind w:left="446" w:hanging="446"/>
        <w:jc w:val="left"/>
        <w:rPr>
          <w:szCs w:val="16"/>
        </w:rPr>
      </w:pPr>
      <w:r w:rsidRPr="00125962">
        <w:rPr>
          <w:szCs w:val="16"/>
        </w:rPr>
        <w:t>[82]</w:t>
      </w:r>
      <w:r w:rsidRPr="00125962">
        <w:rPr>
          <w:szCs w:val="16"/>
        </w:rPr>
        <w:tab/>
        <w:t xml:space="preserve">J. Gribbin, </w:t>
      </w:r>
      <w:r w:rsidRPr="00125962">
        <w:rPr>
          <w:i/>
          <w:iCs/>
          <w:szCs w:val="16"/>
        </w:rPr>
        <w:t>New Scientist</w:t>
      </w:r>
      <w:r w:rsidRPr="00125962">
        <w:rPr>
          <w:szCs w:val="16"/>
        </w:rPr>
        <w:t>, p. 17 (9 Jul 1994)</w:t>
      </w:r>
    </w:p>
    <w:p w:rsidR="00416D75" w:rsidRPr="00125962" w:rsidRDefault="00416D75" w:rsidP="00416D75">
      <w:pPr>
        <w:pStyle w:val="reference"/>
        <w:ind w:left="446" w:hanging="446"/>
        <w:jc w:val="left"/>
        <w:rPr>
          <w:szCs w:val="16"/>
        </w:rPr>
      </w:pPr>
      <w:r w:rsidRPr="00125962">
        <w:rPr>
          <w:szCs w:val="16"/>
        </w:rPr>
        <w:t>[83]</w:t>
      </w:r>
      <w:r w:rsidRPr="00125962">
        <w:rPr>
          <w:szCs w:val="16"/>
        </w:rPr>
        <w:tab/>
        <w:t xml:space="preserve">A. L. Peratt, </w:t>
      </w:r>
      <w:r w:rsidRPr="00125962">
        <w:rPr>
          <w:i/>
          <w:szCs w:val="16"/>
        </w:rPr>
        <w:t>IEEE Transactions on Plasma Science</w:t>
      </w:r>
      <w:r w:rsidRPr="00125962">
        <w:rPr>
          <w:szCs w:val="16"/>
        </w:rPr>
        <w:t xml:space="preserve"> </w:t>
      </w:r>
      <w:r w:rsidRPr="00125962">
        <w:rPr>
          <w:b/>
          <w:szCs w:val="16"/>
        </w:rPr>
        <w:t>PS-14</w:t>
      </w:r>
      <w:r w:rsidRPr="00125962">
        <w:rPr>
          <w:szCs w:val="16"/>
        </w:rPr>
        <w:t xml:space="preserve"> (6): 763-778 (Dec 1986).</w:t>
      </w:r>
    </w:p>
    <w:p w:rsidR="00416D75" w:rsidRPr="00125962" w:rsidRDefault="00416D75" w:rsidP="00416D75">
      <w:pPr>
        <w:pStyle w:val="reference"/>
        <w:ind w:left="446" w:hanging="446"/>
        <w:jc w:val="left"/>
        <w:rPr>
          <w:szCs w:val="16"/>
        </w:rPr>
      </w:pPr>
      <w:r w:rsidRPr="00125962">
        <w:rPr>
          <w:szCs w:val="16"/>
        </w:rPr>
        <w:t>[84]</w:t>
      </w:r>
      <w:r w:rsidRPr="00125962">
        <w:rPr>
          <w:szCs w:val="16"/>
        </w:rPr>
        <w:tab/>
        <w:t>A. L. Peratt,</w:t>
      </w:r>
      <w:r w:rsidRPr="00125962">
        <w:rPr>
          <w:i/>
          <w:szCs w:val="16"/>
        </w:rPr>
        <w:t xml:space="preserve"> Physics of the Plasma Universe</w:t>
      </w:r>
      <w:r w:rsidRPr="00125962">
        <w:rPr>
          <w:szCs w:val="16"/>
        </w:rPr>
        <w:t>, Chap. 4, Section 4.6.3 (Springer-Verlag, 1992).</w:t>
      </w:r>
    </w:p>
    <w:p w:rsidR="00416D75" w:rsidRPr="00125962" w:rsidRDefault="00416D75" w:rsidP="00416D75">
      <w:pPr>
        <w:pStyle w:val="reference"/>
        <w:ind w:left="446" w:hanging="446"/>
        <w:jc w:val="left"/>
        <w:rPr>
          <w:szCs w:val="16"/>
        </w:rPr>
      </w:pPr>
      <w:r w:rsidRPr="00125962">
        <w:rPr>
          <w:szCs w:val="16"/>
        </w:rPr>
        <w:t>[85]</w:t>
      </w:r>
      <w:r w:rsidRPr="00125962">
        <w:rPr>
          <w:szCs w:val="16"/>
        </w:rPr>
        <w:tab/>
        <w:t xml:space="preserve">B. J. Setterfield, “A Plasma Universe </w:t>
      </w:r>
      <w:proofErr w:type="gramStart"/>
      <w:r w:rsidRPr="00125962">
        <w:rPr>
          <w:szCs w:val="16"/>
        </w:rPr>
        <w:t>With</w:t>
      </w:r>
      <w:proofErr w:type="gramEnd"/>
      <w:r w:rsidRPr="00125962">
        <w:rPr>
          <w:szCs w:val="16"/>
        </w:rPr>
        <w:t xml:space="preserve"> Changing Zero Point Energy”, </w:t>
      </w:r>
      <w:r w:rsidRPr="00125962">
        <w:rPr>
          <w:i/>
          <w:szCs w:val="16"/>
        </w:rPr>
        <w:t>Proceedings of the NPA</w:t>
      </w:r>
      <w:r w:rsidRPr="00125962">
        <w:rPr>
          <w:szCs w:val="16"/>
        </w:rPr>
        <w:t xml:space="preserve"> </w:t>
      </w:r>
      <w:r w:rsidRPr="00125962">
        <w:rPr>
          <w:b/>
          <w:szCs w:val="16"/>
        </w:rPr>
        <w:t>8</w:t>
      </w:r>
      <w:r w:rsidRPr="00125962">
        <w:rPr>
          <w:szCs w:val="16"/>
        </w:rPr>
        <w:t xml:space="preserve">: 535-544 (2011); also “Reviewing a Plasma Universe with Zero Point Energy”, </w:t>
      </w:r>
      <w:r w:rsidRPr="00125962">
        <w:rPr>
          <w:i/>
          <w:szCs w:val="16"/>
        </w:rPr>
        <w:t>Journal of Vectorial Relativity</w:t>
      </w:r>
      <w:r w:rsidRPr="00125962">
        <w:rPr>
          <w:b/>
          <w:szCs w:val="16"/>
        </w:rPr>
        <w:t xml:space="preserve"> 3</w:t>
      </w:r>
      <w:r w:rsidRPr="00125962">
        <w:rPr>
          <w:szCs w:val="16"/>
        </w:rPr>
        <w:t xml:space="preserve"> (3): 1-29 (Sep 2008).</w:t>
      </w:r>
    </w:p>
    <w:p w:rsidR="00416D75" w:rsidRPr="00125962" w:rsidRDefault="00416D75" w:rsidP="00416D75">
      <w:pPr>
        <w:pStyle w:val="reference"/>
        <w:ind w:left="446" w:hanging="446"/>
        <w:jc w:val="left"/>
        <w:rPr>
          <w:szCs w:val="16"/>
        </w:rPr>
      </w:pPr>
      <w:proofErr w:type="gramStart"/>
      <w:r w:rsidRPr="00125962">
        <w:rPr>
          <w:szCs w:val="16"/>
        </w:rPr>
        <w:t>[86]</w:t>
      </w:r>
      <w:r w:rsidRPr="00125962">
        <w:rPr>
          <w:szCs w:val="16"/>
        </w:rPr>
        <w:tab/>
        <w:t>J. Malmivuo, R. Plonsey</w:t>
      </w:r>
      <w:r w:rsidRPr="00125962">
        <w:rPr>
          <w:b/>
          <w:i/>
          <w:szCs w:val="16"/>
        </w:rPr>
        <w:t xml:space="preserve">, </w:t>
      </w:r>
      <w:r w:rsidRPr="00125962">
        <w:rPr>
          <w:i/>
          <w:szCs w:val="16"/>
        </w:rPr>
        <w:t>Bioelectromagnetism</w:t>
      </w:r>
      <w:r w:rsidRPr="00125962">
        <w:rPr>
          <w:szCs w:val="16"/>
        </w:rPr>
        <w:t>, pp. 33, 39, 42 (Oxford University Press, New York, 1995).</w:t>
      </w:r>
      <w:proofErr w:type="gramEnd"/>
    </w:p>
    <w:p w:rsidR="00416D75" w:rsidRPr="00125962" w:rsidRDefault="00416D75" w:rsidP="00416D75">
      <w:pPr>
        <w:pStyle w:val="reference"/>
        <w:ind w:left="446" w:hanging="446"/>
        <w:jc w:val="left"/>
        <w:rPr>
          <w:szCs w:val="16"/>
        </w:rPr>
      </w:pPr>
      <w:proofErr w:type="gramStart"/>
      <w:r w:rsidRPr="00125962">
        <w:rPr>
          <w:szCs w:val="16"/>
        </w:rPr>
        <w:t>[87]</w:t>
      </w:r>
      <w:r w:rsidRPr="00125962">
        <w:rPr>
          <w:szCs w:val="16"/>
        </w:rPr>
        <w:tab/>
        <w:t xml:space="preserve">B. J. Setterfield, “Zero Point Energy and Gigantism in Fossils”, </w:t>
      </w:r>
      <w:r w:rsidRPr="00125962">
        <w:rPr>
          <w:i/>
          <w:szCs w:val="16"/>
        </w:rPr>
        <w:t xml:space="preserve">Proceedings of the NPA </w:t>
      </w:r>
      <w:r w:rsidRPr="00125962">
        <w:rPr>
          <w:b/>
          <w:szCs w:val="16"/>
        </w:rPr>
        <w:t>8</w:t>
      </w:r>
      <w:r w:rsidRPr="00125962">
        <w:rPr>
          <w:szCs w:val="16"/>
        </w:rPr>
        <w:t>: 545-554 (2011).</w:t>
      </w:r>
      <w:proofErr w:type="gramEnd"/>
    </w:p>
    <w:p w:rsidR="00416D75" w:rsidRPr="00125962" w:rsidRDefault="00416D75" w:rsidP="00416D75">
      <w:pPr>
        <w:pStyle w:val="reference"/>
        <w:ind w:left="446" w:hanging="446"/>
        <w:jc w:val="left"/>
        <w:rPr>
          <w:szCs w:val="16"/>
        </w:rPr>
      </w:pPr>
      <w:r w:rsidRPr="00125962">
        <w:rPr>
          <w:szCs w:val="16"/>
        </w:rPr>
        <w:t>[88]</w:t>
      </w:r>
      <w:r w:rsidRPr="00125962">
        <w:rPr>
          <w:szCs w:val="16"/>
        </w:rPr>
        <w:tab/>
        <w:t xml:space="preserve">T. H. Boyer, </w:t>
      </w:r>
      <w:r w:rsidRPr="00125962">
        <w:rPr>
          <w:i/>
          <w:szCs w:val="16"/>
        </w:rPr>
        <w:t>Scientific American</w:t>
      </w:r>
      <w:r w:rsidRPr="00125962">
        <w:rPr>
          <w:szCs w:val="16"/>
        </w:rPr>
        <w:t>, pp. 70-78 (Aug 1985).</w:t>
      </w:r>
    </w:p>
    <w:p w:rsidR="00416D75" w:rsidRPr="00125962" w:rsidRDefault="00416D75" w:rsidP="00416D75">
      <w:pPr>
        <w:pStyle w:val="reference"/>
        <w:ind w:left="446" w:hanging="446"/>
        <w:jc w:val="left"/>
        <w:rPr>
          <w:szCs w:val="16"/>
        </w:rPr>
      </w:pPr>
      <w:r w:rsidRPr="00125962">
        <w:rPr>
          <w:szCs w:val="16"/>
        </w:rPr>
        <w:t>[89]</w:t>
      </w:r>
      <w:r w:rsidRPr="00125962">
        <w:rPr>
          <w:szCs w:val="16"/>
        </w:rPr>
        <w:tab/>
        <w:t xml:space="preserve">B. J. Setterfield, “General Relativity and the Zero Point Energy,” </w:t>
      </w:r>
      <w:r w:rsidRPr="00125962">
        <w:rPr>
          <w:i/>
          <w:iCs/>
          <w:szCs w:val="16"/>
        </w:rPr>
        <w:t>Journal of Theoretics</w:t>
      </w:r>
      <w:r w:rsidRPr="00125962">
        <w:rPr>
          <w:szCs w:val="16"/>
        </w:rPr>
        <w:t>, extensive papers (15 Oct 2003).</w:t>
      </w:r>
    </w:p>
    <w:p w:rsidR="00416D75" w:rsidRPr="00125962" w:rsidRDefault="00416D75" w:rsidP="00416D75">
      <w:pPr>
        <w:pStyle w:val="reference"/>
        <w:ind w:left="446" w:hanging="446"/>
        <w:jc w:val="left"/>
        <w:rPr>
          <w:szCs w:val="16"/>
        </w:rPr>
      </w:pPr>
      <w:proofErr w:type="gramStart"/>
      <w:r w:rsidRPr="00125962">
        <w:rPr>
          <w:szCs w:val="16"/>
        </w:rPr>
        <w:t>[90]</w:t>
      </w:r>
      <w:r w:rsidRPr="00125962">
        <w:rPr>
          <w:szCs w:val="16"/>
        </w:rPr>
        <w:tab/>
        <w:t xml:space="preserve">A. Eddington, </w:t>
      </w:r>
      <w:r w:rsidRPr="00125962">
        <w:rPr>
          <w:i/>
          <w:szCs w:val="16"/>
        </w:rPr>
        <w:t>Space, Time and Gravitation</w:t>
      </w:r>
      <w:r w:rsidRPr="00125962">
        <w:rPr>
          <w:szCs w:val="16"/>
        </w:rPr>
        <w:t>, p. 109 (Cambridge University Press, reprint 1987).</w:t>
      </w:r>
      <w:proofErr w:type="gramEnd"/>
    </w:p>
    <w:p w:rsidR="00416D75" w:rsidRPr="00125962" w:rsidRDefault="00416D75" w:rsidP="00416D75">
      <w:pPr>
        <w:pStyle w:val="reference"/>
        <w:ind w:left="446" w:hanging="446"/>
        <w:jc w:val="left"/>
        <w:rPr>
          <w:szCs w:val="16"/>
        </w:rPr>
      </w:pPr>
      <w:r w:rsidRPr="00125962">
        <w:rPr>
          <w:szCs w:val="16"/>
        </w:rPr>
        <w:t>[91]</w:t>
      </w:r>
      <w:r w:rsidRPr="00125962">
        <w:rPr>
          <w:szCs w:val="16"/>
        </w:rPr>
        <w:tab/>
        <w:t xml:space="preserve">M. Harwit, </w:t>
      </w:r>
      <w:r w:rsidRPr="00125962">
        <w:rPr>
          <w:i/>
          <w:szCs w:val="16"/>
        </w:rPr>
        <w:t>Astrophysical Concepts</w:t>
      </w:r>
      <w:r w:rsidRPr="00125962">
        <w:rPr>
          <w:szCs w:val="16"/>
        </w:rPr>
        <w:t>, p. 178 (Springer-Verlag, 1988).</w:t>
      </w:r>
    </w:p>
    <w:p w:rsidR="00416D75" w:rsidRPr="00125962" w:rsidRDefault="00416D75" w:rsidP="00416D75">
      <w:pPr>
        <w:pStyle w:val="reference"/>
        <w:ind w:left="446" w:hanging="446"/>
        <w:jc w:val="left"/>
        <w:rPr>
          <w:szCs w:val="16"/>
        </w:rPr>
      </w:pPr>
      <w:proofErr w:type="gramStart"/>
      <w:r w:rsidRPr="00125962">
        <w:rPr>
          <w:szCs w:val="16"/>
        </w:rPr>
        <w:t>[92]</w:t>
      </w:r>
      <w:r w:rsidRPr="00125962">
        <w:rPr>
          <w:szCs w:val="16"/>
        </w:rPr>
        <w:tab/>
        <w:t xml:space="preserve">T. Van Flandern, in M. R. Edwards, Ed., </w:t>
      </w:r>
      <w:r w:rsidRPr="00125962">
        <w:rPr>
          <w:i/>
          <w:szCs w:val="16"/>
        </w:rPr>
        <w:t>Pushing Gravity</w:t>
      </w:r>
      <w:r w:rsidRPr="00125962">
        <w:rPr>
          <w:szCs w:val="16"/>
        </w:rPr>
        <w:t>, p. 94 (Apeiron, 2002).</w:t>
      </w:r>
      <w:proofErr w:type="gramEnd"/>
    </w:p>
    <w:p w:rsidR="00416D75" w:rsidRPr="00125962" w:rsidRDefault="00416D75" w:rsidP="00416D75">
      <w:pPr>
        <w:pStyle w:val="reference"/>
        <w:ind w:left="446" w:hanging="446"/>
        <w:jc w:val="left"/>
        <w:rPr>
          <w:szCs w:val="16"/>
        </w:rPr>
      </w:pPr>
      <w:r w:rsidRPr="00125962">
        <w:rPr>
          <w:szCs w:val="16"/>
        </w:rPr>
        <w:t>[93]</w:t>
      </w:r>
      <w:r w:rsidRPr="00125962">
        <w:rPr>
          <w:szCs w:val="16"/>
        </w:rPr>
        <w:tab/>
        <w:t xml:space="preserve">California Institute for Physics and Astrophysics, Questions and Answers, </w:t>
      </w:r>
      <w:hyperlink r:id="rId1227" w:history="1">
        <w:r w:rsidRPr="00125962">
          <w:rPr>
            <w:rStyle w:val="Hyperlink"/>
            <w:i/>
            <w:szCs w:val="16"/>
          </w:rPr>
          <w:t>http://www.calphysics.org/questions.html</w:t>
        </w:r>
      </w:hyperlink>
      <w:r w:rsidRPr="00125962">
        <w:rPr>
          <w:szCs w:val="16"/>
        </w:rPr>
        <w:t xml:space="preserve"> ;</w:t>
      </w:r>
    </w:p>
    <w:p w:rsidR="00416D75" w:rsidRPr="00125962" w:rsidRDefault="00416D75" w:rsidP="00416D75">
      <w:pPr>
        <w:pStyle w:val="reference"/>
        <w:ind w:left="446" w:hanging="446"/>
        <w:jc w:val="left"/>
        <w:rPr>
          <w:szCs w:val="16"/>
        </w:rPr>
      </w:pPr>
      <w:r w:rsidRPr="00125962">
        <w:rPr>
          <w:szCs w:val="16"/>
        </w:rPr>
        <w:t xml:space="preserve">            Y. Dobyns, A. Rueda, B. Haisch, </w:t>
      </w:r>
      <w:r w:rsidRPr="00125962">
        <w:rPr>
          <w:i/>
          <w:iCs/>
          <w:szCs w:val="16"/>
        </w:rPr>
        <w:t xml:space="preserve">Found. Phys. </w:t>
      </w:r>
      <w:r w:rsidRPr="00125962">
        <w:rPr>
          <w:b/>
          <w:bCs/>
          <w:szCs w:val="16"/>
        </w:rPr>
        <w:t xml:space="preserve">30 </w:t>
      </w:r>
      <w:r w:rsidRPr="00125962">
        <w:rPr>
          <w:szCs w:val="16"/>
        </w:rPr>
        <w:t>(1): 59 (2000).</w:t>
      </w:r>
    </w:p>
    <w:p w:rsidR="00416D75" w:rsidRPr="00125962" w:rsidRDefault="00416D75" w:rsidP="00416D75">
      <w:pPr>
        <w:pStyle w:val="reference"/>
        <w:ind w:left="446" w:hanging="446"/>
        <w:jc w:val="left"/>
        <w:rPr>
          <w:szCs w:val="16"/>
        </w:rPr>
      </w:pPr>
      <w:r w:rsidRPr="00125962">
        <w:rPr>
          <w:szCs w:val="16"/>
        </w:rPr>
        <w:t>[94]</w:t>
      </w:r>
      <w:r w:rsidRPr="00125962">
        <w:rPr>
          <w:szCs w:val="16"/>
        </w:rPr>
        <w:tab/>
        <w:t xml:space="preserve">B. Haisch, A. Rueda, H. Puthoff, </w:t>
      </w:r>
      <w:r w:rsidRPr="00125962">
        <w:rPr>
          <w:i/>
          <w:szCs w:val="16"/>
        </w:rPr>
        <w:t>The Sciences</w:t>
      </w:r>
      <w:r w:rsidRPr="00125962">
        <w:rPr>
          <w:szCs w:val="16"/>
        </w:rPr>
        <w:t>, p.26ff (Nov-Dec 1994)</w:t>
      </w:r>
    </w:p>
    <w:p w:rsidR="00416D75" w:rsidRPr="00125962" w:rsidRDefault="00416D75" w:rsidP="00416D75">
      <w:pPr>
        <w:pStyle w:val="reference"/>
        <w:ind w:left="446" w:hanging="446"/>
        <w:jc w:val="left"/>
        <w:rPr>
          <w:szCs w:val="16"/>
        </w:rPr>
      </w:pPr>
      <w:r w:rsidRPr="00125962">
        <w:rPr>
          <w:szCs w:val="16"/>
        </w:rPr>
        <w:t>[95]</w:t>
      </w:r>
      <w:r w:rsidRPr="00125962">
        <w:rPr>
          <w:szCs w:val="16"/>
        </w:rPr>
        <w:tab/>
        <w:t xml:space="preserve">B. </w:t>
      </w:r>
      <w:proofErr w:type="gramStart"/>
      <w:r w:rsidRPr="00125962">
        <w:rPr>
          <w:szCs w:val="16"/>
        </w:rPr>
        <w:t>Haisch,</w:t>
      </w:r>
      <w:proofErr w:type="gramEnd"/>
      <w:r w:rsidRPr="00125962">
        <w:rPr>
          <w:szCs w:val="16"/>
        </w:rPr>
        <w:t xml:space="preserve"> quoted in </w:t>
      </w:r>
      <w:r w:rsidRPr="00125962">
        <w:rPr>
          <w:i/>
          <w:szCs w:val="16"/>
        </w:rPr>
        <w:t>New Scientist</w:t>
      </w:r>
      <w:r w:rsidRPr="00125962">
        <w:rPr>
          <w:szCs w:val="16"/>
        </w:rPr>
        <w:t>, pp. 22-25 (3 Feb 2001).</w:t>
      </w:r>
    </w:p>
    <w:p w:rsidR="00416D75" w:rsidRPr="00125962" w:rsidRDefault="00416D75" w:rsidP="00416D75">
      <w:pPr>
        <w:pStyle w:val="reference"/>
        <w:ind w:left="446" w:hanging="446"/>
        <w:jc w:val="left"/>
        <w:rPr>
          <w:szCs w:val="16"/>
        </w:rPr>
      </w:pPr>
      <w:r w:rsidRPr="00125962">
        <w:rPr>
          <w:szCs w:val="16"/>
        </w:rPr>
        <w:t>[96]</w:t>
      </w:r>
      <w:r w:rsidRPr="00125962">
        <w:rPr>
          <w:szCs w:val="16"/>
        </w:rPr>
        <w:tab/>
        <w:t xml:space="preserve">P. E. Anderson, “Electric Scarring of the Earth’s Surface”, </w:t>
      </w:r>
      <w:r w:rsidRPr="00125962">
        <w:rPr>
          <w:i/>
          <w:szCs w:val="16"/>
        </w:rPr>
        <w:t>Proceedings of the NPA</w:t>
      </w:r>
      <w:r w:rsidRPr="00125962">
        <w:rPr>
          <w:szCs w:val="16"/>
        </w:rPr>
        <w:t xml:space="preserve"> </w:t>
      </w:r>
      <w:r w:rsidRPr="00125962">
        <w:rPr>
          <w:b/>
          <w:szCs w:val="16"/>
        </w:rPr>
        <w:t>9</w:t>
      </w:r>
      <w:r w:rsidRPr="00125962">
        <w:rPr>
          <w:szCs w:val="16"/>
        </w:rPr>
        <w:t>: (July 2012).</w:t>
      </w:r>
    </w:p>
    <w:p w:rsidR="00416D75" w:rsidRPr="00125962" w:rsidRDefault="00416D75" w:rsidP="00416D75">
      <w:pPr>
        <w:pStyle w:val="Heading1"/>
        <w:spacing w:line="240" w:lineRule="atLeast"/>
        <w:rPr>
          <w:rFonts w:ascii="Book Antiqua" w:hAnsi="Book Antiqua" w:cs="Times New Roman"/>
          <w:sz w:val="20"/>
          <w:szCs w:val="20"/>
        </w:rPr>
      </w:pPr>
      <w:r w:rsidRPr="00125962">
        <w:rPr>
          <w:rFonts w:ascii="Book Antiqua" w:hAnsi="Book Antiqua" w:cs="Times New Roman"/>
          <w:sz w:val="20"/>
          <w:szCs w:val="20"/>
        </w:rPr>
        <w:t xml:space="preserve">Figure References </w:t>
      </w:r>
      <w:r w:rsidRPr="00125962">
        <w:rPr>
          <w:rFonts w:ascii="Book Antiqua" w:hAnsi="Book Antiqua" w:cs="Times New Roman"/>
          <w:b w:val="0"/>
          <w:i/>
          <w:sz w:val="20"/>
          <w:szCs w:val="20"/>
        </w:rPr>
        <w:t>– All URL’s retrieved 9/13/12</w:t>
      </w:r>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Noah Ernest Dorsey:  </w:t>
      </w:r>
      <w:hyperlink r:id="rId1228" w:history="1">
        <w:r w:rsidRPr="00125962">
          <w:rPr>
            <w:rStyle w:val="Hyperlink"/>
            <w:i/>
            <w:szCs w:val="16"/>
          </w:rPr>
          <w:t>http://www.nist.gov/pml/general/curie/dorsey.cfm</w:t>
        </w:r>
      </w:hyperlink>
    </w:p>
    <w:p w:rsidR="00416D75" w:rsidRPr="00125962" w:rsidRDefault="00416D75" w:rsidP="00416D75">
      <w:pPr>
        <w:pStyle w:val="reference"/>
        <w:ind w:left="446" w:hanging="446"/>
        <w:jc w:val="left"/>
        <w:rPr>
          <w:i/>
          <w:color w:val="000000"/>
          <w:szCs w:val="16"/>
        </w:rPr>
      </w:pPr>
      <w:r w:rsidRPr="00125962">
        <w:rPr>
          <w:color w:val="000000"/>
          <w:szCs w:val="16"/>
        </w:rPr>
        <w:t xml:space="preserve">Photograph of Raymond Thayer Birge: </w:t>
      </w:r>
      <w:hyperlink r:id="rId1229" w:history="1">
        <w:r w:rsidRPr="00125962">
          <w:rPr>
            <w:rStyle w:val="Hyperlink"/>
            <w:i/>
            <w:szCs w:val="16"/>
          </w:rPr>
          <w:t>http://bancroft.berkeley.edu/Exhibits/physics/learning01.html</w:t>
        </w:r>
      </w:hyperlink>
    </w:p>
    <w:p w:rsidR="00416D75" w:rsidRPr="00125962" w:rsidRDefault="00416D75" w:rsidP="00416D75">
      <w:pPr>
        <w:pStyle w:val="reference"/>
        <w:ind w:left="446" w:hanging="446"/>
        <w:jc w:val="left"/>
        <w:rPr>
          <w:i/>
          <w:szCs w:val="16"/>
        </w:rPr>
      </w:pPr>
      <w:r w:rsidRPr="00125962">
        <w:rPr>
          <w:color w:val="000000"/>
          <w:szCs w:val="16"/>
        </w:rPr>
        <w:t>Figure 9: Guthrie and Napier’s quantized redshifts in the direction of Virgo cluster.</w:t>
      </w:r>
      <w:r>
        <w:rPr>
          <w:color w:val="000000"/>
          <w:szCs w:val="16"/>
        </w:rPr>
        <w:t xml:space="preserve"> </w:t>
      </w:r>
      <w:hyperlink r:id="rId1230" w:history="1">
        <w:r w:rsidRPr="00125962">
          <w:rPr>
            <w:rStyle w:val="Hyperlink"/>
            <w:i/>
            <w:szCs w:val="16"/>
          </w:rPr>
          <w:t>http://www.setterfield.org/Kiel_Presentation.html</w:t>
        </w:r>
      </w:hyperlink>
    </w:p>
    <w:p w:rsidR="00C15298" w:rsidRDefault="00416D75" w:rsidP="00416D75">
      <w:pPr>
        <w:pStyle w:val="reference"/>
        <w:ind w:left="446" w:hanging="446"/>
        <w:jc w:val="left"/>
        <w:rPr>
          <w:color w:val="000000"/>
          <w:szCs w:val="16"/>
        </w:rPr>
      </w:pPr>
      <w:r w:rsidRPr="00125962">
        <w:rPr>
          <w:color w:val="000000"/>
          <w:szCs w:val="16"/>
        </w:rPr>
        <w:lastRenderedPageBreak/>
        <w:t>Figure 11: Peratt’s production of galaxies from plasma filaments.</w:t>
      </w:r>
      <w:r w:rsidR="00C15298">
        <w:rPr>
          <w:color w:val="000000"/>
          <w:szCs w:val="16"/>
        </w:rPr>
        <w:t xml:space="preserve"> </w:t>
      </w:r>
    </w:p>
    <w:p w:rsidR="00416D75" w:rsidRPr="00125962" w:rsidRDefault="007B3EBC" w:rsidP="00416D75">
      <w:pPr>
        <w:pStyle w:val="reference"/>
        <w:ind w:left="446" w:hanging="446"/>
        <w:jc w:val="left"/>
        <w:rPr>
          <w:i/>
          <w:color w:val="000000"/>
          <w:szCs w:val="16"/>
        </w:rPr>
      </w:pPr>
      <w:hyperlink r:id="rId1231" w:history="1">
        <w:r w:rsidR="00416D75" w:rsidRPr="00125962">
          <w:rPr>
            <w:rStyle w:val="Hyperlink"/>
            <w:i/>
            <w:szCs w:val="16"/>
          </w:rPr>
          <w:t>http://www.thunderbolts.info/wp/2011/12/05/considering-the-electric-sun-part-1/perattsimulations_1/</w:t>
        </w:r>
      </w:hyperlink>
    </w:p>
    <w:p w:rsidR="00416D75" w:rsidRPr="00125962" w:rsidRDefault="00416D75" w:rsidP="00416D75">
      <w:pPr>
        <w:pStyle w:val="reference"/>
        <w:ind w:left="446" w:hanging="446"/>
        <w:jc w:val="left"/>
        <w:rPr>
          <w:i/>
          <w:szCs w:val="16"/>
        </w:rPr>
      </w:pPr>
      <w:r w:rsidRPr="00125962">
        <w:rPr>
          <w:color w:val="000000"/>
          <w:szCs w:val="16"/>
        </w:rPr>
        <w:t xml:space="preserve">Figure 12: Typical nerve cell or neuron. </w:t>
      </w:r>
      <w:hyperlink r:id="rId1232" w:history="1">
        <w:r w:rsidRPr="00125962">
          <w:rPr>
            <w:rStyle w:val="Hyperlink"/>
            <w:i/>
            <w:szCs w:val="16"/>
          </w:rPr>
          <w:t>http://www.web-books.com/eLibrary/Medicine/Physiology/Nervous/Nervous.htm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Photographs of Michelson and Morley: </w:t>
      </w:r>
      <w:hyperlink r:id="rId1233" w:history="1">
        <w:r w:rsidRPr="00125962">
          <w:rPr>
            <w:rStyle w:val="Hyperlink"/>
            <w:rFonts w:ascii="Book Antiqua" w:hAnsi="Book Antiqua"/>
            <w:i/>
            <w:szCs w:val="16"/>
          </w:rPr>
          <w:t>http://www.mystica.gr/philex_3.htm</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Photograph of Bernard Haisch:</w:t>
      </w:r>
      <w:r w:rsidR="004A4795">
        <w:rPr>
          <w:rFonts w:ascii="Book Antiqua" w:hAnsi="Book Antiqua"/>
          <w:sz w:val="16"/>
          <w:szCs w:val="16"/>
        </w:rPr>
        <w:t xml:space="preserve"> </w:t>
      </w:r>
      <w:hyperlink r:id="rId1234" w:history="1">
        <w:r w:rsidRPr="00125962">
          <w:rPr>
            <w:rStyle w:val="Hyperlink"/>
            <w:rFonts w:ascii="Book Antiqua" w:hAnsi="Book Antiqua"/>
            <w:i/>
            <w:szCs w:val="16"/>
          </w:rPr>
          <w:t>http://www.newdimensions.org/program-archive/god-is-alive-and-well-in-the-cosmos-with-bernard-haisch/</w:t>
        </w:r>
      </w:hyperlink>
    </w:p>
    <w:p w:rsidR="00416D75" w:rsidRPr="00125962" w:rsidRDefault="00416D75" w:rsidP="00416D75">
      <w:pPr>
        <w:pStyle w:val="NoSpacing"/>
        <w:rPr>
          <w:rFonts w:ascii="Book Antiqua" w:hAnsi="Book Antiqua"/>
          <w:i/>
          <w:sz w:val="16"/>
          <w:szCs w:val="16"/>
        </w:rPr>
      </w:pPr>
      <w:r w:rsidRPr="00125962">
        <w:rPr>
          <w:rFonts w:ascii="Book Antiqua" w:hAnsi="Book Antiqua"/>
          <w:sz w:val="16"/>
          <w:szCs w:val="16"/>
        </w:rPr>
        <w:t xml:space="preserve">Photograph of Harold E. Puthoff: </w:t>
      </w:r>
      <w:hyperlink r:id="rId1235" w:history="1">
        <w:r w:rsidRPr="00125962">
          <w:rPr>
            <w:rStyle w:val="Hyperlink"/>
            <w:rFonts w:ascii="Book Antiqua" w:hAnsi="Book Antiqua"/>
            <w:i/>
            <w:szCs w:val="16"/>
          </w:rPr>
          <w:t>http://www.ebdir.net/enlighten/puthoff.html</w:t>
        </w:r>
      </w:hyperlink>
    </w:p>
    <w:p w:rsidR="00416D75" w:rsidRPr="00125962" w:rsidRDefault="00416D75" w:rsidP="00416D75">
      <w:pPr>
        <w:rPr>
          <w:rFonts w:ascii="Book Antiqua" w:hAnsi="Book Antiqua"/>
          <w:sz w:val="16"/>
          <w:szCs w:val="16"/>
        </w:rPr>
      </w:pPr>
    </w:p>
    <w:p w:rsidR="00416D75" w:rsidRDefault="00416D75" w:rsidP="00416D75">
      <w:pPr>
        <w:jc w:val="center"/>
        <w:rPr>
          <w:rFonts w:ascii="Book Antiqua" w:hAnsi="Book Antiqua"/>
          <w:b/>
          <w:sz w:val="28"/>
          <w:szCs w:val="28"/>
        </w:rPr>
      </w:pPr>
      <w:r w:rsidRPr="00D25417">
        <w:rPr>
          <w:rFonts w:ascii="Book Antiqua" w:hAnsi="Book Antiqua"/>
          <w:b/>
          <w:sz w:val="28"/>
          <w:szCs w:val="28"/>
        </w:rPr>
        <w:t>*  *  *  *  *  *  *</w:t>
      </w:r>
    </w:p>
    <w:p w:rsidR="003F4734" w:rsidRDefault="003F4734">
      <w:pPr>
        <w:widowControl/>
        <w:spacing w:after="200" w:line="276" w:lineRule="auto"/>
        <w:rPr>
          <w:rFonts w:ascii="Book Antiqua" w:hAnsi="Book Antiqua"/>
          <w:b/>
          <w:sz w:val="28"/>
          <w:szCs w:val="28"/>
        </w:rPr>
      </w:pPr>
      <w:r>
        <w:rPr>
          <w:rFonts w:ascii="Book Antiqua" w:hAnsi="Book Antiqua"/>
          <w:b/>
          <w:sz w:val="28"/>
          <w:szCs w:val="28"/>
        </w:rPr>
        <w:br w:type="page"/>
      </w:r>
    </w:p>
    <w:p w:rsidR="00BC1170" w:rsidRPr="00AB49F0" w:rsidRDefault="00BC1170" w:rsidP="00BC1170">
      <w:pPr>
        <w:pStyle w:val="NoSpacing"/>
        <w:jc w:val="center"/>
        <w:rPr>
          <w:rFonts w:ascii="Book Antiqua" w:hAnsi="Book Antiqua"/>
          <w:b/>
          <w:bCs/>
          <w:iCs/>
          <w:color w:val="000000"/>
          <w:szCs w:val="24"/>
        </w:rPr>
      </w:pPr>
      <w:r w:rsidRPr="00AB49F0">
        <w:rPr>
          <w:rFonts w:ascii="Book Antiqua" w:hAnsi="Book Antiqua"/>
          <w:b/>
          <w:bCs/>
          <w:iCs/>
          <w:color w:val="000000"/>
          <w:szCs w:val="24"/>
        </w:rPr>
        <w:lastRenderedPageBreak/>
        <w:t xml:space="preserve">Appendix A: </w:t>
      </w:r>
      <w:r w:rsidRPr="00AB49F0">
        <w:rPr>
          <w:rFonts w:ascii="Book Antiqua" w:hAnsi="Book Antiqua"/>
          <w:b/>
          <w:bCs/>
          <w:i/>
          <w:iCs/>
          <w:color w:val="000000"/>
          <w:szCs w:val="24"/>
        </w:rPr>
        <w:t>The ZPE and the redshift equation derivation</w:t>
      </w:r>
    </w:p>
    <w:p w:rsidR="00BC1170" w:rsidRPr="0005293A" w:rsidRDefault="00BC1170" w:rsidP="00BC1170">
      <w:pPr>
        <w:pStyle w:val="NoSpacing"/>
        <w:rPr>
          <w:rFonts w:ascii="Book Antiqua" w:hAnsi="Book Antiqua"/>
          <w:b/>
          <w:bCs/>
          <w:iCs/>
          <w:color w:val="000000"/>
          <w:sz w:val="20"/>
          <w:u w:val="single"/>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As discussed in Chapter 1, the initial rapid expansion of space gave rise to Planck Particle Pairs which resulted in the Zero Point Energy.  The ZPE then built in strength due to the ongoing turbulence and</w:t>
      </w:r>
      <w:r>
        <w:rPr>
          <w:rFonts w:ascii="Book Antiqua" w:hAnsi="Book Antiqua"/>
          <w:sz w:val="20"/>
        </w:rPr>
        <w:t xml:space="preserve"> continued to build, after the turbulence ceased, due to the</w:t>
      </w:r>
      <w:r w:rsidRPr="0005293A">
        <w:rPr>
          <w:rFonts w:ascii="Book Antiqua" w:hAnsi="Book Antiqua"/>
          <w:sz w:val="20"/>
        </w:rPr>
        <w:t xml:space="preserve"> recombination of the PPP.  The build-up of ZPE with time was shown to affect atomic orbits</w:t>
      </w:r>
      <w:r>
        <w:rPr>
          <w:rFonts w:ascii="Book Antiqua" w:hAnsi="Book Antiqua"/>
          <w:sz w:val="20"/>
        </w:rPr>
        <w:t>:</w:t>
      </w:r>
      <w:r w:rsidRPr="0005293A">
        <w:rPr>
          <w:rFonts w:ascii="Book Antiqua" w:hAnsi="Book Antiqua"/>
          <w:sz w:val="20"/>
        </w:rPr>
        <w:t xml:space="preserve"> </w:t>
      </w:r>
      <w:r>
        <w:rPr>
          <w:rFonts w:ascii="Book Antiqua" w:hAnsi="Book Antiqua"/>
          <w:sz w:val="20"/>
        </w:rPr>
        <w:t>a</w:t>
      </w:r>
      <w:r w:rsidRPr="0005293A">
        <w:rPr>
          <w:rFonts w:ascii="Book Antiqua" w:hAnsi="Book Antiqua"/>
          <w:sz w:val="20"/>
        </w:rPr>
        <w:t xml:space="preserve"> stronger ZPE meant that the energies of all atomic orbits increased in proportion with ZPE strength. As time </w:t>
      </w:r>
      <w:r>
        <w:rPr>
          <w:rFonts w:ascii="Book Antiqua" w:hAnsi="Book Antiqua"/>
          <w:sz w:val="20"/>
        </w:rPr>
        <w:t>progressed</w:t>
      </w:r>
      <w:r w:rsidRPr="0005293A">
        <w:rPr>
          <w:rFonts w:ascii="Book Antiqua" w:hAnsi="Book Antiqua"/>
          <w:sz w:val="20"/>
        </w:rPr>
        <w:t xml:space="preserve"> and atomic orbit energies increased, more energetic, or bluer, light was emitted from all atomic orbit transitions. Therefore, looking back in time, emitted light </w:t>
      </w:r>
      <w:r>
        <w:rPr>
          <w:rFonts w:ascii="Book Antiqua" w:hAnsi="Book Antiqua"/>
          <w:sz w:val="20"/>
        </w:rPr>
        <w:t>i</w:t>
      </w:r>
      <w:r w:rsidRPr="0005293A">
        <w:rPr>
          <w:rFonts w:ascii="Book Antiqua" w:hAnsi="Book Antiqua"/>
          <w:sz w:val="20"/>
        </w:rPr>
        <w:t xml:space="preserve">s redder. </w:t>
      </w:r>
      <w:r>
        <w:rPr>
          <w:rFonts w:ascii="Book Antiqua" w:hAnsi="Book Antiqua"/>
          <w:sz w:val="20"/>
        </w:rPr>
        <w:t xml:space="preserve"> This means t</w:t>
      </w:r>
      <w:r w:rsidRPr="0005293A">
        <w:rPr>
          <w:rFonts w:ascii="Book Antiqua" w:hAnsi="Book Antiqua"/>
          <w:sz w:val="20"/>
        </w:rPr>
        <w:t>he form taken by the ZPE build-up is the inverse of the redshift function. That redshift function is often written in the form (see Chapter 5 equation (63)):</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(1 +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(A)</w:t>
      </w:r>
    </w:p>
    <w:p w:rsidR="00BC1170" w:rsidRPr="0005293A" w:rsidRDefault="00BC1170" w:rsidP="00BC1170">
      <w:pPr>
        <w:pStyle w:val="NoSpacing"/>
        <w:ind w:firstLine="720"/>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In other words, if a lower ZPE in the past really is the cause of the redshift, then by considering the phenomena of turbulence and recombination among Planck Particle Pairs we should be able to derive something similar to the inverse of equation (A). To begin this derivation, we note that the standard form of the recombination equation is [1]: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iCs/>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oMath>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vertAlign w:val="superscript"/>
        </w:rPr>
        <w:tab/>
      </w:r>
      <w:r w:rsidRPr="0005293A">
        <w:rPr>
          <w:rFonts w:ascii="Book Antiqua" w:hAnsi="Book Antiqua"/>
          <w:i/>
          <w:iCs/>
          <w:sz w:val="20"/>
        </w:rPr>
        <w:t xml:space="preserve"> (1)</w:t>
      </w:r>
    </w:p>
    <w:p w:rsidR="00BC1170" w:rsidRPr="0005293A" w:rsidRDefault="00BC1170" w:rsidP="00BC1170">
      <w:pPr>
        <w:pStyle w:val="NoSpacing"/>
        <w:jc w:val="both"/>
        <w:rPr>
          <w:rFonts w:ascii="Book Antiqua" w:hAnsi="Book Antiqua"/>
          <w:i/>
          <w:iCs/>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iCs/>
          <w:sz w:val="20"/>
        </w:rPr>
        <w:t>In (1),</w:t>
      </w:r>
      <w:r w:rsidRPr="0005293A">
        <w:rPr>
          <w:rFonts w:ascii="Book Antiqua" w:hAnsi="Book Antiqua"/>
          <w:i/>
          <w:iCs/>
          <w:sz w:val="20"/>
        </w:rPr>
        <w:t xml:space="preserve"> </w:t>
      </w:r>
      <m:oMath>
        <m:r>
          <w:rPr>
            <w:rFonts w:ascii="Cambria Math" w:hAnsi="Cambria Math"/>
            <w:sz w:val="20"/>
          </w:rPr>
          <m:t>N</m:t>
        </m:r>
      </m:oMath>
      <w:r w:rsidRPr="0005293A">
        <w:rPr>
          <w:rFonts w:ascii="Book Antiqua" w:hAnsi="Book Antiqua"/>
          <w:i/>
          <w:iCs/>
          <w:sz w:val="20"/>
        </w:rPr>
        <w:t xml:space="preserve"> </w:t>
      </w:r>
      <w:r w:rsidRPr="0005293A">
        <w:rPr>
          <w:rFonts w:ascii="Book Antiqua" w:hAnsi="Book Antiqua"/>
          <w:sz w:val="20"/>
        </w:rPr>
        <w:t xml:space="preserve">is the number of ion pairs per unit volume available for recombination, </w:t>
      </w:r>
      <m:oMath>
        <m:r>
          <w:rPr>
            <w:rFonts w:ascii="Cambria Math" w:hAnsi="Cambria Math"/>
            <w:sz w:val="20"/>
          </w:rPr>
          <m:t>r</m:t>
        </m:r>
      </m:oMath>
      <w:r w:rsidRPr="0005293A">
        <w:rPr>
          <w:rFonts w:ascii="Book Antiqua" w:hAnsi="Book Antiqua"/>
          <w:i/>
          <w:iCs/>
          <w:sz w:val="20"/>
        </w:rPr>
        <w:t xml:space="preserve"> </w:t>
      </w:r>
      <w:r w:rsidRPr="0005293A">
        <w:rPr>
          <w:rFonts w:ascii="Book Antiqua" w:hAnsi="Book Antiqua"/>
          <w:sz w:val="20"/>
        </w:rPr>
        <w:t xml:space="preserve">is the recombination coefficient, and </w:t>
      </w:r>
      <m:oMath>
        <m:r>
          <w:rPr>
            <w:rFonts w:ascii="Cambria Math" w:hAnsi="Cambria Math"/>
            <w:sz w:val="20"/>
          </w:rPr>
          <m:t>q</m:t>
        </m:r>
      </m:oMath>
      <w:r w:rsidRPr="0005293A">
        <w:rPr>
          <w:rFonts w:ascii="Book Antiqua" w:hAnsi="Book Antiqua"/>
          <w:i/>
          <w:iCs/>
          <w:sz w:val="20"/>
        </w:rPr>
        <w:t xml:space="preserve"> </w:t>
      </w:r>
      <w:r w:rsidRPr="0005293A">
        <w:rPr>
          <w:rFonts w:ascii="Book Antiqua" w:hAnsi="Book Antiqua"/>
          <w:sz w:val="20"/>
        </w:rPr>
        <w:t>is the number of ion pairs created per unit volume per unit time by any given process, such as ionization. The quantity</w:t>
      </w:r>
      <m:oMath>
        <m:r>
          <w:rPr>
            <w:rFonts w:ascii="Cambria Math" w:hAnsi="Book Antiqua"/>
            <w:sz w:val="20"/>
          </w:rPr>
          <m:t xml:space="preserve"> </m:t>
        </m:r>
        <m:r>
          <w:rPr>
            <w:rFonts w:ascii="Cambria Math" w:hAnsi="Cambria Math"/>
            <w:sz w:val="20"/>
          </w:rPr>
          <m:t>t</m:t>
        </m:r>
      </m:oMath>
      <w:r w:rsidRPr="0005293A">
        <w:rPr>
          <w:rFonts w:ascii="Book Antiqua" w:hAnsi="Book Antiqua"/>
          <w:sz w:val="20"/>
        </w:rPr>
        <w:t xml:space="preserve"> is the time measured going forward from the beginning of the interaction [1].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For our purposes here, we put </w:t>
      </w:r>
      <m:oMath>
        <m:r>
          <w:rPr>
            <w:rFonts w:ascii="Cambria Math" w:hAnsi="Cambria Math"/>
            <w:sz w:val="20"/>
          </w:rPr>
          <m:t>N</m:t>
        </m:r>
        <m:r>
          <w:rPr>
            <w:rFonts w:ascii="Cambria Math" w:hAnsi="Book Antiqua"/>
            <w:sz w:val="20"/>
          </w:rPr>
          <m:t xml:space="preserve"> </m:t>
        </m:r>
      </m:oMath>
      <w:r w:rsidRPr="0005293A">
        <w:rPr>
          <w:rFonts w:ascii="Book Antiqua" w:hAnsi="Book Antiqua"/>
          <w:sz w:val="20"/>
        </w:rPr>
        <w:t xml:space="preserve">equal to the number of Planck Particle Pairs per unit volume available for recombination at any given time. Furthermore, we put </w:t>
      </w:r>
      <m:oMath>
        <m:r>
          <w:rPr>
            <w:rFonts w:ascii="Cambria Math" w:hAnsi="Cambria Math"/>
            <w:sz w:val="20"/>
          </w:rPr>
          <m:t>q</m:t>
        </m:r>
        <m:r>
          <w:rPr>
            <w:rFonts w:ascii="Cambria Math" w:hAnsi="Book Antiqua"/>
            <w:sz w:val="20"/>
          </w:rPr>
          <m:t xml:space="preserve"> </m:t>
        </m:r>
      </m:oMath>
      <w:r w:rsidRPr="0005293A">
        <w:rPr>
          <w:rFonts w:ascii="Book Antiqua" w:hAnsi="Book Antiqua"/>
          <w:sz w:val="20"/>
        </w:rPr>
        <w:t xml:space="preserve">as the number of ion pairs created per unit volume per unit time by turbulence as outlined by Gibson [2]. In addition, </w:t>
      </w:r>
      <m:oMath>
        <m:r>
          <w:rPr>
            <w:rFonts w:ascii="Cambria Math" w:hAnsi="Cambria Math"/>
            <w:sz w:val="20"/>
          </w:rPr>
          <m:t>t</m:t>
        </m:r>
      </m:oMath>
      <w:r w:rsidRPr="0005293A">
        <w:rPr>
          <w:rFonts w:ascii="Book Antiqua" w:hAnsi="Book Antiqua"/>
          <w:sz w:val="20"/>
        </w:rPr>
        <w:t xml:space="preserve"> is time going forward and measured from the inception of the cosmos, </w:t>
      </w:r>
      <w:proofErr w:type="gramStart"/>
      <w:r w:rsidRPr="0005293A">
        <w:rPr>
          <w:rFonts w:ascii="Book Antiqua" w:hAnsi="Book Antiqua"/>
          <w:sz w:val="20"/>
        </w:rPr>
        <w:t xml:space="preserve">where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to the present epoch, where </w:t>
      </w:r>
      <m:oMath>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xml:space="preserve"> . However, astronomically, and specifically in the redshift application, we also need to use a definition of time</w:t>
      </w:r>
      <w:proofErr w:type="gramStart"/>
      <w:r w:rsidRPr="0005293A">
        <w:rPr>
          <w:rFonts w:ascii="Book Antiqua" w:hAnsi="Book Antiqua"/>
          <w:sz w:val="20"/>
        </w:rPr>
        <w:t xml:space="preserve">, </w:t>
      </w:r>
      <m:oMath>
        <w:proofErr w:type="gramEnd"/>
        <m:r>
          <w:rPr>
            <w:rFonts w:ascii="Cambria Math" w:hAnsi="Cambria Math"/>
            <w:sz w:val="20"/>
          </w:rPr>
          <m:t>T</m:t>
        </m:r>
      </m:oMath>
      <w:r w:rsidRPr="0005293A">
        <w:rPr>
          <w:rFonts w:ascii="Book Antiqua" w:hAnsi="Book Antiqua"/>
          <w:sz w:val="20"/>
        </w:rPr>
        <w:t xml:space="preserve">, where </w:t>
      </w:r>
      <m:oMath>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at our present era and </w:t>
      </w:r>
      <m:oMath>
        <m:r>
          <w:rPr>
            <w:rFonts w:ascii="Cambria Math" w:hAnsi="Book Antiqua"/>
            <w:sz w:val="20"/>
          </w:rPr>
          <m:t>(</m:t>
        </m:r>
        <m:r>
          <w:rPr>
            <w:rFonts w:ascii="Cambria Math" w:hAnsi="Cambria Math"/>
            <w:sz w:val="20"/>
          </w:rPr>
          <m:t>T</m:t>
        </m:r>
        <m:r>
          <w:rPr>
            <w:rFonts w:ascii="Cambria Math" w:hAnsi="Book Antiqua"/>
            <w:sz w:val="20"/>
          </w:rPr>
          <m:t xml:space="preserve"> = 1) </m:t>
        </m:r>
      </m:oMath>
      <w:r w:rsidRPr="0005293A">
        <w:rPr>
          <w:rFonts w:ascii="Book Antiqua" w:hAnsi="Book Antiqua"/>
          <w:sz w:val="20"/>
        </w:rPr>
        <w:t xml:space="preserve">at the origin of the universe. Thus we can write that, </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Cambria Math" w:hAnsi="Cambria Math"/>
            <w:sz w:val="20"/>
          </w:rPr>
          <m:t>or</m:t>
        </m:r>
        <m:r>
          <w:rPr>
            <w:rFonts w:ascii="Cambria Math" w:hAnsi="Book Antiqua"/>
            <w:sz w:val="20"/>
          </w:rPr>
          <m:t xml:space="preserve"> </m:t>
        </m:r>
        <m:r>
          <w:rPr>
            <w:rFonts w:ascii="Cambria Math" w:hAnsi="Cambria Math"/>
            <w:sz w:val="20"/>
          </w:rPr>
          <m:t>equivalently</m:t>
        </m:r>
        <m:r>
          <w:rPr>
            <w:rFonts w:ascii="Cambria Math" w:hAnsi="Book Antiqua"/>
            <w:sz w:val="20"/>
          </w:rPr>
          <m:t xml:space="preserve">     </m:t>
        </m:r>
        <m:r>
          <w:rPr>
            <w:rFonts w:ascii="Cambria Math" w:hAnsi="Cambria Math"/>
            <w:sz w:val="20"/>
          </w:rPr>
          <m:t>t</m:t>
        </m:r>
        <m:r>
          <w:rPr>
            <w:rFonts w:ascii="Cambria Math" w:hAnsi="Book Antiqua"/>
            <w:sz w:val="20"/>
          </w:rPr>
          <m:t xml:space="preserve"> =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i/>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In the standard form of the equation in (1), the recombination coefficient</w:t>
      </w:r>
      <w:proofErr w:type="gramStart"/>
      <w:r w:rsidRPr="0005293A">
        <w:rPr>
          <w:rFonts w:ascii="Book Antiqua" w:hAnsi="Book Antiqua"/>
          <w:sz w:val="20"/>
        </w:rPr>
        <w:t xml:space="preserve">, </w:t>
      </w:r>
      <m:oMath>
        <w:proofErr w:type="gramEnd"/>
        <m:r>
          <w:rPr>
            <w:rFonts w:ascii="Cambria Math" w:hAnsi="Cambria Math"/>
            <w:sz w:val="20"/>
          </w:rPr>
          <m:t>r</m:t>
        </m:r>
      </m:oMath>
      <w:r w:rsidRPr="0005293A">
        <w:rPr>
          <w:rFonts w:ascii="Book Antiqua" w:hAnsi="Book Antiqua"/>
          <w:sz w:val="20"/>
        </w:rPr>
        <w:t>, is given by [3]: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Nτ</m:t>
        </m:r>
        <m:r>
          <w:rPr>
            <w:rFonts w:ascii="Cambria Math" w:hAnsi="Book Antiqua"/>
            <w:sz w:val="20"/>
          </w:rPr>
          <m:t>)</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where</w:t>
      </w:r>
      <w:proofErr w:type="gramEnd"/>
      <w:r w:rsidRPr="0005293A">
        <w:rPr>
          <w:rFonts w:ascii="Book Antiqua" w:hAnsi="Book Antiqua"/>
          <w:sz w:val="20"/>
        </w:rPr>
        <w:t xml:space="preserve"> </w:t>
      </w:r>
      <m:oMath>
        <m:r>
          <w:rPr>
            <w:rFonts w:ascii="Cambria Math" w:hAnsi="Cambria Math"/>
            <w:sz w:val="20"/>
          </w:rPr>
          <m:t>τ</m:t>
        </m:r>
      </m:oMath>
      <w:r w:rsidRPr="0005293A">
        <w:rPr>
          <w:rFonts w:ascii="Book Antiqua" w:hAnsi="Book Antiqua"/>
          <w:sz w:val="20"/>
        </w:rPr>
        <w:t xml:space="preserve"> is the recombination time. As such, the recombination coefficient bears the units of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ion</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xml:space="preserve"> as pointed out by Zwaska et al. [4]. For our purposes, however, we have already identified the quantity </w:t>
      </w:r>
      <m:oMath>
        <m:r>
          <w:rPr>
            <w:rFonts w:ascii="Cambria Math" w:hAnsi="Cambria Math"/>
            <w:sz w:val="20"/>
          </w:rPr>
          <m:t>N</m:t>
        </m:r>
      </m:oMath>
      <w:r w:rsidRPr="0005293A">
        <w:rPr>
          <w:rFonts w:ascii="Book Antiqua" w:hAnsi="Book Antiqua"/>
          <w:sz w:val="20"/>
        </w:rPr>
        <w:t xml:space="preserve"> as the number of PPP per unit volume available for recombination at any given unit of time. Therefore, in (3) we can state that for our purposes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r</m:t>
        </m:r>
        <m:r>
          <w:rPr>
            <w:rFonts w:ascii="Cambria Math" w:hAnsi="Book Antiqua"/>
            <w:sz w:val="20"/>
          </w:rPr>
          <m:t xml:space="preserve"> ~ 1/(</m:t>
        </m:r>
        <m:r>
          <w:rPr>
            <w:rFonts w:ascii="Cambria Math" w:hAnsi="Cambria Math"/>
            <w:sz w:val="20"/>
          </w:rPr>
          <m:t>Nt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since</w:t>
      </w:r>
      <w:proofErr w:type="gramEnd"/>
      <w:r w:rsidRPr="0005293A">
        <w:rPr>
          <w:rFonts w:ascii="Book Antiqua" w:hAnsi="Book Antiqua"/>
          <w:sz w:val="20"/>
        </w:rPr>
        <w:t xml:space="preserve"> this gives the required units for this formula, namely </w:t>
      </w:r>
      <m:oMath>
        <m:sSup>
          <m:sSupPr>
            <m:ctrlPr>
              <w:rPr>
                <w:rFonts w:ascii="Cambria Math" w:hAnsi="Book Antiqua"/>
                <w:i/>
                <w:sz w:val="20"/>
              </w:rPr>
            </m:ctrlPr>
          </m:sSupPr>
          <m:e>
            <m:r>
              <w:rPr>
                <w:rFonts w:ascii="Cambria Math" w:hAnsi="Cambria Math"/>
                <w:sz w:val="20"/>
              </w:rPr>
              <m:t>cm</m:t>
            </m:r>
          </m:e>
          <m:sup>
            <m:r>
              <w:rPr>
                <w:rFonts w:ascii="Cambria Math" w:hAnsi="Book Antiqua"/>
                <w:sz w:val="20"/>
              </w:rPr>
              <m:t>3</m:t>
            </m:r>
          </m:sup>
        </m:sSup>
        <m:r>
          <w:rPr>
            <w:rFonts w:ascii="Cambria Math" w:hAnsi="Book Antiqua"/>
            <w:sz w:val="20"/>
          </w:rPr>
          <m:t>/(</m:t>
        </m:r>
        <m:r>
          <w:rPr>
            <w:rFonts w:ascii="Cambria Math" w:hAnsi="Cambria Math"/>
            <w:sz w:val="20"/>
          </w:rPr>
          <m:t>PPP</m:t>
        </m:r>
        <m:r>
          <w:rPr>
            <w:rFonts w:ascii="Book Antiqua" w:hAnsi="Book Antiqua"/>
            <w:sz w:val="20"/>
          </w:rPr>
          <m:t>-</m:t>
        </m:r>
        <m:r>
          <w:rPr>
            <w:rFonts w:ascii="Cambria Math" w:hAnsi="Cambria Math"/>
            <w:sz w:val="20"/>
          </w:rPr>
          <m:t>seconds</m:t>
        </m:r>
        <m:r>
          <w:rPr>
            <w:rFonts w:ascii="Cambria Math" w:hAnsi="Book Antiqua"/>
            <w:sz w:val="20"/>
          </w:rPr>
          <m:t>)</m:t>
        </m:r>
      </m:oMath>
      <w:r w:rsidRPr="0005293A">
        <w:rPr>
          <w:rFonts w:ascii="Book Antiqua" w:hAnsi="Book Antiqua"/>
          <w:sz w:val="20"/>
        </w:rPr>
        <w:t>. When this is substituted in (1)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r</m:t>
        </m:r>
        <m:sSup>
          <m:sSupPr>
            <m:ctrlPr>
              <w:rPr>
                <w:rFonts w:ascii="Cambria Math" w:hAnsi="Book Antiqua"/>
                <w:i/>
                <w:iCs/>
                <w:sz w:val="20"/>
              </w:rPr>
            </m:ctrlPr>
          </m:sSupPr>
          <m:e>
            <m:r>
              <w:rPr>
                <w:rFonts w:ascii="Cambria Math" w:hAnsi="Cambria Math"/>
                <w:sz w:val="20"/>
              </w:rPr>
              <m:t>N</m:t>
            </m:r>
          </m:e>
          <m:sup>
            <m:r>
              <w:rPr>
                <w:rFonts w:ascii="Cambria Math" w:hAnsi="Book Antiqua"/>
                <w:sz w:val="20"/>
              </w:rPr>
              <m:t>2</m:t>
            </m:r>
          </m:sup>
        </m:sSup>
        <m:r>
          <w:rPr>
            <w:rFonts w:ascii="Cambria Math" w:hAnsi="Book Antiqua"/>
            <w:sz w:val="20"/>
            <w:vertAlign w:val="superscript"/>
          </w:rPr>
          <m:t xml:space="preserve">  </m:t>
        </m:r>
        <m:r>
          <w:rPr>
            <w:rFonts w:ascii="Cambria Math" w:hAnsi="Book Antiqua"/>
            <w:sz w:val="20"/>
          </w:rPr>
          <m:t xml:space="preserve">=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N</m:t>
            </m:r>
          </m:e>
          <m:sup>
            <m:r>
              <w:rPr>
                <w:rFonts w:ascii="Cambria Math" w:hAnsi="Book Antiqua"/>
                <w:sz w:val="20"/>
              </w:rPr>
              <m:t>2</m:t>
            </m:r>
          </m:sup>
        </m:sSup>
        <m:r>
          <w:rPr>
            <w:rFonts w:ascii="Cambria Math" w:hAnsi="Book Antiqua"/>
            <w:sz w:val="20"/>
          </w:rPr>
          <m:t>/(</m:t>
        </m:r>
        <m:r>
          <w:rPr>
            <w:rFonts w:ascii="Cambria Math" w:hAnsi="Cambria Math"/>
            <w:sz w:val="20"/>
          </w:rPr>
          <m:t>Nt</m:t>
        </m:r>
        <m:r>
          <w:rPr>
            <w:rFonts w:ascii="Cambria Math" w:hAnsi="Book Antiqua"/>
            <w:sz w:val="20"/>
          </w:rPr>
          <m:t xml:space="preserve">)  =  </m:t>
        </m:r>
        <m:r>
          <w:rPr>
            <w:rFonts w:ascii="Cambria Math" w:hAnsi="Cambria Math"/>
            <w:sz w:val="20"/>
          </w:rPr>
          <m:t>q</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(5)</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Taking the indefinite integral,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 </m:t>
        </m:r>
        <m:r>
          <w:rPr>
            <w:rFonts w:ascii="Cambria Math" w:hAnsi="Cambria Math"/>
            <w:sz w:val="20"/>
          </w:rPr>
          <m:t>dN</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Cambria Math" w:hAnsi="Cambria Math"/>
            <w:sz w:val="20"/>
          </w:rPr>
          <m:t>qt</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also need to make the identification that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is the number of ion-pairs originally present. When that is done, we note that at any instant,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the number of ion pairs which have re-combined is given by the number that were originally present, </w:t>
      </w:r>
      <m:oMath>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oMath>
      <w:r w:rsidRPr="0005293A">
        <w:rPr>
          <w:rFonts w:ascii="Book Antiqua" w:hAnsi="Book Antiqua"/>
          <w:sz w:val="20"/>
        </w:rPr>
        <w:t xml:space="preserve">, plus the number created by turbulence until time </w:t>
      </w:r>
      <m:oMath>
        <m:r>
          <w:rPr>
            <w:rFonts w:ascii="Cambria Math" w:hAnsi="Cambria Math"/>
            <w:sz w:val="20"/>
          </w:rPr>
          <m:t>t</m:t>
        </m:r>
      </m:oMath>
      <w:r w:rsidRPr="0005293A">
        <w:rPr>
          <w:rFonts w:ascii="Book Antiqua" w:hAnsi="Book Antiqua"/>
          <w:sz w:val="20"/>
        </w:rPr>
        <w:t>. This is given by</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qt</m:t>
        </m:r>
        <m:r>
          <w:rPr>
            <w:rFonts w:ascii="Cambria Math" w:hAnsi="Book Antiqua"/>
            <w:sz w:val="20"/>
          </w:rPr>
          <m:t xml:space="preserve">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(7)</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equation (7), it is usual for </w:t>
      </w:r>
      <m:oMath>
        <m:r>
          <w:rPr>
            <w:rFonts w:ascii="Cambria Math" w:hAnsi="Cambria Math"/>
            <w:sz w:val="20"/>
          </w:rPr>
          <m:t>q</m:t>
        </m:r>
      </m:oMath>
      <w:r w:rsidRPr="0005293A">
        <w:rPr>
          <w:rFonts w:ascii="Book Antiqua" w:hAnsi="Book Antiqua"/>
          <w:sz w:val="20"/>
        </w:rPr>
        <w:t xml:space="preserve"> to represent the ionization rate. The equivalent in our case is the number of Planck Particle Pairs (PPP) formed per unit volume in a given time by the decaying turbulence. Thus the term </w:t>
      </w:r>
      <m:oMath>
        <m:r>
          <w:rPr>
            <w:rFonts w:ascii="Cambria Math" w:hAnsi="Cambria Math"/>
            <w:sz w:val="20"/>
          </w:rPr>
          <m:t>q</m:t>
        </m:r>
      </m:oMath>
      <w:r w:rsidRPr="0005293A">
        <w:rPr>
          <w:rFonts w:ascii="Book Antiqua" w:hAnsi="Book Antiqua"/>
          <w:sz w:val="20"/>
        </w:rPr>
        <w:t xml:space="preserve"> is directly related to the decay in turbulence</w:t>
      </w:r>
      <w:proofErr w:type="gramStart"/>
      <w:r w:rsidRPr="0005293A">
        <w:rPr>
          <w:rFonts w:ascii="Book Antiqua" w:hAnsi="Book Antiqua"/>
          <w:sz w:val="20"/>
        </w:rPr>
        <w:t xml:space="preserve">, </w:t>
      </w:r>
      <m:oMath>
        <w:proofErr w:type="gramEnd"/>
        <m:r>
          <w:rPr>
            <w:rFonts w:ascii="Cambria Math" w:hAnsi="Cambria Math"/>
            <w:sz w:val="20"/>
          </w:rPr>
          <m:t>L</m:t>
        </m:r>
      </m:oMath>
      <w:r w:rsidRPr="0005293A">
        <w:rPr>
          <w:rFonts w:ascii="Book Antiqua" w:hAnsi="Book Antiqua"/>
          <w:sz w:val="20"/>
        </w:rPr>
        <w:t xml:space="preserve">. It is generally conceded that the decay in turbulence follows a power law such that for time, </w:t>
      </w:r>
      <m:oMath>
        <m:r>
          <w:rPr>
            <w:rFonts w:ascii="Cambria Math" w:hAnsi="Cambria Math"/>
            <w:sz w:val="20"/>
          </w:rPr>
          <m:t>t</m:t>
        </m:r>
      </m:oMath>
      <w:r w:rsidRPr="0005293A">
        <w:rPr>
          <w:rFonts w:ascii="Book Antiqua" w:hAnsi="Book Antiqua"/>
          <w:sz w:val="20"/>
        </w:rPr>
        <w:t xml:space="preserve"> we have [5]: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L</m:t>
        </m:r>
        <m:r>
          <w:rPr>
            <w:rFonts w:ascii="Cambria Math" w:hAnsi="Book Antiqua"/>
            <w:sz w:val="20"/>
          </w:rPr>
          <m:t xml:space="preserve"> = 1/(</m:t>
        </m:r>
        <m:sSup>
          <m:sSupPr>
            <m:ctrlPr>
              <w:rPr>
                <w:rFonts w:ascii="Cambria Math" w:hAnsi="Book Antiqua"/>
                <w:i/>
                <w:sz w:val="20"/>
              </w:rPr>
            </m:ctrlPr>
          </m:sSupPr>
          <m:e>
            <m:r>
              <w:rPr>
                <w:rFonts w:ascii="Cambria Math" w:hAnsi="Cambria Math"/>
                <w:sz w:val="20"/>
              </w:rPr>
              <m:t>t</m:t>
            </m:r>
          </m:e>
          <m:sup>
            <m:r>
              <w:rPr>
                <w:rFonts w:ascii="Cambria Math" w:hAnsi="Cambria Math"/>
                <w:sz w:val="20"/>
              </w:rPr>
              <m:t>x</m:t>
            </m:r>
          </m:sup>
        </m:sSup>
        <m:r>
          <w:rPr>
            <w:rFonts w:ascii="Cambria Math" w:hAnsi="Book Antiqua"/>
            <w:sz w:val="20"/>
          </w:rPr>
          <m:t xml:space="preserve">)~  </m:t>
        </m:r>
        <m:r>
          <w:rPr>
            <w:rFonts w:ascii="Cambria Math" w:hAnsi="Cambria Math"/>
            <w:sz w:val="20"/>
          </w:rPr>
          <m:t>q</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(8)</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The value of </w:t>
      </w:r>
      <m:oMath>
        <m:r>
          <w:rPr>
            <w:rFonts w:ascii="Cambria Math" w:hAnsi="Cambria Math"/>
            <w:sz w:val="20"/>
          </w:rPr>
          <m:t>x</m:t>
        </m:r>
      </m:oMath>
      <w:r w:rsidRPr="0005293A">
        <w:rPr>
          <w:rFonts w:ascii="Book Antiqua" w:hAnsi="Book Antiqua"/>
          <w:sz w:val="20"/>
        </w:rPr>
        <w:t xml:space="preserve"> varies for different systems. For example, it is known that, in incompressible systems, the value of </w:t>
      </w:r>
      <m:oMath>
        <m:r>
          <w:rPr>
            <w:rFonts w:ascii="Cambria Math" w:hAnsi="Cambria Math"/>
            <w:sz w:val="20"/>
          </w:rPr>
          <m:t>x</m:t>
        </m:r>
      </m:oMath>
      <w:r w:rsidRPr="0005293A">
        <w:rPr>
          <w:rFonts w:ascii="Book Antiqua" w:hAnsi="Book Antiqua"/>
          <w:sz w:val="20"/>
        </w:rPr>
        <w:t xml:space="preserve"> can be much lower than unity. It is further known that for spatially free turbulence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is lower in any given system than for turbulence in a confined system. In confined systems, the value of</w:t>
      </w:r>
      <m:oMath>
        <m:r>
          <w:rPr>
            <w:rFonts w:ascii="Cambria Math" w:hAnsi="Book Antiqua"/>
            <w:sz w:val="20"/>
          </w:rPr>
          <m:t xml:space="preserve"> </m:t>
        </m:r>
        <m:r>
          <w:rPr>
            <w:rFonts w:ascii="Cambria Math" w:hAnsi="Cambria Math"/>
            <w:sz w:val="20"/>
          </w:rPr>
          <m:t>x</m:t>
        </m:r>
      </m:oMath>
      <w:r w:rsidRPr="0005293A">
        <w:rPr>
          <w:rFonts w:ascii="Book Antiqua" w:hAnsi="Book Antiqua"/>
          <w:sz w:val="20"/>
        </w:rPr>
        <w:t xml:space="preserve"> in incompressible turbulence can be below </w:t>
      </w:r>
      <m:oMath>
        <m:r>
          <w:rPr>
            <w:rFonts w:ascii="Cambria Math" w:hAnsi="Book Antiqua"/>
            <w:sz w:val="20"/>
          </w:rPr>
          <m:t>(</m:t>
        </m:r>
        <m:r>
          <w:rPr>
            <w:rFonts w:ascii="Cambria Math" w:hAnsi="Cambria Math"/>
            <w:sz w:val="20"/>
          </w:rPr>
          <m:t>x</m:t>
        </m:r>
        <m:r>
          <w:rPr>
            <w:rFonts w:ascii="Cambria Math" w:hAnsi="Book Antiqua"/>
            <w:sz w:val="20"/>
          </w:rPr>
          <m:t xml:space="preserve"> = 0.66)</m:t>
        </m:r>
      </m:oMath>
      <w:r w:rsidRPr="0005293A">
        <w:rPr>
          <w:rFonts w:ascii="Book Antiqua" w:hAnsi="Book Antiqua"/>
          <w:sz w:val="20"/>
        </w:rPr>
        <w:t xml:space="preserve"> [5]. In the case of spatially free turbulence it may therefore not be unreasonable to expect to drop to a value of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or even lower. </w:t>
      </w:r>
      <w:r>
        <w:rPr>
          <w:rFonts w:ascii="Book Antiqua" w:hAnsi="Book Antiqua"/>
          <w:sz w:val="20"/>
        </w:rPr>
        <w:t>This would mean that the turbulence would persist for about four times the length of the initiating (expansion) event. This agrees with the redshift equation where the expansion ceased at a redshift of 1.6, which corresponds to T = 0.742 and t = 0.2577. We therefore</w:t>
      </w:r>
      <w:r w:rsidRPr="0005293A">
        <w:rPr>
          <w:rFonts w:ascii="Book Antiqua" w:hAnsi="Book Antiqua"/>
          <w:sz w:val="20"/>
        </w:rPr>
        <w:t xml:space="preserve"> </w:t>
      </w:r>
      <w:r>
        <w:rPr>
          <w:rFonts w:ascii="Book Antiqua" w:hAnsi="Book Antiqua"/>
          <w:sz w:val="20"/>
        </w:rPr>
        <w:t>s</w:t>
      </w:r>
      <w:r w:rsidRPr="0005293A">
        <w:rPr>
          <w:rFonts w:ascii="Book Antiqua" w:hAnsi="Book Antiqua"/>
          <w:sz w:val="20"/>
        </w:rPr>
        <w:t xml:space="preserve">et </w:t>
      </w:r>
      <m:oMath>
        <m:r>
          <w:rPr>
            <w:rFonts w:ascii="Cambria Math" w:hAnsi="Book Antiqua"/>
            <w:sz w:val="20"/>
          </w:rPr>
          <m:t>(</m:t>
        </m:r>
        <m:r>
          <w:rPr>
            <w:rFonts w:ascii="Cambria Math" w:hAnsi="Cambria Math"/>
            <w:sz w:val="20"/>
          </w:rPr>
          <m:t>x</m:t>
        </m:r>
        <m:r>
          <w:rPr>
            <w:rFonts w:ascii="Cambria Math" w:hAnsi="Book Antiqua"/>
            <w:sz w:val="20"/>
          </w:rPr>
          <m:t xml:space="preserve"> = 0.5)</m:t>
        </m:r>
      </m:oMath>
      <w:r w:rsidRPr="0005293A">
        <w:rPr>
          <w:rFonts w:ascii="Book Antiqua" w:hAnsi="Book Antiqua"/>
          <w:sz w:val="20"/>
        </w:rPr>
        <w:t xml:space="preserve"> in (8) and substitute for </w:t>
      </w:r>
      <m:oMath>
        <m:r>
          <w:rPr>
            <w:rFonts w:ascii="Cambria Math" w:hAnsi="Cambria Math"/>
            <w:sz w:val="20"/>
          </w:rPr>
          <m:t>q</m:t>
        </m:r>
      </m:oMath>
      <w:r w:rsidRPr="0005293A">
        <w:rPr>
          <w:rFonts w:ascii="Book Antiqua" w:hAnsi="Book Antiqua"/>
          <w:sz w:val="20"/>
        </w:rPr>
        <w:t xml:space="preserve"> in (7). We then obtain the result that</w:t>
      </w:r>
    </w:p>
    <w:p w:rsidR="00BC1170" w:rsidRPr="0005293A" w:rsidRDefault="00BC1170" w:rsidP="00BC1170">
      <w:pPr>
        <w:pStyle w:val="NoSpacing"/>
        <w:jc w:val="both"/>
        <w:rPr>
          <w:oMath/>
          <w:rFonts w:ascii="Cambria Math"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Cambria Math"/>
                <w:sz w:val="20"/>
              </w:rPr>
              <m:t>t</m:t>
            </m:r>
          </m:e>
          <m:sup>
            <m:f>
              <m:fPr>
                <m:ctrlPr>
                  <w:rPr>
                    <w:rFonts w:ascii="Cambria Math" w:hAnsi="Book Antiqua"/>
                    <w:i/>
                    <w:sz w:val="20"/>
                  </w:rPr>
                </m:ctrlPr>
              </m:fPr>
              <m:num>
                <m:r>
                  <w:rPr>
                    <w:rFonts w:ascii="Cambria Math" w:hAnsi="Book Antiqua"/>
                    <w:sz w:val="20"/>
                  </w:rPr>
                  <m:t>1</m:t>
                </m:r>
              </m:num>
              <m:den>
                <m:r>
                  <w:rPr>
                    <w:rFonts w:ascii="Cambria Math" w:hAnsi="Book Antiqua"/>
                    <w:sz w:val="20"/>
                  </w:rPr>
                  <m:t>2</m:t>
                </m:r>
              </m:den>
            </m:f>
          </m:sup>
        </m:sSup>
        <m:r>
          <w:rPr>
            <w:rFonts w:ascii="Cambria Math" w:hAnsi="Book Antiqua"/>
            <w:sz w:val="20"/>
          </w:rPr>
          <m:t xml:space="preserve"> )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can be written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Number</m:t>
        </m:r>
        <m:r>
          <w:rPr>
            <w:rFonts w:ascii="Cambria Math" w:hAnsi="Book Antiqua"/>
            <w:sz w:val="20"/>
          </w:rPr>
          <m:t xml:space="preserve"> </m:t>
        </m:r>
        <m:r>
          <w:rPr>
            <w:rFonts w:ascii="Cambria Math" w:hAnsi="Cambria Math"/>
            <w:sz w:val="20"/>
          </w:rPr>
          <m:t>of</m:t>
        </m:r>
        <m:r>
          <w:rPr>
            <w:rFonts w:ascii="Cambria Math" w:hAnsi="Book Antiqua"/>
            <w:sz w:val="20"/>
          </w:rPr>
          <m:t xml:space="preserve"> </m:t>
        </m:r>
        <m:r>
          <w:rPr>
            <w:rFonts w:ascii="Cambria Math" w:hAnsi="Cambria Math"/>
            <w:sz w:val="20"/>
          </w:rPr>
          <m:t>recombined</m:t>
        </m:r>
        <m:r>
          <w:rPr>
            <w:rFonts w:ascii="Cambria Math" w:hAnsi="Book Antiqua"/>
            <w:sz w:val="20"/>
          </w:rPr>
          <m:t xml:space="preserve"> </m:t>
        </m:r>
        <m:r>
          <w:rPr>
            <w:rFonts w:ascii="Cambria Math" w:hAnsi="Cambria Math"/>
            <w:sz w:val="20"/>
          </w:rPr>
          <m:t>PPP</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(10)</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However, the ZPE strength</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xml:space="preserve">, at any instant is proportional to the number of PPP that have recombined. Therefore we can the behavior of </w:t>
      </w:r>
      <m:oMath>
        <m:r>
          <w:rPr>
            <w:rFonts w:ascii="Cambria Math" w:hAnsi="Cambria Math"/>
            <w:sz w:val="20"/>
          </w:rPr>
          <m:t>U</m:t>
        </m:r>
      </m:oMath>
      <w:r w:rsidRPr="0005293A">
        <w:rPr>
          <w:rFonts w:ascii="Book Antiqua" w:hAnsi="Book Antiqua"/>
          <w:sz w:val="20"/>
        </w:rPr>
        <w:t xml:space="preserve"> is such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 (</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Inspection reveals the quantity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in (11) will increase with time and so is proportional to </w:t>
      </w:r>
      <m:oMath>
        <m:r>
          <w:rPr>
            <w:rFonts w:ascii="Cambria Math" w:hAnsi="Cambria Math"/>
            <w:sz w:val="20"/>
          </w:rPr>
          <m:t>t</m:t>
        </m:r>
        <m:r>
          <w:rPr>
            <w:rFonts w:ascii="Cambria Math" w:hAnsi="Book Antiqua"/>
            <w:sz w:val="20"/>
          </w:rPr>
          <m:t>.</m:t>
        </m:r>
      </m:oMath>
      <w:r w:rsidRPr="0005293A">
        <w:rPr>
          <w:rFonts w:ascii="Book Antiqua" w:hAnsi="Book Antiqua"/>
          <w:sz w:val="20"/>
        </w:rPr>
        <w:t xml:space="preserve"> But the build-up of PPP’s per unit volume is accompanied by a decrease in turbulence. This situation is very similar to chemical rate equations where the concentration of a reactant decreases while the concentration per unit volume of the end product(s) increases. The equation describing the process may be of the first order if the relationship is direct, while it is of the second order if it is a squared relationship [6]. In other cases, the order of the reaction can be more complex [6]. Our immediate purpose here is satisfied if </w:t>
      </w: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oMath>
      <w:r w:rsidRPr="0005293A">
        <w:rPr>
          <w:rFonts w:ascii="Book Antiqua" w:hAnsi="Book Antiqua"/>
          <w:sz w:val="20"/>
        </w:rPr>
        <w:t xml:space="preserve"> bears a second order relationship with </w:t>
      </w:r>
      <w:r w:rsidRPr="0005293A">
        <w:rPr>
          <w:rFonts w:ascii="Book Antiqua" w:hAnsi="Book Antiqua"/>
          <w:i/>
          <w:sz w:val="20"/>
        </w:rPr>
        <w:t>t</w:t>
      </w:r>
      <w:r w:rsidRPr="0005293A">
        <w:rPr>
          <w:rFonts w:ascii="Book Antiqua" w:hAnsi="Book Antiqua"/>
          <w:sz w:val="20"/>
        </w:rPr>
        <w:t>. If this is so, we can write</w:t>
      </w:r>
    </w:p>
    <w:p w:rsidR="00BC1170" w:rsidRPr="0005293A" w:rsidRDefault="00BC1170" w:rsidP="00BC1170">
      <w:pPr>
        <w:pStyle w:val="NoSpacing"/>
        <w:ind w:firstLine="720"/>
        <w:jc w:val="both"/>
        <w:rPr>
          <w:rFonts w:ascii="Book Antiqua" w:hAnsi="Book Antiqua"/>
          <w:sz w:val="20"/>
        </w:rPr>
      </w:pPr>
    </w:p>
    <w:p w:rsidR="00BC1170" w:rsidRPr="0005293A" w:rsidRDefault="007B3EBC" w:rsidP="00BC1170">
      <w:pPr>
        <w:pStyle w:val="NoSpacing"/>
        <w:ind w:firstLine="720"/>
        <w:jc w:val="right"/>
        <w:rPr>
          <w:rFonts w:ascii="Book Antiqua" w:hAnsi="Book Antiqua"/>
          <w:sz w:val="20"/>
        </w:rPr>
      </w:pPr>
      <m:oMath>
        <m:sSup>
          <m:sSupPr>
            <m:ctrlPr>
              <w:rPr>
                <w:rFonts w:ascii="Cambria Math" w:hAnsi="Book Antiqua"/>
                <w:i/>
                <w:sz w:val="20"/>
              </w:rPr>
            </m:ctrlPr>
          </m:sSupPr>
          <m:e>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m:t>
            </m:r>
          </m:e>
          <m:sup>
            <m:r>
              <w:rPr>
                <w:rFonts w:ascii="Cambria Math" w:hAnsi="Book Antiqua"/>
                <w:sz w:val="20"/>
              </w:rPr>
              <m:t>2</m:t>
            </m:r>
          </m:sup>
        </m:sSup>
        <m:r>
          <w:rPr>
            <w:rFonts w:ascii="Cambria Math" w:hAnsi="Book Antiqua"/>
            <w:sz w:val="20"/>
          </w:rPr>
          <m:t xml:space="preserve">  ~  </m:t>
        </m:r>
        <m:r>
          <w:rPr>
            <w:rFonts w:ascii="Cambria Math" w:hAnsi="Cambria Math"/>
            <w:sz w:val="20"/>
          </w:rPr>
          <m:t>t</m:t>
        </m:r>
        <m:r>
          <w:rPr>
            <w:rFonts w:ascii="Cambria Math" w:hAnsi="Book Antiqua"/>
            <w:sz w:val="20"/>
          </w:rPr>
          <m:t xml:space="preserve"> </m:t>
        </m:r>
      </m:oMath>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sz w:val="20"/>
        </w:rPr>
        <w:tab/>
      </w:r>
      <w:r w:rsidR="00BC1170" w:rsidRPr="0005293A">
        <w:rPr>
          <w:rFonts w:ascii="Book Antiqua" w:hAnsi="Book Antiqua"/>
          <w:i/>
          <w:sz w:val="20"/>
        </w:rPr>
        <w:t>(12)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Therefore,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m:t>
        </m:r>
        <m:sSub>
          <m:sSubPr>
            <m:ctrlPr>
              <w:rPr>
                <w:rFonts w:ascii="Cambria Math" w:hAnsi="Book Antiqua"/>
                <w:i/>
                <w:sz w:val="20"/>
              </w:rPr>
            </m:ctrlPr>
          </m:sSubPr>
          <m:e>
            <m:r>
              <w:rPr>
                <w:rFonts w:ascii="Cambria Math" w:hAnsi="Cambria Math"/>
                <w:sz w:val="20"/>
              </w:rPr>
              <m:t>N</m:t>
            </m:r>
          </m:e>
          <m:sub>
            <m:r>
              <w:rPr>
                <w:rFonts w:ascii="Cambria Math" w:hAnsi="Book Antiqua"/>
                <w:sz w:val="20"/>
              </w:rPr>
              <m:t>1</m:t>
            </m:r>
          </m:sub>
        </m:sSub>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N</m:t>
        </m:r>
        <m:r>
          <w:rPr>
            <w:rFonts w:ascii="Cambria Math" w:hAnsi="Book Antiqua"/>
            <w:sz w:val="20"/>
          </w:rPr>
          <m:t xml:space="preserve">) ~ </m:t>
        </m:r>
        <m:r>
          <w:rPr>
            <w:rFonts w:ascii="Cambria Math" w:hAnsi="Cambria Math"/>
            <w:sz w:val="20"/>
          </w:rPr>
          <m:t>y</m:t>
        </m:r>
        <m:r>
          <w:rPr>
            <w:rFonts w:ascii="Cambria Math" w:hAnsi="Book Antiqua"/>
            <w:sz w:val="20"/>
          </w:rPr>
          <m:t xml:space="preserve"> </m:t>
        </m:r>
        <m:r>
          <w:rPr>
            <w:rFonts w:ascii="Book Antiqua" w:hAnsi="Book Antiqua"/>
            <w:sz w:val="20"/>
          </w:rPr>
          <m:t>√</m:t>
        </m:r>
        <m:r>
          <w:rPr>
            <w:rFonts w:ascii="Cambria Math" w:hAnsi="Book Antiqua"/>
            <w:sz w:val="20"/>
          </w:rPr>
          <m:t xml:space="preserve"> </m:t>
        </m:r>
        <m:r>
          <w:rPr>
            <w:rFonts w:ascii="Cambria Math" w:hAnsi="Cambria Math"/>
            <w:sz w:val="20"/>
          </w:rPr>
          <m:t>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(13), </w:t>
      </w:r>
      <m:oMath>
        <m:r>
          <w:rPr>
            <w:rFonts w:ascii="Cambria Math" w:hAnsi="Cambria Math"/>
            <w:sz w:val="20"/>
          </w:rPr>
          <m:t>y</m:t>
        </m:r>
      </m:oMath>
      <w:r w:rsidRPr="0005293A">
        <w:rPr>
          <w:rFonts w:ascii="Book Antiqua" w:hAnsi="Book Antiqua"/>
          <w:sz w:val="20"/>
        </w:rPr>
        <w:t xml:space="preserve"> is some proportionality </w:t>
      </w:r>
      <w:proofErr w:type="gramStart"/>
      <w:r w:rsidRPr="0005293A">
        <w:rPr>
          <w:rFonts w:ascii="Book Antiqua" w:hAnsi="Book Antiqua"/>
          <w:sz w:val="20"/>
        </w:rPr>
        <w:t>constant.</w:t>
      </w:r>
      <w:proofErr w:type="gramEnd"/>
      <w:r w:rsidRPr="0005293A">
        <w:rPr>
          <w:rFonts w:ascii="Book Antiqua" w:hAnsi="Book Antiqua"/>
          <w:sz w:val="20"/>
        </w:rPr>
        <w:t xml:space="preserve"> As a result of substituting (13) in (11) we obtain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Cambria Math"/>
            <w:sz w:val="20"/>
          </w:rPr>
          <m:t>t</m:t>
        </m:r>
        <m:r>
          <w:rPr>
            <w:rFonts w:ascii="Cambria Math" w:hAnsi="Book Antiqua"/>
            <w:sz w:val="20"/>
          </w:rPr>
          <m:t xml:space="preserve">) + </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[(1+</m:t>
        </m:r>
        <m:r>
          <w:rPr>
            <w:rFonts w:ascii="Cambria Math" w:hAnsi="Cambria Math"/>
            <w:sz w:val="20"/>
          </w:rPr>
          <m:t>y</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(14)</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Since </w:t>
      </w:r>
      <m:oMath>
        <m:r>
          <w:rPr>
            <w:rFonts w:ascii="Cambria Math" w:hAnsi="Cambria Math"/>
            <w:sz w:val="20"/>
          </w:rPr>
          <m:t>y</m:t>
        </m:r>
      </m:oMath>
      <w:r w:rsidRPr="0005293A">
        <w:rPr>
          <w:rFonts w:ascii="Book Antiqua" w:hAnsi="Book Antiqua"/>
          <w:sz w:val="20"/>
        </w:rPr>
        <w:t xml:space="preserve"> is a constant, then we can put </w:t>
      </w:r>
      <m:oMath>
        <m:r>
          <w:rPr>
            <w:rFonts w:ascii="Cambria Math" w:hAnsi="Book Antiqua"/>
            <w:sz w:val="20"/>
          </w:rPr>
          <m:t xml:space="preserve">(1 + </m:t>
        </m:r>
        <m:r>
          <w:rPr>
            <w:rFonts w:ascii="Cambria Math" w:hAnsi="Cambria Math"/>
            <w:sz w:val="20"/>
          </w:rPr>
          <m:t>y</m:t>
        </m:r>
        <m:r>
          <w:rPr>
            <w:rFonts w:ascii="Cambria Math" w:hAnsi="Book Antiqua"/>
            <w:sz w:val="20"/>
          </w:rPr>
          <m:t xml:space="preserve">) = </m:t>
        </m:r>
        <m:r>
          <w:rPr>
            <w:rFonts w:ascii="Cambria Math" w:hAnsi="Cambria Math"/>
            <w:sz w:val="20"/>
          </w:rPr>
          <m:t>b</m:t>
        </m:r>
        <m:r>
          <w:rPr>
            <w:rFonts w:ascii="Cambria Math" w:hAnsi="Book Antiqua"/>
            <w:sz w:val="20"/>
          </w:rPr>
          <m:t xml:space="preserve"> </m:t>
        </m:r>
      </m:oMath>
      <w:r w:rsidRPr="0005293A">
        <w:rPr>
          <w:rFonts w:ascii="Book Antiqua" w:hAnsi="Book Antiqua"/>
          <w:sz w:val="20"/>
        </w:rPr>
        <w:t xml:space="preserve">and substitute this in (14). Then from (14) we can obtain the expression for the behavior of </w:t>
      </w:r>
      <w:r w:rsidRPr="0005293A">
        <w:rPr>
          <w:rFonts w:ascii="Book Antiqua" w:hAnsi="Book Antiqua"/>
          <w:i/>
          <w:sz w:val="20"/>
        </w:rPr>
        <w:t>U</w:t>
      </w:r>
      <w:r w:rsidRPr="0005293A">
        <w:rPr>
          <w:rFonts w:ascii="Book Antiqua" w:hAnsi="Book Antiqua"/>
          <w:sz w:val="20"/>
        </w:rPr>
        <w:t xml:space="preserve"> with time by taking the indefinite integral thus: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Book Antiqua" w:hAnsi="Book Antiqua"/>
            <w:sz w:val="20"/>
          </w:rPr>
          <m:t>∫</m:t>
        </m:r>
        <m:r>
          <w:rPr>
            <w:rFonts w:ascii="Cambria Math" w:hAnsi="Book Antiqua"/>
            <w:sz w:val="20"/>
          </w:rPr>
          <m:t xml:space="preserve"> </m:t>
        </m:r>
        <m:r>
          <w:rPr>
            <w:rFonts w:ascii="Cambria Math" w:hAnsi="Cambria Math"/>
            <w:sz w:val="20"/>
          </w:rPr>
          <m:t>dU</m:t>
        </m:r>
        <m:r>
          <w:rPr>
            <w:rFonts w:ascii="Cambria Math" w:hAnsi="Book Antiqua"/>
            <w:sz w:val="20"/>
          </w:rPr>
          <m:t>/</m:t>
        </m:r>
        <m:r>
          <w:rPr>
            <w:rFonts w:ascii="Cambria Math" w:hAnsi="Cambria Math"/>
            <w:sz w:val="20"/>
          </w:rPr>
          <m:t>dt</m:t>
        </m:r>
        <m:r>
          <w:rPr>
            <w:rFonts w:ascii="Cambria Math" w:hAnsi="Book Antiqua"/>
            <w:sz w:val="20"/>
          </w:rPr>
          <m:t xml:space="preserve">  =  </m:t>
        </m:r>
        <m:r>
          <w:rPr>
            <w:rFonts w:ascii="Book Antiqua" w:hAnsi="Book Antiqua"/>
            <w:sz w:val="20"/>
          </w:rPr>
          <m:t>∫</m:t>
        </m:r>
        <m:r>
          <w:rPr>
            <w:rFonts w:ascii="Cambria Math" w:hAnsi="Book Antiqua"/>
            <w:sz w:val="20"/>
          </w:rPr>
          <m:t xml:space="preserve"> </m:t>
        </m:r>
        <m:r>
          <w:rPr>
            <w:rFonts w:ascii="Cambria Math" w:hAnsi="Cambria Math"/>
            <w:sz w:val="20"/>
          </w:rPr>
          <m:t>b</m:t>
        </m:r>
        <m:r>
          <w:rPr>
            <w:rFonts w:ascii="Cambria Math" w:hAnsi="Book Antiqua"/>
            <w:sz w:val="20"/>
          </w:rPr>
          <m:t xml:space="preserve"> </m:t>
        </m:r>
        <m:r>
          <w:rPr>
            <w:rFonts w:ascii="Book Antiqua" w:hAnsi="Book Antiqua"/>
            <w:sz w:val="20"/>
          </w:rPr>
          <m:t>√</m:t>
        </m:r>
        <m:r>
          <w:rPr>
            <w:rFonts w:ascii="Cambria Math" w:hAnsi="Cambria Math"/>
            <w:sz w:val="20"/>
          </w:rPr>
          <m:t>t</m:t>
        </m:r>
        <m:r>
          <w:rPr>
            <w:rFonts w:ascii="Cambria Math" w:hAnsi="Book Antiqua"/>
            <w:sz w:val="20"/>
          </w:rPr>
          <m:t xml:space="preserve"> </m:t>
        </m:r>
        <m:r>
          <w:rPr>
            <w:rFonts w:ascii="Cambria Math" w:hAnsi="Cambria Math"/>
            <w:sz w:val="20"/>
          </w:rPr>
          <m:t>dt</m:t>
        </m:r>
        <m:r>
          <w:rPr>
            <w:rFonts w:ascii="Cambria Math" w:hAnsi="Book Antiqua"/>
            <w:sz w:val="20"/>
          </w:rPr>
          <m:t xml:space="preserve">  = (2/3) </m:t>
        </m:r>
        <m:r>
          <w:rPr>
            <w:rFonts w:ascii="Cambria Math" w:hAnsi="Cambria Math"/>
            <w:sz w:val="20"/>
          </w:rPr>
          <m:t>b</m:t>
        </m:r>
        <m:sSup>
          <m:sSupPr>
            <m:ctrlPr>
              <w:rPr>
                <w:rFonts w:ascii="Cambria Math" w:hAnsi="Book Antiqua"/>
                <w:i/>
                <w:sz w:val="20"/>
              </w:rPr>
            </m:ctrlPr>
          </m:sSupPr>
          <m:e>
            <m:r>
              <w:rPr>
                <w:rFonts w:ascii="Cambria Math" w:hAnsi="Cambria Math"/>
                <w:sz w:val="20"/>
              </w:rPr>
              <m:t>t</m:t>
            </m:r>
          </m:e>
          <m:sup>
            <m:r>
              <w:rPr>
                <w:rFonts w:ascii="Cambria Math" w:hAnsi="Book Antiqua"/>
                <w:sz w:val="20"/>
              </w:rPr>
              <m:t>3/2</m:t>
            </m:r>
          </m:sup>
        </m:sSup>
        <m:r>
          <w:rPr>
            <w:rFonts w:ascii="Cambria Math" w:hAnsi="Book Antiqua"/>
            <w:sz w:val="20"/>
          </w:rPr>
          <m:t xml:space="preserve">   =   (</m:t>
        </m:r>
        <m:r>
          <w:rPr>
            <w:rFonts w:ascii="Cambria Math" w:hAnsi="Cambria Math"/>
            <w:sz w:val="20"/>
          </w:rPr>
          <m:t>k</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Cambria Math"/>
            <w:sz w:val="20"/>
          </w:rPr>
          <m:t>t</m:t>
        </m:r>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(15)</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(15) the substitution has been made that </w:t>
      </w:r>
      <m:oMath>
        <m:r>
          <w:rPr>
            <w:rFonts w:ascii="Cambria Math" w:hAnsi="Cambria Math"/>
            <w:sz w:val="20"/>
          </w:rPr>
          <m:t>k</m:t>
        </m:r>
        <m:r>
          <w:rPr>
            <w:rFonts w:ascii="Cambria Math" w:hAnsi="Book Antiqua"/>
            <w:sz w:val="20"/>
          </w:rPr>
          <m:t xml:space="preserve"> = (2/3)</m:t>
        </m:r>
        <m:r>
          <w:rPr>
            <w:rFonts w:ascii="Cambria Math" w:hAnsi="Cambria Math"/>
            <w:sz w:val="20"/>
          </w:rPr>
          <m:t>b</m:t>
        </m:r>
      </m:oMath>
      <w:r w:rsidRPr="0005293A">
        <w:rPr>
          <w:rFonts w:ascii="Book Antiqua" w:hAnsi="Book Antiqua"/>
          <w:sz w:val="20"/>
        </w:rPr>
        <w:t xml:space="preserve"> where </w:t>
      </w:r>
      <m:oMath>
        <m:r>
          <w:rPr>
            <w:rFonts w:ascii="Cambria Math" w:hAnsi="Cambria Math"/>
            <w:sz w:val="20"/>
          </w:rPr>
          <m:t>k</m:t>
        </m:r>
      </m:oMath>
      <w:r w:rsidRPr="0005293A">
        <w:rPr>
          <w:rFonts w:ascii="Book Antiqua" w:hAnsi="Book Antiqua"/>
          <w:sz w:val="20"/>
        </w:rPr>
        <w:t xml:space="preserve"> is some constant. Recalling that astronomical applications require the time </w:t>
      </w:r>
      <m:oMath>
        <m:r>
          <w:rPr>
            <w:rFonts w:ascii="Cambria Math" w:hAnsi="Cambria Math"/>
            <w:sz w:val="20"/>
          </w:rPr>
          <m:t>t</m:t>
        </m:r>
      </m:oMath>
      <w:r w:rsidRPr="0005293A">
        <w:rPr>
          <w:rFonts w:ascii="Book Antiqua" w:hAnsi="Book Antiqua"/>
          <w:sz w:val="20"/>
        </w:rPr>
        <w:t xml:space="preserve"> to be in terms of </w:t>
      </w:r>
      <w:proofErr w:type="gramStart"/>
      <w:r w:rsidRPr="0005293A">
        <w:rPr>
          <w:rFonts w:ascii="Book Antiqua" w:hAnsi="Book Antiqua"/>
          <w:sz w:val="20"/>
        </w:rPr>
        <w:t xml:space="preserve">time </w:t>
      </w:r>
      <m:oMath>
        <w:proofErr w:type="gramEnd"/>
        <m:r>
          <w:rPr>
            <w:rFonts w:ascii="Cambria Math" w:hAnsi="Cambria Math"/>
            <w:sz w:val="20"/>
          </w:rPr>
          <m:t>T</m:t>
        </m:r>
      </m:oMath>
      <w:r w:rsidRPr="0005293A">
        <w:rPr>
          <w:rFonts w:ascii="Book Antiqua" w:hAnsi="Book Antiqua"/>
          <w:sz w:val="20"/>
        </w:rPr>
        <w:t>, we substitute (2) in (15) to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 xml:space="preserve">)  (1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t xml:space="preserve"> (16)</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It is then mathematically correct to multiply both numerator and denominator </w:t>
      </w:r>
      <w:proofErr w:type="gramStart"/>
      <w:r w:rsidRPr="0005293A">
        <w:rPr>
          <w:rFonts w:ascii="Book Antiqua" w:hAnsi="Book Antiqua"/>
          <w:sz w:val="20"/>
        </w:rPr>
        <w:t xml:space="preserve">by </w:t>
      </w:r>
      <m:oMath>
        <w:proofErr w:type="gramEnd"/>
        <m:r>
          <w:rPr>
            <w:rFonts w:ascii="Cambria Math" w:hAnsi="Book Antiqua"/>
            <w:sz w:val="20"/>
          </w:rPr>
          <m:t xml:space="preserve">(1 + </m:t>
        </m:r>
        <m:r>
          <w:rPr>
            <w:rFonts w:ascii="Cambria Math" w:hAnsi="Cambria Math"/>
            <w:sz w:val="20"/>
          </w:rPr>
          <m:t>T</m:t>
        </m:r>
        <m:r>
          <w:rPr>
            <w:rFonts w:ascii="Cambria Math" w:hAnsi="Book Antiqua"/>
            <w:sz w:val="20"/>
          </w:rPr>
          <m:t>)</m:t>
        </m:r>
      </m:oMath>
      <w:r w:rsidRPr="0005293A">
        <w:rPr>
          <w:rFonts w:ascii="Book Antiqua" w:hAnsi="Book Antiqua"/>
          <w:sz w:val="20"/>
        </w:rPr>
        <w:t>. When this is done, it emerges that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Cambria Math" w:hAnsi="Cambria Math"/>
            <w:sz w:val="20"/>
          </w:rPr>
          <m:t>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m:t>
        </m:r>
        <m:r>
          <w:rPr>
            <w:rFonts w:ascii="Book Antiqua" w:hAnsi="Book Antiqua"/>
            <w:sz w:val="20"/>
          </w:rPr>
          <m:t>√</m:t>
        </m:r>
        <m:r>
          <w:rPr>
            <w:rFonts w:ascii="Cambria Math" w:hAnsi="Book Antiqua"/>
            <w:sz w:val="20"/>
          </w:rPr>
          <m:t>(1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 </m:t>
        </m:r>
        <m:r>
          <w:rPr>
            <w:rFonts w:ascii="Cambria Math" w:hAnsi="Cambria Math"/>
            <w:sz w:val="20"/>
          </w:rPr>
          <m:t>k</m:t>
        </m:r>
        <m:r>
          <w:rPr>
            <w:rFonts w:ascii="Cambria Math" w:hAnsi="Book Antiqua"/>
            <w:sz w:val="20"/>
          </w:rPr>
          <m:t>(1</m:t>
        </m:r>
        <m:r>
          <w:rPr>
            <w:rFonts w:ascii="Book Antiqua" w:hAnsi="Book Antiqua"/>
            <w:sz w:val="20"/>
          </w:rPr>
          <m:t>–</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 xml:space="preserve">) </m:t>
        </m:r>
        <m:r>
          <w:rPr>
            <w:rFonts w:ascii="Book Antiqua" w:hAnsi="Book Antiqua"/>
            <w:sz w:val="20"/>
          </w:rPr>
          <m:t>√</m:t>
        </m:r>
        <m:r>
          <w:rPr>
            <w:rFonts w:ascii="Cambria Math" w:hAnsi="Book Antiqua"/>
            <w:sz w:val="20"/>
          </w:rPr>
          <m:t xml:space="preserve"> (1</m:t>
        </m:r>
        <m:r>
          <w:rPr>
            <w:rFonts w:ascii="Book Antiqua" w:hAnsi="Book Antiqua"/>
            <w:sz w:val="20"/>
          </w:rPr>
          <m:t>–</m:t>
        </m:r>
        <m:r>
          <w:rPr>
            <w:rFonts w:ascii="Cambria Math" w:hAnsi="Cambria Math"/>
            <w:sz w:val="20"/>
          </w:rPr>
          <m:t>T</m:t>
        </m:r>
        <m:r>
          <w:rPr>
            <w:rFonts w:ascii="Cambria Math" w:hAnsi="Book Antiqua"/>
            <w:sz w:val="20"/>
          </w:rPr>
          <m:t>)/(1+</m:t>
        </m:r>
        <m:r>
          <w:rPr>
            <w:rFonts w:ascii="Cambria Math" w:hAnsi="Cambria Math"/>
            <w:sz w:val="20"/>
          </w:rPr>
          <m:t>T</m:t>
        </m:r>
        <m:r>
          <w:rPr>
            <w:rFonts w:ascii="Cambria Math" w:hAnsi="Book Antiqua"/>
            <w:sz w:val="20"/>
          </w:rPr>
          <m:t xml:space="preserve">)  </m:t>
        </m:r>
      </m:oMath>
      <w:r w:rsidRPr="0005293A">
        <w:rPr>
          <w:rFonts w:ascii="Book Antiqua" w:hAnsi="Book Antiqua"/>
          <w:sz w:val="20"/>
        </w:rPr>
        <w:t xml:space="preserve">     </w:t>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(17)</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However, in these equations, </w:t>
      </w:r>
      <m:oMath>
        <m:r>
          <w:rPr>
            <w:rFonts w:ascii="Cambria Math" w:hAnsi="Cambria Math"/>
            <w:sz w:val="20"/>
          </w:rPr>
          <m:t>T</m:t>
        </m:r>
      </m:oMath>
      <w:r w:rsidRPr="0005293A">
        <w:rPr>
          <w:rFonts w:ascii="Book Antiqua" w:hAnsi="Book Antiqua"/>
          <w:sz w:val="20"/>
        </w:rPr>
        <w:t xml:space="preserve"> lies between zero and one so we write</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0 </m:t>
        </m:r>
        <m:r>
          <w:rPr>
            <w:rFonts w:ascii="Book Antiqua" w:hAnsi="Book Antiqua"/>
            <w:sz w:val="20"/>
            <w:u w:val="single"/>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Book Antiqua"/>
            <w:sz w:val="20"/>
            <w:u w:val="single"/>
          </w:rPr>
          <m:t>≤</m:t>
        </m:r>
        <m:r>
          <w:rPr>
            <w:rFonts w:ascii="Cambria Math" w:hAnsi="Book Antiqua"/>
            <w:sz w:val="20"/>
          </w:rPr>
          <m:t xml:space="preserve"> 1</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(18)</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Therefore </w:t>
      </w:r>
      <m:oMath>
        <m:r>
          <w:rPr>
            <w:rFonts w:ascii="Cambria Math" w:hAnsi="Cambria Math"/>
            <w:sz w:val="20"/>
          </w:rPr>
          <m:t>T</m:t>
        </m:r>
      </m:oMath>
      <w:r w:rsidRPr="0005293A">
        <w:rPr>
          <w:rFonts w:ascii="Book Antiqua" w:hAnsi="Book Antiqua"/>
          <w:sz w:val="20"/>
        </w:rPr>
        <w:t xml:space="preserve"> is small. And with small numbers the substitution</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r>
          <w:rPr>
            <w:rFonts w:ascii="Cambria Math" w:hAnsi="Cambria Math"/>
            <w:sz w:val="20"/>
          </w:rPr>
          <m:t>T</m:t>
        </m:r>
        <m:r>
          <w:rPr>
            <w:rFonts w:ascii="Cambria Math" w:hAnsi="Book Antiqua"/>
            <w:sz w:val="20"/>
          </w:rPr>
          <m:t xml:space="preserve">)  </m:t>
        </m:r>
        <m:r>
          <w:rPr>
            <w:rFonts w:ascii="Book Antiqua" w:hAnsi="Cambria Math"/>
            <w:sz w:val="20"/>
          </w:rPr>
          <m:t>≅</m:t>
        </m:r>
        <m:r>
          <w:rPr>
            <w:rFonts w:ascii="Cambria Math" w:hAnsi="Book Antiqua"/>
            <w:sz w:val="20"/>
          </w:rPr>
          <m:t xml:space="preserve">  </m:t>
        </m:r>
        <m:r>
          <w:rPr>
            <w:rFonts w:ascii="Book Antiqua" w:hAnsi="Book Antiqua"/>
            <w:sz w:val="20"/>
          </w:rPr>
          <m:t>√</m:t>
        </m:r>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(19)</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roofErr w:type="gramStart"/>
      <w:r w:rsidRPr="0005293A">
        <w:rPr>
          <w:rFonts w:ascii="Book Antiqua" w:hAnsi="Book Antiqua"/>
          <w:sz w:val="20"/>
        </w:rPr>
        <w:t>is</w:t>
      </w:r>
      <w:proofErr w:type="gramEnd"/>
      <w:r w:rsidRPr="0005293A">
        <w:rPr>
          <w:rFonts w:ascii="Book Antiqua" w:hAnsi="Book Antiqua"/>
          <w:sz w:val="20"/>
        </w:rPr>
        <w:t xml:space="preserve"> valid, where the symbol </w:t>
      </w:r>
      <m:oMath>
        <m:r>
          <w:rPr>
            <w:rFonts w:ascii="Book Antiqua" w:hAnsi="Cambria Math"/>
            <w:sz w:val="20"/>
          </w:rPr>
          <m:t>≅</m:t>
        </m:r>
      </m:oMath>
      <w:r w:rsidRPr="0005293A">
        <w:rPr>
          <w:rFonts w:ascii="Book Antiqua" w:hAnsi="Book Antiqua"/>
          <w:sz w:val="20"/>
        </w:rPr>
        <w:t xml:space="preserve"> means “approximately equal to.” Thus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0)</m:t>
        </m:r>
      </m:oMath>
      <w:r w:rsidRPr="0005293A">
        <w:rPr>
          <w:rFonts w:ascii="Book Antiqua" w:hAnsi="Book Antiqua"/>
          <w:sz w:val="20"/>
        </w:rPr>
        <w:t xml:space="preserve">, both sides of the equation equal one. </w:t>
      </w:r>
      <w:proofErr w:type="gramStart"/>
      <w:r w:rsidRPr="0005293A">
        <w:rPr>
          <w:rFonts w:ascii="Book Antiqua" w:hAnsi="Book Antiqua"/>
          <w:sz w:val="20"/>
        </w:rPr>
        <w:t xml:space="preserve">When </w:t>
      </w:r>
      <m:oMath>
        <w:proofErr w:type="gramEnd"/>
        <m:r>
          <w:rPr>
            <w:rFonts w:ascii="Cambria Math" w:hAnsi="Book Antiqua"/>
            <w:sz w:val="20"/>
          </w:rPr>
          <m:t>(</m:t>
        </m:r>
        <m:r>
          <w:rPr>
            <w:rFonts w:ascii="Cambria Math" w:hAnsi="Cambria Math"/>
            <w:sz w:val="20"/>
          </w:rPr>
          <m:t>T</m:t>
        </m:r>
        <m:r>
          <w:rPr>
            <w:rFonts w:ascii="Cambria Math" w:hAnsi="Book Antiqua"/>
            <w:sz w:val="20"/>
          </w:rPr>
          <m:t xml:space="preserve"> = 1)</m:t>
        </m:r>
      </m:oMath>
      <w:r w:rsidRPr="0005293A">
        <w:rPr>
          <w:rFonts w:ascii="Book Antiqua" w:hAnsi="Book Antiqua"/>
          <w:sz w:val="20"/>
        </w:rPr>
        <w:t>, both sides of the equation equal zero. Therefore at the limits of the equation, the results are entirely concordant. If we make this adjustment to (17) we get</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Cambria Math"/>
            <w:sz w:val="20"/>
          </w:rPr>
          <m:t>U</m:t>
        </m:r>
        <m:r>
          <w:rPr>
            <w:rFonts w:ascii="Cambria Math" w:hAnsi="Book Antiqua"/>
            <w:sz w:val="20"/>
          </w:rPr>
          <m:t xml:space="preserve">  = ( </m:t>
        </m:r>
        <m:r>
          <w:rPr>
            <w:rFonts w:ascii="Cambria Math" w:hAnsi="Cambria Math"/>
            <w:sz w:val="20"/>
          </w:rPr>
          <m:t>K</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xml:space="preserve">] / (1 + </m:t>
        </m:r>
        <m:r>
          <w:rPr>
            <w:rFonts w:ascii="Cambria Math" w:hAnsi="Cambria Math"/>
            <w:sz w:val="20"/>
          </w:rPr>
          <m:t>T</m:t>
        </m:r>
        <m:r>
          <w:rPr>
            <w:rFonts w:ascii="Cambria Math" w:hAnsi="Book Antiqua"/>
            <w:sz w:val="20"/>
          </w:rPr>
          <m:t>)</m:t>
        </m:r>
      </m:oMath>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 xml:space="preserve"> (20)</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In (20), </w:t>
      </w:r>
      <m:oMath>
        <m:r>
          <w:rPr>
            <w:rFonts w:ascii="Cambria Math" w:hAnsi="Cambria Math"/>
            <w:sz w:val="20"/>
          </w:rPr>
          <m:t>K</m:t>
        </m:r>
      </m:oMath>
      <w:r w:rsidRPr="0005293A">
        <w:rPr>
          <w:rFonts w:ascii="Book Antiqua" w:hAnsi="Book Antiqua"/>
          <w:sz w:val="20"/>
        </w:rPr>
        <w:t xml:space="preserve"> is a proportionality constant which includes the link between </w:t>
      </w:r>
      <m:oMath>
        <m:r>
          <w:rPr>
            <w:rFonts w:ascii="Cambria Math" w:hAnsi="Cambria Math"/>
            <w:sz w:val="20"/>
          </w:rPr>
          <m:t>U</m:t>
        </m:r>
      </m:oMath>
      <w:r w:rsidRPr="0005293A">
        <w:rPr>
          <w:rFonts w:ascii="Book Antiqua" w:hAnsi="Book Antiqua"/>
          <w:sz w:val="20"/>
        </w:rPr>
        <w:t xml:space="preserve"> and atomic phenomena as discussed in Chapter </w:t>
      </w:r>
      <w:proofErr w:type="gramStart"/>
      <w:r w:rsidRPr="0005293A">
        <w:rPr>
          <w:rFonts w:ascii="Book Antiqua" w:hAnsi="Book Antiqua"/>
          <w:sz w:val="20"/>
        </w:rPr>
        <w:t>4.</w:t>
      </w:r>
      <w:proofErr w:type="gramEnd"/>
      <w:r w:rsidRPr="0005293A">
        <w:rPr>
          <w:rFonts w:ascii="Book Antiqua" w:hAnsi="Book Antiqua"/>
          <w:sz w:val="20"/>
        </w:rPr>
        <w:t xml:space="preserve"> Since the redshift quantity </w:t>
      </w:r>
      <m:oMath>
        <m:r>
          <w:rPr>
            <w:rFonts w:ascii="Cambria Math" w:hAnsi="Book Antiqua"/>
            <w:sz w:val="20"/>
          </w:rPr>
          <m:t xml:space="preserve">(1 + </m:t>
        </m:r>
        <m:r>
          <w:rPr>
            <w:rFonts w:ascii="Cambria Math" w:hAnsi="Cambria Math"/>
            <w:sz w:val="20"/>
          </w:rPr>
          <m:t>z</m:t>
        </m:r>
        <m:r>
          <w:rPr>
            <w:rFonts w:ascii="Cambria Math" w:hAnsi="Book Antiqua"/>
            <w:sz w:val="20"/>
          </w:rPr>
          <m:t xml:space="preserve">) </m:t>
        </m:r>
      </m:oMath>
      <w:r w:rsidRPr="0005293A">
        <w:rPr>
          <w:rFonts w:ascii="Book Antiqua" w:hAnsi="Book Antiqua"/>
          <w:sz w:val="20"/>
        </w:rPr>
        <w:t>is inversely related to the ZPE energy density</w:t>
      </w:r>
      <w:proofErr w:type="gramStart"/>
      <w:r w:rsidRPr="0005293A">
        <w:rPr>
          <w:rFonts w:ascii="Book Antiqua" w:hAnsi="Book Antiqua"/>
          <w:sz w:val="20"/>
        </w:rPr>
        <w:t xml:space="preserve">, </w:t>
      </w:r>
      <m:oMath>
        <w:proofErr w:type="gramEnd"/>
        <m:r>
          <w:rPr>
            <w:rFonts w:ascii="Cambria Math" w:hAnsi="Cambria Math"/>
            <w:sz w:val="20"/>
          </w:rPr>
          <m:t>U</m:t>
        </m:r>
      </m:oMath>
      <w:r w:rsidRPr="0005293A">
        <w:rPr>
          <w:rFonts w:ascii="Book Antiqua" w:hAnsi="Book Antiqua"/>
          <w:sz w:val="20"/>
        </w:rPr>
        <w:t>, then we can invert (20) so that it reads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r>
              <w:rPr>
                <w:rFonts w:ascii="Cambria Math" w:hAnsi="Book Antiqua"/>
                <w:sz w:val="20"/>
              </w:rPr>
              <m:t>)</m:t>
            </m:r>
          </m:e>
          <m:sup>
            <m:r>
              <w:rPr>
                <w:rFonts w:ascii="Cambria Math" w:hAnsi="Book Antiqua"/>
                <w:sz w:val="20"/>
              </w:rPr>
              <m:t>3/2</m:t>
            </m:r>
          </m:sup>
        </m:sSup>
        <m:r>
          <w:rPr>
            <w:rFonts w:ascii="Cambria Math" w:hAnsi="Book Antiqua"/>
            <w:sz w:val="20"/>
          </w:rPr>
          <m:t>]} +(1</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 xml:space="preserve"> (21)</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 xml:space="preserve">We obtain good agreement with the data out to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=1</m:t>
        </m:r>
      </m:oMath>
      <w:r w:rsidRPr="0005293A">
        <w:rPr>
          <w:rFonts w:ascii="Book Antiqua" w:hAnsi="Book Antiqua"/>
          <w:sz w:val="20"/>
        </w:rPr>
        <w:t xml:space="preserve">, or thereabouts, if we put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 0.5</m:t>
        </m:r>
      </m:oMath>
      <w:r w:rsidRPr="0005293A">
        <w:rPr>
          <w:rFonts w:ascii="Book Antiqua" w:hAnsi="Book Antiqua"/>
          <w:i/>
          <w:sz w:val="20"/>
        </w:rPr>
        <w:t xml:space="preserve">. </w:t>
      </w:r>
      <w:r w:rsidRPr="0005293A">
        <w:rPr>
          <w:rFonts w:ascii="Book Antiqua" w:hAnsi="Book Antiqua"/>
          <w:sz w:val="20"/>
        </w:rPr>
        <w:t>Eq</w:t>
      </w:r>
      <w:r w:rsidRPr="0005293A">
        <w:rPr>
          <w:rFonts w:ascii="Book Antiqua" w:hAnsi="Book Antiqua"/>
          <w:i/>
          <w:sz w:val="20"/>
        </w:rPr>
        <w:t>.</w:t>
      </w:r>
      <w:r w:rsidRPr="0005293A">
        <w:rPr>
          <w:rFonts w:ascii="Book Antiqua" w:hAnsi="Book Antiqua"/>
          <w:sz w:val="20"/>
        </w:rPr>
        <w:t xml:space="preserve"> (21) then becomes</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xml:space="preserve">) = {(0.5) (1 + </m:t>
        </m:r>
        <m:r>
          <w:rPr>
            <w:rFonts w:ascii="Cambria Math" w:hAnsi="Cambria Math"/>
            <w:sz w:val="20"/>
          </w:rPr>
          <m:t>T</m:t>
        </m:r>
        <m:r>
          <w:rPr>
            <w:rFonts w:ascii="Cambria Math" w:hAnsi="Book Antiqua"/>
            <w:sz w:val="20"/>
          </w:rPr>
          <m:t>)/[</m:t>
        </m:r>
        <m:sSup>
          <m:sSupPr>
            <m:ctrlPr>
              <w:rPr>
                <w:rFonts w:ascii="Cambria Math" w:hAnsi="Book Antiqua"/>
                <w:i/>
                <w:sz w:val="20"/>
              </w:rPr>
            </m:ctrlPr>
          </m:sSupPr>
          <m:e>
            <m:d>
              <m:dPr>
                <m:ctrlPr>
                  <w:rPr>
                    <w:rFonts w:ascii="Cambria Math" w:hAnsi="Book Antiqua"/>
                    <w:i/>
                    <w:sz w:val="20"/>
                  </w:rPr>
                </m:ctrlPr>
              </m:d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Book Antiqua"/>
                        <w:sz w:val="20"/>
                      </w:rPr>
                      <m:t>2</m:t>
                    </m:r>
                  </m:sup>
                </m:sSup>
              </m:e>
            </m:d>
          </m:e>
          <m:sup>
            <m:f>
              <m:fPr>
                <m:ctrlPr>
                  <w:rPr>
                    <w:rFonts w:ascii="Cambria Math" w:hAnsi="Book Antiqua"/>
                    <w:i/>
                    <w:sz w:val="20"/>
                  </w:rPr>
                </m:ctrlPr>
              </m:fPr>
              <m:num>
                <m:r>
                  <w:rPr>
                    <w:rFonts w:ascii="Cambria Math" w:hAnsi="Book Antiqua"/>
                    <w:sz w:val="20"/>
                  </w:rPr>
                  <m:t>3</m:t>
                </m:r>
              </m:num>
              <m:den>
                <m:r>
                  <w:rPr>
                    <w:rFonts w:ascii="Cambria Math" w:hAnsi="Book Antiqua"/>
                    <w:sz w:val="20"/>
                  </w:rPr>
                  <m:t>2</m:t>
                </m:r>
              </m:den>
            </m:f>
          </m:sup>
        </m:sSup>
        <m:r>
          <w:rPr>
            <w:rFonts w:ascii="Cambria Math" w:hAnsi="Book Antiqua"/>
            <w:sz w:val="20"/>
          </w:rPr>
          <m:t>]} +</m:t>
        </m:r>
        <m:d>
          <m:dPr>
            <m:ctrlPr>
              <w:rPr>
                <w:rFonts w:ascii="Cambria Math" w:hAnsi="Book Antiqua"/>
                <w:i/>
                <w:sz w:val="20"/>
              </w:rPr>
            </m:ctrlPr>
          </m:dPr>
          <m:e>
            <m:r>
              <w:rPr>
                <w:rFonts w:ascii="Cambria Math" w:hAnsi="Book Antiqua"/>
                <w:sz w:val="20"/>
              </w:rPr>
              <m:t>0.5</m:t>
            </m:r>
          </m:e>
        </m:d>
        <m:r>
          <w:rPr>
            <w:rFonts w:ascii="Cambria Math" w:hAnsi="Book Antiqua"/>
            <w:sz w:val="20"/>
          </w:rPr>
          <m:t xml:space="preserve"> </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sz w:val="20"/>
        </w:rPr>
        <w:tab/>
      </w:r>
      <w:r w:rsidRPr="0005293A">
        <w:rPr>
          <w:rFonts w:ascii="Book Antiqua" w:hAnsi="Book Antiqua"/>
          <w:sz w:val="20"/>
        </w:rPr>
        <w:tab/>
      </w:r>
      <w:r w:rsidRPr="0005293A">
        <w:rPr>
          <w:rFonts w:ascii="Book Antiqua" w:hAnsi="Book Antiqua"/>
          <w:i/>
          <w:sz w:val="20"/>
        </w:rPr>
        <w:t>(22)</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r w:rsidRPr="0005293A">
        <w:rPr>
          <w:rFonts w:ascii="Book Antiqua" w:hAnsi="Book Antiqua"/>
          <w:sz w:val="20"/>
        </w:rPr>
        <w:t>This equation then has the form</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right"/>
        <w:rPr>
          <w:rFonts w:ascii="Book Antiqua" w:hAnsi="Book Antiqua"/>
          <w:i/>
          <w:sz w:val="20"/>
        </w:rPr>
      </w:pPr>
      <m:oMath>
        <m:r>
          <w:rPr>
            <w:rFonts w:ascii="Cambria Math" w:hAnsi="Book Antiqua"/>
            <w:sz w:val="20"/>
          </w:rPr>
          <m:t xml:space="preserve">(1 + </m:t>
        </m:r>
        <m:r>
          <w:rPr>
            <w:rFonts w:ascii="Cambria Math" w:hAnsi="Cambria Math"/>
            <w:sz w:val="20"/>
          </w:rPr>
          <m:t>z</m:t>
        </m:r>
        <m:r>
          <w:rPr>
            <w:rFonts w:ascii="Cambria Math" w:hAnsi="Book Antiqua"/>
            <w:sz w:val="20"/>
          </w:rPr>
          <m:t>) =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 xml:space="preserve">) (1 + </m:t>
        </m:r>
        <m:r>
          <w:rPr>
            <w:rFonts w:ascii="Cambria Math" w:hAnsi="Cambria Math"/>
            <w:sz w:val="20"/>
          </w:rPr>
          <m:t>T</m:t>
        </m:r>
        <m:r>
          <w:rPr>
            <w:rFonts w:ascii="Cambria Math" w:hAnsi="Book Antiqua"/>
            <w:sz w:val="20"/>
          </w:rPr>
          <m:t>)/[</m:t>
        </m:r>
        <m:sSup>
          <m:sSupPr>
            <m:ctrlPr>
              <w:rPr>
                <w:rFonts w:ascii="Cambria Math" w:hAnsi="Book Antiqua"/>
                <w:i/>
                <w:sz w:val="20"/>
              </w:rPr>
            </m:ctrlPr>
          </m:sSupPr>
          <m:e>
            <m:r>
              <w:rPr>
                <w:rFonts w:ascii="Cambria Math" w:hAnsi="Book Antiqua"/>
                <w:sz w:val="20"/>
              </w:rPr>
              <m:t xml:space="preserve">(1 </m:t>
            </m:r>
            <m:r>
              <w:rPr>
                <w:rFonts w:ascii="Book Antiqua" w:hAnsi="Book Antiqua"/>
                <w:sz w:val="20"/>
              </w:rPr>
              <m:t>–</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T</m:t>
                </m:r>
              </m:e>
              <m:sup>
                <m:r>
                  <w:rPr>
                    <w:rFonts w:ascii="Cambria Math" w:hAnsi="Cambria Math"/>
                    <w:sz w:val="20"/>
                  </w:rPr>
                  <m:t>a</m:t>
                </m:r>
              </m:sup>
            </m:sSup>
            <m:r>
              <w:rPr>
                <w:rFonts w:ascii="Cambria Math" w:hAnsi="Book Antiqua"/>
                <w:sz w:val="20"/>
              </w:rPr>
              <m:t>)</m:t>
            </m:r>
          </m:e>
          <m:sup>
            <m:r>
              <w:rPr>
                <w:rFonts w:ascii="Cambria Math" w:hAnsi="Cambria Math"/>
                <w:sz w:val="20"/>
              </w:rPr>
              <m:t>b</m:t>
            </m:r>
          </m:sup>
        </m:sSup>
        <m:r>
          <w:rPr>
            <w:rFonts w:ascii="Cambria Math" w:hAnsi="Book Antiqua"/>
            <w:sz w:val="20"/>
          </w:rPr>
          <m:t xml:space="preserve">]} +(1 </m:t>
        </m:r>
        <m:r>
          <w:rPr>
            <w:rFonts w:ascii="Book Antiqua" w:hAnsi="Book Antiqua"/>
            <w:sz w:val="20"/>
          </w:rPr>
          <m:t>–</m:t>
        </m:r>
        <m:r>
          <w:rPr>
            <w:rFonts w:ascii="Cambria Math" w:hAnsi="Book Antiqua"/>
            <w:sz w:val="20"/>
          </w:rPr>
          <m:t xml:space="preserve"> </m:t>
        </m:r>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r>
          <w:rPr>
            <w:rFonts w:ascii="Cambria Math" w:hAnsi="Book Antiqua"/>
            <w:sz w:val="20"/>
          </w:rPr>
          <m:t>)</m:t>
        </m:r>
      </m:oMath>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r>
      <w:r w:rsidRPr="0005293A">
        <w:rPr>
          <w:rFonts w:ascii="Book Antiqua" w:hAnsi="Book Antiqua"/>
          <w:i/>
          <w:sz w:val="20"/>
        </w:rPr>
        <w:tab/>
        <w:t>(23)</w:t>
      </w: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both"/>
        <w:rPr>
          <w:rFonts w:ascii="Book Antiqua" w:hAnsi="Book Antiqua"/>
          <w:sz w:val="20"/>
        </w:rPr>
      </w:pPr>
    </w:p>
    <w:p w:rsidR="00BC1170" w:rsidRPr="0005293A" w:rsidRDefault="00BC1170" w:rsidP="00BC1170">
      <w:pPr>
        <w:pStyle w:val="NoSpacing"/>
        <w:jc w:val="center"/>
        <w:rPr>
          <w:rFonts w:ascii="Book Antiqua" w:hAnsi="Book Antiqua"/>
          <w:i/>
          <w:sz w:val="20"/>
        </w:rPr>
      </w:pPr>
      <w:r w:rsidRPr="0005293A">
        <w:rPr>
          <w:rFonts w:ascii="Book Antiqua" w:hAnsi="Book Antiqua"/>
          <w:noProof/>
          <w:sz w:val="20"/>
        </w:rPr>
        <w:lastRenderedPageBreak/>
        <w:drawing>
          <wp:inline distT="0" distB="0" distL="0" distR="0">
            <wp:extent cx="4143375" cy="4543425"/>
            <wp:effectExtent l="19050" t="0" r="9525" b="0"/>
            <wp:docPr id="14"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6"/>
              </a:graphicData>
            </a:graphic>
          </wp:inline>
        </w:drawing>
      </w:r>
    </w:p>
    <w:p w:rsidR="00BC1170" w:rsidRPr="0005293A" w:rsidRDefault="00BC1170" w:rsidP="00BC1170">
      <w:pPr>
        <w:pStyle w:val="NoSpacing"/>
        <w:jc w:val="both"/>
        <w:rPr>
          <w:rFonts w:ascii="Book Antiqua" w:hAnsi="Book Antiqua"/>
          <w:b/>
          <w:i/>
          <w:sz w:val="20"/>
        </w:rPr>
      </w:pPr>
    </w:p>
    <w:p w:rsidR="00BC1170" w:rsidRPr="00E659FC" w:rsidRDefault="00BC1170" w:rsidP="00BC1170">
      <w:pPr>
        <w:pStyle w:val="NoSpacing"/>
        <w:rPr>
          <w:rFonts w:ascii="Book Antiqua" w:hAnsi="Book Antiqua"/>
          <w:i/>
          <w:sz w:val="18"/>
          <w:szCs w:val="18"/>
        </w:rPr>
      </w:pPr>
      <w:r w:rsidRPr="00E659FC">
        <w:rPr>
          <w:rFonts w:ascii="Book Antiqua" w:hAnsi="Book Antiqua"/>
          <w:b/>
          <w:i/>
          <w:sz w:val="18"/>
          <w:szCs w:val="18"/>
        </w:rPr>
        <w:t>Figure 1:</w:t>
      </w:r>
      <w:r w:rsidRPr="00E659FC">
        <w:rPr>
          <w:rFonts w:ascii="Book Antiqua" w:hAnsi="Book Antiqua"/>
          <w:i/>
          <w:sz w:val="18"/>
          <w:szCs w:val="18"/>
        </w:rPr>
        <w:t xml:space="preserve"> Comparing redshift equations from the same family of curves. Vertical axis is (1 + z); horizontal axis is orbital time from T=1 at the cosmos origin to T = 0 near our location in space. The red curve is one equation which comes from a consideration of recombination and turbulence among Planck Particle Pairs in the early universe. The blue curve is the existing standard given by Y = (1+z) =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xml:space="preserve">  where  a = 2 and b = ½. The red curve has Y = (1 + z) = 0.5 {(1 + x)</w:t>
      </w:r>
      <w:proofErr w:type="gramStart"/>
      <w:r w:rsidRPr="00E659FC">
        <w:rPr>
          <w:rFonts w:ascii="Book Antiqua" w:hAnsi="Book Antiqua"/>
          <w:i/>
          <w:sz w:val="18"/>
          <w:szCs w:val="18"/>
        </w:rPr>
        <w:t>/[</w:t>
      </w:r>
      <w:proofErr w:type="gramEnd"/>
      <w:r w:rsidRPr="00E659FC">
        <w:rPr>
          <w:rFonts w:ascii="Book Antiqua" w:hAnsi="Book Antiqua"/>
          <w:i/>
          <w:sz w:val="18"/>
          <w:szCs w:val="18"/>
        </w:rPr>
        <w:t>1 – (x</w:t>
      </w:r>
      <w:r w:rsidRPr="00E659FC">
        <w:rPr>
          <w:rFonts w:ascii="Book Antiqua" w:hAnsi="Book Antiqua"/>
          <w:i/>
          <w:sz w:val="18"/>
          <w:szCs w:val="18"/>
          <w:vertAlign w:val="superscript"/>
        </w:rPr>
        <w:t>a</w:t>
      </w:r>
      <w:r w:rsidRPr="00E659FC">
        <w:rPr>
          <w:rFonts w:ascii="Book Antiqua" w:hAnsi="Book Antiqua"/>
          <w:i/>
          <w:sz w:val="18"/>
          <w:szCs w:val="18"/>
        </w:rPr>
        <w:t>)]</w:t>
      </w:r>
      <w:r w:rsidRPr="00E659FC">
        <w:rPr>
          <w:rFonts w:ascii="Book Antiqua" w:hAnsi="Book Antiqua"/>
          <w:i/>
          <w:sz w:val="18"/>
          <w:szCs w:val="18"/>
          <w:vertAlign w:val="superscript"/>
        </w:rPr>
        <w:t>b</w:t>
      </w:r>
      <w:r w:rsidRPr="00E659FC">
        <w:rPr>
          <w:rFonts w:ascii="Book Antiqua" w:hAnsi="Book Antiqua"/>
          <w:i/>
          <w:sz w:val="18"/>
          <w:szCs w:val="18"/>
        </w:rPr>
        <w:t>} + 0.5 where a = 2 and b = 3/2. Crossover occurs near (1 + z) = 2, that is, z = 1.</w:t>
      </w:r>
    </w:p>
    <w:p w:rsidR="00BC1170" w:rsidRPr="0005293A" w:rsidRDefault="00BC1170" w:rsidP="00BC1170">
      <w:pPr>
        <w:pStyle w:val="NoSpacing"/>
        <w:jc w:val="both"/>
        <w:rPr>
          <w:rFonts w:ascii="Book Antiqua" w:hAnsi="Book Antiqua"/>
          <w:i/>
          <w:sz w:val="20"/>
        </w:rPr>
      </w:pPr>
    </w:p>
    <w:p w:rsidR="00BC1170" w:rsidRPr="0005293A" w:rsidRDefault="00BC1170" w:rsidP="00BC1170">
      <w:pPr>
        <w:pStyle w:val="NoSpacing"/>
        <w:ind w:firstLine="720"/>
        <w:jc w:val="both"/>
        <w:rPr>
          <w:rFonts w:ascii="Book Antiqua" w:hAnsi="Book Antiqua"/>
          <w:sz w:val="20"/>
        </w:rPr>
      </w:pPr>
      <w:r w:rsidRPr="0005293A">
        <w:rPr>
          <w:rFonts w:ascii="Book Antiqua" w:hAnsi="Book Antiqua"/>
          <w:sz w:val="20"/>
        </w:rPr>
        <w:t xml:space="preserve">Under these circumstances, it seems that (22) and equation (A) are both equations from the same family </w:t>
      </w:r>
      <w:r>
        <w:rPr>
          <w:rFonts w:ascii="Book Antiqua" w:hAnsi="Book Antiqua"/>
          <w:sz w:val="20"/>
        </w:rPr>
        <w:t xml:space="preserve">of curves given by (23) that </w:t>
      </w:r>
      <w:r w:rsidRPr="0005293A">
        <w:rPr>
          <w:rFonts w:ascii="Book Antiqua" w:hAnsi="Book Antiqua"/>
          <w:sz w:val="20"/>
        </w:rPr>
        <w:t>describ</w:t>
      </w:r>
      <w:r>
        <w:rPr>
          <w:rFonts w:ascii="Book Antiqua" w:hAnsi="Book Antiqua"/>
          <w:sz w:val="20"/>
        </w:rPr>
        <w:t xml:space="preserve">e </w:t>
      </w:r>
      <w:r w:rsidRPr="0005293A">
        <w:rPr>
          <w:rFonts w:ascii="Book Antiqua" w:hAnsi="Book Antiqua"/>
          <w:sz w:val="20"/>
        </w:rPr>
        <w:t xml:space="preserve">redshift behavior. These equations can be derived from the known physics of the turbulence and recombination of Planck Particle Pairs in the early universe. In (23) the currently used formula for the redshift has </w:t>
      </w:r>
      <m:oMath>
        <m:sSub>
          <m:sSubPr>
            <m:ctrlPr>
              <w:rPr>
                <w:rFonts w:ascii="Cambria Math" w:hAnsi="Book Antiqua"/>
                <w:i/>
                <w:sz w:val="20"/>
              </w:rPr>
            </m:ctrlPr>
          </m:sSubPr>
          <m:e>
            <m:r>
              <w:rPr>
                <w:rFonts w:ascii="Cambria Math" w:hAnsi="Cambria Math"/>
                <w:sz w:val="20"/>
              </w:rPr>
              <m:t>k</m:t>
            </m:r>
          </m:e>
          <m:sub>
            <m:r>
              <w:rPr>
                <w:rFonts w:ascii="Cambria Math" w:hAnsi="Book Antiqua"/>
                <w:sz w:val="20"/>
              </w:rPr>
              <m:t>1</m:t>
            </m:r>
          </m:sub>
        </m:sSub>
      </m:oMath>
      <w:r w:rsidRPr="0005293A">
        <w:rPr>
          <w:rFonts w:ascii="Book Antiqua" w:hAnsi="Book Antiqua"/>
          <w:sz w:val="20"/>
        </w:rPr>
        <w:t xml:space="preserve"> equal </w:t>
      </w:r>
      <w:proofErr w:type="gramStart"/>
      <w:r w:rsidRPr="0005293A">
        <w:rPr>
          <w:rFonts w:ascii="Book Antiqua" w:hAnsi="Book Antiqua"/>
          <w:sz w:val="20"/>
        </w:rPr>
        <w:t xml:space="preserve">to </w:t>
      </w:r>
      <m:oMath>
        <w:proofErr w:type="gramEnd"/>
        <m:r>
          <w:rPr>
            <w:rFonts w:ascii="Cambria Math" w:hAnsi="Book Antiqua"/>
            <w:sz w:val="20"/>
          </w:rPr>
          <m:t>+1</m:t>
        </m:r>
      </m:oMath>
      <w:r w:rsidRPr="0005293A">
        <w:rPr>
          <w:rFonts w:ascii="Book Antiqua" w:hAnsi="Book Antiqua"/>
          <w:sz w:val="20"/>
        </w:rPr>
        <w:t xml:space="preserve">, while </w:t>
      </w:r>
      <m:oMath>
        <m:r>
          <w:rPr>
            <w:rFonts w:ascii="Cambria Math" w:hAnsi="Cambria Math"/>
            <w:sz w:val="20"/>
          </w:rPr>
          <m:t>a</m:t>
        </m:r>
        <m:r>
          <w:rPr>
            <w:rFonts w:ascii="Cambria Math" w:hAnsi="Book Antiqua"/>
            <w:sz w:val="20"/>
          </w:rPr>
          <m:t xml:space="preserve"> = 2</m:t>
        </m:r>
      </m:oMath>
      <w:r w:rsidRPr="0005293A">
        <w:rPr>
          <w:rFonts w:ascii="Book Antiqua" w:hAnsi="Book Antiqua"/>
          <w:sz w:val="20"/>
        </w:rPr>
        <w:t xml:space="preserve"> and </w:t>
      </w:r>
      <m:oMath>
        <m:r>
          <w:rPr>
            <w:rFonts w:ascii="Cambria Math" w:hAnsi="Cambria Math"/>
            <w:sz w:val="20"/>
          </w:rPr>
          <m:t>b</m:t>
        </m:r>
        <m:r>
          <w:rPr>
            <w:rFonts w:ascii="Cambria Math" w:hAnsi="Book Antiqua"/>
            <w:sz w:val="20"/>
          </w:rPr>
          <m:t xml:space="preserve"> = 0.5</m:t>
        </m:r>
      </m:oMath>
      <w:r w:rsidRPr="0005293A">
        <w:rPr>
          <w:rFonts w:ascii="Book Antiqua" w:hAnsi="Book Antiqua"/>
          <w:sz w:val="20"/>
        </w:rPr>
        <w:t xml:space="preserve">.  Equation (22) appears in Figure I as the red curve with the standard redshift equation reproduced as the blue curve. </w:t>
      </w:r>
    </w:p>
    <w:p w:rsidR="00BC1170" w:rsidRPr="0005293A" w:rsidRDefault="00BC1170" w:rsidP="00BC1170">
      <w:pPr>
        <w:pStyle w:val="NoSpacing"/>
        <w:jc w:val="both"/>
        <w:rPr>
          <w:rFonts w:ascii="Book Antiqua" w:hAnsi="Book Antiqua"/>
          <w:i/>
          <w:sz w:val="20"/>
        </w:rPr>
      </w:pPr>
    </w:p>
    <w:p w:rsidR="00BC1170" w:rsidRDefault="00BC1170" w:rsidP="00BC1170">
      <w:pPr>
        <w:pStyle w:val="NoSpacing"/>
        <w:ind w:firstLine="720"/>
        <w:jc w:val="both"/>
        <w:rPr>
          <w:rFonts w:ascii="Book Antiqua" w:hAnsi="Book Antiqua"/>
          <w:sz w:val="20"/>
        </w:rPr>
      </w:pPr>
      <w:r w:rsidRPr="0005293A">
        <w:rPr>
          <w:rFonts w:ascii="Book Antiqua" w:hAnsi="Book Antiqua"/>
          <w:sz w:val="20"/>
        </w:rPr>
        <w:t xml:space="preserve">Note that the red curve indicates that, below a redshift of about </w:t>
      </w:r>
      <m:oMath>
        <m:r>
          <w:rPr>
            <w:rFonts w:ascii="Cambria Math" w:hAnsi="Cambria Math"/>
            <w:sz w:val="20"/>
          </w:rPr>
          <m:t>z</m:t>
        </m:r>
        <m:r>
          <w:rPr>
            <w:rFonts w:ascii="Cambria Math" w:hAnsi="Book Antiqua"/>
            <w:sz w:val="20"/>
          </w:rPr>
          <m:t xml:space="preserve"> = 1</m:t>
        </m:r>
      </m:oMath>
      <w:r w:rsidRPr="0005293A">
        <w:rPr>
          <w:rFonts w:ascii="Book Antiqua" w:hAnsi="Book Antiqua"/>
          <w:sz w:val="20"/>
        </w:rPr>
        <w:t xml:space="preserve">, objects will appear further away than expected from the standard redshift curve </w:t>
      </w:r>
      <w:r>
        <w:rPr>
          <w:rFonts w:ascii="Book Antiqua" w:hAnsi="Book Antiqua"/>
          <w:sz w:val="20"/>
        </w:rPr>
        <w:t>(</w:t>
      </w:r>
      <w:r w:rsidRPr="0005293A">
        <w:rPr>
          <w:rFonts w:ascii="Book Antiqua" w:hAnsi="Book Antiqua"/>
          <w:sz w:val="20"/>
        </w:rPr>
        <w:t>in blue</w:t>
      </w:r>
      <w:r>
        <w:rPr>
          <w:rFonts w:ascii="Book Antiqua" w:hAnsi="Book Antiqua"/>
          <w:sz w:val="20"/>
        </w:rPr>
        <w:t>)</w:t>
      </w:r>
      <w:r w:rsidRPr="0005293A">
        <w:rPr>
          <w:rFonts w:ascii="Book Antiqua" w:hAnsi="Book Antiqua"/>
          <w:sz w:val="20"/>
        </w:rPr>
        <w:t xml:space="preserve">. In contrast, above a redshift </w:t>
      </w:r>
      <w:proofErr w:type="gramStart"/>
      <w:r w:rsidRPr="0005293A">
        <w:rPr>
          <w:rFonts w:ascii="Book Antiqua" w:hAnsi="Book Antiqua"/>
          <w:sz w:val="20"/>
        </w:rPr>
        <w:t xml:space="preserve">of </w:t>
      </w:r>
      <m:oMath>
        <w:proofErr w:type="gramEnd"/>
        <m:r>
          <w:rPr>
            <w:rFonts w:ascii="Cambria Math" w:hAnsi="Cambria Math"/>
            <w:sz w:val="20"/>
          </w:rPr>
          <m:t>z</m:t>
        </m:r>
        <m:r>
          <w:rPr>
            <w:rFonts w:ascii="Cambria Math" w:hAnsi="Book Antiqua"/>
            <w:sz w:val="20"/>
          </w:rPr>
          <m:t xml:space="preserve"> = 1</m:t>
        </m:r>
      </m:oMath>
      <w:r w:rsidRPr="0005293A">
        <w:rPr>
          <w:rFonts w:ascii="Book Antiqua" w:hAnsi="Book Antiqua"/>
          <w:sz w:val="20"/>
        </w:rPr>
        <w:t>, objects on the red curve will appear closer to us than expected from the standard curve</w:t>
      </w:r>
      <w:r>
        <w:rPr>
          <w:rFonts w:ascii="Book Antiqua" w:hAnsi="Book Antiqua"/>
          <w:sz w:val="20"/>
        </w:rPr>
        <w:t>, given by equation (A) and shown on the blue line</w:t>
      </w:r>
      <w:r w:rsidRPr="0005293A">
        <w:rPr>
          <w:rFonts w:ascii="Book Antiqua" w:hAnsi="Book Antiqua"/>
          <w:sz w:val="20"/>
        </w:rPr>
        <w:t xml:space="preserve">. </w:t>
      </w:r>
      <w:r>
        <w:rPr>
          <w:rFonts w:ascii="Book Antiqua" w:hAnsi="Book Antiqua"/>
          <w:sz w:val="20"/>
        </w:rPr>
        <w:t>The effect demonstrated by the red curve</w:t>
      </w:r>
      <w:r w:rsidRPr="0005293A">
        <w:rPr>
          <w:rFonts w:ascii="Book Antiqua" w:hAnsi="Book Antiqua"/>
          <w:sz w:val="20"/>
        </w:rPr>
        <w:t xml:space="preserve"> is the situation that already exists with the known data, and tends to suggest that the standard equation is at fault. </w:t>
      </w:r>
      <w:r>
        <w:rPr>
          <w:rFonts w:ascii="Book Antiqua" w:hAnsi="Book Antiqua"/>
          <w:sz w:val="20"/>
        </w:rPr>
        <w:t>Looking at the behavior of the Zero Point Energy</w:t>
      </w:r>
      <w:r w:rsidRPr="0005293A">
        <w:rPr>
          <w:rFonts w:ascii="Book Antiqua" w:hAnsi="Book Antiqua"/>
          <w:sz w:val="20"/>
        </w:rPr>
        <w:t xml:space="preserve"> is a simpler approach than invoking an initially decelerating and then an accelerating universe. The precise position of the turnaround (where the red line crosses the blue line) and the separation of the two curves on the vertical segment is adjustable by tweaking the values </w:t>
      </w:r>
      <w:proofErr w:type="gramStart"/>
      <w:r w:rsidRPr="0005293A">
        <w:rPr>
          <w:rFonts w:ascii="Book Antiqua" w:hAnsi="Book Antiqua"/>
          <w:sz w:val="20"/>
        </w:rPr>
        <w:t xml:space="preserve">of </w:t>
      </w:r>
      <m:oMath>
        <w:proofErr w:type="gramEnd"/>
        <m:r>
          <w:rPr>
            <w:rFonts w:ascii="Cambria Math" w:hAnsi="Cambria Math"/>
            <w:sz w:val="20"/>
          </w:rPr>
          <m:t>a</m:t>
        </m:r>
      </m:oMath>
      <w:r w:rsidRPr="0005293A">
        <w:rPr>
          <w:rFonts w:ascii="Book Antiqua" w:hAnsi="Book Antiqua"/>
          <w:sz w:val="20"/>
        </w:rPr>
        <w:t xml:space="preserve">, </w:t>
      </w:r>
      <m:oMath>
        <m:r>
          <w:rPr>
            <w:rFonts w:ascii="Cambria Math" w:hAnsi="Cambria Math"/>
            <w:sz w:val="20"/>
          </w:rPr>
          <m:t>b</m:t>
        </m:r>
      </m:oMath>
      <w:r w:rsidRPr="0005293A">
        <w:rPr>
          <w:rFonts w:ascii="Book Antiqua" w:hAnsi="Book Antiqua"/>
          <w:sz w:val="20"/>
        </w:rPr>
        <w:t xml:space="preserve"> and </w:t>
      </w:r>
      <m:oMath>
        <m:r>
          <w:rPr>
            <w:rFonts w:ascii="Cambria Math" w:hAnsi="Cambria Math"/>
            <w:sz w:val="20"/>
          </w:rPr>
          <m:t>k</m:t>
        </m:r>
      </m:oMath>
      <w:r w:rsidRPr="0005293A">
        <w:rPr>
          <w:rFonts w:ascii="Book Antiqua" w:hAnsi="Book Antiqua"/>
          <w:sz w:val="20"/>
        </w:rPr>
        <w:t xml:space="preserve"> in equation (23).</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It needs to be noted that the initial formulation of the equation derived here involved Planck Particle Pair generation due to expansion and turbulence, plus the effects of recombination on PPP numbers while these processes </w:t>
      </w:r>
      <w:r>
        <w:rPr>
          <w:rFonts w:ascii="Book Antiqua" w:hAnsi="Book Antiqua"/>
          <w:sz w:val="20"/>
        </w:rPr>
        <w:lastRenderedPageBreak/>
        <w:t xml:space="preserve">were operating. These processes were complete at </w:t>
      </w:r>
      <m:oMath>
        <m:r>
          <w:rPr>
            <w:rFonts w:ascii="Cambria Math" w:hAnsi="Cambria Math"/>
            <w:sz w:val="20"/>
          </w:rPr>
          <m:t>T = 0</m:t>
        </m:r>
      </m:oMath>
      <w:r>
        <w:rPr>
          <w:rFonts w:ascii="Book Antiqua" w:hAnsi="Book Antiqua"/>
          <w:sz w:val="20"/>
        </w:rPr>
        <w:t xml:space="preserve"> </w:t>
      </w:r>
      <w:proofErr w:type="gramStart"/>
      <w:r>
        <w:rPr>
          <w:rFonts w:ascii="Book Antiqua" w:hAnsi="Book Antiqua"/>
          <w:sz w:val="20"/>
        </w:rPr>
        <w:t xml:space="preserve">or </w:t>
      </w:r>
      <m:oMath>
        <w:proofErr w:type="gramEnd"/>
        <m:r>
          <w:rPr>
            <w:rFonts w:ascii="Cambria Math" w:hAnsi="Cambria Math"/>
            <w:sz w:val="20"/>
          </w:rPr>
          <m:t>t = 1</m:t>
        </m:r>
      </m:oMath>
      <w:r>
        <w:rPr>
          <w:rFonts w:ascii="Book Antiqua" w:hAnsi="Book Antiqua"/>
          <w:sz w:val="20"/>
        </w:rPr>
        <w:t xml:space="preserve">. Since we are dealing with a redshift which is decreasing from a high number down to zero as time progresses, it follows that </w:t>
      </w:r>
      <w:proofErr w:type="gramStart"/>
      <w:r>
        <w:rPr>
          <w:rFonts w:ascii="Book Antiqua" w:hAnsi="Book Antiqua"/>
          <w:sz w:val="20"/>
        </w:rPr>
        <w:t xml:space="preserve">when </w:t>
      </w:r>
      <m:oMath>
        <w:proofErr w:type="gramEnd"/>
        <m:r>
          <w:rPr>
            <w:rFonts w:ascii="Cambria Math" w:hAnsi="Cambria Math"/>
            <w:sz w:val="20"/>
          </w:rPr>
          <m:t>T = 0</m:t>
        </m:r>
      </m:oMath>
      <w:r>
        <w:rPr>
          <w:rFonts w:ascii="Book Antiqua" w:hAnsi="Book Antiqua"/>
          <w:sz w:val="20"/>
        </w:rPr>
        <w:t xml:space="preserve">, then the redshift  </w:t>
      </w:r>
      <m:oMath>
        <m:r>
          <w:rPr>
            <w:rFonts w:ascii="Cambria Math" w:hAnsi="Cambria Math"/>
            <w:sz w:val="20"/>
          </w:rPr>
          <m:t>z = 0</m:t>
        </m:r>
      </m:oMath>
      <w:r>
        <w:rPr>
          <w:rFonts w:ascii="Book Antiqua" w:hAnsi="Book Antiqua"/>
          <w:sz w:val="20"/>
        </w:rPr>
        <w:t xml:space="preserve"> also. At this point, the equation and its relevance ceases, since turbulence is a key component of the formulation of Planck Particle Pairs. Once all turbulence ceased, no more PPP were being formed. This means that these equations had reached the limits of their applicability. All that was left from that point on was the recombination of the PPP that were present at the moment when all turbulence ceased. This recombination resulted in the final build-up of the ZPE to its maximum, following which variation in ZPE strength occurred due to the Narlikar-Arp universal oscillation.</w:t>
      </w:r>
    </w:p>
    <w:p w:rsidR="00BC1170" w:rsidRDefault="00BC1170" w:rsidP="00BC1170">
      <w:pPr>
        <w:pStyle w:val="NoSpacing"/>
        <w:ind w:firstLine="720"/>
        <w:jc w:val="both"/>
        <w:rPr>
          <w:rFonts w:ascii="Book Antiqua" w:hAnsi="Book Antiqua"/>
          <w:sz w:val="20"/>
        </w:rPr>
      </w:pPr>
    </w:p>
    <w:p w:rsidR="00BC1170" w:rsidRPr="00E97F80" w:rsidRDefault="00BC1170" w:rsidP="00BC1170">
      <w:pPr>
        <w:pStyle w:val="NoSpacing"/>
        <w:ind w:firstLine="720"/>
        <w:jc w:val="both"/>
        <w:rPr>
          <w:rFonts w:ascii="Book Antiqua" w:hAnsi="Book Antiqua"/>
          <w:sz w:val="20"/>
        </w:rPr>
      </w:pPr>
      <w:r w:rsidRPr="00E97F80">
        <w:rPr>
          <w:rFonts w:ascii="Book Antiqua" w:hAnsi="Book Antiqua"/>
          <w:sz w:val="20"/>
        </w:rPr>
        <w:t>As shown in Chapter 5, recombination of a set number of positive and negative charges is essentially a linear process as experimentally determined in laboratories. This is illustrated by the graph in Figure 2 here, where a defined quantity of Argon ions recombines with electrons, and in Figures 15 and 16 in Chapter 5, where hydrogen ions (protons) recombine with electrons.</w:t>
      </w:r>
    </w:p>
    <w:p w:rsidR="00BC1170" w:rsidRDefault="00BC1170" w:rsidP="00BC1170">
      <w:pPr>
        <w:pStyle w:val="NoSpacing"/>
        <w:ind w:firstLine="720"/>
        <w:jc w:val="both"/>
        <w:rPr>
          <w:rFonts w:ascii="Book Antiqua" w:hAnsi="Book Antiqua"/>
          <w:sz w:val="20"/>
        </w:rPr>
      </w:pPr>
    </w:p>
    <w:p w:rsidR="00BC1170" w:rsidRPr="00372C58" w:rsidRDefault="00BC1170" w:rsidP="00BC1170">
      <w:pPr>
        <w:pStyle w:val="NoSpacing"/>
        <w:jc w:val="center"/>
        <w:rPr>
          <w:rFonts w:ascii="Book Antiqua" w:hAnsi="Book Antiqua"/>
          <w:sz w:val="20"/>
        </w:rPr>
      </w:pPr>
      <w:r w:rsidRPr="00325F76">
        <w:rPr>
          <w:rFonts w:ascii="Book Antiqua" w:hAnsi="Book Antiqua"/>
          <w:noProof/>
          <w:sz w:val="20"/>
        </w:rPr>
        <w:drawing>
          <wp:inline distT="0" distB="0" distL="0" distR="0">
            <wp:extent cx="4875733" cy="3742125"/>
            <wp:effectExtent l="19050" t="0" r="1067" b="0"/>
            <wp:docPr id="21" name="Picture 13" desc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
                    <pic:cNvPicPr>
                      <a:picLocks noChangeAspect="1" noChangeArrowheads="1"/>
                    </pic:cNvPicPr>
                  </pic:nvPicPr>
                  <pic:blipFill>
                    <a:blip r:embed="rId231" cstate="print"/>
                    <a:srcRect/>
                    <a:stretch>
                      <a:fillRect/>
                    </a:stretch>
                  </pic:blipFill>
                  <pic:spPr bwMode="auto">
                    <a:xfrm>
                      <a:off x="0" y="0"/>
                      <a:ext cx="4878874" cy="3744536"/>
                    </a:xfrm>
                    <a:prstGeom prst="rect">
                      <a:avLst/>
                    </a:prstGeom>
                    <a:noFill/>
                    <a:ln w="9525">
                      <a:noFill/>
                      <a:miter lim="800000"/>
                      <a:headEnd/>
                      <a:tailEnd/>
                    </a:ln>
                  </pic:spPr>
                </pic:pic>
              </a:graphicData>
            </a:graphic>
          </wp:inline>
        </w:drawing>
      </w:r>
    </w:p>
    <w:p w:rsidR="00BC1170" w:rsidRPr="00372C58" w:rsidRDefault="00BC1170" w:rsidP="00BC1170">
      <w:pPr>
        <w:pStyle w:val="NoSpacing"/>
        <w:ind w:firstLine="720"/>
        <w:jc w:val="both"/>
        <w:rPr>
          <w:rFonts w:ascii="Book Antiqua" w:hAnsi="Book Antiqua"/>
          <w:bCs/>
          <w:iCs/>
          <w:color w:val="000000"/>
          <w:sz w:val="20"/>
        </w:rPr>
      </w:pPr>
    </w:p>
    <w:p w:rsidR="00BC1170" w:rsidRPr="001D4FDA" w:rsidRDefault="00BC1170" w:rsidP="00BC1170">
      <w:pPr>
        <w:pStyle w:val="NoSpacing"/>
        <w:rPr>
          <w:rFonts w:ascii="Book Antiqua" w:hAnsi="Book Antiqua"/>
          <w:i/>
          <w:sz w:val="20"/>
        </w:rPr>
      </w:pPr>
      <w:r w:rsidRPr="001D4FDA">
        <w:rPr>
          <w:rFonts w:ascii="Book Antiqua" w:hAnsi="Book Antiqua"/>
          <w:b/>
          <w:i/>
          <w:sz w:val="18"/>
          <w:szCs w:val="18"/>
        </w:rPr>
        <w:t>Figure 2:</w:t>
      </w:r>
      <w:r w:rsidRPr="001D4FDA">
        <w:rPr>
          <w:rFonts w:ascii="Book Antiqua" w:hAnsi="Book Antiqua"/>
          <w:i/>
          <w:sz w:val="18"/>
          <w:szCs w:val="18"/>
        </w:rPr>
        <w:t xml:space="preserve"> Experimental results using a fixed concentration of Argon atoms. Reading the graph from left to right gives the ionization rate of neutral Argon atoms.</w:t>
      </w:r>
      <w:r>
        <w:rPr>
          <w:rFonts w:ascii="Book Antiqua" w:hAnsi="Book Antiqua"/>
          <w:i/>
          <w:sz w:val="18"/>
          <w:szCs w:val="18"/>
        </w:rPr>
        <w:t xml:space="preserve"> </w:t>
      </w:r>
      <w:r w:rsidRPr="001D4FDA">
        <w:rPr>
          <w:rFonts w:ascii="Book Antiqua" w:hAnsi="Book Antiqua"/>
          <w:i/>
          <w:sz w:val="18"/>
          <w:szCs w:val="18"/>
        </w:rPr>
        <w:t xml:space="preserve">This is determined by the free electron density given vertically with time horizontally. The plateau on the upper right occurs when all argon atoms have been ionized. Reading the graph from right to left gives the recombination rate of the fixed concentration of Argon ions and electrons from the level of the plateau down to only neutral atoms at the zero mark. In both cases, the rate constant </w:t>
      </w:r>
      <w:proofErr w:type="gramStart"/>
      <w:r w:rsidRPr="001D4FDA">
        <w:rPr>
          <w:rFonts w:ascii="Book Antiqua" w:hAnsi="Book Antiqua"/>
          <w:i/>
          <w:sz w:val="18"/>
          <w:szCs w:val="18"/>
        </w:rPr>
        <w:t xml:space="preserve">is </w:t>
      </w:r>
      <m:oMath>
        <w:proofErr w:type="gramEnd"/>
        <m:sSub>
          <m:sSubPr>
            <m:ctrlPr>
              <w:rPr>
                <w:rFonts w:ascii="Cambria Math" w:hAnsi="Book Antiqua"/>
                <w:i/>
                <w:sz w:val="18"/>
                <w:szCs w:val="18"/>
              </w:rPr>
            </m:ctrlPr>
          </m:sSubPr>
          <m:e>
            <m:r>
              <w:rPr>
                <w:rFonts w:ascii="Cambria Math" w:hAnsi="Cambria Math"/>
                <w:sz w:val="18"/>
                <w:szCs w:val="18"/>
              </w:rPr>
              <m:t>k</m:t>
            </m:r>
          </m:e>
          <m:sub>
            <m:r>
              <w:rPr>
                <w:rFonts w:ascii="Cambria Math" w:hAnsi="Book Antiqua"/>
                <w:sz w:val="18"/>
                <w:szCs w:val="18"/>
              </w:rPr>
              <m:t>1</m:t>
            </m:r>
          </m:sub>
        </m:sSub>
      </m:oMath>
      <w:r w:rsidRPr="001D4FDA">
        <w:rPr>
          <w:rFonts w:ascii="Book Antiqua" w:hAnsi="Book Antiqua"/>
          <w:i/>
          <w:sz w:val="18"/>
          <w:szCs w:val="18"/>
        </w:rPr>
        <w:t>. It can be seen that the recombination (or ionization) rate for a set number of ions (or atoms), is basically a linear function.</w:t>
      </w:r>
    </w:p>
    <w:p w:rsidR="00BC1170" w:rsidRPr="00372C58" w:rsidRDefault="00BC1170" w:rsidP="00BC1170">
      <w:pPr>
        <w:pStyle w:val="NoSpacing"/>
        <w:jc w:val="center"/>
        <w:rPr>
          <w:rFonts w:ascii="Book Antiqua" w:hAnsi="Book Antiqua"/>
          <w:sz w:val="20"/>
        </w:rPr>
      </w:pPr>
    </w:p>
    <w:p w:rsidR="00BC1170" w:rsidRDefault="00BC1170" w:rsidP="00BC1170">
      <w:pPr>
        <w:pStyle w:val="NoSpacing"/>
        <w:ind w:firstLine="720"/>
        <w:jc w:val="both"/>
        <w:rPr>
          <w:rFonts w:ascii="Book Antiqua" w:hAnsi="Book Antiqua"/>
          <w:sz w:val="20"/>
        </w:rPr>
      </w:pPr>
      <w:r>
        <w:rPr>
          <w:rFonts w:ascii="Book Antiqua" w:hAnsi="Book Antiqua"/>
          <w:sz w:val="20"/>
        </w:rPr>
        <w:t xml:space="preserve">The conclusion is that, following the cessation of Planck Particle Pair build-up through turbulence, the system will undergo recombination exclusively. That then will lead to a steep linear decline in PPP numbers and an inverse rapid linear build-up of the ZPE strength after the redshift function has ceased. Data discussed in Chapter 5 suggest that the </w:t>
      </w:r>
      <w:r w:rsidRPr="007A6B4A">
        <w:rPr>
          <w:rFonts w:ascii="Book Antiqua" w:hAnsi="Book Antiqua"/>
          <w:sz w:val="20"/>
        </w:rPr>
        <w:t>cosmic</w:t>
      </w:r>
      <w:r>
        <w:rPr>
          <w:rFonts w:ascii="Book Antiqua" w:hAnsi="Book Antiqua"/>
          <w:color w:val="FF0000"/>
          <w:sz w:val="20"/>
        </w:rPr>
        <w:t xml:space="preserve"> </w:t>
      </w:r>
      <w:r>
        <w:rPr>
          <w:rFonts w:ascii="Book Antiqua" w:hAnsi="Book Antiqua"/>
          <w:sz w:val="20"/>
        </w:rPr>
        <w:t xml:space="preserve">redshift function ceases relatively nearby in astronomical terms. </w:t>
      </w:r>
    </w:p>
    <w:p w:rsidR="00BC1170" w:rsidRDefault="00BC1170" w:rsidP="00BC1170">
      <w:pPr>
        <w:pStyle w:val="NoSpacing"/>
        <w:ind w:firstLine="720"/>
        <w:jc w:val="both"/>
        <w:rPr>
          <w:rFonts w:ascii="Book Antiqua" w:hAnsi="Book Antiqua"/>
          <w:sz w:val="20"/>
        </w:rPr>
      </w:pPr>
    </w:p>
    <w:p w:rsidR="00BC1170" w:rsidRDefault="00BC1170" w:rsidP="00BC1170">
      <w:pPr>
        <w:pStyle w:val="NoSpacing"/>
        <w:jc w:val="both"/>
        <w:rPr>
          <w:rFonts w:ascii="Book Antiqua" w:hAnsi="Book Antiqua"/>
          <w:b/>
          <w:sz w:val="20"/>
        </w:rPr>
      </w:pPr>
    </w:p>
    <w:p w:rsidR="00BC1170" w:rsidRPr="0005293A" w:rsidRDefault="00BC1170" w:rsidP="00BC1170">
      <w:pPr>
        <w:pStyle w:val="NoSpacing"/>
        <w:jc w:val="both"/>
        <w:rPr>
          <w:rFonts w:ascii="Book Antiqua" w:hAnsi="Book Antiqua"/>
          <w:i/>
          <w:sz w:val="20"/>
        </w:rPr>
      </w:pPr>
      <w:r w:rsidRPr="0005293A">
        <w:rPr>
          <w:rFonts w:ascii="Book Antiqua" w:hAnsi="Book Antiqua"/>
          <w:b/>
          <w:sz w:val="20"/>
        </w:rPr>
        <w:lastRenderedPageBreak/>
        <w:t xml:space="preserve">References </w:t>
      </w:r>
      <w:r w:rsidRPr="0005293A">
        <w:rPr>
          <w:rFonts w:ascii="Book Antiqua" w:hAnsi="Book Antiqua"/>
          <w:sz w:val="20"/>
        </w:rPr>
        <w:t xml:space="preserve">– </w:t>
      </w:r>
      <w:r w:rsidRPr="0005293A">
        <w:rPr>
          <w:rFonts w:ascii="Book Antiqua" w:hAnsi="Book Antiqua"/>
          <w:i/>
          <w:sz w:val="20"/>
        </w:rPr>
        <w:t>All URL’s retrieved 20</w:t>
      </w:r>
      <w:r w:rsidRPr="0005293A">
        <w:rPr>
          <w:rFonts w:ascii="Book Antiqua" w:hAnsi="Book Antiqua"/>
          <w:i/>
          <w:sz w:val="20"/>
          <w:vertAlign w:val="superscript"/>
        </w:rPr>
        <w:t>th</w:t>
      </w:r>
      <w:r w:rsidRPr="0005293A">
        <w:rPr>
          <w:rFonts w:ascii="Book Antiqua" w:hAnsi="Book Antiqua"/>
          <w:i/>
          <w:sz w:val="20"/>
        </w:rPr>
        <w:t xml:space="preserve"> September 2012</w:t>
      </w:r>
    </w:p>
    <w:p w:rsidR="00BC1170" w:rsidRPr="0005293A" w:rsidRDefault="00BC1170" w:rsidP="00BC1170">
      <w:pPr>
        <w:pStyle w:val="NoSpacing"/>
        <w:jc w:val="both"/>
        <w:rPr>
          <w:rFonts w:ascii="Book Antiqua" w:hAnsi="Book Antiqua"/>
          <w:b/>
          <w:i/>
          <w:sz w:val="20"/>
        </w:rPr>
      </w:pP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[1</w:t>
      </w:r>
      <w:proofErr w:type="gramStart"/>
      <w:r w:rsidRPr="0005293A">
        <w:rPr>
          <w:rFonts w:ascii="Book Antiqua" w:hAnsi="Book Antiqua"/>
          <w:sz w:val="16"/>
          <w:szCs w:val="16"/>
        </w:rPr>
        <w:t>]  See</w:t>
      </w:r>
      <w:proofErr w:type="gramEnd"/>
      <w:r w:rsidRPr="0005293A">
        <w:rPr>
          <w:rFonts w:ascii="Book Antiqua" w:hAnsi="Book Antiqua"/>
          <w:sz w:val="16"/>
          <w:szCs w:val="16"/>
        </w:rPr>
        <w:t xml:space="preserve"> under “recombination coefficient” in </w:t>
      </w:r>
      <w:r w:rsidRPr="0005293A">
        <w:rPr>
          <w:rFonts w:ascii="Book Antiqua" w:hAnsi="Book Antiqua"/>
          <w:i/>
          <w:sz w:val="16"/>
          <w:szCs w:val="16"/>
        </w:rPr>
        <w:t>American Meteorological Society Glossary of Meteorology</w:t>
      </w:r>
      <w:r w:rsidRPr="0005293A">
        <w:rPr>
          <w:rFonts w:ascii="Book Antiqua" w:hAnsi="Book Antiqua"/>
          <w:sz w:val="16"/>
          <w:szCs w:val="16"/>
        </w:rPr>
        <w:t xml:space="preserve">, available at: </w:t>
      </w:r>
    </w:p>
    <w:p w:rsidR="00BC1170" w:rsidRPr="0005293A" w:rsidRDefault="007B3EBC" w:rsidP="00BC1170">
      <w:pPr>
        <w:pStyle w:val="NoSpacing"/>
        <w:rPr>
          <w:rFonts w:ascii="Book Antiqua" w:hAnsi="Book Antiqua"/>
          <w:i/>
          <w:sz w:val="16"/>
          <w:szCs w:val="16"/>
        </w:rPr>
      </w:pPr>
      <w:hyperlink r:id="rId1237" w:history="1">
        <w:r w:rsidR="00BC1170" w:rsidRPr="0005293A">
          <w:rPr>
            <w:rStyle w:val="Hyperlink"/>
            <w:rFonts w:ascii="Book Antiqua" w:hAnsi="Book Antiqua"/>
            <w:i/>
            <w:szCs w:val="16"/>
          </w:rPr>
          <w:t>http://amsglossary.allenpress.com/glossary/browse?s=r&amp;p=30</w:t>
        </w:r>
      </w:hyperlink>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[2] C. H. Gibson, “Turbulence and mixing in the early universe,” Keynote Paper, International Conference Mechanical Engineering, Dhaka, Bangladesh, Dec. 26 to 28, 2001. Available at:</w:t>
      </w:r>
    </w:p>
    <w:p w:rsidR="00BC1170" w:rsidRPr="0005293A" w:rsidRDefault="00BC1170" w:rsidP="00BC1170">
      <w:pPr>
        <w:pStyle w:val="NoSpacing"/>
        <w:rPr>
          <w:rFonts w:ascii="Book Antiqua" w:hAnsi="Book Antiqua"/>
          <w:i/>
          <w:sz w:val="16"/>
          <w:szCs w:val="16"/>
        </w:rPr>
      </w:pPr>
      <w:r w:rsidRPr="0005293A">
        <w:rPr>
          <w:rFonts w:ascii="Book Antiqua" w:hAnsi="Book Antiqua"/>
          <w:i/>
          <w:sz w:val="16"/>
          <w:szCs w:val="16"/>
        </w:rPr>
        <w:t xml:space="preserve"> </w:t>
      </w:r>
      <w:hyperlink r:id="rId1238" w:history="1">
        <w:r w:rsidRPr="0005293A">
          <w:rPr>
            <w:rStyle w:val="Hyperlink"/>
            <w:rFonts w:ascii="Book Antiqua" w:hAnsi="Book Antiqua"/>
            <w:i/>
            <w:szCs w:val="16"/>
          </w:rPr>
          <w:t>http://arxiv.org/abs/astro-ph/0110012</w:t>
        </w:r>
      </w:hyperlink>
    </w:p>
    <w:p w:rsidR="00BC1170" w:rsidRPr="0005293A" w:rsidRDefault="00BC1170" w:rsidP="00BC1170">
      <w:pPr>
        <w:pStyle w:val="NoSpacing"/>
        <w:rPr>
          <w:rFonts w:ascii="Book Antiqua" w:hAnsi="Book Antiqua"/>
          <w:i/>
          <w:sz w:val="16"/>
          <w:szCs w:val="16"/>
        </w:rPr>
      </w:pPr>
      <w:r w:rsidRPr="0005293A">
        <w:rPr>
          <w:rFonts w:ascii="Book Antiqua" w:hAnsi="Book Antiqua"/>
          <w:sz w:val="16"/>
          <w:szCs w:val="16"/>
        </w:rPr>
        <w:t>[</w:t>
      </w:r>
      <w:proofErr w:type="gramStart"/>
      <w:r w:rsidRPr="0005293A">
        <w:rPr>
          <w:rFonts w:ascii="Book Antiqua" w:hAnsi="Book Antiqua"/>
          <w:sz w:val="16"/>
          <w:szCs w:val="16"/>
        </w:rPr>
        <w:t>3  See</w:t>
      </w:r>
      <w:proofErr w:type="gramEnd"/>
      <w:r w:rsidRPr="0005293A">
        <w:rPr>
          <w:rFonts w:ascii="Book Antiqua" w:hAnsi="Book Antiqua"/>
          <w:sz w:val="16"/>
          <w:szCs w:val="16"/>
        </w:rPr>
        <w:t>, for example, Astronomy 871 – Physics of the ISM, page III-3, available at:</w:t>
      </w:r>
      <w:r w:rsidRPr="0005293A">
        <w:rPr>
          <w:rFonts w:ascii="Book Antiqua" w:hAnsi="Book Antiqua"/>
          <w:i/>
          <w:sz w:val="16"/>
          <w:szCs w:val="16"/>
        </w:rPr>
        <w:t xml:space="preserve"> </w:t>
      </w:r>
    </w:p>
    <w:p w:rsidR="00BC1170" w:rsidRPr="0005293A" w:rsidRDefault="007B3EBC" w:rsidP="00BC1170">
      <w:pPr>
        <w:pStyle w:val="NoSpacing"/>
        <w:rPr>
          <w:rFonts w:ascii="Book Antiqua" w:hAnsi="Book Antiqua"/>
          <w:sz w:val="16"/>
          <w:szCs w:val="16"/>
        </w:rPr>
      </w:pPr>
      <w:hyperlink r:id="rId1239" w:history="1">
        <w:r w:rsidR="00BC1170" w:rsidRPr="0005293A">
          <w:rPr>
            <w:rStyle w:val="Hyperlink"/>
            <w:rFonts w:ascii="Book Antiqua" w:hAnsi="Book Antiqua"/>
            <w:i/>
            <w:szCs w:val="16"/>
          </w:rPr>
          <w:t>http://www.astronomy.ohio-state.edu/~pogge/Ast871/</w:t>
        </w:r>
      </w:hyperlink>
      <w:r w:rsidR="00BC1170" w:rsidRPr="0005293A">
        <w:rPr>
          <w:rFonts w:ascii="Book Antiqua" w:hAnsi="Book Antiqua"/>
          <w:sz w:val="16"/>
          <w:szCs w:val="16"/>
        </w:rPr>
        <w:t xml:space="preserve">     </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[4] R. M. Zwaska et al., “Beam Tests of Ionization Chambers…” at:</w:t>
      </w:r>
    </w:p>
    <w:p w:rsidR="00BC1170" w:rsidRPr="0005293A" w:rsidRDefault="00BC1170" w:rsidP="00BC1170">
      <w:pPr>
        <w:pStyle w:val="NoSpacing"/>
        <w:jc w:val="both"/>
        <w:rPr>
          <w:rFonts w:ascii="Book Antiqua" w:hAnsi="Book Antiqua"/>
          <w:i/>
          <w:sz w:val="16"/>
          <w:szCs w:val="16"/>
        </w:rPr>
      </w:pPr>
      <w:r w:rsidRPr="0005293A">
        <w:rPr>
          <w:rFonts w:ascii="Book Antiqua" w:hAnsi="Book Antiqua"/>
          <w:i/>
          <w:sz w:val="16"/>
          <w:szCs w:val="16"/>
        </w:rPr>
        <w:t xml:space="preserve"> </w:t>
      </w:r>
      <w:hyperlink r:id="rId1240" w:history="1">
        <w:r w:rsidRPr="0005293A">
          <w:rPr>
            <w:rStyle w:val="Hyperlink"/>
            <w:rFonts w:ascii="Book Antiqua" w:hAnsi="Book Antiqua"/>
            <w:i/>
            <w:szCs w:val="16"/>
          </w:rPr>
          <w:t>http://home.fnal.gov/~morfin/minos/monitor_ieee.pdf</w:t>
        </w:r>
      </w:hyperlink>
      <w:r w:rsidRPr="0005293A">
        <w:rPr>
          <w:rFonts w:ascii="Book Antiqua" w:hAnsi="Book Antiqua"/>
          <w:i/>
          <w:sz w:val="16"/>
          <w:szCs w:val="16"/>
        </w:rPr>
        <w:t>.</w:t>
      </w:r>
      <w:r w:rsidRPr="0005293A">
        <w:rPr>
          <w:rFonts w:ascii="Book Antiqua" w:hAnsi="Book Antiqua"/>
          <w:sz w:val="16"/>
          <w:szCs w:val="16"/>
        </w:rPr>
        <w:t xml:space="preserve"> See under their Section B following their Figure 9.</w:t>
      </w:r>
    </w:p>
    <w:p w:rsidR="00BC1170" w:rsidRPr="0005293A" w:rsidRDefault="00BC1170" w:rsidP="00BC1170">
      <w:pPr>
        <w:pStyle w:val="NoSpacing"/>
        <w:rPr>
          <w:rFonts w:ascii="Book Antiqua" w:hAnsi="Book Antiqua"/>
          <w:sz w:val="16"/>
          <w:szCs w:val="16"/>
        </w:rPr>
      </w:pPr>
      <w:r w:rsidRPr="0005293A">
        <w:rPr>
          <w:rFonts w:ascii="Book Antiqua" w:hAnsi="Book Antiqua"/>
          <w:sz w:val="16"/>
          <w:szCs w:val="16"/>
        </w:rPr>
        <w:t xml:space="preserve">[5] M-M MacLow, R. S. Klessen &amp; A. Burket, </w:t>
      </w:r>
      <w:r w:rsidRPr="0005293A">
        <w:rPr>
          <w:rFonts w:ascii="Book Antiqua" w:hAnsi="Book Antiqua"/>
          <w:i/>
          <w:sz w:val="16"/>
          <w:szCs w:val="16"/>
        </w:rPr>
        <w:t>Physical Review Letters</w:t>
      </w:r>
      <w:r w:rsidRPr="0005293A">
        <w:rPr>
          <w:rFonts w:ascii="Book Antiqua" w:hAnsi="Book Antiqua"/>
          <w:sz w:val="16"/>
          <w:szCs w:val="16"/>
        </w:rPr>
        <w:t xml:space="preserve"> </w:t>
      </w:r>
      <w:r w:rsidRPr="0005293A">
        <w:rPr>
          <w:rFonts w:ascii="Book Antiqua" w:hAnsi="Book Antiqua"/>
          <w:b/>
          <w:sz w:val="16"/>
          <w:szCs w:val="16"/>
        </w:rPr>
        <w:t>80</w:t>
      </w:r>
      <w:r w:rsidRPr="0005293A">
        <w:rPr>
          <w:rFonts w:ascii="Book Antiqua" w:hAnsi="Book Antiqua"/>
          <w:sz w:val="16"/>
          <w:szCs w:val="16"/>
        </w:rPr>
        <w:t>:13, p.2754, (1998).</w:t>
      </w:r>
    </w:p>
    <w:p w:rsidR="00BC1170" w:rsidRPr="00560C26" w:rsidRDefault="00BC1170" w:rsidP="00BC1170">
      <w:pPr>
        <w:pStyle w:val="NoSpacing"/>
        <w:rPr>
          <w:rFonts w:ascii="Book Antiqua" w:hAnsi="Book Antiqua"/>
          <w:sz w:val="16"/>
          <w:szCs w:val="16"/>
        </w:rPr>
      </w:pPr>
      <w:proofErr w:type="gramStart"/>
      <w:r w:rsidRPr="0005293A">
        <w:rPr>
          <w:rFonts w:ascii="Book Antiqua" w:hAnsi="Book Antiqua"/>
          <w:sz w:val="16"/>
          <w:szCs w:val="16"/>
        </w:rPr>
        <w:t xml:space="preserve">[6] W. J. Moore, </w:t>
      </w:r>
      <w:r w:rsidRPr="0005293A">
        <w:rPr>
          <w:rFonts w:ascii="Book Antiqua" w:hAnsi="Book Antiqua"/>
          <w:i/>
          <w:sz w:val="16"/>
          <w:szCs w:val="16"/>
        </w:rPr>
        <w:t>Physical Chemistry</w:t>
      </w:r>
      <w:r w:rsidRPr="0005293A">
        <w:rPr>
          <w:rFonts w:ascii="Book Antiqua" w:hAnsi="Book Antiqua"/>
          <w:sz w:val="16"/>
          <w:szCs w:val="16"/>
        </w:rPr>
        <w:t>, 3rd Edition, pp.530-531, (Longmans, 1961).</w:t>
      </w:r>
      <w:proofErr w:type="gramEnd"/>
    </w:p>
    <w:p w:rsidR="00BC1170" w:rsidRDefault="00BC1170" w:rsidP="00BC1170">
      <w:pPr>
        <w:pStyle w:val="NoSpacing"/>
        <w:rPr>
          <w:rFonts w:ascii="Book Antiqua" w:hAnsi="Book Antiqua"/>
          <w:bCs/>
          <w:iCs/>
          <w:color w:val="000000"/>
          <w:sz w:val="16"/>
          <w:szCs w:val="16"/>
        </w:rPr>
      </w:pPr>
    </w:p>
    <w:p w:rsidR="00BC1170" w:rsidRPr="00D112AF" w:rsidRDefault="00BC1170" w:rsidP="00BC1170">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BC1170" w:rsidRPr="00560C26" w:rsidRDefault="00BC1170" w:rsidP="00BC1170">
      <w:pPr>
        <w:pStyle w:val="NoSpacing"/>
        <w:rPr>
          <w:rFonts w:ascii="Book Antiqua" w:hAnsi="Book Antiqua"/>
          <w:bCs/>
          <w:iCs/>
          <w:color w:val="000000"/>
          <w:sz w:val="16"/>
          <w:szCs w:val="16"/>
        </w:rPr>
      </w:pPr>
    </w:p>
    <w:p w:rsidR="00BC1170" w:rsidRDefault="00BC1170" w:rsidP="00BC1170">
      <w:pPr>
        <w:rPr>
          <w:i/>
        </w:rPr>
      </w:pPr>
      <w:r w:rsidRPr="00560C26">
        <w:rPr>
          <w:rFonts w:ascii="Book Antiqua" w:hAnsi="Book Antiqua"/>
          <w:bCs/>
          <w:iCs/>
          <w:color w:val="000000"/>
          <w:sz w:val="16"/>
          <w:szCs w:val="16"/>
        </w:rPr>
        <w:t xml:space="preserve">Figure </w:t>
      </w:r>
      <w:r>
        <w:rPr>
          <w:rFonts w:ascii="Book Antiqua" w:hAnsi="Book Antiqua"/>
          <w:bCs/>
          <w:iCs/>
          <w:color w:val="000000"/>
          <w:sz w:val="16"/>
          <w:szCs w:val="16"/>
        </w:rPr>
        <w:t>2</w:t>
      </w:r>
      <w:r w:rsidRPr="00560C26">
        <w:rPr>
          <w:rFonts w:ascii="Book Antiqua" w:hAnsi="Book Antiqua"/>
          <w:bCs/>
          <w:iCs/>
          <w:color w:val="000000"/>
          <w:sz w:val="16"/>
          <w:szCs w:val="16"/>
        </w:rPr>
        <w:t>:</w:t>
      </w:r>
      <w:r>
        <w:rPr>
          <w:rFonts w:ascii="Book Antiqua" w:hAnsi="Book Antiqua"/>
          <w:bCs/>
          <w:iCs/>
          <w:color w:val="000000"/>
          <w:sz w:val="16"/>
          <w:szCs w:val="16"/>
        </w:rPr>
        <w:t xml:space="preserve"> </w:t>
      </w:r>
      <w:hyperlink r:id="rId1241" w:history="1">
        <w:r w:rsidRPr="00560C26">
          <w:rPr>
            <w:rStyle w:val="Hyperlink"/>
            <w:i/>
          </w:rPr>
          <w:t>http://www.zdplaskin.laplace.univ-tlse.fr/examples/01/</w:t>
        </w:r>
      </w:hyperlink>
    </w:p>
    <w:p w:rsidR="00BC1170" w:rsidRDefault="00BC1170" w:rsidP="00BC1170">
      <w:pPr>
        <w:pStyle w:val="NoSpacing"/>
        <w:jc w:val="center"/>
        <w:rPr>
          <w:rFonts w:ascii="Book Antiqua" w:hAnsi="Book Antiqua"/>
          <w:b/>
          <w:bCs/>
          <w:iCs/>
          <w:color w:val="000000"/>
          <w:sz w:val="28"/>
          <w:szCs w:val="28"/>
        </w:rPr>
      </w:pPr>
      <w:r w:rsidRPr="00D175C5">
        <w:rPr>
          <w:rFonts w:ascii="Book Antiqua" w:hAnsi="Book Antiqua"/>
          <w:b/>
          <w:bCs/>
          <w:iCs/>
          <w:color w:val="000000"/>
          <w:sz w:val="28"/>
          <w:szCs w:val="28"/>
        </w:rPr>
        <w:t>*  *  *  *  *  *  *</w:t>
      </w:r>
    </w:p>
    <w:p w:rsidR="0060216B" w:rsidRDefault="0060216B">
      <w:pPr>
        <w:widowControl/>
        <w:spacing w:after="200" w:line="276" w:lineRule="auto"/>
        <w:rPr>
          <w:rFonts w:ascii="Book Antiqua" w:eastAsia="Times New Roman" w:hAnsi="Book Antiqua"/>
          <w:b/>
          <w:bCs/>
          <w:iCs/>
          <w:color w:val="000000"/>
          <w:sz w:val="28"/>
          <w:szCs w:val="28"/>
          <w:lang w:val="en-US"/>
        </w:rPr>
      </w:pPr>
      <w:r>
        <w:rPr>
          <w:rFonts w:ascii="Book Antiqua" w:hAnsi="Book Antiqua"/>
          <w:b/>
          <w:bCs/>
          <w:iCs/>
          <w:color w:val="000000"/>
          <w:sz w:val="28"/>
          <w:szCs w:val="28"/>
        </w:rPr>
        <w:br w:type="page"/>
      </w:r>
    </w:p>
    <w:p w:rsidR="00C80BD4" w:rsidRPr="00AB49F0" w:rsidRDefault="00C80BD4" w:rsidP="00C80BD4">
      <w:pPr>
        <w:pStyle w:val="NoSpacing"/>
        <w:jc w:val="center"/>
        <w:rPr>
          <w:rFonts w:ascii="Book Antiqua" w:hAnsi="Book Antiqua"/>
          <w:b/>
          <w:szCs w:val="24"/>
        </w:rPr>
      </w:pPr>
      <w:r w:rsidRPr="00AB49F0">
        <w:rPr>
          <w:rFonts w:ascii="Book Antiqua" w:hAnsi="Book Antiqua"/>
          <w:b/>
          <w:szCs w:val="24"/>
        </w:rPr>
        <w:lastRenderedPageBreak/>
        <w:t xml:space="preserve">Appendix B: </w:t>
      </w:r>
      <w:r w:rsidRPr="00AB49F0">
        <w:rPr>
          <w:rFonts w:ascii="Book Antiqua" w:hAnsi="Book Antiqua"/>
          <w:b/>
          <w:i/>
          <w:szCs w:val="24"/>
        </w:rPr>
        <w:t>Radiant energy emission.</w:t>
      </w:r>
    </w:p>
    <w:p w:rsidR="00C80BD4" w:rsidRPr="00C07D41" w:rsidRDefault="00C80BD4" w:rsidP="00C80BD4">
      <w:pPr>
        <w:pStyle w:val="NoSpacing"/>
        <w:jc w:val="both"/>
        <w:rPr>
          <w:rFonts w:ascii="Book Antiqua" w:hAnsi="Book Antiqua"/>
          <w:sz w:val="20"/>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B1.   Energy density of radiation</w:t>
      </w:r>
    </w:p>
    <w:p w:rsidR="00C80BD4" w:rsidRPr="00C07D41" w:rsidRDefault="00C80BD4" w:rsidP="00C80BD4">
      <w:pPr>
        <w:pStyle w:val="NoSpacing"/>
        <w:rPr>
          <w:rFonts w:ascii="Book Antiqua" w:hAnsi="Book Antiqua"/>
          <w:sz w:val="20"/>
        </w:rPr>
      </w:pPr>
    </w:p>
    <w:p w:rsidR="00C80BD4" w:rsidRPr="00C07D41" w:rsidRDefault="00C80BD4" w:rsidP="00C80BD4">
      <w:pPr>
        <w:pStyle w:val="NoSpacing"/>
        <w:ind w:firstLine="720"/>
        <w:jc w:val="both"/>
        <w:rPr>
          <w:rFonts w:ascii="Book Antiqua" w:hAnsi="Book Antiqua"/>
          <w:sz w:val="20"/>
        </w:rPr>
      </w:pPr>
      <w:r w:rsidRPr="00C07D41">
        <w:rPr>
          <w:rFonts w:ascii="Book Antiqua" w:hAnsi="Book Antiqua"/>
          <w:sz w:val="20"/>
        </w:rPr>
        <w:t>Chapter 2 discussed the energy density of radiation. We begin here with a brief recapitulation of what was said there, and then move on to other aspects of the topic.  In the wave model of electromagnetic radiation, the energy density</w:t>
      </w:r>
      <w:proofErr w:type="gramStart"/>
      <w:r w:rsidRPr="00C07D41">
        <w:rPr>
          <w:rFonts w:ascii="Book Antiqua" w:hAnsi="Book Antiqua"/>
          <w:sz w:val="20"/>
        </w:rPr>
        <w:t xml:space="preserve">, </w:t>
      </w:r>
      <m:oMath>
        <w:proofErr w:type="gramEnd"/>
        <m:r>
          <w:rPr>
            <w:rFonts w:ascii="Cambria Math" w:hAnsi="Cambria Math"/>
            <w:sz w:val="20"/>
          </w:rPr>
          <m:t>ρ</m:t>
        </m:r>
      </m:oMath>
      <w:r w:rsidRPr="00C07D41">
        <w:rPr>
          <w:rFonts w:ascii="Book Antiqua" w:hAnsi="Book Antiqua"/>
          <w:sz w:val="20"/>
        </w:rPr>
        <w:t>, of emitted radiation, is given by the following equation in references [</w:t>
      </w:r>
      <w:hyperlink r:id="rId1242" w:anchor="2a148" w:history="1">
        <w:r w:rsidRPr="00C07D41">
          <w:rPr>
            <w:rStyle w:val="Hyperlink"/>
            <w:rFonts w:ascii="Book Antiqua" w:hAnsi="Book Antiqua"/>
            <w:sz w:val="20"/>
          </w:rPr>
          <w:t>1-3]</w:t>
        </w:r>
      </w:hyperlink>
      <w:r w:rsidRPr="00C07D41">
        <w:rPr>
          <w:rFonts w:ascii="Book Antiqua" w:hAnsi="Book Antiqua"/>
          <w:sz w:val="20"/>
        </w:rPr>
        <w:t xml:space="preserve">: </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oMath>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 xml:space="preserve"> </w:t>
      </w:r>
      <w:r w:rsidRPr="00C07D41">
        <w:rPr>
          <w:rFonts w:ascii="Book Antiqua" w:hAnsi="Book Antiqua"/>
          <w:i/>
          <w:sz w:val="20"/>
          <w:szCs w:val="20"/>
        </w:rPr>
        <w:t>(1)</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Style w:val="style21"/>
            <w:rFonts w:ascii="Cambria Math" w:hAnsi="Cambria Math"/>
            <w:sz w:val="20"/>
            <w:szCs w:val="20"/>
          </w:rPr>
          <m:t>ε</m:t>
        </m:r>
      </m:oMath>
      <w:r w:rsidRPr="00C07D41">
        <w:rPr>
          <w:rStyle w:val="style21"/>
          <w:rFonts w:ascii="Book Antiqua" w:hAnsi="Book Antiqua"/>
          <w:sz w:val="20"/>
          <w:szCs w:val="20"/>
        </w:rPr>
        <w:t xml:space="preserve"> is the electric permittivity of the vacuum, </w:t>
      </w:r>
      <m:oMath>
        <m:r>
          <w:rPr>
            <w:rStyle w:val="style21"/>
            <w:rFonts w:ascii="Cambria Math" w:hAnsi="Cambria Math"/>
            <w:sz w:val="20"/>
            <w:szCs w:val="20"/>
          </w:rPr>
          <m:t>μ</m:t>
        </m:r>
      </m:oMath>
      <w:r w:rsidRPr="00C07D41">
        <w:rPr>
          <w:rStyle w:val="style21"/>
          <w:rFonts w:ascii="Book Antiqua" w:hAnsi="Book Antiqua"/>
          <w:sz w:val="20"/>
          <w:szCs w:val="20"/>
        </w:rPr>
        <w:t xml:space="preserve"> the magnetic permeability, </w:t>
      </w:r>
      <m:oMath>
        <m:r>
          <w:rPr>
            <w:rStyle w:val="style21"/>
            <w:rFonts w:ascii="Cambria Math" w:hAnsi="Cambria Math"/>
            <w:sz w:val="20"/>
            <w:szCs w:val="20"/>
          </w:rPr>
          <m:t>E</m:t>
        </m:r>
      </m:oMath>
      <w:r w:rsidRPr="00C07D41">
        <w:rPr>
          <w:rStyle w:val="style21"/>
          <w:rFonts w:ascii="Book Antiqua" w:hAnsi="Book Antiqua"/>
          <w:sz w:val="20"/>
          <w:szCs w:val="20"/>
        </w:rPr>
        <w:t xml:space="preserve"> and</w:t>
      </w:r>
      <w:r w:rsidRPr="00C07D41">
        <w:rPr>
          <w:rStyle w:val="style21"/>
          <w:rFonts w:ascii="Book Antiqua" w:hAnsi="Book Antiqua"/>
          <w:i/>
          <w:sz w:val="20"/>
          <w:szCs w:val="20"/>
        </w:rPr>
        <w:t xml:space="preserve"> </w:t>
      </w:r>
      <m:oMath>
        <m:r>
          <w:rPr>
            <w:rStyle w:val="style21"/>
            <w:rFonts w:ascii="Cambria Math" w:hAnsi="Cambria Math"/>
            <w:sz w:val="20"/>
            <w:szCs w:val="20"/>
          </w:rPr>
          <m:t>H</m:t>
        </m:r>
      </m:oMath>
      <w:r w:rsidRPr="00C07D41">
        <w:rPr>
          <w:rStyle w:val="style21"/>
          <w:rFonts w:ascii="Book Antiqua" w:hAnsi="Book Antiqua"/>
          <w:sz w:val="20"/>
          <w:szCs w:val="20"/>
        </w:rPr>
        <w:t xml:space="preserve"> the electric and magnetic field strengths respectively. </w:t>
      </w:r>
      <w:r w:rsidRPr="00C07D41">
        <w:rPr>
          <w:rFonts w:ascii="Book Antiqua" w:hAnsi="Book Antiqua"/>
          <w:sz w:val="20"/>
          <w:szCs w:val="20"/>
        </w:rPr>
        <w:t xml:space="preserve">Electromagnetic waves are described by a sine function. If the peak amplitude of the sine wave </w:t>
      </w:r>
      <w:proofErr w:type="gramStart"/>
      <w:r w:rsidRPr="00C07D41">
        <w:rPr>
          <w:rFonts w:ascii="Book Antiqua" w:hAnsi="Book Antiqua"/>
          <w:sz w:val="20"/>
          <w:szCs w:val="20"/>
        </w:rPr>
        <w:t xml:space="preserve">is </w:t>
      </w:r>
      <m:oMath>
        <m:sSub>
          <m:sSubPr>
            <m:ctrlPr>
              <w:rPr>
                <w:rStyle w:val="Emphasis"/>
                <w:rFonts w:ascii="Cambria Math" w:hAnsi="Book Antiqua"/>
                <w:i w:val="0"/>
                <w:iCs w:val="0"/>
                <w:sz w:val="20"/>
                <w:szCs w:val="20"/>
              </w:rPr>
            </m:ctrlPr>
          </m:sSubPr>
          <m:e>
            <w:proofErr w:type="gramEnd"/>
            <m:r>
              <w:rPr>
                <w:rStyle w:val="Emphasis"/>
                <w:rFonts w:ascii="Cambria Math" w:hAnsi="Cambria Math"/>
                <w:sz w:val="20"/>
                <w:szCs w:val="20"/>
              </w:rPr>
              <m:t>A</m:t>
            </m:r>
          </m:e>
          <m:sub>
            <m:r>
              <w:rPr>
                <w:rStyle w:val="Emphasis"/>
                <w:rFonts w:ascii="Cambria Math" w:hAnsi="Book Antiqua"/>
                <w:sz w:val="20"/>
                <w:szCs w:val="20"/>
              </w:rPr>
              <m:t>0</m:t>
            </m:r>
          </m:sub>
        </m:sSub>
      </m:oMath>
      <w:r w:rsidRPr="00C07D41">
        <w:rPr>
          <w:rStyle w:val="Emphasis"/>
          <w:rFonts w:ascii="Book Antiqua" w:hAnsi="Book Antiqua"/>
          <w:sz w:val="20"/>
          <w:szCs w:val="20"/>
          <w:vertAlign w:val="subscript"/>
        </w:rPr>
        <w:t xml:space="preserve"> , </w:t>
      </w:r>
      <w:r w:rsidRPr="00C07D41">
        <w:rPr>
          <w:rFonts w:ascii="Book Antiqua" w:hAnsi="Book Antiqua"/>
          <w:sz w:val="20"/>
          <w:szCs w:val="20"/>
        </w:rPr>
        <w:t xml:space="preserve">then the energy density of the wave is also given by </w:t>
      </w:r>
      <m:oMath>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oMath>
      <w:r w:rsidRPr="00C07D41">
        <w:rPr>
          <w:rStyle w:val="Emphasis"/>
          <w:rFonts w:ascii="Book Antiqua" w:hAnsi="Book Antiqua"/>
          <w:sz w:val="20"/>
          <w:szCs w:val="20"/>
        </w:rPr>
        <w:t xml:space="preserve"> </w:t>
      </w:r>
      <w:r w:rsidRPr="00C07D41">
        <w:rPr>
          <w:rFonts w:ascii="Book Antiqua" w:hAnsi="Book Antiqua"/>
          <w:sz w:val="20"/>
          <w:szCs w:val="20"/>
        </w:rPr>
        <w:t>since the factor of</w:t>
      </w:r>
      <m:oMath>
        <m:r>
          <w:rPr>
            <w:rFonts w:ascii="Cambria Math" w:hAnsi="Book Antiqua"/>
            <w:sz w:val="20"/>
            <w:szCs w:val="20"/>
          </w:rPr>
          <m:t xml:space="preserve">  </m:t>
        </m:r>
        <m:r>
          <w:rPr>
            <w:rFonts w:ascii="Book Antiqua" w:hAnsi="Book Antiqua"/>
            <w:sz w:val="20"/>
            <w:szCs w:val="20"/>
          </w:rPr>
          <m:t>½</m:t>
        </m:r>
        <m:r>
          <w:rPr>
            <w:rFonts w:ascii="Cambria Math" w:hAnsi="Book Antiqua"/>
            <w:sz w:val="20"/>
            <w:szCs w:val="20"/>
          </w:rPr>
          <m:t xml:space="preserve"> </m:t>
        </m:r>
      </m:oMath>
      <w:r w:rsidRPr="00C07D41">
        <w:rPr>
          <w:rFonts w:ascii="Book Antiqua" w:hAnsi="Book Antiqua"/>
          <w:sz w:val="20"/>
          <w:szCs w:val="20"/>
        </w:rPr>
        <w:t xml:space="preserve"> is the mean of the square of the sine over all </w:t>
      </w:r>
      <w:r w:rsidRPr="0092452E">
        <w:rPr>
          <w:rFonts w:ascii="Book Antiqua" w:hAnsi="Book Antiqua"/>
          <w:sz w:val="20"/>
          <w:szCs w:val="20"/>
        </w:rPr>
        <w:t>angles [1].</w:t>
      </w:r>
      <w:r w:rsidRPr="00C07D41">
        <w:rPr>
          <w:rFonts w:ascii="Book Antiqua" w:hAnsi="Book Antiqua"/>
          <w:sz w:val="20"/>
          <w:szCs w:val="20"/>
        </w:rPr>
        <w:t xml:space="preserve"> It therefore follows from (1) that </w:t>
      </w:r>
    </w:p>
    <w:p w:rsidR="00C80BD4" w:rsidRPr="00C07D41" w:rsidRDefault="00C80BD4" w:rsidP="00C80BD4">
      <w:pPr>
        <w:pStyle w:val="NormalWeb"/>
        <w:jc w:val="right"/>
        <w:rPr>
          <w:rFonts w:ascii="Book Antiqua" w:hAnsi="Book Antiqua"/>
          <w:sz w:val="20"/>
          <w:szCs w:val="20"/>
        </w:rPr>
      </w:pPr>
      <m:oMath>
        <m:r>
          <w:rPr>
            <w:rStyle w:val="style21"/>
            <w:rFonts w:ascii="Cambria Math" w:hAnsi="Cambria Math"/>
            <w:sz w:val="20"/>
            <w:szCs w:val="20"/>
          </w:rPr>
          <m:t>ε</m:t>
        </m:r>
        <m:sSup>
          <m:sSupPr>
            <m:ctrlPr>
              <w:rPr>
                <w:rStyle w:val="style21"/>
                <w:rFonts w:ascii="Cambria Math" w:hAnsi="Book Antiqua"/>
                <w:i/>
                <w:sz w:val="20"/>
                <w:szCs w:val="20"/>
              </w:rPr>
            </m:ctrlPr>
          </m:sSupPr>
          <m:e>
            <m:r>
              <w:rPr>
                <w:rStyle w:val="style21"/>
                <w:rFonts w:ascii="Cambria Math" w:hAnsi="Cambria Math"/>
                <w:sz w:val="20"/>
                <w:szCs w:val="20"/>
              </w:rPr>
              <m:t>E</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μ</m:t>
        </m:r>
        <m:sSup>
          <m:sSupPr>
            <m:ctrlPr>
              <w:rPr>
                <w:rStyle w:val="style21"/>
                <w:rFonts w:ascii="Cambria Math" w:hAnsi="Book Antiqua"/>
                <w:i/>
                <w:sz w:val="20"/>
                <w:szCs w:val="20"/>
              </w:rPr>
            </m:ctrlPr>
          </m:sSupPr>
          <m:e>
            <m:r>
              <w:rPr>
                <w:rStyle w:val="style21"/>
                <w:rFonts w:ascii="Cambria Math" w:hAnsi="Cambria Math"/>
                <w:sz w:val="20"/>
                <w:szCs w:val="20"/>
              </w:rPr>
              <m:t>H</m:t>
            </m:r>
          </m:e>
          <m:sup>
            <m:r>
              <w:rPr>
                <w:rStyle w:val="style21"/>
                <w:rFonts w:ascii="Cambria Math" w:hAnsi="Book Antiqua"/>
                <w:sz w:val="20"/>
                <w:szCs w:val="20"/>
              </w:rPr>
              <m:t>2</m:t>
            </m:r>
          </m:sup>
        </m:sSup>
        <m:r>
          <w:rPr>
            <w:rStyle w:val="style21"/>
            <w:rFonts w:ascii="Cambria Math" w:hAnsi="Book Antiqua"/>
            <w:sz w:val="20"/>
            <w:szCs w:val="20"/>
          </w:rPr>
          <m:t>/4</m:t>
        </m:r>
        <m:r>
          <w:rPr>
            <w:rStyle w:val="style21"/>
            <w:rFonts w:ascii="Cambria Math" w:hAnsi="Cambria Math"/>
            <w:sz w:val="20"/>
            <w:szCs w:val="20"/>
          </w:rPr>
          <m:t>π</m:t>
        </m:r>
        <m:r>
          <w:rPr>
            <w:rStyle w:val="style21"/>
            <w:rFonts w:ascii="Cambria Math" w:hAnsi="Book Antiqua"/>
            <w:sz w:val="20"/>
            <w:szCs w:val="20"/>
          </w:rPr>
          <m:t xml:space="preserve"> = </m:t>
        </m:r>
        <m:r>
          <w:rPr>
            <w:rStyle w:val="style21"/>
            <w:rFonts w:ascii="Cambria Math" w:hAnsi="Cambria Math"/>
            <w:sz w:val="20"/>
            <w:szCs w:val="20"/>
          </w:rPr>
          <m:t>ρ</m:t>
        </m:r>
        <m:r>
          <w:rPr>
            <w:rStyle w:val="style21"/>
            <w:rFonts w:ascii="Cambria Math" w:hAnsi="Book Antiqua"/>
            <w:sz w:val="20"/>
            <w:szCs w:val="20"/>
          </w:rPr>
          <m:t xml:space="preserve"> = </m:t>
        </m:r>
        <m:sSup>
          <m:sSupPr>
            <m:ctrlPr>
              <w:rPr>
                <w:rStyle w:val="Emphasis"/>
                <w:rFonts w:ascii="Cambria Math" w:hAnsi="Book Antiqua"/>
                <w:i w:val="0"/>
                <w:iCs w:val="0"/>
                <w:sz w:val="20"/>
                <w:szCs w:val="20"/>
              </w:rPr>
            </m:ctrlPr>
          </m:sSupPr>
          <m:e>
            <m:sSub>
              <m:sSubPr>
                <m:ctrlPr>
                  <w:rPr>
                    <w:rStyle w:val="Emphasis"/>
                    <w:rFonts w:ascii="Cambria Math" w:hAnsi="Book Antiqua"/>
                    <w:i w:val="0"/>
                    <w:iCs w:val="0"/>
                    <w:sz w:val="20"/>
                    <w:szCs w:val="20"/>
                  </w:rPr>
                </m:ctrlPr>
              </m:sSubPr>
              <m:e>
                <m:r>
                  <w:rPr>
                    <w:rStyle w:val="Emphasis"/>
                    <w:rFonts w:ascii="Cambria Math" w:hAnsi="Cambria Math"/>
                    <w:sz w:val="20"/>
                    <w:szCs w:val="20"/>
                  </w:rPr>
                  <m:t>A</m:t>
                </m:r>
              </m:e>
              <m:sub>
                <m:r>
                  <w:rPr>
                    <w:rStyle w:val="Emphasis"/>
                    <w:rFonts w:ascii="Cambria Math" w:hAnsi="Book Antiqua"/>
                    <w:sz w:val="20"/>
                    <w:szCs w:val="20"/>
                  </w:rPr>
                  <m:t>0</m:t>
                </m:r>
              </m:sub>
            </m:sSub>
          </m:e>
          <m:sup>
            <m:r>
              <w:rPr>
                <w:rStyle w:val="Emphasis"/>
                <w:rFonts w:ascii="Cambria Math" w:hAnsi="Book Antiqua"/>
                <w:sz w:val="20"/>
                <w:szCs w:val="20"/>
              </w:rPr>
              <m:t>2</m:t>
            </m:r>
          </m:sup>
        </m:sSup>
        <m:r>
          <w:rPr>
            <w:rStyle w:val="Emphasis"/>
            <w:rFonts w:ascii="Cambria Math" w:hAnsi="Book Antiqua"/>
            <w:sz w:val="20"/>
            <w:szCs w:val="20"/>
          </w:rPr>
          <m:t>/8</m:t>
        </m:r>
        <m:r>
          <w:rPr>
            <w:rStyle w:val="Emphasis"/>
            <w:rFonts w:ascii="Cambria Math" w:hAnsi="Cambria Math"/>
            <w:sz w:val="20"/>
            <w:szCs w:val="20"/>
          </w:rPr>
          <m:t>π</m:t>
        </m:r>
        <m:r>
          <w:rPr>
            <w:rStyle w:val="Emphasis"/>
            <w:rFonts w:ascii="Cambria Math" w:hAnsi="Book Antiqua"/>
            <w:sz w:val="20"/>
            <w:szCs w:val="20"/>
          </w:rPr>
          <m:t xml:space="preserve"> </m:t>
        </m:r>
      </m:oMath>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r>
      <w:r w:rsidRPr="00C07D41">
        <w:rPr>
          <w:rStyle w:val="Emphasis"/>
          <w:rFonts w:ascii="Book Antiqua" w:hAnsi="Book Antiqua"/>
          <w:sz w:val="20"/>
          <w:szCs w:val="20"/>
        </w:rPr>
        <w:tab/>
        <w:t xml:space="preserve"> (2)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when the energy density of the wave is lower, so, too, is the square of the amplitude in direct proportion. In Chapter 2, equations (5) to (9), it is shown that both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are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So the energy density of electromagnetic waves</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Fonts w:ascii="Book Antiqua" w:hAnsi="Cambria Math"/>
            <w:sz w:val="20"/>
            <w:szCs w:val="20"/>
          </w:rPr>
          <m:t>h</m:t>
        </m:r>
      </m:oMath>
      <w:r w:rsidRPr="00C07D41">
        <w:rPr>
          <w:rFonts w:ascii="Book Antiqua" w:hAnsi="Book Antiqua"/>
          <w:sz w:val="20"/>
          <w:szCs w:val="20"/>
        </w:rPr>
        <w:t xml:space="preserve"> or </w:t>
      </w:r>
      <m:oMath>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w:t>
      </w:r>
      <w:proofErr w:type="gramStart"/>
      <w:r w:rsidRPr="00C07D41">
        <w:rPr>
          <w:rFonts w:ascii="Book Antiqua" w:hAnsi="Book Antiqua"/>
          <w:sz w:val="20"/>
          <w:szCs w:val="20"/>
        </w:rPr>
        <w:t>just</w:t>
      </w:r>
      <w:proofErr w:type="gramEnd"/>
      <w:r w:rsidRPr="00C07D41">
        <w:rPr>
          <w:rFonts w:ascii="Book Antiqua" w:hAnsi="Book Antiqua"/>
          <w:sz w:val="20"/>
          <w:szCs w:val="20"/>
        </w:rPr>
        <w:t xml:space="preserve"> as the ZPE itself is. We can now write</w:t>
      </w:r>
    </w:p>
    <w:p w:rsidR="00C80BD4" w:rsidRPr="00C07D41" w:rsidRDefault="00C80BD4" w:rsidP="00C80BD4">
      <w:pPr>
        <w:pStyle w:val="NormalWeb"/>
        <w:jc w:val="right"/>
        <w:rPr>
          <w:rFonts w:ascii="Book Antiqua" w:hAnsi="Book Antiqua"/>
          <w:i/>
          <w:sz w:val="20"/>
          <w:szCs w:val="20"/>
        </w:rPr>
      </w:pPr>
      <m:oMath>
        <m:r>
          <w:rPr>
            <w:rStyle w:val="style21"/>
            <w:rFonts w:ascii="Cambria Math" w:hAnsi="Cambria Math"/>
            <w:sz w:val="20"/>
            <w:szCs w:val="20"/>
          </w:rPr>
          <m:t>ρ</m:t>
        </m:r>
        <m:r>
          <w:rPr>
            <w:rStyle w:val="style21"/>
            <w:rFonts w:ascii="Cambria Math" w:hAnsi="Book Antiqua"/>
            <w:sz w:val="20"/>
            <w:szCs w:val="20"/>
          </w:rPr>
          <m:t xml:space="preserve"> ~ 1/</m:t>
        </m:r>
        <m:r>
          <w:rPr>
            <w:rStyle w:val="style21"/>
            <w:rFonts w:ascii="Cambria Math" w:hAnsi="Cambria Math"/>
            <w:sz w:val="20"/>
            <w:szCs w:val="20"/>
          </w:rPr>
          <m:t>c</m:t>
        </m:r>
        <m:r>
          <w:rPr>
            <w:rStyle w:val="style21"/>
            <w:rFonts w:ascii="Cambria Math" w:hAnsi="Book Antiqua"/>
            <w:sz w:val="20"/>
            <w:szCs w:val="20"/>
          </w:rPr>
          <m:t xml:space="preserve"> ~ </m:t>
        </m:r>
        <m:r>
          <w:rPr>
            <w:rStyle w:val="style21"/>
            <w:rFonts w:ascii="Book Antiqua" w:hAnsi="Cambria Math"/>
            <w:sz w:val="20"/>
            <w:szCs w:val="20"/>
          </w:rPr>
          <m:t>h</m:t>
        </m:r>
        <m:r>
          <w:rPr>
            <w:rStyle w:val="style21"/>
            <w:rFonts w:ascii="Cambria Math" w:hAnsi="Book Antiqua"/>
            <w:sz w:val="20"/>
            <w:szCs w:val="20"/>
          </w:rPr>
          <m:t xml:space="preserve"> ~ </m:t>
        </m:r>
        <m:r>
          <w:rPr>
            <w:rStyle w:val="style21"/>
            <w:rFonts w:ascii="Cambria Math" w:hAnsi="Cambria Math"/>
            <w:sz w:val="20"/>
            <w:szCs w:val="20"/>
          </w:rPr>
          <m:t>U</m:t>
        </m:r>
      </m:oMath>
      <w:r w:rsidRPr="00C07D41">
        <w:rPr>
          <w:rStyle w:val="style21"/>
          <w:rFonts w:ascii="Book Antiqua" w:hAnsi="Book Antiqua"/>
          <w:sz w:val="20"/>
          <w:szCs w:val="20"/>
        </w:rPr>
        <w:t xml:space="preserve"> </w:t>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sz w:val="20"/>
          <w:szCs w:val="20"/>
        </w:rPr>
        <w:tab/>
      </w:r>
      <w:r w:rsidRPr="00C07D41">
        <w:rPr>
          <w:rStyle w:val="style21"/>
          <w:rFonts w:ascii="Book Antiqua" w:hAnsi="Book Antiqua"/>
          <w:i/>
          <w:sz w:val="20"/>
          <w:szCs w:val="20"/>
        </w:rPr>
        <w:tab/>
      </w:r>
      <w:r w:rsidRPr="00C07D41">
        <w:rPr>
          <w:rFonts w:ascii="Book Antiqua" w:hAnsi="Book Antiqua"/>
          <w:i/>
          <w:sz w:val="20"/>
          <w:szCs w:val="20"/>
        </w:rPr>
        <w:t>(3)</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increase </w:t>
      </w:r>
      <w:proofErr w:type="gramStart"/>
      <w:r w:rsidRPr="00C07D41">
        <w:rPr>
          <w:rFonts w:ascii="Book Antiqua" w:hAnsi="Book Antiqua"/>
          <w:sz w:val="20"/>
          <w:szCs w:val="20"/>
        </w:rPr>
        <w:t xml:space="preserve">in </w:t>
      </w:r>
      <m:oMath>
        <w:proofErr w:type="gramEnd"/>
        <m:r>
          <w:rPr>
            <w:rStyle w:val="Emphasis"/>
            <w:rFonts w:ascii="Cambria Math" w:hAnsi="Cambria Math"/>
            <w:sz w:val="20"/>
            <w:szCs w:val="20"/>
          </w:rPr>
          <m:t>U</m:t>
        </m:r>
      </m:oMath>
      <w:r w:rsidRPr="00C07D41">
        <w:rPr>
          <w:rFonts w:ascii="Book Antiqua" w:hAnsi="Book Antiqua"/>
          <w:sz w:val="20"/>
          <w:szCs w:val="20"/>
        </w:rPr>
        <w:t xml:space="preserve">, </w:t>
      </w:r>
      <m:oMath>
        <m:r>
          <w:rPr>
            <w:rFonts w:ascii="Cambria Math" w:hAnsi="Cambria Math"/>
            <w:sz w:val="20"/>
            <w:szCs w:val="20"/>
          </w:rPr>
          <m:t>ε</m:t>
        </m:r>
      </m:oMath>
      <w:r w:rsidRPr="00C07D41">
        <w:rPr>
          <w:rFonts w:ascii="Book Antiqua" w:hAnsi="Book Antiqua"/>
          <w:sz w:val="20"/>
          <w:szCs w:val="20"/>
        </w:rPr>
        <w:t xml:space="preserve"> and </w:t>
      </w:r>
      <m:oMath>
        <m:r>
          <w:rPr>
            <w:rFonts w:ascii="Cambria Math" w:hAnsi="Cambria Math"/>
            <w:sz w:val="20"/>
            <w:szCs w:val="20"/>
          </w:rPr>
          <m:t>μ</m:t>
        </m:r>
      </m:oMath>
      <w:r w:rsidRPr="00C07D41">
        <w:rPr>
          <w:rFonts w:ascii="Book Antiqua" w:hAnsi="Book Antiqua"/>
          <w:sz w:val="20"/>
          <w:szCs w:val="20"/>
        </w:rPr>
        <w:t xml:space="preserve"> with time means the energy density of emitted radiation will also increase with time. Because the properties of the vacuum were altered, higher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values in the past were accompanied by lower energy densities for all electromagnetic radiation.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Since </w:t>
      </w:r>
      <m:oMath>
        <m:r>
          <w:rPr>
            <w:rFonts w:ascii="Cambria Math" w:hAnsi="Cambria Math"/>
            <w:sz w:val="20"/>
            <w:szCs w:val="20"/>
          </w:rPr>
          <m:t>ε</m:t>
        </m:r>
        <m:r>
          <w:rPr>
            <w:rFonts w:ascii="Cambria Math" w:hAnsi="Book Antiqua"/>
            <w:sz w:val="20"/>
            <w:szCs w:val="20"/>
          </w:rPr>
          <m:t xml:space="preserve"> </m:t>
        </m:r>
      </m:oMath>
      <w:r w:rsidRPr="00C07D41">
        <w:rPr>
          <w:rFonts w:ascii="Book Antiqua" w:hAnsi="Book Antiqua"/>
          <w:sz w:val="20"/>
          <w:szCs w:val="20"/>
        </w:rPr>
        <w:t xml:space="preserve">and </w:t>
      </w:r>
      <m:oMath>
        <m:r>
          <w:rPr>
            <w:rFonts w:ascii="Cambria Math" w:hAnsi="Cambria Math"/>
            <w:sz w:val="20"/>
            <w:szCs w:val="20"/>
          </w:rPr>
          <m:t>μ</m:t>
        </m:r>
      </m:oMath>
      <w:r w:rsidRPr="00C07D41">
        <w:rPr>
          <w:rFonts w:ascii="Book Antiqua" w:hAnsi="Book Antiqua"/>
          <w:sz w:val="20"/>
          <w:szCs w:val="20"/>
        </w:rPr>
        <w:t xml:space="preserve"> increase with time during travel, the energy density (and hence amplitude) of a monochromatic wave in transit through the vacuum will be higher at reception than at emission, all other factors being equal. But, since the speed of light has slowed in transit, the number of waves being received by the observer per unit time is less than the number that was emitted per unit time.  This means that the radiation intensity will remain unchanged. Since radiation intensity, </w:t>
      </w:r>
      <m:oMath>
        <m:r>
          <w:rPr>
            <w:rStyle w:val="Emphasis"/>
            <w:rFonts w:ascii="Cambria Math" w:hAnsi="Cambria Math"/>
            <w:sz w:val="20"/>
            <w:szCs w:val="20"/>
          </w:rPr>
          <m:t>I</m:t>
        </m:r>
        <m:r>
          <m:rPr>
            <m:sty m:val="p"/>
          </m:rPr>
          <w:rPr>
            <w:rFonts w:ascii="Cambria Math" w:hAnsi="Book Antiqua"/>
            <w:sz w:val="20"/>
            <w:szCs w:val="20"/>
          </w:rPr>
          <m:t>,</m:t>
        </m:r>
      </m:oMath>
      <w:r w:rsidRPr="00C07D41">
        <w:rPr>
          <w:rFonts w:ascii="Book Antiqua" w:hAnsi="Book Antiqua"/>
          <w:sz w:val="20"/>
          <w:szCs w:val="20"/>
        </w:rPr>
        <w:t xml:space="preserve"> is given by the term </w:t>
      </w:r>
      <m:oMath>
        <m:r>
          <w:rPr>
            <w:rStyle w:val="Emphasis"/>
            <w:rFonts w:ascii="Cambria Math" w:hAnsi="Cambria Math"/>
            <w:sz w:val="20"/>
            <w:szCs w:val="20"/>
          </w:rPr>
          <m:t>ρc</m:t>
        </m:r>
        <m:r>
          <m:rPr>
            <m:sty m:val="p"/>
          </m:rPr>
          <w:rPr>
            <w:rFonts w:ascii="Cambria Math" w:hAnsi="Book Antiqua"/>
            <w:sz w:val="20"/>
            <w:szCs w:val="20"/>
          </w:rPr>
          <m:t xml:space="preserve"> </m:t>
        </m:r>
      </m:oMath>
      <w:r w:rsidRPr="00C07D41">
        <w:rPr>
          <w:rFonts w:ascii="Book Antiqua" w:hAnsi="Book Antiqua"/>
          <w:sz w:val="20"/>
          <w:szCs w:val="20"/>
        </w:rPr>
        <w:t>in [</w:t>
      </w:r>
      <w:hyperlink r:id="rId1243" w:anchor="2a148" w:history="1">
        <w:r w:rsidRPr="00C07D41">
          <w:rPr>
            <w:rStyle w:val="Hyperlink"/>
            <w:rFonts w:ascii="Book Antiqua" w:hAnsi="Book Antiqua"/>
            <w:sz w:val="20"/>
            <w:szCs w:val="20"/>
          </w:rPr>
          <w:t>1-3</w:t>
        </w:r>
      </w:hyperlink>
      <w:r w:rsidRPr="00C07D41">
        <w:rPr>
          <w:rFonts w:ascii="Book Antiqua" w:hAnsi="Book Antiqua"/>
          <w:sz w:val="20"/>
          <w:szCs w:val="20"/>
        </w:rPr>
        <w:t xml:space="preserve">], it can be seen from (3) that </w:t>
      </w:r>
    </w:p>
    <w:p w:rsidR="00C80BD4" w:rsidRPr="00C07D41" w:rsidRDefault="00C80BD4" w:rsidP="00C80BD4">
      <w:pPr>
        <w:pStyle w:val="NormalWeb"/>
        <w:jc w:val="right"/>
        <w:rPr>
          <w:rFonts w:ascii="Book Antiqua" w:hAnsi="Book Antiqua"/>
          <w:i/>
          <w:sz w:val="20"/>
          <w:szCs w:val="20"/>
        </w:rPr>
      </w:pPr>
      <m:oMath>
        <m:r>
          <w:rPr>
            <w:rStyle w:val="Emphasis"/>
            <w:rFonts w:ascii="Cambria Math" w:hAnsi="Cambria Math"/>
            <w:sz w:val="20"/>
            <w:szCs w:val="20"/>
          </w:rPr>
          <m:t>I</m:t>
        </m:r>
        <m:r>
          <w:rPr>
            <w:rStyle w:val="Emphasis"/>
            <w:rFonts w:ascii="Cambria Math" w:hAnsi="Book Antiqua"/>
            <w:sz w:val="20"/>
            <w:szCs w:val="20"/>
          </w:rPr>
          <m:t xml:space="preserve">  =  </m:t>
        </m:r>
        <m:r>
          <w:rPr>
            <w:rStyle w:val="Emphasis"/>
            <w:rFonts w:ascii="Cambria Math" w:hAnsi="Cambria Math"/>
            <w:sz w:val="20"/>
            <w:szCs w:val="20"/>
          </w:rPr>
          <m:t>ρc</m:t>
        </m:r>
        <m:r>
          <w:rPr>
            <w:rStyle w:val="Emphasis"/>
            <w:rFonts w:ascii="Cambria Math" w:hAnsi="Book Antiqua"/>
            <w:sz w:val="20"/>
            <w:szCs w:val="20"/>
          </w:rPr>
          <m:t xml:space="preserve"> = </m:t>
        </m:r>
        <m:r>
          <w:rPr>
            <w:rStyle w:val="Emphasis"/>
            <w:rFonts w:ascii="Cambria Math" w:hAnsi="Cambria Math"/>
            <w:sz w:val="20"/>
            <w:szCs w:val="20"/>
          </w:rPr>
          <m:t>constant</m:t>
        </m:r>
      </m:oMath>
      <w:r w:rsidRPr="00C07D41">
        <w:rPr>
          <w:rStyle w:val="Emphasis"/>
          <w:rFonts w:ascii="Book Antiqua" w:hAnsi="Book Antiqua"/>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i w:val="0"/>
          <w:sz w:val="20"/>
          <w:szCs w:val="20"/>
        </w:rPr>
        <w:tab/>
      </w:r>
      <w:r w:rsidRPr="00C07D41">
        <w:rPr>
          <w:rStyle w:val="Emphasis"/>
          <w:rFonts w:ascii="Book Antiqua" w:hAnsi="Book Antiqua"/>
          <w:sz w:val="20"/>
          <w:szCs w:val="20"/>
        </w:rPr>
        <w:t xml:space="preserve"> (4)</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To clarify, assume that an electromagnetic wave takes one second to pass an observer, and its measured energy density is one erg per cubic centimeter with the speed of light being one centimeter per second. The intensity of the wave will be 1 erg per square centimeter per second. Now if the speed of light at emission was 10 times faster, then from (2) and (3) this means the energy density of each wave </w:t>
      </w:r>
      <w:proofErr w:type="gramStart"/>
      <w:r w:rsidRPr="00C07D41">
        <w:rPr>
          <w:rFonts w:ascii="Book Antiqua" w:hAnsi="Book Antiqua"/>
          <w:sz w:val="20"/>
          <w:szCs w:val="20"/>
        </w:rPr>
        <w:t xml:space="preserve">is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But the speed of light is 10 times greater, so we now have 10 waves, each </w:t>
      </w:r>
      <w:proofErr w:type="gramStart"/>
      <w:r w:rsidRPr="00C07D41">
        <w:rPr>
          <w:rFonts w:ascii="Book Antiqua" w:hAnsi="Book Antiqua"/>
          <w:sz w:val="20"/>
          <w:szCs w:val="20"/>
        </w:rPr>
        <w:t xml:space="preserve">of </w:t>
      </w:r>
      <m:oMath>
        <w:proofErr w:type="gramEnd"/>
        <m:r>
          <w:rPr>
            <w:rFonts w:ascii="Cambria Math" w:hAnsi="Book Antiqua"/>
            <w:sz w:val="20"/>
            <w:szCs w:val="20"/>
          </w:rPr>
          <m:t>1/10</m:t>
        </m:r>
        <m:r>
          <w:rPr>
            <w:rFonts w:ascii="Cambria Math" w:hAnsi="Cambria Math"/>
            <w:sz w:val="20"/>
            <w:szCs w:val="20"/>
          </w:rPr>
          <m:t>t</m:t>
        </m:r>
        <m:r>
          <w:rPr>
            <w:rFonts w:ascii="Book Antiqua" w:hAnsi="Cambria Math"/>
            <w:sz w:val="20"/>
            <w:szCs w:val="20"/>
          </w:rPr>
          <m:t>h</m:t>
        </m:r>
        <m:r>
          <w:rPr>
            <w:rFonts w:ascii="Cambria Math" w:hAnsi="Book Antiqua"/>
            <w:sz w:val="20"/>
            <w:szCs w:val="20"/>
          </w:rPr>
          <m:t xml:space="preserve"> </m:t>
        </m:r>
        <m:r>
          <w:rPr>
            <w:rFonts w:ascii="Cambria Math" w:hAnsi="Cambria Math"/>
            <w:sz w:val="20"/>
            <w:szCs w:val="20"/>
          </w:rPr>
          <m:t>erg</m:t>
        </m:r>
        <m:r>
          <w:rPr>
            <w:rFonts w:ascii="Cambria Math" w:hAnsi="Book Antiqua"/>
            <w:sz w:val="20"/>
            <w:szCs w:val="20"/>
          </w:rPr>
          <m:t xml:space="preserve"> </m:t>
        </m:r>
        <m:r>
          <w:rPr>
            <w:rFonts w:ascii="Cambria Math" w:hAnsi="Cambria Math"/>
            <w:sz w:val="20"/>
            <w:szCs w:val="20"/>
          </w:rPr>
          <m:t>per</m:t>
        </m:r>
        <m:r>
          <w:rPr>
            <w:rFonts w:ascii="Cambria Math" w:hAnsi="Book Antiqua"/>
            <w:sz w:val="20"/>
            <w:szCs w:val="20"/>
          </w:rPr>
          <m:t xml:space="preserve"> </m:t>
        </m:r>
        <m:r>
          <w:rPr>
            <w:rFonts w:ascii="Cambria Math" w:hAnsi="Cambria Math"/>
            <w:sz w:val="20"/>
            <w:szCs w:val="20"/>
          </w:rPr>
          <m:t>cubic</m:t>
        </m:r>
        <m:r>
          <w:rPr>
            <w:rFonts w:ascii="Cambria Math" w:hAnsi="Book Antiqua"/>
            <w:sz w:val="20"/>
            <w:szCs w:val="20"/>
          </w:rPr>
          <m:t xml:space="preserve"> </m:t>
        </m:r>
        <m:r>
          <w:rPr>
            <w:rFonts w:ascii="Cambria Math" w:hAnsi="Cambria Math"/>
            <w:sz w:val="20"/>
            <w:szCs w:val="20"/>
          </w:rPr>
          <m:t>centimeter</m:t>
        </m:r>
      </m:oMath>
      <w:r w:rsidRPr="00C07D41">
        <w:rPr>
          <w:rFonts w:ascii="Book Antiqua" w:hAnsi="Book Antiqua"/>
          <w:sz w:val="20"/>
          <w:szCs w:val="20"/>
        </w:rPr>
        <w:t xml:space="preserve">, passing a given point in one second. This is true since wavelengths remain constant from the moment of emission to the moment of reception even though </w:t>
      </w:r>
      <m:oMath>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drops with time. </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Thus the total energy at emission that passes through one square centimeter per second is the same as at reception, so radiation intensities, </w:t>
      </w:r>
      <m:oMath>
        <m:r>
          <w:rPr>
            <w:rFonts w:ascii="Cambria Math" w:hAnsi="Cambria Math"/>
            <w:sz w:val="20"/>
            <w:szCs w:val="20"/>
          </w:rPr>
          <m:t>I</m:t>
        </m:r>
        <m:r>
          <w:rPr>
            <w:rFonts w:ascii="Cambria Math" w:hAnsi="Book Antiqua"/>
            <w:sz w:val="20"/>
            <w:szCs w:val="20"/>
          </w:rPr>
          <m:t>,</m:t>
        </m:r>
      </m:oMath>
      <w:r w:rsidRPr="00C07D41">
        <w:rPr>
          <w:rFonts w:ascii="Book Antiqua" w:hAnsi="Book Antiqua"/>
          <w:sz w:val="20"/>
          <w:szCs w:val="20"/>
        </w:rPr>
        <w:t xml:space="preserve"> remain unchanged.</w:t>
      </w:r>
    </w:p>
    <w:p w:rsidR="00C80BD4" w:rsidRDefault="00C80BD4" w:rsidP="00C80BD4">
      <w:pPr>
        <w:pStyle w:val="NormalWeb"/>
        <w:ind w:firstLine="720"/>
        <w:jc w:val="both"/>
        <w:rPr>
          <w:rFonts w:ascii="Book Antiqua" w:hAnsi="Book Antiqua"/>
          <w:sz w:val="20"/>
          <w:szCs w:val="20"/>
        </w:rPr>
      </w:pPr>
    </w:p>
    <w:p w:rsidR="00C80BD4" w:rsidRPr="002F5B8C" w:rsidRDefault="00C80BD4" w:rsidP="00C80BD4">
      <w:pPr>
        <w:pStyle w:val="NormalWeb"/>
        <w:ind w:firstLine="720"/>
        <w:jc w:val="both"/>
        <w:rPr>
          <w:rFonts w:ascii="Book Antiqua" w:hAnsi="Book Antiqua"/>
          <w:b/>
          <w:sz w:val="20"/>
          <w:szCs w:val="20"/>
        </w:rPr>
      </w:pPr>
      <w:r w:rsidRPr="00C07D41">
        <w:rPr>
          <w:rFonts w:ascii="Book Antiqua" w:hAnsi="Book Antiqua"/>
          <w:sz w:val="20"/>
          <w:szCs w:val="20"/>
        </w:rPr>
        <w:lastRenderedPageBreak/>
        <w:t xml:space="preserve"> </w:t>
      </w:r>
      <w:r w:rsidRPr="002F5B8C">
        <w:rPr>
          <w:rFonts w:ascii="Book Antiqua" w:hAnsi="Book Antiqua"/>
          <w:b/>
          <w:sz w:val="20"/>
          <w:szCs w:val="20"/>
        </w:rPr>
        <w:t>B2.   Stellar Luminosities</w:t>
      </w:r>
      <w:bookmarkStart w:id="220" w:name="stellar"/>
      <w:bookmarkEnd w:id="220"/>
    </w:p>
    <w:p w:rsidR="00C80BD4" w:rsidRPr="00C07D41" w:rsidRDefault="00C80BD4" w:rsidP="00C80BD4">
      <w:pPr>
        <w:pStyle w:val="NormalWeb"/>
        <w:ind w:firstLine="720"/>
        <w:jc w:val="both"/>
        <w:rPr>
          <w:rFonts w:ascii="Book Antiqua" w:hAnsi="Book Antiqua"/>
          <w:i/>
          <w:sz w:val="20"/>
          <w:szCs w:val="20"/>
        </w:rPr>
      </w:pPr>
      <w:r w:rsidRPr="00C07D41">
        <w:rPr>
          <w:rFonts w:ascii="Book Antiqua" w:hAnsi="Book Antiqua"/>
          <w:i/>
          <w:sz w:val="20"/>
          <w:szCs w:val="20"/>
        </w:rPr>
        <w:t>2.1 The Nuclear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There are currently two theories about the energy generation mechanism regarding the output of light from stars. One is the standard nuclear model examined in detail in this segment. The other is the model which results from a consideration of plasma physics and is briefly discussed below as well as in Chapter 6.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the nuclear model, three factors determine the luminosity of a star with increasing ZPE strength, and decreasing c. First is the photon production rate, which depends on the stellar nuclear reaction rate. Second is the mass-density of the atomic and subatomic particles making up the </w:t>
      </w:r>
      <w:proofErr w:type="gramStart"/>
      <w:r w:rsidRPr="00C07D41">
        <w:rPr>
          <w:rFonts w:ascii="Book Antiqua" w:hAnsi="Book Antiqua"/>
          <w:sz w:val="20"/>
          <w:szCs w:val="20"/>
        </w:rPr>
        <w:t>star.</w:t>
      </w:r>
      <w:proofErr w:type="gramEnd"/>
      <w:r w:rsidRPr="00C07D41">
        <w:rPr>
          <w:rFonts w:ascii="Book Antiqua" w:hAnsi="Book Antiqua"/>
          <w:sz w:val="20"/>
          <w:szCs w:val="20"/>
        </w:rPr>
        <w:t xml:space="preserve">  Third is the star’s opacity.  The core of the star is where the nuclear reaction occurs.  The radiation must then be transported to the outside to produce the shining.   It is the opacity which inhibits the energy transport from the reaction center out to where that energy radiates into space. Four key processes may contribute to opacity: free-free transitions (a free electron in the star is hit by radiation and remains free), bound-free transitions (an electron bound to an ion is hit by radiation and is freed from the ion), bound-bound </w:t>
      </w:r>
      <w:proofErr w:type="gramStart"/>
      <w:r w:rsidRPr="00C07D41">
        <w:rPr>
          <w:rFonts w:ascii="Book Antiqua" w:hAnsi="Book Antiqua"/>
          <w:sz w:val="20"/>
          <w:szCs w:val="20"/>
        </w:rPr>
        <w:t>transitions(</w:t>
      </w:r>
      <w:proofErr w:type="gramEnd"/>
      <w:r w:rsidRPr="00C07D41">
        <w:rPr>
          <w:rFonts w:ascii="Book Antiqua" w:hAnsi="Book Antiqua"/>
          <w:sz w:val="20"/>
          <w:szCs w:val="20"/>
        </w:rPr>
        <w:t xml:space="preserve"> an electron bound to an ion absorbs radiation and still remains bound to the ion), and scattering by electrons (free electrons scatter the radiation). We note that bound-bound transitions play a negligible part in stellar interiors </w:t>
      </w:r>
      <w:hyperlink r:id="rId1244" w:anchor="2a151" w:history="1">
        <w:r w:rsidRPr="00C07D41">
          <w:rPr>
            <w:rStyle w:val="Hyperlink"/>
            <w:rFonts w:ascii="Book Antiqua" w:hAnsi="Book Antiqua"/>
            <w:sz w:val="20"/>
            <w:szCs w:val="20"/>
          </w:rPr>
          <w:t>[4]</w:t>
        </w:r>
      </w:hyperlink>
      <w:r w:rsidRPr="00C07D41">
        <w:rPr>
          <w:rFonts w:ascii="Book Antiqua" w:hAnsi="Book Antiqua"/>
          <w:sz w:val="20"/>
          <w:szCs w:val="20"/>
        </w:rPr>
        <w:t xml:space="preserve">, but </w:t>
      </w:r>
      <w:r w:rsidRPr="00C07D41">
        <w:rPr>
          <w:rStyle w:val="Emphasis"/>
          <w:rFonts w:ascii="Book Antiqua" w:hAnsi="Book Antiqua"/>
          <w:sz w:val="20"/>
          <w:szCs w:val="20"/>
        </w:rPr>
        <w:t xml:space="preserve">“typical stellar interior densities, electron scattering will predominate over bound-free and free-free absorption for temperatures in excess of, say, some </w:t>
      </w:r>
      <m:oMath>
        <m:sSup>
          <m:sSupPr>
            <m:ctrlPr>
              <w:rPr>
                <w:rStyle w:val="Emphasis"/>
                <w:rFonts w:ascii="Cambria Math" w:hAnsi="Book Antiqua"/>
                <w:i w:val="0"/>
                <w:iCs w:val="0"/>
                <w:sz w:val="20"/>
                <w:szCs w:val="20"/>
              </w:rPr>
            </m:ctrlPr>
          </m:sSupPr>
          <m:e>
            <m:sSup>
              <m:sSupPr>
                <m:ctrlPr>
                  <w:rPr>
                    <w:rStyle w:val="Emphasis"/>
                    <w:rFonts w:ascii="Cambria Math" w:hAnsi="Book Antiqua"/>
                    <w:i w:val="0"/>
                    <w:iCs w:val="0"/>
                    <w:sz w:val="20"/>
                    <w:szCs w:val="20"/>
                  </w:rPr>
                </m:ctrlPr>
              </m:sSupPr>
              <m:e>
                <m:r>
                  <w:rPr>
                    <w:rStyle w:val="Emphasis"/>
                    <w:rFonts w:ascii="Cambria Math" w:hAnsi="Book Antiqua"/>
                    <w:sz w:val="20"/>
                    <w:szCs w:val="20"/>
                  </w:rPr>
                  <m:t>10</m:t>
                </m:r>
              </m:e>
              <m:sup>
                <m:r>
                  <w:rPr>
                    <w:rStyle w:val="Emphasis"/>
                    <w:rFonts w:ascii="Cambria Math" w:hAnsi="Book Antiqua"/>
                    <w:sz w:val="20"/>
                    <w:szCs w:val="20"/>
                  </w:rPr>
                  <m:t>7</m:t>
                </m:r>
              </m:sup>
            </m:sSup>
            <m:r>
              <w:rPr>
                <w:rStyle w:val="Emphasis"/>
                <w:rFonts w:ascii="Cambria Math" w:hAnsi="Book Antiqua"/>
                <w:sz w:val="20"/>
                <w:szCs w:val="20"/>
              </w:rPr>
              <m:t xml:space="preserve">  </m:t>
            </m:r>
          </m:e>
          <m:sup>
            <m:r>
              <w:rPr>
                <w:rStyle w:val="Emphasis"/>
                <w:rFonts w:ascii="Cambria Math" w:hAnsi="Book Antiqua"/>
                <w:sz w:val="20"/>
                <w:szCs w:val="20"/>
              </w:rPr>
              <m:t>0</m:t>
            </m:r>
          </m:sup>
        </m:sSup>
      </m:oMath>
      <w:r w:rsidRPr="00C07D41">
        <w:rPr>
          <w:rStyle w:val="Emphasis"/>
          <w:rFonts w:ascii="Book Antiqua" w:hAnsi="Book Antiqua"/>
          <w:sz w:val="20"/>
          <w:szCs w:val="20"/>
        </w:rPr>
        <w:t>K.”</w:t>
      </w:r>
      <w:hyperlink r:id="rId1245" w:anchor="2a152" w:history="1">
        <w:r w:rsidRPr="00C07D41">
          <w:rPr>
            <w:rStyle w:val="Hyperlink"/>
            <w:rFonts w:ascii="Book Antiqua" w:hAnsi="Book Antiqua"/>
            <w:sz w:val="20"/>
            <w:szCs w:val="20"/>
          </w:rPr>
          <w:t>[5]</w:t>
        </w:r>
      </w:hyperlink>
      <w:r w:rsidRPr="00C07D41">
        <w:rPr>
          <w:rFonts w:ascii="Book Antiqua" w:hAnsi="Book Antiqua"/>
          <w:sz w:val="20"/>
          <w:szCs w:val="20"/>
        </w:rPr>
        <w:t>.</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For the central area of stars, this leaves electron scattering of photons as the prime source of opacity. If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is the number of electrons in unit volume 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the mass-density [6, 7], then the opacity from scattering by free electrons </w:t>
      </w: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e</m:t>
            </m:r>
          </m:sub>
        </m:sSub>
      </m:oMath>
      <w:r w:rsidRPr="00C07D41">
        <w:rPr>
          <w:rFonts w:ascii="Book Antiqua" w:hAnsi="Book Antiqua"/>
          <w:sz w:val="20"/>
          <w:szCs w:val="20"/>
        </w:rPr>
        <w:t xml:space="preserve"> is given by [4, 8]:</w:t>
      </w:r>
    </w:p>
    <w:p w:rsidR="00C80BD4" w:rsidRPr="00C07D41" w:rsidRDefault="007B3EBC" w:rsidP="00C80BD4">
      <w:pPr>
        <w:pStyle w:val="NormalWeb"/>
        <w:jc w:val="right"/>
        <w:rPr>
          <w:rFonts w:ascii="Book Antiqua" w:hAnsi="Book Antiqua"/>
          <w:i/>
          <w:sz w:val="20"/>
          <w:szCs w:val="20"/>
        </w:rPr>
      </w:pPr>
      <m:oMath>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e</m:t>
            </m:r>
            <m:r>
              <w:rPr>
                <w:rStyle w:val="style21"/>
                <w:rFonts w:ascii="Cambria Math" w:hAnsi="Book Antiqua"/>
                <w:sz w:val="20"/>
                <w:szCs w:val="20"/>
              </w:rPr>
              <m:t xml:space="preserve"> </m:t>
            </m:r>
          </m:sub>
        </m:sSub>
        <m:r>
          <w:rPr>
            <w:rStyle w:val="style21"/>
            <w:rFonts w:ascii="Cambria Math" w:hAnsi="Book Antiqua"/>
            <w:sz w:val="20"/>
            <w:szCs w:val="20"/>
          </w:rPr>
          <m:t xml:space="preserve">= </m:t>
        </m:r>
        <m:r>
          <w:rPr>
            <w:rStyle w:val="style21"/>
            <w:rFonts w:ascii="Cambria Math" w:hAnsi="Cambria Math"/>
            <w:sz w:val="20"/>
            <w:szCs w:val="20"/>
          </w:rPr>
          <m:t>σ</m:t>
        </m:r>
        <m:r>
          <w:rPr>
            <w:rStyle w:val="style21"/>
            <w:rFonts w:ascii="Cambria Math" w:hAnsi="Book Antiqua"/>
            <w:sz w:val="20"/>
            <w:szCs w:val="20"/>
          </w:rPr>
          <m:t xml:space="preserve"> </m:t>
        </m:r>
        <m:sSub>
          <m:sSubPr>
            <m:ctrlPr>
              <w:rPr>
                <w:rStyle w:val="style21"/>
                <w:rFonts w:ascii="Cambria Math" w:hAnsi="Book Antiqua"/>
                <w:i/>
                <w:sz w:val="20"/>
                <w:szCs w:val="20"/>
              </w:rPr>
            </m:ctrlPr>
          </m:sSubPr>
          <m:e>
            <m:r>
              <w:rPr>
                <w:rStyle w:val="style21"/>
                <w:rFonts w:ascii="Cambria Math" w:hAnsi="Cambria Math"/>
                <w:sz w:val="20"/>
                <w:szCs w:val="20"/>
              </w:rPr>
              <m:t>n</m:t>
            </m:r>
          </m:e>
          <m:sub>
            <m:r>
              <w:rPr>
                <w:rStyle w:val="style21"/>
                <w:rFonts w:ascii="Cambria Math" w:hAnsi="Cambria Math"/>
                <w:sz w:val="20"/>
                <w:szCs w:val="20"/>
              </w:rPr>
              <m:t>e</m:t>
            </m:r>
          </m:sub>
        </m:sSub>
        <m:r>
          <w:rPr>
            <w:rStyle w:val="style21"/>
            <w:rFonts w:ascii="Cambria Math" w:hAnsi="Book Antiqua"/>
            <w:sz w:val="20"/>
            <w:szCs w:val="20"/>
          </w:rPr>
          <m:t xml:space="preserve"> / </m:t>
        </m:r>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Style w:val="style21"/>
            <w:rFonts w:ascii="Cambria Math" w:hAnsi="Book Antiqua"/>
            <w:sz w:val="20"/>
            <w:szCs w:val="20"/>
          </w:rPr>
          <m:t xml:space="preserve"> ~ </m:t>
        </m:r>
        <m:sSup>
          <m:sSupPr>
            <m:ctrlPr>
              <w:rPr>
                <w:rStyle w:val="style21"/>
                <w:rFonts w:ascii="Cambria Math" w:hAnsi="Book Antiqua"/>
                <w:i/>
                <w:sz w:val="20"/>
                <w:szCs w:val="20"/>
              </w:rPr>
            </m:ctrlPr>
          </m:sSupPr>
          <m:e>
            <m:r>
              <w:rPr>
                <w:rStyle w:val="style21"/>
                <w:rFonts w:ascii="Cambria Math" w:hAnsi="Cambria Math"/>
                <w:sz w:val="20"/>
                <w:szCs w:val="20"/>
              </w:rPr>
              <m:t>c</m:t>
            </m:r>
          </m:e>
          <m:sup>
            <m:r>
              <w:rPr>
                <w:rStyle w:val="style21"/>
                <w:rFonts w:ascii="Cambria Math" w:hAnsi="Book Antiqua"/>
                <w:sz w:val="20"/>
                <w:szCs w:val="20"/>
              </w:rPr>
              <m:t>2</m:t>
            </m:r>
          </m:sup>
        </m:sSup>
        <m:r>
          <w:rPr>
            <w:rStyle w:val="style21"/>
            <w:rFonts w:ascii="Cambria Math" w:hAnsi="Book Antiqua"/>
            <w:sz w:val="20"/>
            <w:szCs w:val="20"/>
          </w:rPr>
          <m:t xml:space="preserve"> ~ 1/</m:t>
        </m:r>
        <m:sSup>
          <m:sSupPr>
            <m:ctrlPr>
              <w:rPr>
                <w:rStyle w:val="style21"/>
                <w:rFonts w:ascii="Cambria Math" w:hAnsi="Book Antiqua"/>
                <w:i/>
                <w:sz w:val="20"/>
                <w:szCs w:val="20"/>
              </w:rPr>
            </m:ctrlPr>
          </m:sSupPr>
          <m:e>
            <m:r>
              <w:rPr>
                <w:rStyle w:val="style21"/>
                <w:rFonts w:ascii="Cambria Math" w:hAnsi="Cambria Math"/>
                <w:sz w:val="20"/>
                <w:szCs w:val="20"/>
              </w:rPr>
              <m:t>U</m:t>
            </m:r>
          </m:e>
          <m:sup>
            <m:r>
              <w:rPr>
                <w:rStyle w:val="style21"/>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r>
          <w:rPr>
            <w:rFonts w:ascii="Cambria Math" w:hAnsi="Cambria Math"/>
            <w:sz w:val="20"/>
            <w:szCs w:val="20"/>
          </w:rPr>
          <m:t>σ</m:t>
        </m:r>
      </m:oMath>
      <w:r w:rsidRPr="00C07D41">
        <w:rPr>
          <w:rFonts w:ascii="Book Antiqua" w:hAnsi="Book Antiqua"/>
          <w:sz w:val="20"/>
          <w:szCs w:val="20"/>
        </w:rPr>
        <w:t xml:space="preserve"> is the Thomson scattering cross-section where we have </w:t>
      </w:r>
      <m:oMath>
        <m:r>
          <w:rPr>
            <w:rStyle w:val="style21"/>
            <w:rFonts w:ascii="Cambria Math" w:hAnsi="Cambria Math"/>
            <w:sz w:val="20"/>
            <w:szCs w:val="20"/>
          </w:rPr>
          <m:t>σ</m:t>
        </m:r>
        <m:r>
          <w:rPr>
            <w:rStyle w:val="style21"/>
            <w:rFonts w:ascii="Cambria Math" w:hAnsi="Book Antiqua"/>
            <w:sz w:val="20"/>
            <w:szCs w:val="20"/>
          </w:rPr>
          <m:t xml:space="preserve"> </m:t>
        </m:r>
        <m:r>
          <w:rPr>
            <w:rFonts w:ascii="Cambria Math" w:hAnsi="Book Antiqua"/>
            <w:sz w:val="20"/>
            <w:szCs w:val="20"/>
          </w:rPr>
          <m:t>= (8</m:t>
        </m:r>
        <m:r>
          <w:rPr>
            <w:rStyle w:val="style21"/>
            <w:rFonts w:ascii="Cambria Math" w:hAnsi="Cambria Math"/>
            <w:sz w:val="20"/>
            <w:szCs w:val="20"/>
          </w:rPr>
          <m:t>π</m:t>
        </m:r>
        <m:r>
          <w:rPr>
            <w:rFonts w:ascii="Cambria Math" w:hAnsi="Book Antiqua"/>
            <w:sz w:val="20"/>
            <w:szCs w:val="20"/>
          </w:rPr>
          <m:t>/3)</m:t>
        </m:r>
        <m:sSup>
          <m:sSupPr>
            <m:ctrlPr>
              <w:rPr>
                <w:rFonts w:ascii="Cambria Math" w:hAnsi="Book Antiqua"/>
                <w:i/>
                <w:sz w:val="20"/>
                <w:szCs w:val="20"/>
              </w:rPr>
            </m:ctrlPr>
          </m:sSupPr>
          <m:e>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2</m:t>
                </m:r>
              </m:sup>
            </m:sSup>
            <m:r>
              <w:rPr>
                <w:rFonts w:ascii="Cambria Math" w:hAnsi="Book Antiqua"/>
                <w:sz w:val="20"/>
                <w:szCs w:val="20"/>
              </w:rPr>
              <m:t>/(</m:t>
            </m:r>
            <m:r>
              <w:rPr>
                <w:rStyle w:val="style21"/>
                <w:rFonts w:ascii="Cambria Math" w:hAnsi="Cambria Math"/>
                <w:sz w:val="20"/>
                <w:szCs w:val="20"/>
              </w:rPr>
              <m:t>ε</m:t>
            </m:r>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m:t>
            </m:r>
          </m:e>
          <m:sup>
            <m:r>
              <w:rPr>
                <w:rFonts w:ascii="Cambria Math" w:hAnsi="Book Antiqua"/>
                <w:sz w:val="20"/>
                <w:szCs w:val="20"/>
              </w:rPr>
              <m:t>2</m:t>
            </m:r>
          </m:sup>
        </m:sSup>
      </m:oMath>
      <w:r w:rsidRPr="00C07D41">
        <w:rPr>
          <w:rFonts w:ascii="Book Antiqua" w:hAnsi="Book Antiqua"/>
          <w:sz w:val="20"/>
          <w:szCs w:val="20"/>
        </w:rPr>
        <w:t xml:space="preserve"> which is constant, as </w:t>
      </w:r>
      <w:proofErr w:type="gramStart"/>
      <w:r w:rsidRPr="00C07D41">
        <w:rPr>
          <w:rFonts w:ascii="Book Antiqua" w:hAnsi="Book Antiqua"/>
          <w:sz w:val="20"/>
          <w:szCs w:val="20"/>
        </w:rPr>
        <w:t xml:space="preserve">is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Cambria Math"/>
                <w:sz w:val="20"/>
                <w:szCs w:val="20"/>
              </w:rPr>
              <m:t>e</m:t>
            </m:r>
          </m:sub>
        </m:sSub>
      </m:oMath>
      <w:r w:rsidRPr="00C07D41">
        <w:rPr>
          <w:rFonts w:ascii="Book Antiqua" w:hAnsi="Book Antiqua"/>
          <w:sz w:val="20"/>
          <w:szCs w:val="20"/>
        </w:rPr>
        <w:t xml:space="preserve">. </w:t>
      </w:r>
      <w:proofErr w:type="gramStart"/>
      <w:r w:rsidRPr="00C07D41">
        <w:rPr>
          <w:rFonts w:ascii="Book Antiqua" w:hAnsi="Book Antiqua"/>
          <w:sz w:val="20"/>
          <w:szCs w:val="20"/>
        </w:rPr>
        <w:t xml:space="preserve">But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Fonts w:ascii="Book Antiqua" w:hAnsi="Book Antiqua"/>
          <w:sz w:val="20"/>
          <w:szCs w:val="20"/>
        </w:rPr>
        <w:t xml:space="preserve"> is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from equation (17) in Chapter 4, so electron scattering opacity is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as in (5).</w:t>
      </w:r>
      <w:proofErr w:type="gramEnd"/>
      <w:r w:rsidRPr="00C07D41">
        <w:rPr>
          <w:rFonts w:ascii="Book Antiqua" w:hAnsi="Book Antiqua"/>
          <w:sz w:val="20"/>
          <w:szCs w:val="20"/>
        </w:rPr>
        <w:t xml:space="preserve"> Some stars do not have the interior conditions for high energy Compton or inverse Compton effects to be relevant </w:t>
      </w:r>
      <w:hyperlink r:id="rId1246" w:anchor="2a156" w:history="1">
        <w:r w:rsidRPr="00C07D41">
          <w:rPr>
            <w:rStyle w:val="Hyperlink"/>
            <w:rFonts w:ascii="Book Antiqua" w:hAnsi="Book Antiqua"/>
            <w:sz w:val="20"/>
            <w:szCs w:val="20"/>
          </w:rPr>
          <w:t>[9]</w:t>
        </w:r>
      </w:hyperlink>
      <w:r w:rsidRPr="00C07D41">
        <w:rPr>
          <w:rFonts w:ascii="Book Antiqua" w:hAnsi="Book Antiqua"/>
          <w:sz w:val="20"/>
          <w:szCs w:val="20"/>
        </w:rPr>
        <w:t xml:space="preserve">. Still a formula for the Rosseland mean opacity for Compton scattering by free electrons in the non-degenerative limit exists </w:t>
      </w:r>
      <w:hyperlink r:id="rId1247" w:anchor="2a158" w:history="1">
        <w:r w:rsidRPr="00C07D41">
          <w:rPr>
            <w:rStyle w:val="Hyperlink"/>
            <w:rFonts w:ascii="Book Antiqua" w:hAnsi="Book Antiqua"/>
            <w:sz w:val="20"/>
            <w:szCs w:val="20"/>
          </w:rPr>
          <w:t>[10]</w:t>
        </w:r>
      </w:hyperlink>
      <w:r w:rsidRPr="00C07D41">
        <w:rPr>
          <w:rFonts w:ascii="Book Antiqua" w:hAnsi="Book Antiqua"/>
          <w:sz w:val="20"/>
          <w:szCs w:val="20"/>
        </w:rPr>
        <w:t xml:space="preserve">. It differs from (5) only by a dimensionless number.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Let us consider bound-free transitions. Harwit states </w:t>
      </w:r>
      <w:r w:rsidRPr="00C07D41">
        <w:rPr>
          <w:rStyle w:val="Emphasis"/>
          <w:rFonts w:ascii="Book Antiqua" w:hAnsi="Book Antiqua"/>
          <w:sz w:val="20"/>
          <w:szCs w:val="20"/>
        </w:rPr>
        <w:t xml:space="preserve">“hydrogen and helium do not contribute significantly to the bound-free transitions.” </w:t>
      </w:r>
      <w:hyperlink r:id="rId1248" w:anchor="2a158" w:history="1">
        <w:r w:rsidRPr="00C07D41">
          <w:rPr>
            <w:rStyle w:val="Hyperlink"/>
            <w:rFonts w:ascii="Book Antiqua" w:hAnsi="Book Antiqua"/>
            <w:sz w:val="20"/>
            <w:szCs w:val="20"/>
          </w:rPr>
          <w:t>[11]</w:t>
        </w:r>
      </w:hyperlink>
      <w:r w:rsidRPr="00C07D41">
        <w:rPr>
          <w:rFonts w:ascii="Book Antiqua" w:hAnsi="Book Antiqua"/>
          <w:sz w:val="20"/>
          <w:szCs w:val="20"/>
        </w:rPr>
        <w:t xml:space="preserve"> Instead, a factor</w:t>
      </w:r>
      <m:oMath>
        <m:r>
          <w:rPr>
            <w:rFonts w:ascii="Cambria Math" w:hAnsi="Book Antiqua"/>
            <w:sz w:val="20"/>
            <w:szCs w:val="20"/>
          </w:rPr>
          <m:t xml:space="preserve"> </m:t>
        </m:r>
        <m:r>
          <w:rPr>
            <w:rStyle w:val="Emphasis"/>
            <w:rFonts w:ascii="Cambria Math" w:hAnsi="Cambria Math"/>
            <w:sz w:val="20"/>
            <w:szCs w:val="20"/>
          </w:rPr>
          <m:t>Z</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put in the equation where </w:t>
      </w:r>
      <m:oMath>
        <m:r>
          <w:rPr>
            <w:rStyle w:val="Emphasis"/>
            <w:rFonts w:ascii="Cambria Math" w:hAnsi="Cambria Math"/>
            <w:sz w:val="20"/>
            <w:szCs w:val="20"/>
          </w:rPr>
          <m:t>Z</m:t>
        </m:r>
      </m:oMath>
      <w:r w:rsidRPr="00C07D41">
        <w:rPr>
          <w:rFonts w:ascii="Book Antiqua" w:hAnsi="Book Antiqua"/>
          <w:sz w:val="20"/>
          <w:szCs w:val="20"/>
        </w:rPr>
        <w:t xml:space="preserve"> is the metal abundance expressed as a fraction of total mass, and so is constant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Harwit detailed terms giving the numerical coefficient in the equation describing Kramer’s Law of Opacity for bound-free absorption </w:t>
      </w:r>
      <w:hyperlink r:id="rId1249" w:anchor="2a159" w:history="1">
        <w:r w:rsidRPr="00C07D41">
          <w:rPr>
            <w:rStyle w:val="Hyperlink"/>
            <w:rFonts w:ascii="Book Antiqua" w:hAnsi="Book Antiqua"/>
            <w:sz w:val="20"/>
            <w:szCs w:val="20"/>
          </w:rPr>
          <w:t>[12]</w:t>
        </w:r>
      </w:hyperlink>
      <w:r w:rsidRPr="00C07D41">
        <w:rPr>
          <w:rFonts w:ascii="Book Antiqua" w:hAnsi="Book Antiqua"/>
          <w:sz w:val="20"/>
          <w:szCs w:val="20"/>
        </w:rPr>
        <w:t>. Including these give the following equation:</w:t>
      </w:r>
    </w:p>
    <w:p w:rsidR="00C80BD4" w:rsidRPr="00C07D41" w:rsidRDefault="007B3EBC" w:rsidP="00C80BD4">
      <w:pPr>
        <w:pStyle w:val="NormalWeb"/>
        <w:ind w:firstLine="720"/>
        <w:jc w:val="both"/>
        <w:rPr>
          <w:rFonts w:ascii="Book Antiqua" w:hAnsi="Book Antiqua"/>
          <w:i/>
          <w:sz w:val="20"/>
          <w:szCs w:val="20"/>
        </w:rPr>
      </w:pPr>
      <m:oMath>
        <m:sSub>
          <m:sSubPr>
            <m:ctrlPr>
              <w:rPr>
                <w:rFonts w:ascii="Cambria Math" w:hAnsi="Book Antiqua"/>
                <w:i/>
                <w:sz w:val="18"/>
                <w:szCs w:val="18"/>
              </w:rPr>
            </m:ctrlPr>
          </m:sSubPr>
          <m:e>
            <m:r>
              <w:rPr>
                <w:rFonts w:ascii="Cambria Math" w:hAnsi="Cambria Math"/>
                <w:sz w:val="18"/>
                <w:szCs w:val="18"/>
              </w:rPr>
              <m:t>Κ</m:t>
            </m:r>
          </m:e>
          <m:sub>
            <m:r>
              <w:rPr>
                <w:rFonts w:ascii="Cambria Math" w:hAnsi="Cambria Math"/>
                <w:sz w:val="18"/>
                <w:szCs w:val="18"/>
              </w:rPr>
              <m:t>bf</m:t>
            </m:r>
          </m:sub>
        </m:sSub>
        <m:r>
          <w:rPr>
            <w:rFonts w:ascii="Cambria Math" w:hAnsi="Book Antiqua"/>
            <w:sz w:val="18"/>
            <w:szCs w:val="18"/>
          </w:rPr>
          <m:t>=</m:t>
        </m:r>
        <m:d>
          <m:dPr>
            <m:ctrlPr>
              <w:rPr>
                <w:rFonts w:ascii="Cambria Math" w:hAnsi="Book Antiqua"/>
                <w:i/>
                <w:sz w:val="18"/>
                <w:szCs w:val="18"/>
              </w:rPr>
            </m:ctrlPr>
          </m:dPr>
          <m:e>
            <m:f>
              <m:fPr>
                <m:ctrlPr>
                  <w:rPr>
                    <w:rFonts w:ascii="Cambria Math" w:hAnsi="Book Antiqua"/>
                    <w:i/>
                    <w:sz w:val="18"/>
                    <w:szCs w:val="18"/>
                  </w:rPr>
                </m:ctrlPr>
              </m:fPr>
              <m:num>
                <m:r>
                  <w:rPr>
                    <w:rFonts w:ascii="Cambria Math" w:hAnsi="Book Antiqua"/>
                    <w:sz w:val="18"/>
                    <w:szCs w:val="18"/>
                  </w:rPr>
                  <m:t>2</m:t>
                </m:r>
              </m:num>
              <m:den>
                <m:r>
                  <w:rPr>
                    <w:rFonts w:ascii="Cambria Math" w:hAnsi="Book Antiqua"/>
                    <w:sz w:val="18"/>
                    <w:szCs w:val="18"/>
                  </w:rPr>
                  <m:t>3</m:t>
                </m:r>
              </m:den>
            </m:f>
          </m:e>
        </m:d>
        <m:r>
          <w:rPr>
            <w:rFonts w:ascii="Book Antiqua" w:hAnsi="Book Antiqua"/>
            <w:sz w:val="18"/>
            <w:szCs w:val="18"/>
          </w:rPr>
          <m:t>√</m:t>
        </m:r>
        <m:r>
          <w:rPr>
            <w:rFonts w:ascii="Cambria Math" w:hAnsi="Book Antiqua"/>
            <w:sz w:val="18"/>
            <w:szCs w:val="18"/>
          </w:rPr>
          <m:t>(2</m:t>
        </m:r>
        <m:r>
          <w:rPr>
            <w:rFonts w:ascii="Cambria Math" w:hAnsi="Cambria Math"/>
            <w:sz w:val="18"/>
            <w:szCs w:val="18"/>
          </w:rPr>
          <m:t>π</m:t>
        </m:r>
        <m:r>
          <w:rPr>
            <w:rFonts w:ascii="Cambria Math" w:hAnsi="Book Antiqua"/>
            <w:sz w:val="18"/>
            <w:szCs w:val="18"/>
          </w:rPr>
          <m:t>/3)[</m:t>
        </m:r>
        <m:sSup>
          <m:sSupPr>
            <m:ctrlPr>
              <w:rPr>
                <w:rFonts w:ascii="Cambria Math" w:hAnsi="Book Antiqua"/>
                <w:i/>
                <w:sz w:val="18"/>
                <w:szCs w:val="18"/>
              </w:rPr>
            </m:ctrlPr>
          </m:sSupPr>
          <m:e>
            <m:r>
              <w:rPr>
                <w:rFonts w:ascii="Cambria Math" w:hAnsi="Cambria Math"/>
                <w:sz w:val="18"/>
                <w:szCs w:val="18"/>
              </w:rPr>
              <m:t>e</m:t>
            </m:r>
          </m:e>
          <m:sup>
            <m:r>
              <w:rPr>
                <w:rFonts w:ascii="Cambria Math" w:hAnsi="Book Antiqua"/>
                <w:sz w:val="18"/>
                <w:szCs w:val="18"/>
              </w:rPr>
              <m:t>6</m:t>
            </m:r>
          </m:sup>
        </m:sSup>
        <m:sSup>
          <m:sSupPr>
            <m:ctrlPr>
              <w:rPr>
                <w:rFonts w:ascii="Cambria Math" w:hAnsi="Book Antiqua"/>
                <w:i/>
                <w:sz w:val="18"/>
                <w:szCs w:val="18"/>
              </w:rPr>
            </m:ctrlPr>
          </m:sSupPr>
          <m:e>
            <m:r>
              <w:rPr>
                <w:rFonts w:ascii="Book Antiqua" w:hAnsi="Cambria Math"/>
                <w:sz w:val="18"/>
                <w:szCs w:val="18"/>
              </w:rPr>
              <m:t>h</m:t>
            </m:r>
          </m:e>
          <m:sup>
            <m:r>
              <w:rPr>
                <w:rFonts w:ascii="Cambria Math" w:hAnsi="Book Antiqua"/>
                <w:sz w:val="18"/>
                <w:szCs w:val="18"/>
              </w:rPr>
              <m:t>2</m:t>
            </m:r>
          </m:sup>
        </m:sSup>
        <m:sSub>
          <m:sSubPr>
            <m:ctrlPr>
              <w:rPr>
                <w:rStyle w:val="style21"/>
                <w:rFonts w:ascii="Cambria Math" w:hAnsi="Book Antiqua"/>
                <w:i/>
                <w:sz w:val="18"/>
                <w:szCs w:val="18"/>
              </w:rPr>
            </m:ctrlPr>
          </m:sSubPr>
          <m:e>
            <m:r>
              <w:rPr>
                <w:rStyle w:val="style21"/>
                <w:rFonts w:ascii="Cambria Math" w:hAnsi="Cambria Math"/>
                <w:sz w:val="18"/>
                <w:szCs w:val="18"/>
              </w:rPr>
              <m:t>ρ</m:t>
            </m:r>
          </m:e>
          <m:sub>
            <m:r>
              <w:rPr>
                <w:rStyle w:val="style21"/>
                <w:rFonts w:ascii="Cambria Math" w:hAnsi="Cambria Math"/>
                <w:sz w:val="18"/>
                <w:szCs w:val="18"/>
              </w:rPr>
              <m:t>m</m:t>
            </m:r>
          </m:sub>
        </m:sSub>
        <m:r>
          <w:rPr>
            <w:rFonts w:ascii="Cambria Math" w:hAnsi="Book Antiqua"/>
            <w:sz w:val="18"/>
            <w:szCs w:val="18"/>
          </w:rPr>
          <m:t>/(</m:t>
        </m:r>
        <m:sSup>
          <m:sSupPr>
            <m:ctrlPr>
              <w:rPr>
                <w:rStyle w:val="style21"/>
                <w:rFonts w:ascii="Cambria Math" w:hAnsi="Book Antiqua"/>
                <w:i/>
                <w:sz w:val="18"/>
                <w:szCs w:val="18"/>
              </w:rPr>
            </m:ctrlPr>
          </m:sSupPr>
          <m:e>
            <m:r>
              <w:rPr>
                <w:rStyle w:val="style21"/>
                <w:rFonts w:ascii="Cambria Math" w:hAnsi="Cambria Math"/>
                <w:sz w:val="18"/>
                <w:szCs w:val="18"/>
              </w:rPr>
              <m:t>ε</m:t>
            </m:r>
          </m:e>
          <m:sup>
            <m:r>
              <w:rPr>
                <w:rStyle w:val="style21"/>
                <w:rFonts w:ascii="Cambria Math" w:hAnsi="Book Antiqua"/>
                <w:sz w:val="18"/>
                <w:szCs w:val="18"/>
              </w:rPr>
              <m:t>3</m:t>
            </m:r>
          </m:sup>
        </m:sSup>
        <m:r>
          <w:rPr>
            <w:rFonts w:ascii="Cambria Math" w:hAnsi="Cambria Math"/>
            <w:sz w:val="18"/>
            <w:szCs w:val="18"/>
          </w:rPr>
          <m:t>c</m:t>
        </m:r>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H</m:t>
                </m:r>
              </m:sub>
            </m:sSub>
          </m:e>
          <m:sup>
            <m:r>
              <w:rPr>
                <w:rFonts w:ascii="Cambria Math" w:hAnsi="Book Antiqua"/>
                <w:sz w:val="18"/>
                <w:szCs w:val="18"/>
              </w:rPr>
              <m:t>2</m:t>
            </m:r>
          </m:sup>
        </m:sSup>
        <m:sSup>
          <m:sSupPr>
            <m:ctrlPr>
              <w:rPr>
                <w:rFonts w:ascii="Cambria Math" w:hAnsi="Book Antiqua"/>
                <w:i/>
                <w:sz w:val="18"/>
                <w:szCs w:val="18"/>
              </w:rPr>
            </m:ctrlPr>
          </m:sSupPr>
          <m:e>
            <m:sSub>
              <m:sSubPr>
                <m:ctrlPr>
                  <w:rPr>
                    <w:rFonts w:ascii="Cambria Math" w:hAnsi="Book Antiqua"/>
                    <w:i/>
                    <w:sz w:val="18"/>
                    <w:szCs w:val="18"/>
                  </w:rPr>
                </m:ctrlPr>
              </m:sSubPr>
              <m:e>
                <m:r>
                  <w:rPr>
                    <w:rFonts w:ascii="Cambria Math" w:hAnsi="Cambria Math"/>
                    <w:sz w:val="18"/>
                    <w:szCs w:val="18"/>
                  </w:rPr>
                  <m:t>m</m:t>
                </m:r>
              </m:e>
              <m:sub>
                <m:r>
                  <w:rPr>
                    <w:rFonts w:ascii="Cambria Math" w:hAnsi="Cambria Math"/>
                    <w:sz w:val="18"/>
                    <w:szCs w:val="18"/>
                  </w:rPr>
                  <m:t>e</m:t>
                </m:r>
              </m:sub>
            </m:sSub>
          </m:e>
          <m:sup>
            <m:f>
              <m:fPr>
                <m:ctrlPr>
                  <w:rPr>
                    <w:rFonts w:ascii="Cambria Math" w:hAnsi="Book Antiqua"/>
                    <w:i/>
                    <w:sz w:val="18"/>
                    <w:szCs w:val="18"/>
                  </w:rPr>
                </m:ctrlPr>
              </m:fPr>
              <m:num>
                <m:r>
                  <w:rPr>
                    <w:rFonts w:ascii="Cambria Math" w:hAnsi="Book Antiqua"/>
                    <w:sz w:val="18"/>
                    <w:szCs w:val="18"/>
                  </w:rPr>
                  <m:t>3</m:t>
                </m:r>
              </m:num>
              <m:den>
                <m:r>
                  <w:rPr>
                    <w:rFonts w:ascii="Cambria Math" w:hAnsi="Book Antiqua"/>
                    <w:sz w:val="18"/>
                    <w:szCs w:val="18"/>
                  </w:rPr>
                  <m:t>2</m:t>
                </m:r>
              </m:den>
            </m:f>
          </m:sup>
        </m:sSup>
        <m:r>
          <w:rPr>
            <w:rFonts w:ascii="Cambria Math" w:hAnsi="Book Antiqua"/>
            <w:sz w:val="18"/>
            <w:szCs w:val="18"/>
          </w:rPr>
          <m:t>)[</m:t>
        </m:r>
        <m:r>
          <w:rPr>
            <w:rFonts w:ascii="Cambria Math" w:hAnsi="Cambria Math"/>
            <w:sz w:val="18"/>
            <w:szCs w:val="18"/>
          </w:rPr>
          <m:t>Z</m:t>
        </m:r>
        <m:r>
          <w:rPr>
            <w:rFonts w:ascii="Cambria Math" w:hAnsi="Book Antiqua"/>
            <w:sz w:val="18"/>
            <w:szCs w:val="18"/>
          </w:rPr>
          <m:t>(1+</m:t>
        </m:r>
        <m:r>
          <w:rPr>
            <w:rFonts w:ascii="Cambria Math" w:hAnsi="Cambria Math"/>
            <w:sz w:val="18"/>
            <w:szCs w:val="18"/>
          </w:rPr>
          <m:t>X</m:t>
        </m:r>
        <m:r>
          <w:rPr>
            <w:rFonts w:ascii="Cambria Math" w:hAnsi="Book Antiqua"/>
            <w:sz w:val="18"/>
            <w:szCs w:val="18"/>
          </w:rPr>
          <m:t>)/</m:t>
        </m:r>
        <m:sSup>
          <m:sSupPr>
            <m:ctrlPr>
              <w:rPr>
                <w:rFonts w:ascii="Cambria Math" w:hAnsi="Book Antiqua"/>
                <w:i/>
                <w:sz w:val="18"/>
                <w:szCs w:val="18"/>
              </w:rPr>
            </m:ctrlPr>
          </m:sSupPr>
          <m:e>
            <m:d>
              <m:dPr>
                <m:ctrlPr>
                  <w:rPr>
                    <w:rFonts w:ascii="Cambria Math" w:hAnsi="Book Antiqua"/>
                    <w:i/>
                    <w:sz w:val="18"/>
                    <w:szCs w:val="18"/>
                  </w:rPr>
                </m:ctrlPr>
              </m:dPr>
              <m:e>
                <m:r>
                  <w:rPr>
                    <w:rFonts w:ascii="Cambria Math" w:hAnsi="Cambria Math"/>
                    <w:sz w:val="18"/>
                    <w:szCs w:val="18"/>
                  </w:rPr>
                  <m:t>kT</m:t>
                </m:r>
              </m:e>
            </m:d>
          </m:e>
          <m:sup>
            <m:f>
              <m:fPr>
                <m:ctrlPr>
                  <w:rPr>
                    <w:rFonts w:ascii="Cambria Math" w:hAnsi="Book Antiqua"/>
                    <w:i/>
                    <w:sz w:val="18"/>
                    <w:szCs w:val="18"/>
                  </w:rPr>
                </m:ctrlPr>
              </m:fPr>
              <m:num>
                <m:r>
                  <w:rPr>
                    <w:rFonts w:ascii="Cambria Math" w:hAnsi="Book Antiqua"/>
                    <w:sz w:val="18"/>
                    <w:szCs w:val="18"/>
                  </w:rPr>
                  <m:t>7</m:t>
                </m:r>
              </m:num>
              <m:den>
                <m:r>
                  <w:rPr>
                    <w:rFonts w:ascii="Cambria Math" w:hAnsi="Book Antiqua"/>
                    <w:sz w:val="18"/>
                    <w:szCs w:val="18"/>
                  </w:rPr>
                  <m:t>2</m:t>
                </m:r>
              </m:den>
            </m:f>
          </m:sup>
        </m:sSup>
        <m:r>
          <w:rPr>
            <w:rFonts w:ascii="Cambria Math" w:hAnsi="Book Antiqua"/>
            <w:sz w:val="18"/>
            <w:szCs w:val="18"/>
          </w:rPr>
          <m:t>]</m:t>
        </m:r>
        <m:sSup>
          <m:sSupPr>
            <m:ctrlPr>
              <w:rPr>
                <w:rFonts w:ascii="Cambria Math" w:hAnsi="Book Antiqua"/>
                <w:i/>
                <w:sz w:val="18"/>
                <w:szCs w:val="18"/>
              </w:rPr>
            </m:ctrlPr>
          </m:sSupPr>
          <m:e>
            <m:d>
              <m:dPr>
                <m:begChr m:val="["/>
                <m:endChr m:val="]"/>
                <m:ctrlPr>
                  <w:rPr>
                    <w:rFonts w:ascii="Cambria Math" w:hAnsi="Book Antiqua"/>
                    <w:i/>
                    <w:sz w:val="18"/>
                    <w:szCs w:val="18"/>
                  </w:rPr>
                </m:ctrlPr>
              </m:dPr>
              <m:e>
                <m:f>
                  <m:fPr>
                    <m:ctrlPr>
                      <w:rPr>
                        <w:rFonts w:ascii="Cambria Math" w:hAnsi="Book Antiqua"/>
                        <w:i/>
                        <w:sz w:val="18"/>
                        <w:szCs w:val="18"/>
                      </w:rPr>
                    </m:ctrlPr>
                  </m:fPr>
                  <m:num>
                    <m:r>
                      <w:rPr>
                        <w:rFonts w:ascii="Cambria Math" w:hAnsi="Cambria Math"/>
                        <w:sz w:val="18"/>
                        <w:szCs w:val="18"/>
                      </w:rPr>
                      <m:t>kT</m:t>
                    </m:r>
                  </m:num>
                  <m:den>
                    <m:r>
                      <w:rPr>
                        <w:rFonts w:ascii="Book Antiqua" w:hAnsi="Cambria Math"/>
                        <w:sz w:val="18"/>
                        <w:szCs w:val="18"/>
                      </w:rPr>
                      <m:t>h</m:t>
                    </m:r>
                    <m:r>
                      <w:rPr>
                        <w:rFonts w:ascii="Cambria Math" w:hAnsi="Cambria Math"/>
                        <w:sz w:val="18"/>
                        <w:szCs w:val="18"/>
                      </w:rPr>
                      <m:t>f</m:t>
                    </m:r>
                  </m:den>
                </m:f>
              </m:e>
            </m:d>
          </m:e>
          <m:sup>
            <m:r>
              <w:rPr>
                <w:rFonts w:ascii="Cambria Math" w:hAnsi="Book Antiqua"/>
                <w:sz w:val="18"/>
                <w:szCs w:val="18"/>
              </w:rPr>
              <m:t>3</m:t>
            </m:r>
          </m:sup>
        </m:sSup>
        <m:sSub>
          <m:sSubPr>
            <m:ctrlPr>
              <w:rPr>
                <w:rFonts w:ascii="Cambria Math" w:hAnsi="Book Antiqua"/>
                <w:i/>
                <w:sz w:val="18"/>
                <w:szCs w:val="18"/>
              </w:rPr>
            </m:ctrlPr>
          </m:sSubPr>
          <m:e>
            <m:r>
              <w:rPr>
                <w:rFonts w:ascii="Cambria Math" w:hAnsi="Cambria Math"/>
                <w:sz w:val="18"/>
                <w:szCs w:val="18"/>
              </w:rPr>
              <m:t>g</m:t>
            </m:r>
          </m:e>
          <m:sub>
            <m:r>
              <w:rPr>
                <w:rFonts w:ascii="Cambria Math" w:hAnsi="Cambria Math"/>
                <w:sz w:val="18"/>
                <w:szCs w:val="18"/>
              </w:rPr>
              <m:t>bf</m:t>
            </m:r>
          </m:sub>
        </m:sSub>
        <m:r>
          <w:rPr>
            <w:rFonts w:ascii="Cambria Math" w:hAnsi="Book Antiqua"/>
            <w:sz w:val="18"/>
            <w:szCs w:val="18"/>
          </w:rPr>
          <m:t>/</m:t>
        </m:r>
        <m:r>
          <w:rPr>
            <w:rFonts w:ascii="Cambria Math" w:hAnsi="Cambria Math"/>
            <w:sz w:val="18"/>
            <w:szCs w:val="18"/>
          </w:rPr>
          <m:t>F</m:t>
        </m:r>
        <m:r>
          <w:rPr>
            <w:rFonts w:ascii="Cambria Math" w:hAnsi="Book Antiqua"/>
            <w:sz w:val="18"/>
            <w:szCs w:val="18"/>
          </w:rPr>
          <m:t xml:space="preserve">     ~ </m:t>
        </m:r>
        <m:sSup>
          <m:sSupPr>
            <m:ctrlPr>
              <w:rPr>
                <w:rFonts w:ascii="Cambria Math" w:hAnsi="Book Antiqua"/>
                <w:i/>
                <w:sz w:val="18"/>
                <w:szCs w:val="18"/>
              </w:rPr>
            </m:ctrlPr>
          </m:sSupPr>
          <m:e>
            <m:r>
              <w:rPr>
                <w:rFonts w:ascii="Cambria Math" w:hAnsi="Cambria Math"/>
                <w:sz w:val="18"/>
                <w:szCs w:val="18"/>
              </w:rPr>
              <m:t>c</m:t>
            </m:r>
          </m:e>
          <m:sup>
            <m:r>
              <w:rPr>
                <w:rFonts w:ascii="Cambria Math" w:hAnsi="Book Antiqua"/>
                <w:sz w:val="18"/>
                <w:szCs w:val="18"/>
              </w:rPr>
              <m:t>2</m:t>
            </m:r>
          </m:sup>
        </m:sSup>
        <m:r>
          <w:rPr>
            <w:rFonts w:ascii="Cambria Math" w:hAnsi="Book Antiqua"/>
            <w:sz w:val="18"/>
            <w:szCs w:val="18"/>
          </w:rPr>
          <m:t xml:space="preserve"> ~ 1/</m:t>
        </m:r>
        <m:sSup>
          <m:sSupPr>
            <m:ctrlPr>
              <w:rPr>
                <w:rFonts w:ascii="Cambria Math" w:hAnsi="Book Antiqua"/>
                <w:i/>
                <w:sz w:val="18"/>
                <w:szCs w:val="18"/>
              </w:rPr>
            </m:ctrlPr>
          </m:sSupPr>
          <m:e>
            <m:r>
              <w:rPr>
                <w:rFonts w:ascii="Cambria Math" w:hAnsi="Cambria Math"/>
                <w:sz w:val="18"/>
                <w:szCs w:val="18"/>
              </w:rPr>
              <m:t>U</m:t>
            </m:r>
          </m:e>
          <m:sup>
            <m:r>
              <w:rPr>
                <w:rFonts w:ascii="Cambria Math" w:hAnsi="Book Antiqua"/>
                <w:sz w:val="18"/>
                <w:szCs w:val="18"/>
              </w:rPr>
              <m:t>2</m:t>
            </m:r>
          </m:sup>
        </m:sSup>
      </m:oMath>
      <w:r w:rsidR="00C80BD4" w:rsidRPr="00C07D41">
        <w:rPr>
          <w:rFonts w:ascii="Book Antiqua" w:hAnsi="Book Antiqua"/>
          <w:sz w:val="20"/>
          <w:szCs w:val="20"/>
        </w:rPr>
        <w:tab/>
      </w:r>
      <w:r w:rsidR="00C80BD4" w:rsidRPr="00C07D41">
        <w:rPr>
          <w:rFonts w:ascii="Book Antiqua" w:hAnsi="Book Antiqua"/>
          <w:i/>
          <w:sz w:val="20"/>
          <w:szCs w:val="20"/>
        </w:rPr>
        <w:t>(6)</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(6), </w:t>
      </w:r>
      <m:oMath>
        <m:r>
          <w:rPr>
            <w:rStyle w:val="Emphasis"/>
            <w:rFonts w:ascii="Cambria Math" w:hAnsi="Cambria Math"/>
            <w:sz w:val="20"/>
            <w:szCs w:val="20"/>
          </w:rPr>
          <m:t>k</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Boltzmann’s constant, which is invariant for </w:t>
      </w:r>
      <w:proofErr w:type="gramStart"/>
      <w:r w:rsidRPr="00C07D41">
        <w:rPr>
          <w:rFonts w:ascii="Book Antiqua" w:hAnsi="Book Antiqua"/>
          <w:sz w:val="20"/>
          <w:szCs w:val="20"/>
        </w:rPr>
        <w:t xml:space="preserve">all </w:t>
      </w:r>
      <m:oMath>
        <w:proofErr w:type="gramEnd"/>
        <m:r>
          <w:rPr>
            <w:rStyle w:val="Emphasis"/>
            <w:rFonts w:ascii="Cambria Math" w:hAnsi="Cambria Math"/>
            <w:sz w:val="20"/>
            <w:szCs w:val="20"/>
          </w:rPr>
          <m:t>c</m:t>
        </m:r>
      </m:oMath>
      <w:r w:rsidRPr="00C07D41">
        <w:rPr>
          <w:rFonts w:ascii="Book Antiqua" w:hAnsi="Book Antiqua"/>
          <w:sz w:val="20"/>
          <w:szCs w:val="20"/>
        </w:rPr>
        <w:t xml:space="preserve">. The terms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H</m:t>
            </m:r>
          </m:sub>
        </m:sSub>
      </m:oMath>
      <w:r w:rsidRPr="00C07D41">
        <w:rPr>
          <w:rStyle w:val="Emphasis"/>
          <w:rFonts w:ascii="Book Antiqua" w:hAnsi="Book Antiqua"/>
          <w:sz w:val="20"/>
          <w:szCs w:val="20"/>
        </w:rPr>
        <w:t xml:space="preserve"> </w:t>
      </w:r>
      <w:r w:rsidRPr="00C07D41">
        <w:rPr>
          <w:rFonts w:ascii="Book Antiqua" w:hAnsi="Book Antiqua"/>
          <w:sz w:val="20"/>
          <w:szCs w:val="20"/>
        </w:rPr>
        <w:t>and</w:t>
      </w:r>
      <m:oMath>
        <m: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m</m:t>
            </m:r>
          </m:e>
          <m:sub>
            <m:r>
              <w:rPr>
                <w:rStyle w:val="Emphasis"/>
                <w:rFonts w:ascii="Cambria Math" w:hAnsi="Cambria Math"/>
                <w:sz w:val="20"/>
                <w:szCs w:val="20"/>
              </w:rPr>
              <m:t>e</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are the masses of the hydrogen atom and electron respectively </w:t>
      </w:r>
      <w:hyperlink r:id="rId1250" w:anchor="2a160" w:history="1">
        <w:r w:rsidRPr="00C07D41">
          <w:rPr>
            <w:rStyle w:val="Hyperlink"/>
            <w:rFonts w:ascii="Book Antiqua" w:hAnsi="Book Antiqua"/>
            <w:sz w:val="20"/>
            <w:szCs w:val="20"/>
          </w:rPr>
          <w:t>[13]</w:t>
        </w:r>
      </w:hyperlink>
      <w:r w:rsidRPr="00C07D41">
        <w:rPr>
          <w:rFonts w:ascii="Book Antiqua" w:hAnsi="Book Antiqua"/>
          <w:sz w:val="20"/>
          <w:szCs w:val="20"/>
        </w:rPr>
        <w:t xml:space="preserve">, and are proportional to </w:t>
      </w:r>
      <m:oMath>
        <m:r>
          <w:rPr>
            <w:rStyle w:val="Emphasis"/>
            <w:rFonts w:ascii="Cambria Math" w:hAnsi="Book Antiqua"/>
            <w:sz w:val="20"/>
            <w:szCs w:val="20"/>
          </w:rPr>
          <m:t>1</m:t>
        </m:r>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from (17) in Chapter 3.  The term </w:t>
      </w:r>
      <m:oMath>
        <m:r>
          <w:rPr>
            <w:rStyle w:val="Emphasis"/>
            <w:rFonts w:ascii="Cambria Math" w:hAnsi="Cambria Math"/>
            <w:sz w:val="20"/>
            <w:szCs w:val="20"/>
          </w:rPr>
          <m:t>F</m:t>
        </m:r>
      </m:oMath>
      <w:r w:rsidRPr="00C07D41">
        <w:rPr>
          <w:rStyle w:val="Emphasis"/>
          <w:rFonts w:ascii="Book Antiqua" w:hAnsi="Book Antiqua"/>
          <w:sz w:val="20"/>
          <w:szCs w:val="20"/>
        </w:rPr>
        <w:t xml:space="preserve"> </w:t>
      </w:r>
      <w:r w:rsidRPr="00C07D41">
        <w:rPr>
          <w:rFonts w:ascii="Book Antiqua" w:hAnsi="Book Antiqua"/>
          <w:sz w:val="20"/>
          <w:szCs w:val="20"/>
        </w:rPr>
        <w:t xml:space="preserve">contains correction and other factors independent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c</m:t>
        </m:r>
      </m:oMath>
      <w:r w:rsidRPr="00C07D41">
        <w:rPr>
          <w:rFonts w:ascii="Book Antiqua" w:hAnsi="Book Antiqua"/>
          <w:sz w:val="20"/>
          <w:szCs w:val="20"/>
        </w:rPr>
        <w:t xml:space="preserve">, while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g</m:t>
            </m:r>
          </m:e>
          <m:sub>
            <m:r>
              <w:rPr>
                <w:rStyle w:val="Emphasis"/>
                <w:rFonts w:ascii="Cambria Math" w:hAnsi="Cambria Math"/>
                <w:sz w:val="20"/>
                <w:szCs w:val="20"/>
              </w:rPr>
              <m:t>bf</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dimensionless mean Gaunt factor of the order of unity. The term </w:t>
      </w:r>
      <m:oMath>
        <m:r>
          <w:rPr>
            <w:rStyle w:val="Emphasis"/>
            <w:rFonts w:ascii="Cambria Math" w:hAnsi="Cambria Math"/>
            <w:sz w:val="20"/>
            <w:szCs w:val="20"/>
          </w:rPr>
          <m:t>X</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a dimensionless number, and </w:t>
      </w:r>
      <m:oMath>
        <m:r>
          <w:rPr>
            <w:rStyle w:val="Emphasis"/>
            <w:rFonts w:ascii="Cambria Math" w:hAnsi="Cambria Math"/>
            <w:sz w:val="20"/>
            <w:szCs w:val="20"/>
          </w:rPr>
          <m:t>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temperature. When the </w:t>
      </w:r>
      <m:oMath>
        <m:r>
          <w:rPr>
            <w:rStyle w:val="Emphasis"/>
            <w:rFonts w:ascii="Cambria Math" w:hAnsi="Cambria Math"/>
            <w:sz w:val="20"/>
            <w:szCs w:val="20"/>
          </w:rPr>
          <m:t>c</m:t>
        </m:r>
      </m:oMath>
      <w:r w:rsidRPr="00C07D41">
        <w:rPr>
          <w:rFonts w:ascii="Book Antiqua" w:hAnsi="Book Antiqua"/>
          <w:sz w:val="20"/>
          <w:szCs w:val="20"/>
        </w:rPr>
        <w:t xml:space="preserve">-dependent terms are analysed, the result is that bound-free opacities are proportional </w:t>
      </w:r>
      <w:proofErr w:type="gramStart"/>
      <w:r w:rsidRPr="00C07D41">
        <w:rPr>
          <w:rFonts w:ascii="Book Antiqua" w:hAnsi="Book Antiqua"/>
          <w:sz w:val="20"/>
          <w:szCs w:val="20"/>
        </w:rPr>
        <w:t xml:space="preserve">to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Fonts w:ascii="Book Antiqua" w:hAnsi="Book Antiqua"/>
          <w:sz w:val="20"/>
          <w:szCs w:val="20"/>
        </w:rPr>
        <w:t xml:space="preserve">, the same as electron scattering. Figure 8.3 in Harwit’s </w:t>
      </w:r>
      <w:r w:rsidRPr="00C07D41">
        <w:rPr>
          <w:rFonts w:ascii="Book Antiqua" w:hAnsi="Book Antiqua"/>
          <w:i/>
          <w:sz w:val="20"/>
          <w:szCs w:val="20"/>
        </w:rPr>
        <w:t>Astrophysical Concepts</w:t>
      </w:r>
      <w:r w:rsidRPr="00C07D41">
        <w:rPr>
          <w:rFonts w:ascii="Book Antiqua" w:hAnsi="Book Antiqua"/>
          <w:sz w:val="20"/>
          <w:szCs w:val="20"/>
        </w:rPr>
        <w:t xml:space="preserve"> [12] reveals that the stellar conditions allowing free-free transitions are restricted. Nevertheless he repeats the above process for these free-free transitions. The resulting equation gives a result similar to (6), but an </w:t>
      </w:r>
      <m:oMath>
        <m:r>
          <w:rPr>
            <w:rStyle w:val="Emphasis"/>
            <w:rFonts w:ascii="Cambria Math" w:hAnsi="Book Antiqua"/>
            <w:sz w:val="20"/>
            <w:szCs w:val="20"/>
          </w:rPr>
          <m:t>(</m:t>
        </m:r>
        <m:r>
          <w:rPr>
            <w:rStyle w:val="Emphasis"/>
            <w:rFonts w:ascii="Cambria Math" w:hAnsi="Cambria Math"/>
            <w:sz w:val="20"/>
            <w:szCs w:val="20"/>
          </w:rPr>
          <m:t>X</m:t>
        </m:r>
        <m:r>
          <w:rPr>
            <w:rStyle w:val="Emphasis"/>
            <w:rFonts w:ascii="Cambria Math" w:hAnsi="Book Antiqua"/>
            <w:sz w:val="20"/>
            <w:szCs w:val="20"/>
          </w:rPr>
          <m:t xml:space="preserve"> </m:t>
        </m:r>
        <m:r>
          <m:rPr>
            <m:sty m:val="b"/>
          </m:rPr>
          <w:rPr>
            <w:rStyle w:val="Strong"/>
            <w:rFonts w:ascii="Cambria Math" w:eastAsia="Calibri" w:hAnsi="Book Antiqua"/>
            <w:sz w:val="20"/>
            <w:szCs w:val="20"/>
          </w:rPr>
          <m:t xml:space="preserve">+ </m:t>
        </m:r>
        <m:r>
          <w:rPr>
            <w:rStyle w:val="Emphasis"/>
            <w:rFonts w:ascii="Cambria Math" w:hAnsi="Cambria Math"/>
            <w:sz w:val="20"/>
            <w:szCs w:val="20"/>
          </w:rPr>
          <m:t>Y</m:t>
        </m:r>
        <m:r>
          <w:rPr>
            <w:rStyle w:val="Emphasis"/>
            <w:rFonts w:ascii="Cambria Math" w:hAnsi="Book Antiqua"/>
            <w:sz w:val="20"/>
            <w:szCs w:val="20"/>
          </w:rPr>
          <m:t>)</m:t>
        </m:r>
      </m:oMath>
      <w:r w:rsidRPr="00C07D41">
        <w:rPr>
          <w:rStyle w:val="Emphasis"/>
          <w:rFonts w:ascii="Book Antiqua" w:hAnsi="Book Antiqua"/>
          <w:sz w:val="20"/>
          <w:szCs w:val="20"/>
        </w:rPr>
        <w:t xml:space="preserve"> </w:t>
      </w:r>
      <w:r w:rsidRPr="00C07D41">
        <w:rPr>
          <w:rFonts w:ascii="Book Antiqua" w:hAnsi="Book Antiqua"/>
          <w:sz w:val="20"/>
          <w:szCs w:val="20"/>
        </w:rPr>
        <w:t xml:space="preserve">term is included in place </w:t>
      </w:r>
      <w:proofErr w:type="gramStart"/>
      <w:r w:rsidRPr="00C07D41">
        <w:rPr>
          <w:rFonts w:ascii="Book Antiqua" w:hAnsi="Book Antiqua"/>
          <w:sz w:val="20"/>
          <w:szCs w:val="20"/>
        </w:rPr>
        <w:t xml:space="preserve">of </w:t>
      </w:r>
      <m:oMath>
        <w:proofErr w:type="gramEnd"/>
        <m:r>
          <w:rPr>
            <w:rStyle w:val="Emphasis"/>
            <w:rFonts w:ascii="Cambria Math" w:hAnsi="Cambria Math"/>
            <w:sz w:val="20"/>
            <w:szCs w:val="20"/>
          </w:rPr>
          <m:t>Z</m:t>
        </m:r>
      </m:oMath>
      <w:r w:rsidRPr="00C07D41">
        <w:rPr>
          <w:rFonts w:ascii="Book Antiqua" w:hAnsi="Book Antiqua"/>
          <w:sz w:val="20"/>
          <w:szCs w:val="20"/>
        </w:rPr>
        <w:t xml:space="preserve">. Schwarzschild lists the complete equation as </w:t>
      </w:r>
      <w:hyperlink r:id="rId1251" w:anchor="2a161" w:history="1">
        <w:r w:rsidRPr="00C07D41">
          <w:rPr>
            <w:rStyle w:val="Hyperlink"/>
            <w:rFonts w:ascii="Book Antiqua" w:hAnsi="Book Antiqua"/>
            <w:sz w:val="20"/>
            <w:szCs w:val="20"/>
          </w:rPr>
          <w:t>[14]</w:t>
        </w:r>
      </w:hyperlink>
      <w:r w:rsidRPr="00C07D41">
        <w:rPr>
          <w:rFonts w:ascii="Book Antiqua" w:hAnsi="Book Antiqua"/>
          <w:sz w:val="20"/>
          <w:szCs w:val="20"/>
        </w:rPr>
        <w:t>:</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ff</m:t>
            </m:r>
          </m:sub>
        </m:sSub>
        <m:r>
          <w:rPr>
            <w:rFonts w:ascii="Cambria Math" w:hAnsi="Book Antiqua"/>
            <w:sz w:val="20"/>
            <w:szCs w:val="20"/>
          </w:rPr>
          <m:t>=</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2</m:t>
                </m:r>
              </m:num>
              <m:den>
                <m:r>
                  <w:rPr>
                    <w:rFonts w:ascii="Cambria Math" w:hAnsi="Book Antiqua"/>
                    <w:sz w:val="20"/>
                    <w:szCs w:val="20"/>
                  </w:rPr>
                  <m:t>3</m:t>
                </m:r>
              </m:den>
            </m:f>
          </m:e>
        </m:d>
        <m:rad>
          <m:radPr>
            <m:degHide m:val="on"/>
            <m:ctrlPr>
              <w:rPr>
                <w:rFonts w:ascii="Cambria Math" w:hAnsi="Book Antiqua"/>
                <w:i/>
                <w:sz w:val="20"/>
                <w:szCs w:val="20"/>
              </w:rPr>
            </m:ctrlPr>
          </m:radPr>
          <m:deg/>
          <m:e>
            <m:f>
              <m:fPr>
                <m:ctrlPr>
                  <w:rPr>
                    <w:rFonts w:ascii="Cambria Math" w:hAnsi="Book Antiqua"/>
                    <w:i/>
                    <w:sz w:val="20"/>
                    <w:szCs w:val="20"/>
                  </w:rPr>
                </m:ctrlPr>
              </m:fPr>
              <m:num>
                <m:r>
                  <w:rPr>
                    <w:rFonts w:ascii="Cambria Math" w:hAnsi="Book Antiqua"/>
                    <w:sz w:val="20"/>
                    <w:szCs w:val="20"/>
                  </w:rPr>
                  <m:t>2</m:t>
                </m:r>
                <m:r>
                  <w:rPr>
                    <w:rFonts w:ascii="Cambria Math" w:hAnsi="Cambria Math"/>
                    <w:sz w:val="20"/>
                    <w:szCs w:val="20"/>
                  </w:rPr>
                  <m:t>π</m:t>
                </m:r>
              </m:num>
              <m:den>
                <m:r>
                  <w:rPr>
                    <w:rFonts w:ascii="Cambria Math" w:hAnsi="Book Antiqua"/>
                    <w:sz w:val="20"/>
                    <w:szCs w:val="20"/>
                  </w:rPr>
                  <m:t>3</m:t>
                </m:r>
              </m:den>
            </m:f>
          </m:e>
        </m:rad>
        <m:d>
          <m:dPr>
            <m:begChr m:val="["/>
            <m:endChr m:val="]"/>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6</m:t>
                    </m:r>
                  </m:sup>
                </m:sSup>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ctrlPr>
                  <w:rPr>
                    <w:rStyle w:val="style21"/>
                    <w:rFonts w:ascii="Cambria Math" w:hAnsi="Book Antiqua"/>
                    <w:i/>
                    <w:sz w:val="20"/>
                    <w:szCs w:val="20"/>
                  </w:rPr>
                </m:ctrlPr>
              </m:num>
              <m:den>
                <m:sSup>
                  <m:sSupPr>
                    <m:ctrlPr>
                      <w:rPr>
                        <w:rStyle w:val="style21"/>
                        <w:rFonts w:ascii="Cambria Math" w:hAnsi="Book Antiqua"/>
                        <w:i/>
                        <w:sz w:val="20"/>
                        <w:szCs w:val="20"/>
                      </w:rPr>
                    </m:ctrlPr>
                  </m:sSupPr>
                  <m:e>
                    <m:r>
                      <w:rPr>
                        <w:rStyle w:val="style21"/>
                        <w:rFonts w:ascii="Cambria Math" w:hAnsi="Cambria Math"/>
                        <w:sz w:val="20"/>
                        <w:szCs w:val="20"/>
                      </w:rPr>
                      <m:t>ε</m:t>
                    </m:r>
                  </m:e>
                  <m:sup>
                    <m:r>
                      <w:rPr>
                        <w:rStyle w:val="style21"/>
                        <w:rFonts w:ascii="Cambria Math" w:hAnsi="Book Antiqua"/>
                        <w:sz w:val="20"/>
                        <w:szCs w:val="20"/>
                      </w:rPr>
                      <m:t>3</m:t>
                    </m:r>
                  </m:sup>
                </m:sSup>
                <m:r>
                  <w:rPr>
                    <w:rFonts w:ascii="Cambria Math" w:hAnsi="Cambria Math"/>
                    <w:sz w:val="20"/>
                    <w:szCs w:val="20"/>
                  </w:rPr>
                  <m:t>c</m:t>
                </m:r>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H</m:t>
                        </m:r>
                      </m:sub>
                    </m:sSub>
                  </m:e>
                  <m:sup>
                    <m:r>
                      <w:rPr>
                        <w:rFonts w:ascii="Cambria Math" w:hAnsi="Book Antiqua"/>
                        <w:sz w:val="20"/>
                        <w:szCs w:val="20"/>
                      </w:rPr>
                      <m:t>2</m:t>
                    </m:r>
                  </m:sup>
                </m:sSup>
                <m:sSup>
                  <m:sSupPr>
                    <m:ctrlPr>
                      <w:rPr>
                        <w:rFonts w:ascii="Cambria Math" w:hAnsi="Book Antiqua"/>
                        <w:i/>
                        <w:sz w:val="20"/>
                        <w:szCs w:val="20"/>
                      </w:rPr>
                    </m:ctrlPr>
                  </m:sSupPr>
                  <m:e>
                    <m:sSub>
                      <m:sSubPr>
                        <m:ctrlPr>
                          <w:rPr>
                            <w:rFonts w:ascii="Cambria Math" w:hAnsi="Book Antiqua"/>
                            <w:i/>
                            <w:sz w:val="20"/>
                            <w:szCs w:val="20"/>
                          </w:rPr>
                        </m:ctrlPr>
                      </m:sSubPr>
                      <m:e>
                        <m:r>
                          <w:rPr>
                            <w:rFonts w:ascii="Cambria Math" w:hAnsi="Cambria Math"/>
                            <w:sz w:val="20"/>
                            <w:szCs w:val="20"/>
                          </w:rPr>
                          <m:t>m</m:t>
                        </m:r>
                      </m:e>
                      <m:sub>
                        <m:r>
                          <w:rPr>
                            <w:rFonts w:ascii="Cambria Math" w:hAnsi="Cambria Math"/>
                            <w:sz w:val="20"/>
                            <w:szCs w:val="20"/>
                          </w:rPr>
                          <m:t>e</m:t>
                        </m:r>
                      </m:sub>
                    </m:sSub>
                  </m:e>
                  <m:sup>
                    <m:f>
                      <m:fPr>
                        <m:ctrlPr>
                          <w:rPr>
                            <w:rFonts w:ascii="Cambria Math" w:hAnsi="Book Antiqua"/>
                            <w:i/>
                            <w:sz w:val="20"/>
                            <w:szCs w:val="20"/>
                          </w:rPr>
                        </m:ctrlPr>
                      </m:fPr>
                      <m:num>
                        <m:r>
                          <w:rPr>
                            <w:rFonts w:ascii="Cambria Math" w:hAnsi="Book Antiqua"/>
                            <w:sz w:val="20"/>
                            <w:szCs w:val="20"/>
                          </w:rPr>
                          <m:t>3</m:t>
                        </m:r>
                      </m:num>
                      <m:den>
                        <m:r>
                          <w:rPr>
                            <w:rFonts w:ascii="Cambria Math" w:hAnsi="Book Antiqua"/>
                            <w:sz w:val="20"/>
                            <w:szCs w:val="20"/>
                          </w:rPr>
                          <m:t>2</m:t>
                        </m:r>
                      </m:den>
                    </m:f>
                  </m:sup>
                </m:sSup>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k</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196.5</m:t>
                </m:r>
              </m:den>
            </m:f>
          </m:e>
        </m:d>
        <m:sSub>
          <m:sSubPr>
            <m:ctrlPr>
              <w:rPr>
                <w:rFonts w:ascii="Cambria Math" w:hAnsi="Book Antiqua"/>
                <w:i/>
                <w:sz w:val="20"/>
                <w:szCs w:val="20"/>
              </w:rPr>
            </m:ctrlPr>
          </m:sSubPr>
          <m:e>
            <m:r>
              <w:rPr>
                <w:rFonts w:ascii="Cambria Math" w:hAnsi="Cambria Math"/>
                <w:sz w:val="20"/>
                <w:szCs w:val="20"/>
              </w:rPr>
              <m:t>g</m:t>
            </m:r>
          </m:e>
          <m:sub>
            <m:r>
              <w:rPr>
                <w:rFonts w:ascii="Cambria Math" w:hAnsi="Cambria Math"/>
                <w:sz w:val="20"/>
                <w:szCs w:val="20"/>
              </w:rPr>
              <m:t>ff</m:t>
            </m:r>
          </m:sub>
        </m:sSub>
        <m:d>
          <m:dPr>
            <m:ctrlPr>
              <w:rPr>
                <w:rFonts w:ascii="Cambria Math" w:hAnsi="Book Antiqua"/>
                <w:i/>
                <w:sz w:val="20"/>
                <w:szCs w:val="20"/>
              </w:rPr>
            </m:ctrlPr>
          </m:dPr>
          <m:e>
            <m:r>
              <w:rPr>
                <w:rFonts w:ascii="Cambria Math" w:hAnsi="Cambria Math"/>
                <w:sz w:val="20"/>
                <w:szCs w:val="20"/>
              </w:rPr>
              <m:t>X</m:t>
            </m:r>
            <m:r>
              <w:rPr>
                <w:rFonts w:ascii="Cambria Math" w:hAnsi="Book Antiqua"/>
                <w:sz w:val="20"/>
                <w:szCs w:val="20"/>
              </w:rPr>
              <m:t>+</m:t>
            </m:r>
            <m:r>
              <w:rPr>
                <w:rFonts w:ascii="Cambria Math" w:hAnsi="Cambria Math"/>
                <w:sz w:val="20"/>
                <w:szCs w:val="20"/>
              </w:rPr>
              <m:t>Y</m:t>
            </m:r>
          </m:e>
        </m:d>
        <m:d>
          <m:dPr>
            <m:ctrlPr>
              <w:rPr>
                <w:rFonts w:ascii="Cambria Math" w:hAnsi="Book Antiqua"/>
                <w:i/>
                <w:sz w:val="20"/>
                <w:szCs w:val="20"/>
              </w:rPr>
            </m:ctrlPr>
          </m:dPr>
          <m:e>
            <m:r>
              <w:rPr>
                <w:rFonts w:ascii="Cambria Math" w:hAnsi="Book Antiqua"/>
                <w:sz w:val="20"/>
                <w:szCs w:val="20"/>
              </w:rPr>
              <m:t>1+</m:t>
            </m:r>
            <m:r>
              <w:rPr>
                <w:rFonts w:ascii="Cambria Math" w:hAnsi="Cambria Math"/>
                <w:sz w:val="20"/>
                <w:szCs w:val="20"/>
              </w:rPr>
              <m:t>X</m:t>
            </m:r>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1</m:t>
                </m:r>
              </m:num>
              <m:den>
                <m:sSup>
                  <m:sSupPr>
                    <m:ctrlPr>
                      <w:rPr>
                        <w:rFonts w:ascii="Cambria Math" w:hAnsi="Book Antiqua"/>
                        <w:i/>
                        <w:sz w:val="20"/>
                        <w:szCs w:val="20"/>
                      </w:rPr>
                    </m:ctrlPr>
                  </m:sSupPr>
                  <m:e>
                    <m:r>
                      <w:rPr>
                        <w:rFonts w:ascii="Cambria Math" w:hAnsi="Cambria Math"/>
                        <w:sz w:val="20"/>
                        <w:szCs w:val="20"/>
                      </w:rPr>
                      <m:t>T</m:t>
                    </m:r>
                  </m:e>
                  <m:sup>
                    <m:f>
                      <m:fPr>
                        <m:ctrlPr>
                          <w:rPr>
                            <w:rFonts w:ascii="Cambria Math" w:hAnsi="Book Antiqua"/>
                            <w:i/>
                            <w:sz w:val="20"/>
                            <w:szCs w:val="20"/>
                          </w:rPr>
                        </m:ctrlPr>
                      </m:fPr>
                      <m:num>
                        <m:r>
                          <w:rPr>
                            <w:rFonts w:ascii="Cambria Math" w:hAnsi="Book Antiqua"/>
                            <w:sz w:val="20"/>
                            <w:szCs w:val="20"/>
                          </w:rPr>
                          <m:t>7</m:t>
                        </m:r>
                      </m:num>
                      <m:den>
                        <m:r>
                          <w:rPr>
                            <w:rFonts w:ascii="Cambria Math" w:hAnsi="Book Antiqua"/>
                            <w:sz w:val="20"/>
                            <w:szCs w:val="20"/>
                          </w:rPr>
                          <m:t>2</m:t>
                        </m:r>
                      </m:den>
                    </m:f>
                  </m:sup>
                </m:sSup>
              </m:den>
            </m:f>
          </m:e>
        </m:d>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Comparison with (6) shows the same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superscript1"/>
          <w:rFonts w:eastAsia="Calibri"/>
          <w:i/>
          <w:iCs/>
        </w:rPr>
        <w:t xml:space="preserve"> </w:t>
      </w:r>
      <w:r w:rsidRPr="00C07D41">
        <w:rPr>
          <w:rFonts w:ascii="Book Antiqua" w:hAnsi="Book Antiqua"/>
          <w:sz w:val="20"/>
          <w:szCs w:val="20"/>
        </w:rPr>
        <w:t xml:space="preserve">and hence </w:t>
      </w:r>
      <m:oMath>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xml:space="preserve"> proportionality for free-free opacity results. Even if bound-free and free-free absorptions are less vital than electron scattering in considerations here, it still appears that all stellar opacities are proportional to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c</m:t>
            </m:r>
          </m:e>
          <m:sup>
            <m:r>
              <w:rPr>
                <w:rStyle w:val="Emphasis"/>
                <w:rFonts w:ascii="Cambria Math" w:hAnsi="Book Antiqua"/>
                <w:sz w:val="20"/>
                <w:szCs w:val="20"/>
              </w:rPr>
              <m:t>2</m:t>
            </m:r>
          </m:sup>
        </m:sSup>
      </m:oMath>
      <w:r w:rsidRPr="00C07D41">
        <w:rPr>
          <w:rStyle w:val="Emphasis"/>
          <w:rFonts w:ascii="Book Antiqua" w:hAnsi="Book Antiqua"/>
          <w:sz w:val="20"/>
          <w:szCs w:val="20"/>
          <w:vertAlign w:val="superscript"/>
        </w:rPr>
        <w:t xml:space="preserve"> </w:t>
      </w:r>
      <w:r w:rsidRPr="00C07D41">
        <w:rPr>
          <w:rFonts w:ascii="Book Antiqua" w:hAnsi="Book Antiqua"/>
          <w:sz w:val="20"/>
          <w:szCs w:val="20"/>
        </w:rPr>
        <w:t xml:space="preserve">and hence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sSup>
          <m:sSupPr>
            <m:ctrlPr>
              <w:rPr>
                <w:rStyle w:val="Emphasis"/>
                <w:rFonts w:ascii="Cambria Math" w:hAnsi="Book Antiqua"/>
                <w:i w:val="0"/>
                <w:iCs w:val="0"/>
                <w:sz w:val="20"/>
                <w:szCs w:val="20"/>
              </w:rPr>
            </m:ctrlPr>
          </m:sSupPr>
          <m:e>
            <m:r>
              <w:rPr>
                <w:rStyle w:val="Emphasis"/>
                <w:rFonts w:ascii="Cambria Math" w:hAnsi="Cambria Math"/>
                <w:sz w:val="20"/>
                <w:szCs w:val="20"/>
              </w:rPr>
              <m:t>U</m:t>
            </m:r>
          </m:e>
          <m:sup>
            <m:r>
              <w:rPr>
                <w:rStyle w:val="Emphasis"/>
                <w:rFonts w:ascii="Cambria Math" w:hAnsi="Book Antiqua"/>
                <w:sz w:val="20"/>
                <w:szCs w:val="20"/>
              </w:rPr>
              <m:t>2</m:t>
            </m:r>
          </m:sup>
        </m:sSup>
      </m:oMath>
      <w:r w:rsidRPr="00C07D41">
        <w:rPr>
          <w:rFonts w:ascii="Book Antiqua" w:hAnsi="Book Antiqua"/>
          <w:sz w:val="20"/>
          <w:szCs w:val="20"/>
        </w:rPr>
        <w:t>. It can thus be written that the average value for the opacity of the whole star is</w:t>
      </w:r>
    </w:p>
    <w:p w:rsidR="00C80BD4" w:rsidRPr="00C07D41" w:rsidRDefault="007B3EBC"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xml:space="preserve"> ~ 1/</m:t>
        </m:r>
        <m:sSup>
          <m:sSupPr>
            <m:ctrlPr>
              <w:rPr>
                <w:rFonts w:ascii="Cambria Math" w:hAnsi="Book Antiqua"/>
                <w:i/>
                <w:sz w:val="20"/>
                <w:szCs w:val="20"/>
              </w:rPr>
            </m:ctrlPr>
          </m:sSupPr>
          <m:e>
            <m:r>
              <w:rPr>
                <w:rFonts w:ascii="Cambria Math" w:hAnsi="Cambria Math"/>
                <w:sz w:val="20"/>
                <w:szCs w:val="20"/>
              </w:rPr>
              <m:t>U</m:t>
            </m:r>
          </m:e>
          <m:sup>
            <m:r>
              <w:rPr>
                <w:rFonts w:ascii="Cambria Math" w:hAnsi="Book Antiqua"/>
                <w:sz w:val="20"/>
                <w:szCs w:val="20"/>
              </w:rPr>
              <m:t>2</m:t>
            </m:r>
          </m:sup>
        </m:sSup>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(8)</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other factor affecting a star’s luminosity is its rate of burning nuclear fuel. Since nuclear reactions are temperature sensitive, the proton-proton reactions dominate at lower temperatures with the carbon cycle prominent later </w:t>
      </w:r>
      <w:hyperlink r:id="rId1252" w:anchor="2a162" w:history="1">
        <w:r w:rsidRPr="00C07D41">
          <w:rPr>
            <w:rStyle w:val="Hyperlink"/>
            <w:rFonts w:ascii="Book Antiqua" w:hAnsi="Book Antiqua"/>
            <w:sz w:val="20"/>
            <w:szCs w:val="20"/>
          </w:rPr>
          <w:t>[15]</w:t>
        </w:r>
      </w:hyperlink>
      <w:r w:rsidRPr="00C07D41">
        <w:rPr>
          <w:rFonts w:ascii="Book Antiqua" w:hAnsi="Book Antiqua"/>
          <w:sz w:val="20"/>
          <w:szCs w:val="20"/>
        </w:rPr>
        <w:t>. The key reaction needed to get the proton-proton sequence started is given by the equation</w:t>
      </w:r>
      <m:oMath>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H</m:t>
            </m:r>
          </m:e>
          <m:sup>
            <m:r>
              <w:rPr>
                <w:rFonts w:ascii="Cambria Math" w:hAnsi="Book Antiqua"/>
                <w:sz w:val="20"/>
                <w:szCs w:val="20"/>
              </w:rPr>
              <m:t>1</m:t>
            </m:r>
          </m:sup>
        </m:sSup>
        <m:r>
          <w:rPr>
            <w:rFonts w:ascii="Cambria Math" w:hAnsi="Book Antiqua"/>
            <w:sz w:val="20"/>
            <w:szCs w:val="20"/>
          </w:rPr>
          <m:t xml:space="preserve"> </m:t>
        </m:r>
        <m:r>
          <w:rPr>
            <w:rFonts w:ascii="Book Antiqua" w:hAnsi="Book Antiqua"/>
            <w:sz w:val="20"/>
            <w:szCs w:val="20"/>
          </w:rPr>
          <m:t>→</m:t>
        </m:r>
        <m:r>
          <w:rPr>
            <w:rFonts w:ascii="Cambria Math" w:hAnsi="Book Antiqua"/>
            <w:sz w:val="20"/>
            <w:szCs w:val="20"/>
          </w:rPr>
          <m:t xml:space="preserve"> </m:t>
        </m:r>
        <m:sSup>
          <m:sSupPr>
            <m:ctrlPr>
              <w:rPr>
                <w:rFonts w:ascii="Cambria Math" w:hAnsi="Book Antiqua"/>
                <w:i/>
                <w:sz w:val="20"/>
                <w:szCs w:val="20"/>
              </w:rPr>
            </m:ctrlPr>
          </m:sSupPr>
          <m:e>
            <m:r>
              <w:rPr>
                <w:rFonts w:ascii="Cambria Math" w:hAnsi="Cambria Math"/>
                <w:sz w:val="20"/>
                <w:szCs w:val="20"/>
              </w:rPr>
              <m:t>D</m:t>
            </m:r>
          </m:e>
          <m:sup>
            <m:r>
              <w:rPr>
                <w:rFonts w:ascii="Cambria Math" w:hAnsi="Book Antiqua"/>
                <w:sz w:val="20"/>
                <w:szCs w:val="20"/>
              </w:rPr>
              <m:t>2</m:t>
            </m:r>
          </m:sup>
        </m:sSup>
        <m:r>
          <w:rPr>
            <w:rFonts w:ascii="Cambria Math" w:hAnsi="Book Antiqua"/>
            <w:sz w:val="20"/>
            <w:szCs w:val="20"/>
          </w:rPr>
          <m:t xml:space="preserve"> + </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m:t>
            </m:r>
          </m:sup>
        </m:sSup>
        <m:r>
          <w:rPr>
            <w:rFonts w:ascii="Cambria Math" w:hAnsi="Book Antiqua"/>
            <w:sz w:val="20"/>
            <w:szCs w:val="20"/>
          </w:rPr>
          <m:t xml:space="preserve"> + </m:t>
        </m:r>
        <m:r>
          <w:rPr>
            <w:rFonts w:ascii="Cambria Math" w:hAnsi="Cambria Math"/>
            <w:sz w:val="20"/>
            <w:szCs w:val="20"/>
          </w:rPr>
          <m:t>ν</m:t>
        </m:r>
        <m:r>
          <w:rPr>
            <w:rFonts w:ascii="Cambria Math" w:hAnsi="Book Antiqua"/>
            <w:sz w:val="20"/>
            <w:szCs w:val="20"/>
          </w:rPr>
          <m:t xml:space="preserve"> </m:t>
        </m:r>
      </m:oMath>
      <w:r w:rsidRPr="00C07D41">
        <w:rPr>
          <w:rFonts w:ascii="Book Antiqua" w:hAnsi="Book Antiqua"/>
          <w:sz w:val="20"/>
          <w:szCs w:val="20"/>
        </w:rPr>
        <w:t xml:space="preserve">. This is a beta process with a mean reaction time for any given particle of 14 billion years </w:t>
      </w:r>
      <w:hyperlink r:id="rId1253" w:anchor="2a162" w:history="1">
        <w:r w:rsidRPr="00C07D41">
          <w:rPr>
            <w:rStyle w:val="Hyperlink"/>
            <w:rFonts w:ascii="Book Antiqua" w:hAnsi="Book Antiqua"/>
            <w:sz w:val="20"/>
            <w:szCs w:val="20"/>
          </w:rPr>
          <w:t>[15]</w:t>
        </w:r>
      </w:hyperlink>
      <w:r w:rsidRPr="00C07D41">
        <w:rPr>
          <w:rFonts w:ascii="Book Antiqua" w:hAnsi="Book Antiqua"/>
          <w:sz w:val="20"/>
          <w:szCs w:val="20"/>
        </w:rPr>
        <w:t xml:space="preserve">. However this reaction rate is proportional to </w:t>
      </w:r>
      <w:r w:rsidRPr="00C07D41">
        <w:rPr>
          <w:rStyle w:val="Emphasis"/>
          <w:rFonts w:ascii="Book Antiqua" w:hAnsi="Book Antiqua"/>
          <w:sz w:val="20"/>
          <w:szCs w:val="20"/>
        </w:rPr>
        <w:t>c</w:t>
      </w:r>
      <w:r w:rsidRPr="00C07D41">
        <w:rPr>
          <w:rFonts w:ascii="Book Antiqua" w:hAnsi="Book Antiqua"/>
          <w:sz w:val="20"/>
          <w:szCs w:val="20"/>
        </w:rPr>
        <w:t xml:space="preserve">, and hence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as shown by the treatment of Swihart </w:t>
      </w:r>
      <w:hyperlink r:id="rId1254" w:anchor="2a163" w:history="1">
        <w:r w:rsidRPr="00C07D41">
          <w:rPr>
            <w:rStyle w:val="Hyperlink"/>
            <w:rFonts w:ascii="Book Antiqua" w:hAnsi="Book Antiqua"/>
            <w:sz w:val="20"/>
            <w:szCs w:val="20"/>
          </w:rPr>
          <w:t>[16]</w:t>
        </w:r>
      </w:hyperlink>
      <w:r w:rsidRPr="00C07D41">
        <w:rPr>
          <w:rFonts w:ascii="Book Antiqua" w:hAnsi="Book Antiqua"/>
          <w:sz w:val="20"/>
          <w:szCs w:val="20"/>
        </w:rPr>
        <w:t>. He states that the reaction rate per unit volume is given by</w:t>
      </w:r>
    </w:p>
    <w:p w:rsidR="00C80BD4" w:rsidRPr="00C07D41" w:rsidRDefault="007B3EBC"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N</m:t>
            </m:r>
          </m:e>
          <m:sub>
            <m:r>
              <w:rPr>
                <w:rFonts w:ascii="Cambria Math" w:hAnsi="Cambria Math"/>
                <w:sz w:val="20"/>
                <w:szCs w:val="20"/>
              </w:rPr>
              <m:t>r</m:t>
            </m:r>
          </m:sub>
        </m:sSub>
        <m:r>
          <w:rPr>
            <w:rFonts w:ascii="Cambria Math" w:hAnsi="Book Antiqua"/>
            <w:sz w:val="20"/>
            <w:szCs w:val="20"/>
          </w:rPr>
          <m:t xml:space="preserve"> = {4</m:t>
        </m:r>
        <m:sSup>
          <m:sSupPr>
            <m:ctrlPr>
              <w:rPr>
                <w:rFonts w:ascii="Cambria Math" w:hAnsi="Book Antiqua"/>
                <w:i/>
                <w:sz w:val="20"/>
                <w:szCs w:val="20"/>
              </w:rPr>
            </m:ctrlPr>
          </m:sSupPr>
          <m:e>
            <m:r>
              <w:rPr>
                <w:rFonts w:ascii="Book Antiqua" w:hAnsi="Cambria Math"/>
                <w:sz w:val="20"/>
                <w:szCs w:val="20"/>
              </w:rPr>
              <m:t>h</m:t>
            </m:r>
          </m:e>
          <m:sup>
            <m:r>
              <w:rPr>
                <w:rFonts w:ascii="Cambria Math" w:hAnsi="Book Antiqua"/>
                <w:sz w:val="20"/>
                <w:szCs w:val="20"/>
              </w:rPr>
              <m:t>2</m:t>
            </m:r>
          </m:sup>
        </m:sSup>
        <m:r>
          <w:rPr>
            <w:rFonts w:ascii="Cambria Math" w:hAnsi="Cambria Math"/>
            <w:sz w:val="20"/>
            <w:szCs w:val="20"/>
          </w:rPr>
          <m:t>D</m:t>
        </m:r>
        <m:sSup>
          <m:sSupPr>
            <m:ctrlPr>
              <w:rPr>
                <w:rFonts w:ascii="Cambria Math" w:hAnsi="Book Antiqua"/>
                <w:i/>
                <w:sz w:val="20"/>
                <w:szCs w:val="20"/>
              </w:rPr>
            </m:ctrlPr>
          </m:sSupPr>
          <m:e>
            <m:r>
              <w:rPr>
                <w:rFonts w:ascii="Cambria Math" w:hAnsi="Cambria Math"/>
                <w:sz w:val="20"/>
                <w:szCs w:val="20"/>
              </w:rPr>
              <m:t>E</m:t>
            </m:r>
          </m:e>
          <m:sup>
            <m:r>
              <w:rPr>
                <w:rFonts w:ascii="Cambria Math" w:hAnsi="Book Antiqua"/>
                <w:sz w:val="20"/>
                <w:szCs w:val="20"/>
              </w:rPr>
              <m:t>1/6</m:t>
            </m:r>
          </m:sup>
        </m:sSup>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1</m:t>
            </m:r>
          </m:sub>
        </m:sSub>
        <m:sSub>
          <m:sSubPr>
            <m:ctrlPr>
              <w:rPr>
                <w:rFonts w:ascii="Cambria Math" w:hAnsi="Book Antiqua"/>
                <w:i/>
                <w:sz w:val="20"/>
                <w:szCs w:val="20"/>
              </w:rPr>
            </m:ctrlPr>
          </m:sSubPr>
          <m:e>
            <m:r>
              <w:rPr>
                <w:rFonts w:ascii="Cambria Math" w:hAnsi="Cambria Math"/>
                <w:sz w:val="20"/>
                <w:szCs w:val="20"/>
              </w:rPr>
              <m:t>N</m:t>
            </m:r>
          </m:e>
          <m:sub>
            <m:r>
              <w:rPr>
                <w:rFonts w:ascii="Cambria Math" w:hAnsi="Book Antiqua"/>
                <w:sz w:val="20"/>
                <w:szCs w:val="20"/>
              </w:rPr>
              <m:t>2</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M</m:t>
            </m:r>
          </m:e>
          <m:sup>
            <m:r>
              <w:rPr>
                <w:rFonts w:ascii="Cambria Math" w:hAnsi="Book Antiqua"/>
                <w:sz w:val="20"/>
                <w:szCs w:val="20"/>
              </w:rPr>
              <m:t>3/2</m:t>
            </m:r>
          </m:sup>
        </m:sSup>
        <m:sSup>
          <m:sSupPr>
            <m:ctrlPr>
              <w:rPr>
                <w:rFonts w:ascii="Cambria Math" w:hAnsi="Book Antiqua"/>
                <w:i/>
                <w:sz w:val="20"/>
                <w:szCs w:val="20"/>
              </w:rPr>
            </m:ctrlPr>
          </m:sSupPr>
          <m:e>
            <m:r>
              <w:rPr>
                <w:rFonts w:ascii="Cambria Math" w:hAnsi="Book Antiqua"/>
                <w:sz w:val="20"/>
                <w:szCs w:val="20"/>
              </w:rPr>
              <m:t>(</m:t>
            </m:r>
            <m:r>
              <w:rPr>
                <w:rFonts w:ascii="Cambria Math" w:hAnsi="Cambria Math"/>
                <w:sz w:val="20"/>
                <w:szCs w:val="20"/>
              </w:rPr>
              <m:t>kT</m:t>
            </m:r>
            <m:r>
              <w:rPr>
                <w:rFonts w:ascii="Cambria Math" w:hAnsi="Book Antiqua"/>
                <w:sz w:val="20"/>
                <w:szCs w:val="20"/>
              </w:rPr>
              <m:t>)</m:t>
            </m:r>
          </m:e>
          <m:sup>
            <m:r>
              <w:rPr>
                <w:rFonts w:ascii="Cambria Math" w:hAnsi="Book Antiqua"/>
                <w:sz w:val="20"/>
                <w:szCs w:val="20"/>
              </w:rPr>
              <m:t>2/3</m:t>
            </m:r>
          </m:sup>
        </m:sSup>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e</m:t>
            </m:r>
          </m:e>
          <m:sup>
            <m:r>
              <w:rPr>
                <w:rFonts w:ascii="Book Antiqua" w:hAnsi="Book Antiqua"/>
                <w:sz w:val="20"/>
                <w:szCs w:val="20"/>
              </w:rPr>
              <m:t>-</m:t>
            </m:r>
            <m:r>
              <w:rPr>
                <w:rFonts w:ascii="Cambria Math" w:hAnsi="Book Antiqua"/>
                <w:sz w:val="20"/>
                <w:szCs w:val="20"/>
              </w:rPr>
              <m:t>1.89</m:t>
            </m:r>
            <m:sSup>
              <m:sSupPr>
                <m:ctrlPr>
                  <w:rPr>
                    <w:rFonts w:ascii="Cambria Math" w:hAnsi="Book Antiqua"/>
                    <w:i/>
                    <w:sz w:val="20"/>
                    <w:szCs w:val="20"/>
                  </w:rPr>
                </m:ctrlPr>
              </m:sSupPr>
              <m:e>
                <m:d>
                  <m:dPr>
                    <m:begChr m:val="["/>
                    <m:endChr m:val="]"/>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E</m:t>
                        </m:r>
                      </m:num>
                      <m:den>
                        <m:r>
                          <w:rPr>
                            <w:rFonts w:ascii="Cambria Math" w:hAnsi="Cambria Math"/>
                            <w:sz w:val="20"/>
                            <w:szCs w:val="20"/>
                          </w:rPr>
                          <m:t>kT</m:t>
                        </m:r>
                      </m:den>
                    </m:f>
                  </m:e>
                </m:d>
              </m:e>
              <m:sup>
                <m:r>
                  <w:rPr>
                    <w:rFonts w:ascii="Cambria Math" w:hAnsi="Book Antiqua"/>
                    <w:sz w:val="20"/>
                    <w:szCs w:val="20"/>
                  </w:rPr>
                  <m:t>1/3</m:t>
                </m:r>
              </m:sup>
            </m:sSup>
          </m:sup>
        </m:sSup>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 1/</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(9)</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(9) the temperature </w:t>
      </w:r>
      <w:proofErr w:type="gramStart"/>
      <w:r w:rsidRPr="00C07D41">
        <w:rPr>
          <w:rFonts w:ascii="Book Antiqua" w:hAnsi="Book Antiqua"/>
          <w:sz w:val="20"/>
          <w:szCs w:val="20"/>
        </w:rPr>
        <w:t xml:space="preserve">is </w:t>
      </w:r>
      <m:oMath>
        <w:proofErr w:type="gramEnd"/>
        <m:r>
          <w:rPr>
            <w:rStyle w:val="Emphasis"/>
            <w:rFonts w:ascii="Cambria Math" w:hAnsi="Cambria Math"/>
            <w:sz w:val="20"/>
            <w:szCs w:val="20"/>
          </w:rPr>
          <m:t>T</m:t>
        </m:r>
      </m:oMath>
      <w:r w:rsidRPr="00C07D41">
        <w:rPr>
          <w:rFonts w:ascii="Book Antiqua" w:hAnsi="Book Antiqua"/>
          <w:sz w:val="20"/>
          <w:szCs w:val="20"/>
        </w:rPr>
        <w:t xml:space="preserve">, Boltzmann’s constant is </w:t>
      </w:r>
      <m:oMath>
        <m:r>
          <w:rPr>
            <w:rStyle w:val="Emphasis"/>
            <w:rFonts w:ascii="Cambria Math" w:hAnsi="Cambria Math"/>
            <w:sz w:val="20"/>
            <w:szCs w:val="20"/>
          </w:rPr>
          <m:t>k</m:t>
        </m:r>
      </m:oMath>
      <w:r w:rsidRPr="00C07D41">
        <w:rPr>
          <w:rFonts w:ascii="Book Antiqua" w:hAnsi="Book Antiqua"/>
          <w:sz w:val="20"/>
          <w:szCs w:val="20"/>
        </w:rPr>
        <w:t xml:space="preserve">, and Planck’s constant is </w:t>
      </w:r>
      <m:oMath>
        <m:r>
          <w:rPr>
            <w:rStyle w:val="Emphasis"/>
            <w:rFonts w:ascii="Book Antiqua" w:hAnsi="Cambria Math"/>
            <w:sz w:val="20"/>
            <w:szCs w:val="20"/>
          </w:rPr>
          <m:t>h</m:t>
        </m:r>
      </m:oMath>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1</m:t>
            </m:r>
          </m:sub>
        </m:sSub>
      </m:oMath>
      <w:r w:rsidRPr="00C07D41">
        <w:rPr>
          <w:rFonts w:ascii="Book Antiqua" w:hAnsi="Book Antiqua"/>
          <w:sz w:val="20"/>
          <w:szCs w:val="20"/>
        </w:rPr>
        <w:t xml:space="preserve"> </w:t>
      </w:r>
      <w:proofErr w:type="gramStart"/>
      <w:r w:rsidRPr="00C07D41">
        <w:rPr>
          <w:rFonts w:ascii="Book Antiqua" w:hAnsi="Book Antiqua"/>
          <w:sz w:val="20"/>
          <w:szCs w:val="20"/>
        </w:rPr>
        <w:t>and</w:t>
      </w:r>
      <w:proofErr w:type="gramEnd"/>
      <w:r w:rsidRPr="00C07D41">
        <w:rPr>
          <w:rFonts w:ascii="Book Antiqua" w:hAnsi="Book Antiqua"/>
          <w:sz w:val="20"/>
          <w:szCs w:val="20"/>
        </w:rPr>
        <w:t xml:space="preserve">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N</m:t>
            </m:r>
          </m:e>
          <m:sub>
            <m:r>
              <w:rPr>
                <w:rStyle w:val="Emphasis"/>
                <w:rFonts w:ascii="Cambria Math" w:hAnsi="Book Antiqua"/>
                <w:sz w:val="20"/>
                <w:szCs w:val="20"/>
              </w:rPr>
              <m:t>2</m:t>
            </m:r>
          </m:sub>
        </m:sSub>
      </m:oMath>
      <w:r w:rsidRPr="00C07D41">
        <w:rPr>
          <w:rStyle w:val="Emphasis"/>
          <w:rFonts w:ascii="Book Antiqua" w:hAnsi="Book Antiqua"/>
          <w:sz w:val="20"/>
          <w:szCs w:val="20"/>
          <w:vertAlign w:val="subscript"/>
        </w:rPr>
        <w:t xml:space="preserve"> </w:t>
      </w:r>
      <w:r w:rsidRPr="00C07D41">
        <w:rPr>
          <w:rFonts w:ascii="Book Antiqua" w:hAnsi="Book Antiqua"/>
          <w:sz w:val="20"/>
          <w:szCs w:val="20"/>
        </w:rPr>
        <w:t xml:space="preserve">are the numbers of interacting particles per unit volume,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reduced mass of the two reacting particles, </w:t>
      </w:r>
      <m:oMath>
        <m:r>
          <w:rPr>
            <w:rStyle w:val="Emphasis"/>
            <w:rFonts w:ascii="Cambria Math" w:hAnsi="Cambria Math"/>
            <w:sz w:val="20"/>
            <w:szCs w:val="20"/>
          </w:rPr>
          <m:t>D</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probability of reaction between nuclei, and </w:t>
      </w:r>
      <m:oMath>
        <m:r>
          <w:rPr>
            <w:rStyle w:val="Emphasis"/>
            <w:rFonts w:ascii="Cambria Math" w:hAnsi="Cambria Math"/>
            <w:sz w:val="20"/>
            <w:szCs w:val="20"/>
          </w:rPr>
          <m:t>E</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energy required to penetrate the Coulomb barrier. In this equation, the only two factors that are c-dependent are </w:t>
      </w:r>
      <m:oMath>
        <m:r>
          <w:rPr>
            <w:rStyle w:val="Emphasis"/>
            <w:rFonts w:ascii="Cambria Math" w:hAnsi="Cambria Math"/>
            <w:sz w:val="20"/>
            <w:szCs w:val="20"/>
          </w:rPr>
          <m:t>M</m:t>
        </m:r>
      </m:oMath>
      <w:r w:rsidRPr="00C07D41">
        <w:rPr>
          <w:rStyle w:val="Emphasis"/>
          <w:rFonts w:ascii="Book Antiqua" w:hAnsi="Book Antiqua"/>
          <w:sz w:val="20"/>
          <w:szCs w:val="20"/>
        </w:rPr>
        <w:t xml:space="preserve"> </w:t>
      </w:r>
      <w:proofErr w:type="gramStart"/>
      <w:r w:rsidRPr="00C07D41">
        <w:rPr>
          <w:rFonts w:ascii="Book Antiqua" w:hAnsi="Book Antiqua"/>
          <w:sz w:val="20"/>
          <w:szCs w:val="20"/>
        </w:rPr>
        <w:t xml:space="preserve">and </w:t>
      </w:r>
      <m:oMath>
        <w:proofErr w:type="gramEnd"/>
        <m:r>
          <w:rPr>
            <w:rStyle w:val="Emphasis"/>
            <w:rFonts w:ascii="Cambria Math" w:hAnsi="Cambria Math"/>
            <w:sz w:val="20"/>
            <w:szCs w:val="20"/>
          </w:rPr>
          <m:t>h</m:t>
        </m:r>
      </m:oMath>
      <w:r w:rsidRPr="00C07D41">
        <w:rPr>
          <w:rFonts w:ascii="Book Antiqua" w:hAnsi="Book Antiqua"/>
          <w:sz w:val="20"/>
          <w:szCs w:val="20"/>
        </w:rPr>
        <w:t>. Their ratio</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Cambria Math"/>
                <w:sz w:val="20"/>
                <w:szCs w:val="20"/>
              </w:rPr>
              <m:t>h</m:t>
            </m:r>
          </m:e>
          <m:sup>
            <m:r>
              <w:rPr>
                <w:rStyle w:val="Emphasis"/>
                <w:rFonts w:ascii="Cambria Math" w:hAnsi="Book Antiqua"/>
                <w:sz w:val="20"/>
                <w:szCs w:val="20"/>
              </w:rPr>
              <m:t>2</m:t>
            </m:r>
          </m:sup>
        </m:sSup>
        <m:r>
          <m:rPr>
            <m:sty m:val="b"/>
          </m:rPr>
          <w:rPr>
            <w:rStyle w:val="Strong"/>
            <w:rFonts w:ascii="Cambria Math" w:eastAsia="Calibri" w:hAnsi="Book Antiqua"/>
            <w:sz w:val="20"/>
            <w:szCs w:val="20"/>
          </w:rPr>
          <m:t>/</m:t>
        </m:r>
        <m:sSup>
          <m:sSupPr>
            <m:ctrlPr>
              <w:rPr>
                <w:rStyle w:val="Emphasis"/>
                <w:rFonts w:ascii="Cambria Math" w:hAnsi="Book Antiqua"/>
                <w:i w:val="0"/>
                <w:iCs w:val="0"/>
                <w:sz w:val="20"/>
                <w:szCs w:val="20"/>
              </w:rPr>
            </m:ctrlPr>
          </m:sSupPr>
          <m:e>
            <m:r>
              <w:rPr>
                <w:rStyle w:val="Emphasis"/>
                <w:rFonts w:ascii="Cambria Math" w:hAnsi="Cambria Math"/>
                <w:sz w:val="20"/>
                <w:szCs w:val="20"/>
              </w:rPr>
              <m:t>M</m:t>
            </m:r>
          </m:e>
          <m:sup>
            <m:r>
              <w:rPr>
                <w:rStyle w:val="Emphasis"/>
                <w:rFonts w:ascii="Cambria Math" w:hAnsi="Book Antiqua"/>
                <w:sz w:val="20"/>
                <w:szCs w:val="20"/>
              </w:rPr>
              <m:t>3/2</m:t>
            </m:r>
          </m:sup>
        </m:sSup>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xml:space="preserve">. Stellar nuclear reactions are thereby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c</m:t>
        </m:r>
      </m:oMath>
      <w:r w:rsidRPr="00C07D41">
        <w:rPr>
          <w:rFonts w:ascii="Book Antiqua" w:hAnsi="Book Antiqua"/>
          <w:sz w:val="20"/>
          <w:szCs w:val="20"/>
        </w:rPr>
        <w:t xml:space="preserve">, or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as will be the photon production rate. When photon production rate and opacity are then considered together, the stellar luminosity</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oMath>
      <w:r w:rsidRPr="00C07D41">
        <w:rPr>
          <w:rFonts w:ascii="Book Antiqua" w:hAnsi="Book Antiqua"/>
          <w:sz w:val="20"/>
          <w:szCs w:val="20"/>
        </w:rPr>
        <w:t xml:space="preserve">, which is, strictly speaking, the photon emission rate of the star with varying ZPE, can be established. A key formula for this stellar luminosity or photon emission rate is given by Harwit as </w:t>
      </w:r>
      <w:hyperlink r:id="rId1255" w:anchor="2a164" w:history="1">
        <w:r w:rsidRPr="00C07D41">
          <w:rPr>
            <w:rStyle w:val="Hyperlink"/>
            <w:rFonts w:ascii="Book Antiqua" w:hAnsi="Book Antiqua"/>
            <w:sz w:val="20"/>
            <w:szCs w:val="20"/>
          </w:rPr>
          <w:t>[17]</w:t>
        </w:r>
      </w:hyperlink>
      <w:r w:rsidRPr="00C07D41">
        <w:rPr>
          <w:rFonts w:ascii="Book Antiqua" w:hAnsi="Book Antiqua"/>
          <w:sz w:val="20"/>
          <w:szCs w:val="20"/>
        </w:rPr>
        <w:t>:</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16</m:t>
        </m:r>
        <m:r>
          <w:rPr>
            <w:rFonts w:ascii="Cambria Math" w:hAnsi="Cambria Math"/>
            <w:sz w:val="20"/>
            <w:szCs w:val="20"/>
          </w:rPr>
          <m:t>πac</m:t>
        </m:r>
        <m:r>
          <w:rPr>
            <w:rFonts w:ascii="Cambria Math" w:hAnsi="Book Antiqua"/>
            <w:sz w:val="20"/>
            <w:szCs w:val="20"/>
          </w:rPr>
          <m:t xml:space="preserve"> / (3</m:t>
        </m:r>
        <m:sSub>
          <m:sSubPr>
            <m:ctrlPr>
              <w:rPr>
                <w:rStyle w:val="style21"/>
                <w:rFonts w:ascii="Cambria Math" w:hAnsi="Book Antiqua"/>
                <w:i/>
                <w:sz w:val="20"/>
                <w:szCs w:val="20"/>
              </w:rPr>
            </m:ctrlPr>
          </m:sSubPr>
          <m:e>
            <m:r>
              <w:rPr>
                <w:rStyle w:val="style21"/>
                <w:rFonts w:ascii="Cambria Math" w:hAnsi="Cambria Math"/>
                <w:sz w:val="20"/>
                <w:szCs w:val="20"/>
              </w:rPr>
              <m:t>Κ</m:t>
            </m:r>
          </m:e>
          <m:sub>
            <m:r>
              <w:rPr>
                <w:rStyle w:val="style21"/>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(10)</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the term </w:t>
      </w:r>
      <m:oMath>
        <m:r>
          <w:rPr>
            <w:rStyle w:val="Emphasis"/>
            <w:rFonts w:ascii="Cambria Math" w:hAnsi="Cambria Math"/>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given by the formula </w:t>
      </w:r>
      <m:oMath>
        <m:r>
          <w:rPr>
            <w:rStyle w:val="Emphasis"/>
            <w:rFonts w:ascii="Cambria Math" w:hAnsi="Cambria Math"/>
            <w:sz w:val="20"/>
            <w:szCs w:val="20"/>
          </w:rPr>
          <m:t>a</m:t>
        </m:r>
        <m:r>
          <w:rPr>
            <w:rStyle w:val="Emphasis"/>
            <w:rFonts w:ascii="Cambria Math" w:hAnsi="Book Antiqua"/>
            <w:sz w:val="20"/>
            <w:szCs w:val="20"/>
          </w:rPr>
          <m:t xml:space="preserve"> = 8</m:t>
        </m:r>
        <m:sSup>
          <m:sSupPr>
            <m:ctrlPr>
              <w:rPr>
                <w:rStyle w:val="Emphasis"/>
                <w:rFonts w:ascii="Cambria Math" w:hAnsi="Book Antiqua"/>
                <w:i w:val="0"/>
                <w:iCs w:val="0"/>
                <w:sz w:val="20"/>
                <w:szCs w:val="20"/>
              </w:rPr>
            </m:ctrlPr>
          </m:sSupPr>
          <m:e>
            <m:r>
              <w:rPr>
                <w:rStyle w:val="Emphasis"/>
                <w:rFonts w:ascii="Cambria Math" w:hAnsi="Cambria Math"/>
                <w:sz w:val="20"/>
                <w:szCs w:val="20"/>
              </w:rPr>
              <m:t>π</m:t>
            </m:r>
          </m:e>
          <m:sup>
            <m:r>
              <w:rPr>
                <w:rStyle w:val="Emphasis"/>
                <w:rFonts w:ascii="Cambria Math" w:hAnsi="Book Antiqua"/>
                <w:sz w:val="20"/>
                <w:szCs w:val="20"/>
              </w:rPr>
              <m:t>5</m:t>
            </m:r>
          </m:sup>
        </m:sSup>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Cambria Math" w:hAnsi="Book Antiqua"/>
                <w:sz w:val="20"/>
                <w:szCs w:val="20"/>
              </w:rPr>
              <m:t>4</m:t>
            </m:r>
          </m:sup>
        </m:sSup>
        <m:r>
          <w:rPr>
            <w:rStyle w:val="Emphasis"/>
            <w:rFonts w:ascii="Cambria Math" w:hAnsi="Book Antiqua"/>
            <w:sz w:val="20"/>
            <w:szCs w:val="20"/>
          </w:rPr>
          <m:t>/[15</m:t>
        </m:r>
        <m:sSup>
          <m:sSupPr>
            <m:ctrlPr>
              <w:rPr>
                <w:rStyle w:val="Emphasis"/>
                <w:rFonts w:ascii="Cambria Math" w:hAnsi="Book Antiqua"/>
                <w:i w:val="0"/>
                <w:iCs w:val="0"/>
                <w:sz w:val="20"/>
                <w:szCs w:val="20"/>
              </w:rPr>
            </m:ctrlPr>
          </m:sSupPr>
          <m:e>
            <m:r>
              <w:rPr>
                <w:rStyle w:val="Emphasis"/>
                <w:rFonts w:ascii="Cambria Math" w:hAnsi="Book Antiqua"/>
                <w:sz w:val="20"/>
                <w:szCs w:val="20"/>
              </w:rPr>
              <m:t>(</m:t>
            </m:r>
            <m:r>
              <w:rPr>
                <w:rStyle w:val="Emphasis"/>
                <w:rFonts w:ascii="Book Antiqua" w:hAnsi="Cambria Math"/>
                <w:sz w:val="20"/>
                <w:szCs w:val="20"/>
              </w:rPr>
              <m:t>h</m:t>
            </m:r>
            <m:r>
              <w:rPr>
                <w:rStyle w:val="Emphasis"/>
                <w:rFonts w:ascii="Cambria Math" w:hAnsi="Cambria Math"/>
                <w:sz w:val="20"/>
                <w:szCs w:val="20"/>
              </w:rPr>
              <m:t>c</m:t>
            </m:r>
            <m:r>
              <w:rPr>
                <w:rStyle w:val="Emphasis"/>
                <w:rFonts w:ascii="Cambria Math" w:hAnsi="Book Antiqua"/>
                <w:sz w:val="20"/>
                <w:szCs w:val="20"/>
              </w:rPr>
              <m:t>)</m:t>
            </m:r>
          </m:e>
          <m:sup>
            <m:r>
              <w:rPr>
                <w:rStyle w:val="Emphasis"/>
                <w:rFonts w:ascii="Cambria Math" w:hAnsi="Book Antiqua"/>
                <w:sz w:val="20"/>
                <w:szCs w:val="20"/>
              </w:rPr>
              <m:t>3</m:t>
            </m:r>
          </m:sup>
        </m:sSup>
        <m:r>
          <w:rPr>
            <w:rStyle w:val="Emphasis"/>
            <w:rFonts w:ascii="Cambria Math" w:hAnsi="Book Antiqua"/>
            <w:sz w:val="20"/>
            <w:szCs w:val="20"/>
          </w:rPr>
          <m:t>]</m:t>
        </m:r>
      </m:oMath>
      <w:r w:rsidRPr="00C07D41">
        <w:rPr>
          <w:rFonts w:ascii="Book Antiqua" w:hAnsi="Book Antiqua"/>
          <w:sz w:val="20"/>
          <w:szCs w:val="20"/>
        </w:rPr>
        <w:t xml:space="preserve"> which is constant since </w:t>
      </w:r>
      <m:oMath>
        <m:r>
          <w:rPr>
            <w:rStyle w:val="Emphasis"/>
            <w:rFonts w:ascii="Book Antiqua" w:hAnsi="Cambria Math"/>
            <w:sz w:val="20"/>
            <w:szCs w:val="20"/>
          </w:rPr>
          <m:t>h</m:t>
        </m:r>
        <m:r>
          <w:rPr>
            <w:rStyle w:val="Emphasis"/>
            <w:rFonts w:ascii="Cambria Math" w:hAnsi="Cambria Math"/>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constant and Boltzmann’s constant </w:t>
      </w:r>
      <m:oMath>
        <m:r>
          <w:rPr>
            <w:rStyle w:val="Emphasis"/>
            <w:rFonts w:ascii="Cambria Math" w:hAnsi="Cambria Math"/>
            <w:sz w:val="20"/>
            <w:szCs w:val="20"/>
          </w:rPr>
          <m:t>k</m:t>
        </m:r>
        <m:r>
          <w:rPr>
            <w:rStyle w:val="Emphasis"/>
            <w:rFonts w:ascii="Cambria Math" w:hAnsi="Book Antiqua"/>
            <w:sz w:val="20"/>
            <w:szCs w:val="20"/>
          </w:rPr>
          <m:t xml:space="preserve"> </m:t>
        </m:r>
      </m:oMath>
      <w:r w:rsidRPr="00C07D41">
        <w:rPr>
          <w:rFonts w:ascii="Book Antiqua" w:hAnsi="Book Antiqua"/>
          <w:sz w:val="20"/>
          <w:szCs w:val="20"/>
        </w:rPr>
        <w:t xml:space="preserve">is invariant. </w:t>
      </w:r>
      <w:proofErr w:type="gramStart"/>
      <w:r w:rsidRPr="00C07D41">
        <w:rPr>
          <w:rFonts w:ascii="Book Antiqua" w:hAnsi="Book Antiqua"/>
          <w:sz w:val="20"/>
          <w:szCs w:val="20"/>
        </w:rPr>
        <w:t xml:space="preserve">Note that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ρ</m:t>
            </m:r>
          </m:e>
          <m:sub>
            <m:r>
              <w:rPr>
                <w:rStyle w:val="Emphasis"/>
                <w:rFonts w:ascii="Cambria Math" w:hAnsi="Cambria Math"/>
                <w:sz w:val="20"/>
                <w:szCs w:val="20"/>
              </w:rPr>
              <m:t>m</m:t>
            </m:r>
          </m:sub>
        </m:sSub>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mass-density, so it is proportional to </w:t>
      </w:r>
      <m:oMath>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oMath>
      <w:r w:rsidRPr="00C07D41">
        <w:rPr>
          <w:rFonts w:ascii="Book Antiqua" w:hAnsi="Book Antiqua"/>
          <w:sz w:val="20"/>
          <w:szCs w:val="20"/>
        </w:rPr>
        <w:t xml:space="preserve"> [from equation (25) in Chapter 4].</w:t>
      </w:r>
      <w:proofErr w:type="gramEnd"/>
      <w:r w:rsidRPr="00C07D41">
        <w:rPr>
          <w:rFonts w:ascii="Book Antiqua" w:hAnsi="Book Antiqua"/>
          <w:sz w:val="20"/>
          <w:szCs w:val="20"/>
        </w:rPr>
        <w:t xml:space="preserve"> Therefore we can state that</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r>
          <w:rPr>
            <w:rFonts w:ascii="Cambria Math" w:hAnsi="Book Antiqua"/>
            <w:sz w:val="20"/>
            <w:szCs w:val="20"/>
          </w:rPr>
          <m:t xml:space="preserve"> = </m:t>
        </m:r>
        <m:r>
          <w:rPr>
            <w:rFonts w:ascii="Cambria Math" w:hAnsi="Cambria Math"/>
            <w:sz w:val="20"/>
            <w:szCs w:val="20"/>
          </w:rPr>
          <m:t>constant</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 xml:space="preserve"> (11)</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w:t>
      </w:r>
      <w:r w:rsidRPr="00C07D41">
        <w:rPr>
          <w:rStyle w:val="Emphasis"/>
          <w:rFonts w:ascii="Book Antiqua" w:hAnsi="Book Antiqua"/>
          <w:sz w:val="20"/>
          <w:szCs w:val="20"/>
        </w:rPr>
        <w:t>Structure and Evolution of the Stars</w:t>
      </w:r>
      <w:r w:rsidRPr="00C07D41">
        <w:rPr>
          <w:rStyle w:val="Emphasis"/>
          <w:rFonts w:ascii="Book Antiqua" w:hAnsi="Book Antiqua"/>
          <w:b/>
          <w:i w:val="0"/>
          <w:sz w:val="20"/>
          <w:szCs w:val="20"/>
        </w:rPr>
        <w:t xml:space="preserve">, </w:t>
      </w:r>
      <w:r w:rsidRPr="00C07D41">
        <w:rPr>
          <w:rFonts w:ascii="Book Antiqua" w:hAnsi="Book Antiqua"/>
          <w:sz w:val="20"/>
          <w:szCs w:val="20"/>
        </w:rPr>
        <w:t xml:space="preserve">Schwarzschild defines the fraction of energy a beam of light loses by scattering/absorption over distance </w:t>
      </w:r>
      <m:oMath>
        <m:r>
          <w:rPr>
            <w:rStyle w:val="Emphasis"/>
            <w:rFonts w:ascii="Cambria Math" w:hAnsi="Cambria Math"/>
            <w:sz w:val="20"/>
            <w:szCs w:val="20"/>
          </w:rPr>
          <m:t>dr</m:t>
        </m:r>
      </m:oMath>
      <w:r w:rsidRPr="00C07D41">
        <w:rPr>
          <w:rFonts w:ascii="Book Antiqua" w:hAnsi="Book Antiqua"/>
          <w:sz w:val="20"/>
          <w:szCs w:val="20"/>
        </w:rPr>
        <w:t xml:space="preserve"> </w:t>
      </w:r>
      <w:hyperlink r:id="rId1256" w:anchor="2a165" w:history="1">
        <w:r w:rsidRPr="00C07D41">
          <w:rPr>
            <w:rStyle w:val="Hyperlink"/>
            <w:rFonts w:ascii="Book Antiqua" w:hAnsi="Book Antiqua"/>
            <w:sz w:val="20"/>
            <w:szCs w:val="20"/>
          </w:rPr>
          <w:t>[18]</w:t>
        </w:r>
      </w:hyperlink>
      <w:r w:rsidRPr="00C07D41">
        <w:rPr>
          <w:rFonts w:ascii="Book Antiqua" w:hAnsi="Book Antiqua"/>
          <w:sz w:val="20"/>
          <w:szCs w:val="20"/>
        </w:rPr>
        <w:t xml:space="preserve">.  This gives </w:t>
      </w:r>
      <m:oMath>
        <m:r>
          <w:rPr>
            <w:rFonts w:ascii="Book Antiqua" w:hAnsi="Book Antiqua"/>
            <w:sz w:val="20"/>
            <w:szCs w:val="20"/>
          </w:rPr>
          <m:t>К'</m:t>
        </m:r>
      </m:oMath>
      <w:r w:rsidRPr="00C07D41">
        <w:rPr>
          <w:rFonts w:ascii="Book Antiqua" w:hAnsi="Book Antiqua"/>
          <w:sz w:val="20"/>
          <w:szCs w:val="20"/>
        </w:rPr>
        <w:t xml:space="preserve"> multiplied by </w:t>
      </w:r>
      <m:oMath>
        <m:r>
          <w:rPr>
            <w:rStyle w:val="Emphasis"/>
            <w:rFonts w:ascii="Cambria Math" w:hAnsi="Cambria Math"/>
            <w:sz w:val="20"/>
            <w:szCs w:val="20"/>
          </w:rPr>
          <m:t>dr</m:t>
        </m:r>
      </m:oMath>
      <w:r w:rsidRPr="00C07D41">
        <w:rPr>
          <w:rStyle w:val="Emphasis"/>
          <w:rFonts w:ascii="Book Antiqua" w:hAnsi="Book Antiqua"/>
          <w:sz w:val="20"/>
          <w:szCs w:val="20"/>
        </w:rPr>
        <w:t xml:space="preserve"> </w:t>
      </w:r>
      <w:r w:rsidRPr="00C07D41">
        <w:rPr>
          <w:rFonts w:ascii="Book Antiqua" w:hAnsi="Book Antiqua"/>
          <w:sz w:val="20"/>
          <w:szCs w:val="20"/>
        </w:rPr>
        <w:t>so that</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Fonts w:ascii="Cambria Math" w:hAnsi="Book Antiqua"/>
            <w:sz w:val="20"/>
            <w:szCs w:val="20"/>
          </w:rPr>
          <m:t>(4</m:t>
        </m:r>
        <m:r>
          <w:rPr>
            <w:rFonts w:ascii="Cambria Math" w:hAnsi="Cambria Math"/>
            <w:sz w:val="20"/>
            <w:szCs w:val="20"/>
          </w:rPr>
          <m:t>ac</m:t>
        </m:r>
        <m:r>
          <w:rPr>
            <w:rFonts w:ascii="Cambria Math" w:hAnsi="Book Antiqua"/>
            <w:sz w:val="20"/>
            <w:szCs w:val="20"/>
          </w:rPr>
          <m:t>/3)(</m:t>
        </m:r>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r>
          <w:rPr>
            <w:rFonts w:ascii="Cambria Math" w:hAnsi="Book Antiqua"/>
            <w:sz w:val="20"/>
            <w:szCs w:val="20"/>
          </w:rPr>
          <m:t>/</m:t>
        </m:r>
        <m:r>
          <w:rPr>
            <w:rFonts w:ascii="Book Antiqua" w:hAnsi="Book Antiqua"/>
            <w:sz w:val="20"/>
            <w:szCs w:val="20"/>
          </w:rPr>
          <m:t>К'</m:t>
        </m:r>
        <m:r>
          <w:rPr>
            <w:rFonts w:ascii="Cambria Math" w:hAnsi="Book Antiqua"/>
            <w:sz w:val="20"/>
            <w:szCs w:val="20"/>
          </w:rPr>
          <m:t>)(</m:t>
        </m:r>
        <m:r>
          <w:rPr>
            <w:rFonts w:ascii="Cambria Math" w:hAnsi="Cambria Math"/>
            <w:sz w:val="20"/>
            <w:szCs w:val="20"/>
          </w:rPr>
          <m:t>dT</m:t>
        </m:r>
        <m:r>
          <w:rPr>
            <w:rFonts w:ascii="Cambria Math" w:hAnsi="Book Antiqua"/>
            <w:sz w:val="20"/>
            <w:szCs w:val="20"/>
          </w:rPr>
          <m:t>/</m:t>
        </m:r>
        <m:r>
          <w:rPr>
            <w:rFonts w:ascii="Cambria Math" w:hAnsi="Cambria Math"/>
            <w:sz w:val="20"/>
            <w:szCs w:val="20"/>
          </w:rPr>
          <m:t>dr</m:t>
        </m:r>
        <m:r>
          <w:rPr>
            <w:rFonts w:ascii="Cambria Math" w:hAnsi="Book Antiqua"/>
            <w:sz w:val="20"/>
            <w:szCs w:val="20"/>
          </w:rPr>
          <m:t>)</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(12)</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In (12), the term </w:t>
      </w:r>
      <m:oMath>
        <m:r>
          <w:rPr>
            <w:rStyle w:val="Emphasis"/>
            <w:rFonts w:ascii="Book Antiqua" w:hAnsi="Book Antiqua"/>
            <w:sz w:val="20"/>
            <w:szCs w:val="20"/>
          </w:rPr>
          <m:t>К'</m:t>
        </m:r>
        <m:r>
          <w:rPr>
            <w:rStyle w:val="Emphasis"/>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Κ</m:t>
            </m:r>
          </m:e>
          <m:sub>
            <m:r>
              <w:rPr>
                <w:rStyle w:val="Emphasis"/>
                <w:rFonts w:ascii="Cambria Math" w:hAnsi="Cambria Math"/>
                <w:sz w:val="20"/>
                <w:szCs w:val="20"/>
              </w:rPr>
              <m:t>A</m:t>
            </m:r>
          </m:sub>
        </m:sSub>
        <m:sSub>
          <m:sSubPr>
            <m:ctrlPr>
              <w:rPr>
                <w:rStyle w:val="style51"/>
                <w:rFonts w:ascii="Cambria Math" w:hAnsi="Book Antiqua"/>
                <w:sz w:val="20"/>
                <w:szCs w:val="20"/>
              </w:rPr>
            </m:ctrlPr>
          </m:sSubPr>
          <m:e>
            <m:r>
              <m:rPr>
                <m:sty m:val="p"/>
              </m:rPr>
              <w:rPr>
                <w:rStyle w:val="style51"/>
                <w:rFonts w:ascii="Book Antiqua" w:hAnsi="Book Antiqua"/>
                <w:sz w:val="20"/>
                <w:szCs w:val="20"/>
              </w:rPr>
              <m:t>ρ</m:t>
            </m:r>
          </m:e>
          <m:sub>
            <m:r>
              <m:rPr>
                <m:sty m:val="p"/>
              </m:rPr>
              <w:rPr>
                <w:rStyle w:val="style51"/>
                <w:rFonts w:ascii="Cambria Math" w:hAnsi="Book Antiqua"/>
                <w:sz w:val="20"/>
                <w:szCs w:val="20"/>
              </w:rPr>
              <m:t>m</m:t>
            </m:r>
          </m:sub>
        </m:sSub>
      </m:oMath>
      <w:r w:rsidRPr="00C07D41">
        <w:rPr>
          <w:rFonts w:ascii="Book Antiqua" w:hAnsi="Book Antiqua"/>
          <w:sz w:val="20"/>
          <w:szCs w:val="20"/>
        </w:rPr>
        <w:t xml:space="preserve"> agrees with Harwit, so the two formulae are basically the same. In view of (11), equations (10) and (12) both contain all the factors involved for photon emission when a variable ZPE is considered:  the opacity, the mass density of atomic particles, and the speed of light which reflects faster burning rate. Thus the luminosity equation, which is really the photon emission rate, at temperature </w:t>
      </w:r>
      <m:oMath>
        <m:r>
          <w:rPr>
            <w:rStyle w:val="Emphasis"/>
            <w:rFonts w:ascii="Cambria Math" w:hAnsi="Cambria Math"/>
            <w:sz w:val="20"/>
            <w:szCs w:val="20"/>
          </w:rPr>
          <m:t>T</m:t>
        </m:r>
        <m:r>
          <m:rPr>
            <m:sty m:val="p"/>
          </m:rPr>
          <w:rPr>
            <w:rFonts w:ascii="Cambria Math" w:hAnsi="Book Antiqua"/>
            <w:sz w:val="20"/>
            <w:szCs w:val="20"/>
          </w:rPr>
          <m:t xml:space="preserve"> </m:t>
        </m:r>
      </m:oMath>
      <w:r w:rsidRPr="00C07D41">
        <w:rPr>
          <w:rFonts w:ascii="Book Antiqua" w:hAnsi="Book Antiqua"/>
          <w:sz w:val="20"/>
          <w:szCs w:val="20"/>
        </w:rPr>
        <w:t>gives us</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4</m:t>
        </m:r>
        <m:r>
          <w:rPr>
            <w:rFonts w:ascii="Cambria Math" w:hAnsi="Cambria Math"/>
            <w:sz w:val="20"/>
            <w:szCs w:val="20"/>
          </w:rPr>
          <m:t>π</m:t>
        </m:r>
        <m:sSup>
          <m:sSupPr>
            <m:ctrlPr>
              <w:rPr>
                <w:rFonts w:ascii="Cambria Math" w:hAnsi="Book Antiqua"/>
                <w:i/>
                <w:sz w:val="20"/>
                <w:szCs w:val="20"/>
              </w:rPr>
            </m:ctrlPr>
          </m:sSupPr>
          <m:e>
            <m:r>
              <w:rPr>
                <w:rFonts w:ascii="Cambria Math" w:hAnsi="Cambria Math"/>
                <w:sz w:val="20"/>
                <w:szCs w:val="20"/>
              </w:rPr>
              <m:t>r</m:t>
            </m:r>
          </m:e>
          <m:sup>
            <m:r>
              <w:rPr>
                <w:rFonts w:ascii="Cambria Math" w:hAnsi="Book Antiqua"/>
                <w:sz w:val="20"/>
                <w:szCs w:val="20"/>
              </w:rPr>
              <m:t>2</m:t>
            </m:r>
          </m:sup>
        </m:sSup>
        <m:r>
          <w:rPr>
            <w:rStyle w:val="style21"/>
            <w:rFonts w:ascii="Cambria Math" w:hAnsi="Cambria Math"/>
            <w:sz w:val="20"/>
            <w:szCs w:val="20"/>
          </w:rPr>
          <m:t>τ</m:t>
        </m:r>
        <m:d>
          <m:dPr>
            <m:ctrlPr>
              <w:rPr>
                <w:rFonts w:ascii="Cambria Math" w:hAnsi="Book Antiqua"/>
                <w:i/>
                <w:sz w:val="20"/>
                <w:szCs w:val="20"/>
              </w:rPr>
            </m:ctrlPr>
          </m:dPr>
          <m:e>
            <m:f>
              <m:fPr>
                <m:ctrlPr>
                  <w:rPr>
                    <w:rFonts w:ascii="Cambria Math" w:hAnsi="Book Antiqua"/>
                    <w:i/>
                    <w:sz w:val="20"/>
                    <w:szCs w:val="20"/>
                  </w:rPr>
                </m:ctrlPr>
              </m:fPr>
              <m:num>
                <m:r>
                  <w:rPr>
                    <w:rFonts w:ascii="Cambria Math" w:hAnsi="Book Antiqua"/>
                    <w:sz w:val="20"/>
                    <w:szCs w:val="20"/>
                  </w:rPr>
                  <m:t>4</m:t>
                </m:r>
                <m:r>
                  <w:rPr>
                    <w:rFonts w:ascii="Cambria Math" w:hAnsi="Cambria Math"/>
                    <w:sz w:val="20"/>
                    <w:szCs w:val="20"/>
                  </w:rPr>
                  <m:t>ac</m:t>
                </m:r>
              </m:num>
              <m:den>
                <m:r>
                  <w:rPr>
                    <w:rFonts w:ascii="Cambria Math" w:hAnsi="Book Antiqua"/>
                    <w:sz w:val="20"/>
                    <w:szCs w:val="20"/>
                  </w:rPr>
                  <m:t>3</m:t>
                </m:r>
              </m:den>
            </m:f>
          </m:e>
        </m:d>
        <m:d>
          <m:dPr>
            <m:ctrlPr>
              <w:rPr>
                <w:rFonts w:ascii="Cambria Math" w:hAnsi="Book Antiqua"/>
                <w:i/>
                <w:sz w:val="20"/>
                <w:szCs w:val="20"/>
              </w:rPr>
            </m:ctrlPr>
          </m:dPr>
          <m:e>
            <m:f>
              <m:fPr>
                <m:ctrlPr>
                  <w:rPr>
                    <w:rFonts w:ascii="Cambria Math" w:hAnsi="Book Antiqua"/>
                    <w:i/>
                    <w:sz w:val="20"/>
                    <w:szCs w:val="20"/>
                  </w:rPr>
                </m:ctrlPr>
              </m:fPr>
              <m:num>
                <m:sSup>
                  <m:sSupPr>
                    <m:ctrlPr>
                      <w:rPr>
                        <w:rFonts w:ascii="Cambria Math" w:hAnsi="Book Antiqua"/>
                        <w:i/>
                        <w:sz w:val="20"/>
                        <w:szCs w:val="20"/>
                      </w:rPr>
                    </m:ctrlPr>
                  </m:sSupPr>
                  <m:e>
                    <m:r>
                      <w:rPr>
                        <w:rFonts w:ascii="Cambria Math" w:hAnsi="Cambria Math"/>
                        <w:sz w:val="20"/>
                        <w:szCs w:val="20"/>
                      </w:rPr>
                      <m:t>T</m:t>
                    </m:r>
                  </m:e>
                  <m:sup>
                    <m:r>
                      <w:rPr>
                        <w:rFonts w:ascii="Cambria Math" w:hAnsi="Book Antiqua"/>
                        <w:sz w:val="20"/>
                        <w:szCs w:val="20"/>
                      </w:rPr>
                      <m:t>3</m:t>
                    </m:r>
                  </m:sup>
                </m:sSup>
              </m:num>
              <m:den>
                <m:sSub>
                  <m:sSubPr>
                    <m:ctrlPr>
                      <w:rPr>
                        <w:rFonts w:ascii="Cambria Math" w:hAnsi="Book Antiqua"/>
                        <w:i/>
                        <w:sz w:val="20"/>
                        <w:szCs w:val="20"/>
                      </w:rPr>
                    </m:ctrlPr>
                  </m:sSubPr>
                  <m:e>
                    <m:r>
                      <w:rPr>
                        <w:rFonts w:ascii="Cambria Math" w:hAnsi="Cambria Math"/>
                        <w:sz w:val="20"/>
                        <w:szCs w:val="20"/>
                      </w:rPr>
                      <m:t>Κ</m:t>
                    </m:r>
                  </m:e>
                  <m:sub>
                    <m:r>
                      <w:rPr>
                        <w:rFonts w:ascii="Cambria Math" w:hAnsi="Cambria Math"/>
                        <w:sz w:val="20"/>
                        <w:szCs w:val="20"/>
                      </w:rPr>
                      <m:t>A</m:t>
                    </m:r>
                  </m:sub>
                </m:sSub>
                <m:sSub>
                  <m:sSubPr>
                    <m:ctrlPr>
                      <w:rPr>
                        <w:rStyle w:val="style21"/>
                        <w:rFonts w:ascii="Cambria Math" w:hAnsi="Book Antiqua"/>
                        <w:i/>
                        <w:sz w:val="20"/>
                        <w:szCs w:val="20"/>
                      </w:rPr>
                    </m:ctrlPr>
                  </m:sSubPr>
                  <m:e>
                    <m:r>
                      <w:rPr>
                        <w:rStyle w:val="style21"/>
                        <w:rFonts w:ascii="Cambria Math" w:hAnsi="Cambria Math"/>
                        <w:sz w:val="20"/>
                        <w:szCs w:val="20"/>
                      </w:rPr>
                      <m:t>ρ</m:t>
                    </m:r>
                  </m:e>
                  <m:sub>
                    <m:r>
                      <w:rPr>
                        <w:rStyle w:val="style21"/>
                        <w:rFonts w:ascii="Cambria Math" w:hAnsi="Cambria Math"/>
                        <w:sz w:val="20"/>
                        <w:szCs w:val="20"/>
                      </w:rPr>
                      <m:t>m</m:t>
                    </m:r>
                  </m:sub>
                </m:sSub>
              </m:den>
            </m:f>
          </m:e>
        </m:d>
        <m:d>
          <m:dPr>
            <m:ctrlPr>
              <w:rPr>
                <w:rFonts w:ascii="Cambria Math" w:hAnsi="Book Antiqua"/>
                <w:i/>
                <w:sz w:val="20"/>
                <w:szCs w:val="20"/>
              </w:rPr>
            </m:ctrlPr>
          </m:dPr>
          <m:e>
            <m:f>
              <m:fPr>
                <m:ctrlPr>
                  <w:rPr>
                    <w:rFonts w:ascii="Cambria Math" w:hAnsi="Book Antiqua"/>
                    <w:i/>
                    <w:sz w:val="20"/>
                    <w:szCs w:val="20"/>
                  </w:rPr>
                </m:ctrlPr>
              </m:fPr>
              <m:num>
                <m:r>
                  <w:rPr>
                    <w:rFonts w:ascii="Cambria Math" w:hAnsi="Cambria Math"/>
                    <w:sz w:val="20"/>
                    <w:szCs w:val="20"/>
                  </w:rPr>
                  <m:t>dT</m:t>
                </m:r>
              </m:num>
              <m:den>
                <m:r>
                  <w:rPr>
                    <w:rFonts w:ascii="Cambria Math" w:hAnsi="Cambria Math"/>
                    <w:sz w:val="20"/>
                    <w:szCs w:val="20"/>
                  </w:rPr>
                  <m:t>dr</m:t>
                </m:r>
              </m:den>
            </m:f>
          </m:e>
        </m:d>
        <m:r>
          <w:rPr>
            <w:rFonts w:ascii="Cambria Math" w:hAnsi="Book Antiqua"/>
            <w:sz w:val="20"/>
            <w:szCs w:val="20"/>
          </w:rPr>
          <m:t xml:space="preserve">~ </m:t>
        </m:r>
        <m:r>
          <w:rPr>
            <w:rFonts w:ascii="Cambria Math" w:hAnsi="Cambria Math"/>
            <w:sz w:val="20"/>
            <w:szCs w:val="20"/>
          </w:rPr>
          <m:t>c</m:t>
        </m:r>
        <m:r>
          <w:rPr>
            <w:rFonts w:ascii="Cambria Math" w:hAnsi="Book Antiqua"/>
            <w:sz w:val="20"/>
            <w:szCs w:val="20"/>
          </w:rPr>
          <m:t xml:space="preserve"> ~</m:t>
        </m:r>
        <m:f>
          <m:fPr>
            <m:ctrlPr>
              <w:rPr>
                <w:rFonts w:ascii="Cambria Math" w:hAnsi="Book Antiqua"/>
                <w:i/>
                <w:sz w:val="20"/>
                <w:szCs w:val="20"/>
              </w:rPr>
            </m:ctrlPr>
          </m:fPr>
          <m:num>
            <m:r>
              <w:rPr>
                <w:rFonts w:ascii="Cambria Math" w:hAnsi="Book Antiqua"/>
                <w:sz w:val="20"/>
                <w:szCs w:val="20"/>
              </w:rPr>
              <m:t>1</m:t>
            </m:r>
          </m:num>
          <m:den>
            <m:r>
              <w:rPr>
                <w:rFonts w:ascii="Cambria Math" w:hAnsi="Cambria Math"/>
                <w:sz w:val="20"/>
                <w:szCs w:val="20"/>
              </w:rPr>
              <m:t>U</m:t>
            </m:r>
          </m:den>
        </m:f>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 xml:space="preserve"> </w:t>
      </w:r>
      <w:r w:rsidR="00C80BD4" w:rsidRPr="00C07D41">
        <w:rPr>
          <w:rFonts w:ascii="Book Antiqua" w:hAnsi="Book Antiqua"/>
          <w:sz w:val="20"/>
          <w:szCs w:val="20"/>
        </w:rPr>
        <w:tab/>
      </w:r>
      <w:r w:rsidR="00C80BD4" w:rsidRPr="00C07D41">
        <w:rPr>
          <w:rFonts w:ascii="Book Antiqua" w:hAnsi="Book Antiqua"/>
          <w:i/>
          <w:sz w:val="20"/>
          <w:szCs w:val="20"/>
        </w:rPr>
        <w:t>(13)</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 xml:space="preserve">This means stellar photon emission rates are inversely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U</m:t>
        </m:r>
      </m:oMath>
      <w:r w:rsidRPr="00C07D41">
        <w:rPr>
          <w:rFonts w:ascii="Book Antiqua" w:hAnsi="Book Antiqua"/>
          <w:sz w:val="20"/>
          <w:szCs w:val="20"/>
        </w:rPr>
        <w:t xml:space="preserve">. But (3) shows another factor is operating since the energy density of all electromagnetic radiation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quite apart from any redshifting process. The energy density of each photon is thus intrinsically lower,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xml:space="preserve">, when the ZPE strength is lower. The final result, then, is that the overall radiation intensity itself, </w:t>
      </w:r>
      <w:r w:rsidRPr="00C07D41">
        <w:rPr>
          <w:rStyle w:val="Emphasis"/>
          <w:rFonts w:ascii="Book Antiqua" w:hAnsi="Book Antiqua"/>
          <w:sz w:val="20"/>
          <w:szCs w:val="20"/>
        </w:rPr>
        <w:t>I</w:t>
      </w:r>
      <w:r w:rsidRPr="00C07D41">
        <w:rPr>
          <w:rFonts w:ascii="Book Antiqua" w:hAnsi="Book Antiqua"/>
          <w:sz w:val="20"/>
          <w:szCs w:val="20"/>
        </w:rPr>
        <w:t>, from a star is unaffected by changes in the ZPE. This is because the increased production rate of electromagnetic waves (or photons) given by (13) is counterbalanced by the fact that each wave (or photon) has a lower energy density given by (3). Since it can be shown that a star’s actual luminosity is proportional to its radiative intensity, we can write the conclusion that the star’s total intensity is such that</w:t>
      </w:r>
    </w:p>
    <w:p w:rsidR="00C80BD4" w:rsidRPr="00C07D41" w:rsidRDefault="00C80BD4" w:rsidP="00C80BD4">
      <w:pPr>
        <w:pStyle w:val="NormalWeb"/>
        <w:jc w:val="right"/>
        <w:rPr>
          <w:rFonts w:ascii="Book Antiqua" w:hAnsi="Book Antiqua"/>
          <w:i/>
          <w:sz w:val="20"/>
          <w:szCs w:val="20"/>
        </w:rPr>
      </w:pPr>
      <m:oMath>
        <m:r>
          <w:rPr>
            <w:rFonts w:ascii="Cambria Math" w:hAnsi="Cambria Math"/>
            <w:sz w:val="20"/>
            <w:szCs w:val="20"/>
          </w:rPr>
          <m:t>I</m:t>
        </m:r>
        <m:r>
          <w:rPr>
            <w:rFonts w:ascii="Cambria Math" w:hAnsi="Book Antiqua"/>
            <w:sz w:val="20"/>
            <w:szCs w:val="20"/>
          </w:rPr>
          <m:t xml:space="preserve"> ~ </m:t>
        </m:r>
        <m:sSub>
          <m:sSubPr>
            <m:ctrlPr>
              <w:rPr>
                <w:rFonts w:ascii="Cambria Math" w:hAnsi="Book Antiqua"/>
                <w:i/>
                <w:sz w:val="20"/>
                <w:szCs w:val="20"/>
              </w:rPr>
            </m:ctrlPr>
          </m:sSubPr>
          <m:e>
            <m:r>
              <w:rPr>
                <w:rFonts w:ascii="Cambria Math" w:hAnsi="Cambria Math"/>
                <w:sz w:val="20"/>
                <w:szCs w:val="20"/>
              </w:rPr>
              <m:t>L</m:t>
            </m:r>
          </m:e>
          <m:sub>
            <m:r>
              <w:rPr>
                <w:rFonts w:ascii="Cambria Math" w:hAnsi="Cambria Math"/>
                <w:sz w:val="20"/>
                <w:szCs w:val="20"/>
              </w:rPr>
              <m:t>s</m:t>
            </m:r>
          </m:sub>
        </m:sSub>
        <m:r>
          <w:rPr>
            <w:rStyle w:val="style21"/>
            <w:rFonts w:ascii="Cambria Math" w:hAnsi="Cambria Math"/>
            <w:sz w:val="20"/>
            <w:szCs w:val="20"/>
          </w:rPr>
          <m:t>ρ</m:t>
        </m:r>
        <m:r>
          <w:rPr>
            <w:rFonts w:ascii="Cambria Math" w:hAnsi="Book Antiqua"/>
            <w:sz w:val="20"/>
            <w:szCs w:val="20"/>
          </w:rPr>
          <m:t xml:space="preserve"> ~ </m:t>
        </m:r>
        <m:r>
          <w:rPr>
            <w:rFonts w:ascii="Cambria Math" w:hAnsi="Cambria Math"/>
            <w:sz w:val="20"/>
            <w:szCs w:val="20"/>
          </w:rPr>
          <m:t>c</m:t>
        </m:r>
        <m:r>
          <w:rPr>
            <w:rStyle w:val="style21"/>
            <w:rFonts w:ascii="Cambria Math" w:hAnsi="Cambria Math"/>
            <w:sz w:val="20"/>
            <w:szCs w:val="20"/>
          </w:rPr>
          <m:t>ρ</m:t>
        </m:r>
        <m:r>
          <w:rPr>
            <w:rStyle w:val="style21"/>
            <w:rFonts w:ascii="Cambria Math" w:hAnsi="Book Antiqua"/>
            <w:sz w:val="20"/>
            <w:szCs w:val="20"/>
          </w:rPr>
          <m:t xml:space="preserve"> ~ </m:t>
        </m:r>
        <m:r>
          <w:rPr>
            <w:rStyle w:val="style21"/>
            <w:rFonts w:ascii="Cambria Math" w:hAnsi="Cambria Math"/>
            <w:sz w:val="20"/>
            <w:szCs w:val="20"/>
          </w:rPr>
          <m:t>c</m:t>
        </m:r>
        <m:r>
          <w:rPr>
            <w:rStyle w:val="style21"/>
            <w:rFonts w:ascii="Cambria Math" w:hAnsi="Book Antiqua"/>
            <w:sz w:val="20"/>
            <w:szCs w:val="20"/>
          </w:rPr>
          <m:t>(1/</m:t>
        </m:r>
        <m:r>
          <w:rPr>
            <w:rStyle w:val="style21"/>
            <w:rFonts w:ascii="Cambria Math" w:hAnsi="Cambria Math"/>
            <w:sz w:val="20"/>
            <w:szCs w:val="20"/>
          </w:rPr>
          <m:t>c</m:t>
        </m:r>
        <m:r>
          <w:rPr>
            <w:rStyle w:val="style21"/>
            <w:rFonts w:ascii="Cambria Math" w:hAnsi="Book Antiqua"/>
            <w:sz w:val="20"/>
            <w:szCs w:val="20"/>
          </w:rPr>
          <m:t>)</m:t>
        </m:r>
        <m:r>
          <w:rPr>
            <w:rFonts w:ascii="Cambria Math" w:hAnsi="Book Antiqua"/>
            <w:sz w:val="20"/>
            <w:szCs w:val="20"/>
          </w:rPr>
          <m:t xml:space="preserve"> = </m:t>
        </m:r>
        <m:r>
          <w:rPr>
            <w:rFonts w:ascii="Cambria Math" w:hAnsi="Cambria Math"/>
            <w:sz w:val="20"/>
            <w:szCs w:val="20"/>
          </w:rPr>
          <m:t>constant</m:t>
        </m:r>
      </m:oMath>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 xml:space="preserve"> (14)</w:t>
      </w:r>
    </w:p>
    <w:p w:rsidR="00C80BD4" w:rsidRPr="00C07D41" w:rsidRDefault="00C80BD4" w:rsidP="00C80BD4">
      <w:pPr>
        <w:pStyle w:val="NormalWeb"/>
        <w:jc w:val="both"/>
        <w:rPr>
          <w:rFonts w:ascii="Book Antiqua" w:hAnsi="Book Antiqua"/>
          <w:i/>
          <w:sz w:val="20"/>
          <w:szCs w:val="20"/>
        </w:rPr>
      </w:pPr>
      <w:r w:rsidRPr="00C07D41">
        <w:rPr>
          <w:rFonts w:ascii="Book Antiqua" w:hAnsi="Book Antiqua"/>
          <w:i/>
          <w:sz w:val="20"/>
          <w:szCs w:val="20"/>
        </w:rPr>
        <w:t>2.2 The Plasma - Electric Approach</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This plasma model, as pointed out in Chapter 6, explains that there were intrinsically stronger currents in earlier epochs of the Universe. This has implications for other aspects of cosmology. For our purposes here we simply note that stronger currents result, as well as higher voltage or potential, since voltage</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V</m:t>
        </m:r>
        <m:r>
          <w:rPr>
            <w:rStyle w:val="Emphasis"/>
            <w:rFonts w:ascii="Cambria Math" w:hAnsi="Book Antiqua"/>
            <w:sz w:val="20"/>
            <w:szCs w:val="20"/>
          </w:rPr>
          <m:t xml:space="preserve"> = </m:t>
        </m:r>
        <m:r>
          <w:rPr>
            <w:rStyle w:val="Emphasis"/>
            <w:rFonts w:ascii="Cambria Math" w:hAnsi="Cambria Math"/>
            <w:sz w:val="20"/>
            <w:szCs w:val="20"/>
          </w:rPr>
          <m:t>IR</m:t>
        </m:r>
      </m:oMath>
      <w:r w:rsidRPr="00C07D41">
        <w:rPr>
          <w:rFonts w:ascii="Book Antiqua" w:hAnsi="Book Antiqua"/>
          <w:sz w:val="20"/>
          <w:szCs w:val="20"/>
        </w:rPr>
        <w:t xml:space="preserve">, where </w:t>
      </w:r>
      <m:oMath>
        <m:r>
          <w:rPr>
            <w:rStyle w:val="Emphasis"/>
            <w:rFonts w:ascii="Cambria Math" w:hAnsi="Cambria Math"/>
            <w:sz w:val="20"/>
            <w:szCs w:val="20"/>
          </w:rPr>
          <m:t>R</m:t>
        </m:r>
      </m:oMath>
      <w:r w:rsidRPr="00C07D41">
        <w:rPr>
          <w:rFonts w:ascii="Book Antiqua" w:hAnsi="Book Antiqua"/>
          <w:sz w:val="20"/>
          <w:szCs w:val="20"/>
        </w:rPr>
        <w:t xml:space="preserve"> is resistance and </w:t>
      </w:r>
      <m:oMath>
        <m:r>
          <w:rPr>
            <w:rStyle w:val="Emphasis"/>
            <w:rFonts w:ascii="Cambria Math" w:hAnsi="Cambria Math"/>
            <w:sz w:val="20"/>
            <w:szCs w:val="20"/>
          </w:rPr>
          <m:t>I</m:t>
        </m:r>
      </m:oMath>
      <w:r w:rsidRPr="00C07D41">
        <w:rPr>
          <w:rFonts w:ascii="Book Antiqua" w:hAnsi="Book Antiqua"/>
          <w:sz w:val="20"/>
          <w:szCs w:val="20"/>
        </w:rPr>
        <w:t xml:space="preserve"> is the electric current. Since it has been established that </w:t>
      </w:r>
      <m:oMath>
        <m:r>
          <w:rPr>
            <w:rStyle w:val="Emphasis"/>
            <w:rFonts w:ascii="Cambria Math" w:hAnsi="Cambria Math"/>
            <w:sz w:val="20"/>
            <w:szCs w:val="20"/>
          </w:rPr>
          <m:t>R</m:t>
        </m:r>
      </m:oMath>
      <w:r w:rsidRPr="00C07D41">
        <w:rPr>
          <w:rFonts w:ascii="Book Antiqua" w:hAnsi="Book Antiqua"/>
          <w:sz w:val="20"/>
          <w:szCs w:val="20"/>
        </w:rPr>
        <w:t xml:space="preserve"> is unchanged with changing ZPE strengths, it then follows that </w:t>
      </w:r>
      <m:oMath>
        <m:r>
          <w:rPr>
            <w:rStyle w:val="Emphasis"/>
            <w:rFonts w:ascii="Cambria Math" w:hAnsi="Cambria Math"/>
            <w:sz w:val="20"/>
            <w:szCs w:val="20"/>
          </w:rPr>
          <m:t>V</m:t>
        </m:r>
        <m:r>
          <m:rPr>
            <m:sty m:val="p"/>
          </m:rPr>
          <w:rPr>
            <w:rFonts w:ascii="Cambria Math" w:hAnsi="Book Antiqua"/>
            <w:sz w:val="20"/>
            <w:szCs w:val="20"/>
          </w:rPr>
          <m:t xml:space="preserve"> </m:t>
        </m:r>
      </m:oMath>
      <w:r w:rsidRPr="00C07D41">
        <w:rPr>
          <w:rFonts w:ascii="Book Antiqua" w:hAnsi="Book Antiqua"/>
          <w:sz w:val="20"/>
          <w:szCs w:val="20"/>
        </w:rPr>
        <w:t xml:space="preserve">is proportional </w:t>
      </w:r>
      <w:proofErr w:type="gramStart"/>
      <w:r w:rsidRPr="00C07D41">
        <w:rPr>
          <w:rFonts w:ascii="Book Antiqua" w:hAnsi="Book Antiqua"/>
          <w:sz w:val="20"/>
          <w:szCs w:val="20"/>
        </w:rPr>
        <w:t xml:space="preserve">to </w:t>
      </w:r>
      <m:oMath>
        <w:proofErr w:type="gramEnd"/>
        <m:r>
          <w:rPr>
            <w:rStyle w:val="Emphasis"/>
            <w:rFonts w:ascii="Cambria Math" w:hAnsi="Cambria Math"/>
            <w:sz w:val="20"/>
            <w:szCs w:val="20"/>
          </w:rPr>
          <m:t>I</m:t>
        </m:r>
      </m:oMath>
      <w:r w:rsidRPr="00C07D41">
        <w:rPr>
          <w:rFonts w:ascii="Book Antiqua" w:hAnsi="Book Antiqua"/>
          <w:sz w:val="20"/>
          <w:szCs w:val="20"/>
        </w:rPr>
        <w:t xml:space="preserve">. But since </w:t>
      </w:r>
      <m:oMath>
        <m:r>
          <w:rPr>
            <w:rStyle w:val="Emphasis"/>
            <w:rFonts w:ascii="Cambria Math" w:hAnsi="Cambria Math"/>
            <w:sz w:val="20"/>
            <w:szCs w:val="20"/>
          </w:rPr>
          <m:t>I</m:t>
        </m:r>
      </m:oMath>
      <w:r w:rsidRPr="00C07D41">
        <w:rPr>
          <w:rFonts w:ascii="Book Antiqua" w:hAnsi="Book Antiqua"/>
          <w:sz w:val="20"/>
          <w:szCs w:val="20"/>
        </w:rPr>
        <w:t xml:space="preserve"> is proportional </w:t>
      </w:r>
      <w:proofErr w:type="gramStart"/>
      <w:r w:rsidRPr="00C07D41">
        <w:rPr>
          <w:rFonts w:ascii="Book Antiqua" w:hAnsi="Book Antiqua"/>
          <w:sz w:val="20"/>
          <w:szCs w:val="20"/>
        </w:rPr>
        <w:t xml:space="preserve">to </w:t>
      </w:r>
      <m:oMath>
        <w:proofErr w:type="gramEnd"/>
        <m:r>
          <w:rPr>
            <w:rStyle w:val="Emphasis"/>
            <w:rFonts w:ascii="Book Antiqua" w:hAnsi="Book Antiqua"/>
            <w:sz w:val="20"/>
            <w:szCs w:val="20"/>
          </w:rPr>
          <m:t>√</m:t>
        </m:r>
        <m:r>
          <w:rPr>
            <w:rStyle w:val="Emphasis"/>
            <w:rFonts w:ascii="Cambria Math" w:hAnsi="Book Antiqua"/>
            <w:sz w:val="20"/>
            <w:szCs w:val="20"/>
          </w:rPr>
          <m:t>(1/</m:t>
        </m:r>
        <m:r>
          <w:rPr>
            <w:rStyle w:val="Emphasis"/>
            <w:rFonts w:ascii="Cambria Math" w:hAnsi="Cambria Math"/>
            <w:sz w:val="20"/>
            <w:szCs w:val="20"/>
          </w:rPr>
          <m:t>U</m:t>
        </m:r>
        <m:r>
          <w:rPr>
            <w:rStyle w:val="Emphasis"/>
            <w:rFonts w:ascii="Cambria Math" w:hAnsi="Book Antiqua"/>
            <w:sz w:val="20"/>
            <w:szCs w:val="20"/>
          </w:rPr>
          <m:t>)</m:t>
        </m:r>
      </m:oMath>
      <w:r w:rsidRPr="00C07D41">
        <w:rPr>
          <w:rFonts w:ascii="Book Antiqua" w:hAnsi="Book Antiqua"/>
          <w:sz w:val="20"/>
          <w:szCs w:val="20"/>
        </w:rPr>
        <w:t xml:space="preserve">, or the </w:t>
      </w:r>
      <m:oMath>
        <m:r>
          <w:rPr>
            <w:rFonts w:ascii="Book Antiqua" w:hAnsi="Book Antiqua"/>
            <w:sz w:val="20"/>
            <w:szCs w:val="20"/>
          </w:rPr>
          <m:t>√</m:t>
        </m:r>
        <m:r>
          <w:rPr>
            <w:rStyle w:val="Emphasis"/>
            <w:rFonts w:ascii="Cambria Math" w:hAnsi="Cambria Math"/>
            <w:sz w:val="20"/>
            <w:szCs w:val="20"/>
          </w:rPr>
          <m:t>c</m:t>
        </m:r>
      </m:oMath>
      <w:r w:rsidRPr="00C07D41">
        <w:rPr>
          <w:rFonts w:ascii="Book Antiqua" w:hAnsi="Book Antiqua"/>
          <w:sz w:val="20"/>
          <w:szCs w:val="20"/>
        </w:rPr>
        <w:t xml:space="preserve">, so too is </w:t>
      </w:r>
      <m:oMath>
        <m:r>
          <w:rPr>
            <w:rFonts w:ascii="Cambria Math" w:hAnsi="Cambria Math"/>
            <w:sz w:val="20"/>
            <w:szCs w:val="20"/>
          </w:rPr>
          <m:t>V</m:t>
        </m:r>
      </m:oMath>
      <w:r w:rsidRPr="00C07D41">
        <w:rPr>
          <w:rFonts w:ascii="Book Antiqua" w:hAnsi="Book Antiqua"/>
          <w:sz w:val="20"/>
          <w:szCs w:val="20"/>
        </w:rPr>
        <w:t>. In addition, since power</w:t>
      </w:r>
      <w:proofErr w:type="gramStart"/>
      <w:r w:rsidRPr="00C07D41">
        <w:rPr>
          <w:rFonts w:ascii="Book Antiqua" w:hAnsi="Book Antiqua"/>
          <w:sz w:val="20"/>
          <w:szCs w:val="20"/>
        </w:rPr>
        <w:t xml:space="preserve">, </w:t>
      </w:r>
      <m:oMath>
        <w:proofErr w:type="gramEnd"/>
        <m:r>
          <w:rPr>
            <w:rStyle w:val="Emphasis"/>
            <w:rFonts w:ascii="Cambria Math" w:hAnsi="Cambria Math"/>
            <w:sz w:val="20"/>
            <w:szCs w:val="20"/>
          </w:rPr>
          <m:t>P</m:t>
        </m:r>
      </m:oMath>
      <w:r w:rsidRPr="00C07D41">
        <w:rPr>
          <w:rFonts w:ascii="Book Antiqua" w:hAnsi="Book Antiqua"/>
          <w:sz w:val="20"/>
          <w:szCs w:val="20"/>
        </w:rPr>
        <w:t xml:space="preserve">, in an electrical circuit is given by the relation </w:t>
      </w:r>
      <m:oMath>
        <m:r>
          <w:rPr>
            <w:rStyle w:val="Emphasis"/>
            <w:rFonts w:ascii="Cambria Math" w:hAnsi="Cambria Math"/>
            <w:sz w:val="20"/>
            <w:szCs w:val="20"/>
          </w:rPr>
          <m:t>P</m:t>
        </m:r>
        <m:r>
          <w:rPr>
            <w:rStyle w:val="Emphasis"/>
            <w:rFonts w:ascii="Cambria Math" w:hAnsi="Book Antiqua"/>
            <w:sz w:val="20"/>
            <w:szCs w:val="20"/>
          </w:rPr>
          <m:t xml:space="preserve"> = </m:t>
        </m:r>
        <m:r>
          <w:rPr>
            <w:rStyle w:val="Emphasis"/>
            <w:rFonts w:ascii="Cambria Math" w:hAnsi="Cambria Math"/>
            <w:sz w:val="20"/>
            <w:szCs w:val="20"/>
          </w:rPr>
          <m:t>IV</m:t>
        </m:r>
      </m:oMath>
      <w:r w:rsidRPr="00C07D41">
        <w:rPr>
          <w:rFonts w:ascii="Book Antiqua" w:hAnsi="Book Antiqua"/>
          <w:sz w:val="20"/>
          <w:szCs w:val="20"/>
        </w:rPr>
        <w:t xml:space="preserve">, it necessarily follows that this power must be proportional to </w:t>
      </w:r>
      <m:oMath>
        <m:r>
          <w:rPr>
            <w:rStyle w:val="Emphasis"/>
            <w:rFonts w:ascii="Cambria Math" w:hAnsi="Book Antiqua"/>
            <w:sz w:val="20"/>
            <w:szCs w:val="20"/>
          </w:rPr>
          <m:t>1/</m:t>
        </m:r>
        <m:r>
          <w:rPr>
            <w:rStyle w:val="Emphasis"/>
            <w:rFonts w:ascii="Cambria Math" w:hAnsi="Cambria Math"/>
            <w:sz w:val="20"/>
            <w:szCs w:val="20"/>
          </w:rPr>
          <m:t>U</m:t>
        </m:r>
      </m:oMath>
      <w:r w:rsidRPr="00C07D41">
        <w:rPr>
          <w:rFonts w:ascii="Book Antiqua" w:hAnsi="Book Antiqua"/>
          <w:sz w:val="20"/>
          <w:szCs w:val="20"/>
        </w:rPr>
        <w:t xml:space="preserve"> or </w:t>
      </w:r>
      <m:oMath>
        <m:r>
          <w:rPr>
            <w:rStyle w:val="Emphasis"/>
            <w:rFonts w:ascii="Cambria Math" w:hAnsi="Cambria Math"/>
            <w:sz w:val="20"/>
            <w:szCs w:val="20"/>
          </w:rPr>
          <m:t>c</m:t>
        </m:r>
      </m:oMath>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If the plasma model for stars </w:t>
      </w:r>
      <w:r w:rsidRPr="00FF68D6">
        <w:rPr>
          <w:rFonts w:ascii="Book Antiqua" w:hAnsi="Book Antiqua"/>
          <w:sz w:val="20"/>
          <w:szCs w:val="20"/>
        </w:rPr>
        <w:t>is followed</w:t>
      </w:r>
      <w:r>
        <w:rPr>
          <w:rFonts w:ascii="Book Antiqua" w:hAnsi="Book Antiqua"/>
          <w:sz w:val="20"/>
          <w:szCs w:val="20"/>
        </w:rPr>
        <w:t xml:space="preserve">, as described by Scott in </w:t>
      </w:r>
      <w:r w:rsidRPr="00FF68D6">
        <w:rPr>
          <w:rFonts w:ascii="Book Antiqua" w:hAnsi="Book Antiqua"/>
          <w:i/>
          <w:sz w:val="20"/>
          <w:szCs w:val="20"/>
        </w:rPr>
        <w:t>The Electric Sky</w:t>
      </w:r>
      <w:r w:rsidRPr="00C07D41">
        <w:rPr>
          <w:rFonts w:ascii="Book Antiqua" w:hAnsi="Book Antiqua"/>
          <w:i/>
          <w:sz w:val="16"/>
          <w:szCs w:val="16"/>
        </w:rPr>
        <w:t xml:space="preserve"> </w:t>
      </w:r>
      <w:r w:rsidRPr="00FF68D6">
        <w:rPr>
          <w:rFonts w:ascii="Book Antiqua" w:hAnsi="Book Antiqua"/>
          <w:sz w:val="20"/>
          <w:szCs w:val="20"/>
        </w:rPr>
        <w:t xml:space="preserve"> </w:t>
      </w:r>
      <w:hyperlink r:id="rId1257" w:anchor="6a224" w:history="1">
        <w:r w:rsidRPr="00FF68D6">
          <w:rPr>
            <w:rStyle w:val="Hyperlink"/>
            <w:rFonts w:ascii="Book Antiqua" w:hAnsi="Book Antiqua"/>
            <w:sz w:val="20"/>
            <w:szCs w:val="20"/>
          </w:rPr>
          <w:t>[19]</w:t>
        </w:r>
      </w:hyperlink>
      <w:r w:rsidRPr="00C07D41">
        <w:rPr>
          <w:rFonts w:ascii="Book Antiqua" w:hAnsi="Book Antiqua"/>
          <w:sz w:val="20"/>
          <w:szCs w:val="20"/>
        </w:rPr>
        <w:t xml:space="preserve">, then for a Birkeland current, </w:t>
      </w:r>
      <m:oMath>
        <m:r>
          <w:rPr>
            <w:rStyle w:val="Emphasis"/>
            <w:rFonts w:ascii="Cambria Math" w:hAnsi="Cambria Math"/>
            <w:sz w:val="20"/>
            <w:szCs w:val="20"/>
          </w:rPr>
          <m:t>I</m:t>
        </m:r>
      </m:oMath>
      <w:r w:rsidRPr="00C07D41">
        <w:rPr>
          <w:rStyle w:val="Emphasis"/>
          <w:rFonts w:ascii="Book Antiqua" w:hAnsi="Book Antiqua"/>
          <w:sz w:val="20"/>
          <w:szCs w:val="20"/>
        </w:rPr>
        <w:t>,</w:t>
      </w:r>
      <w:r w:rsidRPr="00C07D41">
        <w:rPr>
          <w:rFonts w:ascii="Book Antiqua" w:hAnsi="Book Antiqua"/>
          <w:sz w:val="20"/>
          <w:szCs w:val="20"/>
        </w:rPr>
        <w:t xml:space="preserve"> and potential difference, </w:t>
      </w:r>
      <m:oMath>
        <m:r>
          <w:rPr>
            <w:rStyle w:val="Emphasis"/>
            <w:rFonts w:ascii="Cambria Math" w:hAnsi="Cambria Math"/>
            <w:sz w:val="20"/>
            <w:szCs w:val="20"/>
          </w:rPr>
          <m:t>V</m:t>
        </m:r>
      </m:oMath>
      <w:r w:rsidRPr="00C07D41">
        <w:rPr>
          <w:rFonts w:ascii="Book Antiqua" w:hAnsi="Book Antiqua"/>
          <w:sz w:val="20"/>
          <w:szCs w:val="20"/>
        </w:rPr>
        <w:t xml:space="preserve">, the power output, </w:t>
      </w:r>
      <m:oMath>
        <m:r>
          <w:rPr>
            <w:rStyle w:val="Emphasis"/>
            <w:rFonts w:ascii="Cambria Math" w:hAnsi="Cambria Math"/>
            <w:sz w:val="20"/>
            <w:szCs w:val="20"/>
          </w:rPr>
          <m:t>P</m:t>
        </m:r>
      </m:oMath>
      <w:r w:rsidRPr="00C07D41">
        <w:rPr>
          <w:rFonts w:ascii="Book Antiqua" w:hAnsi="Book Antiqua"/>
          <w:sz w:val="20"/>
          <w:szCs w:val="20"/>
        </w:rPr>
        <w:t xml:space="preserve">, is proportional to </w:t>
      </w:r>
      <m:oMath>
        <m:r>
          <w:rPr>
            <w:rStyle w:val="Emphasis"/>
            <w:rFonts w:ascii="Cambria Math" w:hAnsi="Cambria Math"/>
            <w:sz w:val="20"/>
            <w:szCs w:val="20"/>
          </w:rPr>
          <m:t>c</m:t>
        </m:r>
      </m:oMath>
      <w:r w:rsidRPr="00C07D41">
        <w:rPr>
          <w:rFonts w:ascii="Book Antiqua" w:hAnsi="Book Antiqua"/>
          <w:sz w:val="20"/>
          <w:szCs w:val="20"/>
        </w:rPr>
        <w:t>. This is the same result as that obtained in the thermonuclear case. Equation (3) points out that the energy density of all radiation</w:t>
      </w:r>
      <w:proofErr w:type="gramStart"/>
      <w:r w:rsidRPr="00C07D41">
        <w:rPr>
          <w:rFonts w:ascii="Book Antiqua" w:hAnsi="Book Antiqua"/>
          <w:sz w:val="20"/>
          <w:szCs w:val="20"/>
        </w:rPr>
        <w:t xml:space="preserve">, </w:t>
      </w:r>
      <m:oMath>
        <w:proofErr w:type="gramEnd"/>
        <m:r>
          <w:rPr>
            <w:rFonts w:ascii="Cambria Math" w:hAnsi="Cambria Math"/>
            <w:sz w:val="20"/>
            <w:szCs w:val="20"/>
          </w:rPr>
          <m:t>ρ</m:t>
        </m:r>
      </m:oMath>
      <w:r w:rsidRPr="00C07D41">
        <w:rPr>
          <w:rFonts w:ascii="Book Antiqua" w:hAnsi="Book Antiqua"/>
          <w:sz w:val="20"/>
          <w:szCs w:val="20"/>
        </w:rPr>
        <w:t xml:space="preserve">, is proportional to </w:t>
      </w:r>
      <m:oMath>
        <m:r>
          <w:rPr>
            <w:rStyle w:val="Emphasis"/>
            <w:rFonts w:ascii="Cambria Math" w:hAnsi="Book Antiqua"/>
            <w:sz w:val="20"/>
            <w:szCs w:val="20"/>
          </w:rPr>
          <m:t>1/</m:t>
        </m:r>
        <m:r>
          <w:rPr>
            <w:rStyle w:val="Emphasis"/>
            <w:rFonts w:ascii="Cambria Math" w:hAnsi="Cambria Math"/>
            <w:sz w:val="20"/>
            <w:szCs w:val="20"/>
          </w:rPr>
          <m:t>c</m:t>
        </m:r>
      </m:oMath>
      <w:r w:rsidRPr="00C07D41">
        <w:rPr>
          <w:rFonts w:ascii="Book Antiqua" w:hAnsi="Book Antiqua"/>
          <w:sz w:val="20"/>
          <w:szCs w:val="20"/>
        </w:rPr>
        <w:t>. This remains true. Equation (14) also remains true regarding radiation intensities (and hence stellar luminosities), since they are given by the quantity ρ</w:t>
      </w:r>
      <w:r w:rsidRPr="00C07D41">
        <w:rPr>
          <w:rStyle w:val="Emphasis"/>
          <w:rFonts w:ascii="Book Antiqua" w:hAnsi="Book Antiqua"/>
          <w:sz w:val="20"/>
          <w:szCs w:val="20"/>
        </w:rPr>
        <w:t>c</w:t>
      </w:r>
      <w:r w:rsidRPr="00C07D41">
        <w:rPr>
          <w:rFonts w:ascii="Book Antiqua" w:hAnsi="Book Antiqua"/>
          <w:sz w:val="20"/>
          <w:szCs w:val="20"/>
        </w:rPr>
        <w:t xml:space="preserve"> [</w:t>
      </w:r>
      <w:hyperlink r:id="rId1258" w:anchor="6a148" w:history="1">
        <w:r w:rsidRPr="00C07D41">
          <w:rPr>
            <w:rStyle w:val="Hyperlink"/>
            <w:rFonts w:ascii="Book Antiqua" w:hAnsi="Book Antiqua"/>
            <w:sz w:val="20"/>
            <w:szCs w:val="20"/>
          </w:rPr>
          <w:t>1-3</w:t>
        </w:r>
      </w:hyperlink>
      <w:r w:rsidRPr="00C07D41">
        <w:rPr>
          <w:rFonts w:ascii="Book Antiqua" w:hAnsi="Book Antiqua"/>
          <w:sz w:val="20"/>
          <w:szCs w:val="20"/>
        </w:rPr>
        <w:t xml:space="preserve">]. Since </w:t>
      </w:r>
      <m:oMath>
        <m:r>
          <w:rPr>
            <w:rStyle w:val="Emphasis"/>
            <w:rFonts w:ascii="Cambria Math" w:hAnsi="Cambria Math"/>
            <w:sz w:val="20"/>
            <w:szCs w:val="20"/>
          </w:rPr>
          <m:t>ρc</m:t>
        </m:r>
      </m:oMath>
      <w:r w:rsidRPr="00C07D41">
        <w:rPr>
          <w:rFonts w:ascii="Book Antiqua" w:hAnsi="Book Antiqua"/>
          <w:sz w:val="20"/>
          <w:szCs w:val="20"/>
        </w:rPr>
        <w:t xml:space="preserve"> is constant for changing ZPE strength in both models, stellar luminosities must also be constant for both models, given these conditions. Thus the only two models which have been proposed for a star’s light output, the thermonuclear and the plasma approach, both give the same result. </w:t>
      </w:r>
      <w:r>
        <w:rPr>
          <w:rFonts w:ascii="Book Antiqua" w:hAnsi="Book Antiqua"/>
          <w:sz w:val="20"/>
          <w:szCs w:val="20"/>
        </w:rPr>
        <w:t>Two</w:t>
      </w:r>
      <w:r w:rsidRPr="00C07D41">
        <w:rPr>
          <w:rFonts w:ascii="Book Antiqua" w:hAnsi="Book Antiqua"/>
          <w:sz w:val="20"/>
          <w:szCs w:val="20"/>
        </w:rPr>
        <w:t xml:space="preserve"> example</w:t>
      </w:r>
      <w:r>
        <w:rPr>
          <w:rFonts w:ascii="Book Antiqua" w:hAnsi="Book Antiqua"/>
          <w:sz w:val="20"/>
          <w:szCs w:val="20"/>
        </w:rPr>
        <w:t>s</w:t>
      </w:r>
      <w:r w:rsidRPr="00C07D41">
        <w:rPr>
          <w:rFonts w:ascii="Book Antiqua" w:hAnsi="Book Antiqua"/>
          <w:sz w:val="20"/>
          <w:szCs w:val="20"/>
        </w:rPr>
        <w:t xml:space="preserve"> of what these principles mean in practice is given by a consideration of Cepheid variables and their observation in distant galaxies, and a discussion about supernova 1987A</w:t>
      </w:r>
      <w:r>
        <w:rPr>
          <w:rFonts w:ascii="Book Antiqua" w:hAnsi="Book Antiqua"/>
          <w:sz w:val="20"/>
          <w:szCs w:val="20"/>
        </w:rPr>
        <w:t>.</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B3.   Cepheid Variables</w:t>
      </w:r>
      <w:bookmarkStart w:id="221" w:name="cepheid"/>
      <w:bookmarkEnd w:id="221"/>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The layer just under the surface of Cepheid variable stars pulsates in and out like clockwork, and their brightness pulsates inversely with the same period. The more massive the Cepheid, the brighter it shines, and the slower its pulsation rate. This means that there is a direct link between a Cepheid’s period and its intrinsic luminosity.  When the typical light curve of a Cepheid (rapid rise, slow decline – see Figure 1) is seen in a distant galaxy, that Cepheid can then be used as a distance indicator for that galaxy.  </w:t>
      </w:r>
    </w:p>
    <w:p w:rsidR="00C80BD4"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Given the observed period, the intrinsic luminosity is known, and, when compared with the observed luminosity, the distance is deduced from the inverse square law </w:t>
      </w:r>
      <w:hyperlink r:id="rId1259" w:anchor="2a166" w:history="1">
        <w:r w:rsidRPr="00C07D41">
          <w:rPr>
            <w:rStyle w:val="Hyperlink"/>
            <w:rFonts w:ascii="Book Antiqua" w:hAnsi="Book Antiqua"/>
            <w:sz w:val="20"/>
            <w:szCs w:val="20"/>
          </w:rPr>
          <w:t>[20]</w:t>
        </w:r>
      </w:hyperlink>
      <w:r w:rsidRPr="00C07D41">
        <w:rPr>
          <w:rFonts w:ascii="Book Antiqua" w:hAnsi="Book Antiqua"/>
          <w:sz w:val="20"/>
          <w:szCs w:val="20"/>
        </w:rPr>
        <w:t>. If there has been a change in the ZPE and the speed of light, what would be the effect on the observed luminosity and the pulsation rate? Let us compare our observations of a distant Cepheid with one near us.</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b/>
          <w:sz w:val="20"/>
          <w:szCs w:val="20"/>
        </w:rPr>
        <w:t>The Luminosity</w:t>
      </w:r>
      <w:r w:rsidRPr="00C07D41">
        <w:rPr>
          <w:rFonts w:ascii="Book Antiqua" w:hAnsi="Book Antiqua"/>
          <w:sz w:val="20"/>
          <w:szCs w:val="20"/>
        </w:rPr>
        <w:t xml:space="preserve">:  Equation (13) shows that the number of waves, or photons emitted per unit time, from each Cepheid is proportional to </w:t>
      </w:r>
      <w:r w:rsidRPr="00C07D41">
        <w:rPr>
          <w:rStyle w:val="Emphasis"/>
          <w:rFonts w:ascii="Book Antiqua" w:hAnsi="Book Antiqua"/>
          <w:sz w:val="20"/>
          <w:szCs w:val="20"/>
        </w:rPr>
        <w:t>c</w:t>
      </w:r>
      <w:r w:rsidRPr="00C07D41">
        <w:rPr>
          <w:rFonts w:ascii="Book Antiqua" w:hAnsi="Book Antiqua"/>
          <w:sz w:val="20"/>
          <w:szCs w:val="20"/>
        </w:rPr>
        <w:t>. For any planets around the distant Cepheid, (3) coupled with (13) and (14) ensures the intensity of the radiation remains fixed with time as the ZPE varies</w:t>
      </w:r>
      <w:r>
        <w:rPr>
          <w:rFonts w:ascii="Book Antiqua" w:hAnsi="Book Antiqua"/>
          <w:sz w:val="20"/>
          <w:szCs w:val="20"/>
        </w:rPr>
        <w:t>.</w:t>
      </w:r>
    </w:p>
    <w:p w:rsidR="00C80BD4" w:rsidRPr="00C07D41" w:rsidRDefault="00C80BD4" w:rsidP="00C80BD4">
      <w:pPr>
        <w:pStyle w:val="NormalWeb"/>
        <w:rPr>
          <w:rFonts w:ascii="Book Antiqua" w:hAnsi="Book Antiqua"/>
          <w:sz w:val="20"/>
          <w:szCs w:val="20"/>
        </w:rPr>
      </w:pPr>
    </w:p>
    <w:p w:rsidR="00C80BD4" w:rsidRDefault="00C80BD4" w:rsidP="00C80BD4">
      <w:pPr>
        <w:pStyle w:val="NormalWeb"/>
        <w:jc w:val="center"/>
        <w:rPr>
          <w:rFonts w:ascii="Book Antiqua" w:hAnsi="Book Antiqua"/>
          <w:sz w:val="18"/>
          <w:szCs w:val="18"/>
        </w:rPr>
      </w:pPr>
      <w:r w:rsidRPr="002E54B6">
        <w:rPr>
          <w:rFonts w:ascii="Book Antiqua" w:hAnsi="Book Antiqua"/>
          <w:noProof/>
          <w:sz w:val="18"/>
          <w:szCs w:val="18"/>
        </w:rPr>
        <w:lastRenderedPageBreak/>
        <w:drawing>
          <wp:inline distT="0" distB="0" distL="0" distR="0">
            <wp:extent cx="4795703" cy="2497311"/>
            <wp:effectExtent l="19050" t="0" r="4897" b="0"/>
            <wp:docPr id="22" name="il_fi" descr="http://www.physics.hku.hk/~nature/CD/regular_e/lectures/images/chap13/variab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hysics.hku.hk/~nature/CD/regular_e/lectures/images/chap13/variable.gif"/>
                    <pic:cNvPicPr>
                      <a:picLocks noChangeAspect="1" noChangeArrowheads="1"/>
                    </pic:cNvPicPr>
                  </pic:nvPicPr>
                  <pic:blipFill>
                    <a:blip r:embed="rId1260" cstate="print"/>
                    <a:srcRect/>
                    <a:stretch>
                      <a:fillRect/>
                    </a:stretch>
                  </pic:blipFill>
                  <pic:spPr bwMode="auto">
                    <a:xfrm>
                      <a:off x="0" y="0"/>
                      <a:ext cx="4820254" cy="2510096"/>
                    </a:xfrm>
                    <a:prstGeom prst="rect">
                      <a:avLst/>
                    </a:prstGeom>
                    <a:noFill/>
                    <a:ln w="9525">
                      <a:noFill/>
                      <a:miter lim="800000"/>
                      <a:headEnd/>
                      <a:tailEnd/>
                    </a:ln>
                  </pic:spPr>
                </pic:pic>
              </a:graphicData>
            </a:graphic>
          </wp:inline>
        </w:drawing>
      </w:r>
    </w:p>
    <w:p w:rsidR="00C80BD4" w:rsidRDefault="00C80BD4" w:rsidP="00C80BD4">
      <w:pPr>
        <w:pStyle w:val="NormalWeb"/>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The variation in brightness (vertically) with time (horizontally) of two Cepheid variable stars. The top star is brighter but has a longer pulsation period than the bottom star. In both the rise time is shorter than the decline. This is often called a “shark-fin” curve.</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But when we observe the stream of waves or photons from that distant Cepheid, the reception rate is lower than the emission rate. Thus, if the speed of light was 10 times its current value at the time of emission, then the reception rate for the waves or photons now is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that. This reception rate is in exact accord with our local Cepheid, since its wave or photon emission rate has also dropped as the speed of light has dropped. Since ε and μ have also increased by a factor of 10 while the waves were in transit, the energy density of those waves at reception is now 10 times that at emission. Thus, as equation (14) shows, the observed luminosity of distant Cepheids is the same as for those nearby, apart from any dimming due to distance.</w:t>
      </w:r>
    </w:p>
    <w:p w:rsidR="00C80BD4" w:rsidRPr="00C07D41" w:rsidRDefault="00C80BD4" w:rsidP="00C80BD4">
      <w:pPr>
        <w:pStyle w:val="NormalWeb"/>
        <w:jc w:val="center"/>
        <w:rPr>
          <w:rFonts w:ascii="Book Antiqua" w:hAnsi="Book Antiqua"/>
          <w:sz w:val="20"/>
          <w:szCs w:val="20"/>
        </w:rPr>
      </w:pPr>
      <w:r w:rsidRPr="00C07D41">
        <w:rPr>
          <w:rFonts w:ascii="Book Antiqua" w:hAnsi="Book Antiqua"/>
          <w:noProof/>
          <w:sz w:val="20"/>
          <w:szCs w:val="20"/>
        </w:rPr>
        <w:drawing>
          <wp:inline distT="0" distB="0" distL="0" distR="0">
            <wp:extent cx="3961279" cy="2355399"/>
            <wp:effectExtent l="19050" t="0" r="1121" b="0"/>
            <wp:docPr id="772" name="il_fi" descr="http://www.astro.ljmu.ac.uk/courses/phys134/pic/dist/cep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ljmu.ac.uk/courses/phys134/pic/dist/cepheid.jpg"/>
                    <pic:cNvPicPr>
                      <a:picLocks noChangeAspect="1" noChangeArrowheads="1"/>
                    </pic:cNvPicPr>
                  </pic:nvPicPr>
                  <pic:blipFill>
                    <a:blip r:embed="rId1261" cstate="print"/>
                    <a:srcRect t="2819" r="1226" b="49087"/>
                    <a:stretch>
                      <a:fillRect/>
                    </a:stretch>
                  </pic:blipFill>
                  <pic:spPr bwMode="auto">
                    <a:xfrm>
                      <a:off x="0" y="0"/>
                      <a:ext cx="3966609" cy="2358568"/>
                    </a:xfrm>
                    <a:prstGeom prst="rect">
                      <a:avLst/>
                    </a:prstGeom>
                    <a:noFill/>
                    <a:ln w="9525">
                      <a:noFill/>
                      <a:miter lim="800000"/>
                      <a:headEnd/>
                      <a:tailEnd/>
                    </a:ln>
                  </pic:spPr>
                </pic:pic>
              </a:graphicData>
            </a:graphic>
          </wp:inline>
        </w:drawing>
      </w:r>
    </w:p>
    <w:p w:rsidR="00C80BD4" w:rsidRPr="0092452E" w:rsidRDefault="00C80BD4" w:rsidP="00C80BD4">
      <w:pPr>
        <w:pStyle w:val="NormalWeb"/>
        <w:rPr>
          <w:rFonts w:ascii="Book Antiqua" w:hAnsi="Book Antiqua"/>
          <w:i/>
          <w:sz w:val="18"/>
          <w:szCs w:val="18"/>
        </w:rPr>
      </w:pPr>
      <w:r w:rsidRPr="0092452E">
        <w:rPr>
          <w:rFonts w:ascii="Book Antiqua" w:hAnsi="Book Antiqua"/>
          <w:b/>
          <w:i/>
          <w:sz w:val="18"/>
          <w:szCs w:val="18"/>
        </w:rPr>
        <w:t>Figure 2:</w:t>
      </w:r>
      <w:r w:rsidRPr="0092452E">
        <w:rPr>
          <w:rFonts w:ascii="Book Antiqua" w:hAnsi="Book Antiqua"/>
          <w:i/>
          <w:sz w:val="18"/>
          <w:szCs w:val="18"/>
        </w:rPr>
        <w:t xml:space="preserve"> A Cepheid variable star actually pulsates inwards and outwards and its size changes. As its size changes, the color of the star changes as the amount of radiation it is emitting varies. The figure shows the variation in color and size of an individual Cepheid variable star over one cycle of its brightness or luminosity. These stars are named after their type star, Delta Cephei, whose changes can be seen with the naked eye.</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b/>
          <w:sz w:val="20"/>
          <w:szCs w:val="20"/>
        </w:rPr>
        <w:lastRenderedPageBreak/>
        <w:t>The Pulsation Rate</w:t>
      </w:r>
      <w:r w:rsidRPr="00C07D41">
        <w:rPr>
          <w:rFonts w:ascii="Book Antiqua" w:hAnsi="Book Antiqua"/>
          <w:sz w:val="20"/>
          <w:szCs w:val="20"/>
        </w:rPr>
        <w:t xml:space="preserve">:  To explain the pulsation process, Eddington suggested a </w:t>
      </w:r>
      <w:r w:rsidRPr="00C07D41">
        <w:rPr>
          <w:rFonts w:ascii="Book Antiqua" w:hAnsi="Book Antiqua"/>
          <w:i/>
          <w:sz w:val="20"/>
          <w:szCs w:val="20"/>
        </w:rPr>
        <w:t>‘valve mechanism.</w:t>
      </w:r>
      <w:r w:rsidRPr="00C07D41">
        <w:rPr>
          <w:rFonts w:ascii="Book Antiqua" w:hAnsi="Book Antiqua"/>
          <w:sz w:val="20"/>
          <w:szCs w:val="20"/>
        </w:rPr>
        <w:t xml:space="preserve">’ If a specific layer of a star near the surface became more opaque upon compression, it would block the energy flowing towards the surface and push the surface layers upwards. Then, as this expanding layer became more transparent, trapped radiation would escape and the layer would collapse back down to begin the cycle again. He said </w:t>
      </w:r>
      <w:r w:rsidRPr="00C07D41">
        <w:rPr>
          <w:rStyle w:val="Emphasis"/>
          <w:rFonts w:ascii="Book Antiqua" w:hAnsi="Book Antiqua"/>
          <w:sz w:val="20"/>
          <w:szCs w:val="20"/>
        </w:rPr>
        <w:t xml:space="preserve">“To apply this method we must make the star more heat-tight when compressed than when expanded; in other words, the opacity must increase with compression.” </w:t>
      </w:r>
      <w:hyperlink r:id="rId1262"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The difficulty is that in most regions of a star, the opacity </w:t>
      </w:r>
      <w:r w:rsidRPr="00C07D41">
        <w:rPr>
          <w:rStyle w:val="Emphasis"/>
          <w:rFonts w:ascii="Book Antiqua" w:hAnsi="Book Antiqua"/>
          <w:sz w:val="20"/>
          <w:szCs w:val="20"/>
        </w:rPr>
        <w:t xml:space="preserve">decreases </w:t>
      </w:r>
      <w:r w:rsidRPr="00C07D41">
        <w:rPr>
          <w:rFonts w:ascii="Book Antiqua" w:hAnsi="Book Antiqua"/>
          <w:sz w:val="20"/>
          <w:szCs w:val="20"/>
        </w:rPr>
        <w:t xml:space="preserve">with compression rather than increases.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However, it was found that some stars’ have a partial ionization zone near the surface. When this is present, Eddington’s valve mechanism does operate. There, compression and rarefaction store and extract energy through ionization. As this layer compresses, its density and opacity increase and heat is absorbed. Then, as the layer expands the density and opacity decrease, so heat is released. In this way the opacity of the partial ionization zone modulates the flow of energy through that zone and is the direct cause of stellar pulsations </w:t>
      </w:r>
      <w:hyperlink r:id="rId1263" w:anchor="2a167" w:history="1">
        <w:r w:rsidRPr="00C07D41">
          <w:rPr>
            <w:rStyle w:val="Hyperlink"/>
            <w:rFonts w:ascii="Book Antiqua" w:hAnsi="Book Antiqua"/>
            <w:sz w:val="20"/>
            <w:szCs w:val="20"/>
          </w:rPr>
          <w:t>[21]</w:t>
        </w:r>
      </w:hyperlink>
      <w:r w:rsidRPr="00C07D41">
        <w:rPr>
          <w:rFonts w:ascii="Book Antiqua" w:hAnsi="Book Antiqua"/>
          <w:sz w:val="20"/>
          <w:szCs w:val="20"/>
        </w:rPr>
        <w:t xml:space="preserve">.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The standard relationship has the pulsation period inversely proportional to the square root of the opacity</w:t>
      </w:r>
      <w:proofErr w:type="gramStart"/>
      <w:r w:rsidRPr="00C07D41">
        <w:rPr>
          <w:rFonts w:ascii="Book Antiqua" w:hAnsi="Book Antiqua"/>
          <w:sz w:val="20"/>
          <w:szCs w:val="20"/>
        </w:rPr>
        <w:t xml:space="preserve">, </w:t>
      </w:r>
      <m:oMath>
        <w:proofErr w:type="gramEnd"/>
        <m:r>
          <w:rPr>
            <w:rStyle w:val="Emphasis"/>
            <w:rFonts w:ascii="Book Antiqua" w:hAnsi="Book Antiqua"/>
            <w:sz w:val="20"/>
            <w:szCs w:val="20"/>
          </w:rPr>
          <m:t>К</m:t>
        </m:r>
      </m:oMath>
      <w:r w:rsidRPr="00C07D41">
        <w:rPr>
          <w:rFonts w:ascii="Book Antiqua" w:hAnsi="Book Antiqua"/>
          <w:sz w:val="20"/>
          <w:szCs w:val="20"/>
        </w:rPr>
        <w:t xml:space="preserve">, </w:t>
      </w:r>
      <w:hyperlink r:id="rId1264" w:anchor="2a168" w:history="1">
        <w:r w:rsidRPr="00C07D41">
          <w:rPr>
            <w:rStyle w:val="Hyperlink"/>
            <w:rFonts w:ascii="Book Antiqua" w:hAnsi="Book Antiqua"/>
            <w:sz w:val="20"/>
            <w:szCs w:val="20"/>
          </w:rPr>
          <w:t>[22]</w:t>
        </w:r>
      </w:hyperlink>
      <w:r w:rsidRPr="00C07D41">
        <w:rPr>
          <w:rFonts w:ascii="Book Antiqua" w:hAnsi="Book Antiqua"/>
          <w:sz w:val="20"/>
          <w:szCs w:val="20"/>
        </w:rPr>
        <w:t>. If the results of (8) are used, the stellar pulsation period at the point of emission</w:t>
      </w:r>
      <w:proofErr w:type="gramStart"/>
      <w:r w:rsidRPr="00C07D41">
        <w:rPr>
          <w:rFonts w:ascii="Book Antiqua" w:hAnsi="Book Antiqua"/>
          <w:sz w:val="20"/>
          <w:szCs w:val="20"/>
        </w:rPr>
        <w:t xml:space="preserve">, </w:t>
      </w:r>
      <m:oMath>
        <w:proofErr w:type="gramEnd"/>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oMath>
      <w:r w:rsidRPr="00C07D41">
        <w:rPr>
          <w:rFonts w:ascii="Book Antiqua" w:hAnsi="Book Antiqua"/>
          <w:sz w:val="20"/>
          <w:szCs w:val="20"/>
        </w:rPr>
        <w:t>, is given by</w:t>
      </w:r>
    </w:p>
    <w:p w:rsidR="00C80BD4" w:rsidRPr="00C07D41" w:rsidRDefault="007B3EBC" w:rsidP="00C80BD4">
      <w:pPr>
        <w:pStyle w:val="NormalWeb"/>
        <w:jc w:val="right"/>
        <w:rPr>
          <w:rFonts w:ascii="Book Antiqua" w:hAnsi="Book Antiqua"/>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e</m:t>
            </m:r>
          </m:sub>
        </m:sSub>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r>
          <w:rPr>
            <w:rFonts w:ascii="Book Antiqua" w:hAnsi="Book Antiqua"/>
            <w:sz w:val="20"/>
            <w:szCs w:val="20"/>
          </w:rPr>
          <m:t>К</m:t>
        </m:r>
        <m:r>
          <w:rPr>
            <w:rFonts w:ascii="Cambria Math" w:hAnsi="Book Antiqua"/>
            <w:sz w:val="20"/>
            <w:szCs w:val="20"/>
          </w:rPr>
          <m:t xml:space="preserve">) ~ </m:t>
        </m:r>
        <m:r>
          <w:rPr>
            <w:rFonts w:ascii="Book Antiqua" w:hAnsi="Book Antiqua"/>
            <w:sz w:val="20"/>
            <w:szCs w:val="20"/>
          </w:rPr>
          <m:t>√</m:t>
        </m:r>
        <m:r>
          <w:rPr>
            <w:rFonts w:ascii="Cambria Math" w:hAnsi="Book Antiqua"/>
            <w:sz w:val="20"/>
            <w:szCs w:val="20"/>
          </w:rPr>
          <m:t>(1/</m:t>
        </m:r>
        <m:sSup>
          <m:sSupPr>
            <m:ctrlPr>
              <w:rPr>
                <w:rFonts w:ascii="Cambria Math" w:hAnsi="Book Antiqua"/>
                <w:i/>
                <w:sz w:val="20"/>
                <w:szCs w:val="20"/>
              </w:rPr>
            </m:ctrlPr>
          </m:sSupPr>
          <m:e>
            <m:r>
              <w:rPr>
                <w:rFonts w:ascii="Cambria Math" w:hAnsi="Cambria Math"/>
                <w:sz w:val="20"/>
                <w:szCs w:val="20"/>
              </w:rPr>
              <m:t>c</m:t>
            </m:r>
          </m:e>
          <m:sup>
            <m:r>
              <w:rPr>
                <w:rFonts w:ascii="Cambria Math" w:hAnsi="Book Antiqua"/>
                <w:sz w:val="20"/>
                <w:szCs w:val="20"/>
              </w:rPr>
              <m:t>2</m:t>
            </m:r>
          </m:sup>
        </m:sSup>
        <m:r>
          <w:rPr>
            <w:rFonts w:ascii="Cambria Math" w:hAnsi="Book Antiqua"/>
            <w:sz w:val="20"/>
            <w:szCs w:val="20"/>
          </w:rPr>
          <m:t>) ~ 1/</m:t>
        </m:r>
        <m:r>
          <w:rPr>
            <w:rFonts w:ascii="Cambria Math" w:hAnsi="Cambria Math"/>
            <w:sz w:val="20"/>
            <w:szCs w:val="20"/>
          </w:rPr>
          <m:t>c</m:t>
        </m:r>
        <m:r>
          <w:rPr>
            <w:rFonts w:ascii="Cambria Math" w:hAnsi="Book Antiqua"/>
            <w:sz w:val="20"/>
            <w:szCs w:val="20"/>
          </w:rPr>
          <m:t xml:space="preserve"> ~ </m:t>
        </m:r>
        <m:r>
          <w:rPr>
            <w:rFonts w:ascii="Cambria Math" w:hAnsi="Cambria Math"/>
            <w:sz w:val="20"/>
            <w:szCs w:val="20"/>
          </w:rPr>
          <m:t>U</m:t>
        </m:r>
      </m:oMath>
      <w:r w:rsidR="00C80BD4" w:rsidRPr="00C07D41">
        <w:rPr>
          <w:rFonts w:ascii="Book Antiqua" w:hAnsi="Book Antiqua"/>
          <w:sz w:val="20"/>
          <w:szCs w:val="20"/>
        </w:rPr>
        <w:t xml:space="preserve"> </w:t>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t>(15)</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This means that Cepheid periods lengthen as the strength of the ZPE increases. </w:t>
      </w:r>
    </w:p>
    <w:p w:rsidR="00C80BD4" w:rsidRPr="00C07D41" w:rsidRDefault="00C80BD4" w:rsidP="00C80BD4">
      <w:pPr>
        <w:pStyle w:val="NormalWeb"/>
        <w:ind w:firstLine="720"/>
        <w:jc w:val="both"/>
        <w:rPr>
          <w:rFonts w:ascii="Book Antiqua" w:hAnsi="Book Antiqua"/>
          <w:sz w:val="20"/>
          <w:szCs w:val="20"/>
          <w:lang w:val="de-DE"/>
        </w:rPr>
      </w:pPr>
      <w:r w:rsidRPr="00C07D41">
        <w:rPr>
          <w:rFonts w:ascii="Book Antiqua" w:hAnsi="Book Antiqua"/>
          <w:sz w:val="20"/>
          <w:szCs w:val="20"/>
        </w:rPr>
        <w:t xml:space="preserve">In 2010, Eddington’s mechanism for Cepheid pulsations was verified. Observations of a Cepheid in a binary star system in the Large Magellanic Cloud, by the ESO La Silla Observatory in Chile, led to a news release which read in part:  </w:t>
      </w:r>
      <w:r w:rsidRPr="00C07D41">
        <w:rPr>
          <w:rFonts w:ascii="Book Antiqua" w:hAnsi="Book Antiqua"/>
          <w:i/>
          <w:sz w:val="20"/>
          <w:szCs w:val="20"/>
        </w:rPr>
        <w:t>“</w:t>
      </w:r>
      <w:r w:rsidRPr="00C07D41">
        <w:rPr>
          <w:rFonts w:ascii="Book Antiqua" w:hAnsi="Book Antiqua"/>
          <w:i/>
          <w:sz w:val="20"/>
          <w:szCs w:val="20"/>
          <w:lang w:val="de-DE"/>
        </w:rPr>
        <w:t xml:space="preserve">This very complete and detailed data allowed the observers to determine the orbital motion, sizes and masses of the two stars with very high accuracy — far surpassing what had been done before for a Cepheid. The mass of the Cepheid is now known to about 1% and agrees exactly with predictions from the theory of stellar pulsation. However, the larger mass predicted by stellar evolution theory was shown to be significantly in error.“ </w:t>
      </w:r>
      <w:r w:rsidRPr="00C07D41">
        <w:rPr>
          <w:rFonts w:ascii="Book Antiqua" w:hAnsi="Book Antiqua"/>
          <w:sz w:val="20"/>
          <w:szCs w:val="20"/>
          <w:lang w:val="de-DE"/>
        </w:rPr>
        <w:t>[23]. Thus the data agree with the proposed pulsation mechanism.  The data also demonstrate that it is the mass of the star which results in this mechanism. Thus the pulsation mechanism is verified.</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In addition, at the time of reception, the wave-train carrying the information from the distant star is traveling more slowly than at the moment of emission, yielding a ‘slow motion’ effect. So the star’s period of variation appears longer at reception than at emission by </w:t>
      </w:r>
      <m:oMath>
        <m:r>
          <w:rPr>
            <w:rStyle w:val="Emphasis"/>
            <w:rFonts w:ascii="Cambria Math" w:hAnsi="Cambria Math"/>
            <w:sz w:val="20"/>
            <w:szCs w:val="20"/>
          </w:rPr>
          <m:t>c</m:t>
        </m:r>
        <m:r>
          <w:rPr>
            <w:rStyle w:val="Emphasis"/>
            <w:rFonts w:ascii="Cambria Math" w:hAnsi="Book Antiqua"/>
            <w:sz w:val="20"/>
            <w:szCs w:val="20"/>
          </w:rPr>
          <m:t xml:space="preserve">, </m:t>
        </m:r>
      </m:oMath>
      <w:r w:rsidRPr="00C07D41">
        <w:rPr>
          <w:rStyle w:val="Emphasis"/>
          <w:rFonts w:ascii="Book Antiqua" w:hAnsi="Book Antiqua"/>
          <w:i w:val="0"/>
          <w:iCs w:val="0"/>
          <w:sz w:val="20"/>
          <w:szCs w:val="20"/>
        </w:rPr>
        <w:t xml:space="preserve"> which is, in effect, a lengthening factor. </w:t>
      </w:r>
      <w:r w:rsidRPr="00C07D41">
        <w:rPr>
          <w:rFonts w:ascii="Book Antiqua" w:hAnsi="Book Antiqua"/>
          <w:sz w:val="20"/>
          <w:szCs w:val="20"/>
        </w:rPr>
        <w:t xml:space="preserve">At the same time, its period will be the same as a local Cepheid, since the local Cepheid’s period of variation has increased in inverse proportion as </w:t>
      </w:r>
      <m:oMath>
        <m:r>
          <w:rPr>
            <w:rFonts w:ascii="Cambria Math" w:hAnsi="Cambria Math"/>
            <w:sz w:val="20"/>
            <w:szCs w:val="20"/>
          </w:rPr>
          <m:t>c</m:t>
        </m:r>
      </m:oMath>
      <w:r w:rsidRPr="00C07D41">
        <w:rPr>
          <w:rFonts w:ascii="Book Antiqua" w:hAnsi="Book Antiqua"/>
          <w:sz w:val="20"/>
          <w:szCs w:val="20"/>
        </w:rPr>
        <w:t xml:space="preserve"> has decreased. Therefore, the period of the Cepheid at reception</w:t>
      </w:r>
      <w:proofErr w:type="gramStart"/>
      <w:r w:rsidRPr="00C07D41">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r</m:t>
            </m:r>
          </m:sub>
        </m:sSub>
      </m:oMath>
      <w:r w:rsidRPr="00C07D41">
        <w:rPr>
          <w:rFonts w:ascii="Book Antiqua" w:hAnsi="Book Antiqua"/>
          <w:sz w:val="20"/>
          <w:szCs w:val="20"/>
        </w:rPr>
        <w:t xml:space="preserve">, will appear to be the period at emission,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t</m:t>
            </m:r>
          </m:e>
          <m:sub>
            <m:r>
              <w:rPr>
                <w:rStyle w:val="Emphasis"/>
                <w:rFonts w:ascii="Cambria Math" w:hAnsi="Cambria Math"/>
                <w:sz w:val="20"/>
                <w:szCs w:val="20"/>
              </w:rPr>
              <m:t>e</m:t>
            </m:r>
          </m:sub>
        </m:sSub>
      </m:oMath>
      <w:r w:rsidRPr="00C07D41">
        <w:rPr>
          <w:rFonts w:ascii="Book Antiqua" w:hAnsi="Book Antiqua"/>
          <w:sz w:val="20"/>
          <w:szCs w:val="20"/>
        </w:rPr>
        <w:t xml:space="preserve">, given in (15), multiplied by the lengthening factor, </w:t>
      </w:r>
      <m:oMath>
        <m:r>
          <w:rPr>
            <w:rStyle w:val="Emphasis"/>
            <w:rFonts w:ascii="Cambria Math" w:hAnsi="Cambria Math"/>
            <w:sz w:val="20"/>
            <w:szCs w:val="20"/>
          </w:rPr>
          <m:t>c</m:t>
        </m:r>
      </m:oMath>
      <w:r w:rsidRPr="00C07D41">
        <w:rPr>
          <w:rFonts w:ascii="Book Antiqua" w:hAnsi="Book Antiqua"/>
          <w:sz w:val="20"/>
          <w:szCs w:val="20"/>
        </w:rPr>
        <w:t xml:space="preserve">. So compared with our local Cepheid we have </w:t>
      </w:r>
    </w:p>
    <w:p w:rsidR="00C80BD4" w:rsidRPr="00C07D41" w:rsidRDefault="007B3EBC" w:rsidP="00C80BD4">
      <w:pPr>
        <w:pStyle w:val="NormalWeb"/>
        <w:jc w:val="right"/>
        <w:rPr>
          <w:rFonts w:ascii="Book Antiqua" w:hAnsi="Book Antiqua"/>
          <w:i/>
          <w:sz w:val="20"/>
          <w:szCs w:val="20"/>
        </w:rPr>
      </w:pPr>
      <m:oMath>
        <m:sSub>
          <m:sSubPr>
            <m:ctrlPr>
              <w:rPr>
                <w:rFonts w:ascii="Cambria Math" w:hAnsi="Book Antiqua"/>
                <w:i/>
                <w:sz w:val="20"/>
                <w:szCs w:val="20"/>
              </w:rPr>
            </m:ctrlPr>
          </m:sSubPr>
          <m:e>
            <m:r>
              <w:rPr>
                <w:rFonts w:ascii="Cambria Math" w:hAnsi="Cambria Math"/>
                <w:sz w:val="20"/>
                <w:szCs w:val="20"/>
              </w:rPr>
              <m:t>t</m:t>
            </m:r>
          </m:e>
          <m:sub>
            <m:r>
              <w:rPr>
                <w:rFonts w:ascii="Cambria Math" w:hAnsi="Cambria Math"/>
                <w:sz w:val="20"/>
                <w:szCs w:val="20"/>
              </w:rPr>
              <m:t>r</m:t>
            </m:r>
          </m:sub>
        </m:sSub>
        <m:r>
          <w:rPr>
            <w:rFonts w:ascii="Cambria Math" w:hAnsi="Book Antiqua"/>
            <w:sz w:val="20"/>
            <w:szCs w:val="20"/>
          </w:rPr>
          <m:t xml:space="preserve"> ~ (1/</m:t>
        </m:r>
        <m:r>
          <w:rPr>
            <w:rFonts w:ascii="Cambria Math" w:hAnsi="Cambria Math"/>
            <w:sz w:val="20"/>
            <w:szCs w:val="20"/>
          </w:rPr>
          <m:t>c</m:t>
        </m:r>
        <m:r>
          <w:rPr>
            <w:rFonts w:ascii="Cambria Math" w:hAnsi="Book Antiqua"/>
            <w:sz w:val="20"/>
            <w:szCs w:val="20"/>
          </w:rPr>
          <m:t>)(</m:t>
        </m:r>
        <m:r>
          <w:rPr>
            <w:rFonts w:ascii="Cambria Math" w:hAnsi="Cambria Math"/>
            <w:sz w:val="20"/>
            <w:szCs w:val="20"/>
          </w:rPr>
          <m:t>c</m:t>
        </m:r>
        <m:r>
          <w:rPr>
            <w:rFonts w:ascii="Cambria Math" w:hAnsi="Book Antiqua"/>
            <w:sz w:val="20"/>
            <w:szCs w:val="20"/>
          </w:rPr>
          <m:t xml:space="preserve">/1) = </m:t>
        </m:r>
        <m:r>
          <w:rPr>
            <w:rFonts w:ascii="Cambria Math" w:hAnsi="Cambria Math"/>
            <w:sz w:val="20"/>
            <w:szCs w:val="20"/>
          </w:rPr>
          <m:t>unc</m:t>
        </m:r>
        <m:r>
          <w:rPr>
            <w:rFonts w:ascii="Book Antiqua" w:hAnsi="Cambria Math"/>
            <w:sz w:val="20"/>
            <w:szCs w:val="20"/>
          </w:rPr>
          <m:t>h</m:t>
        </m:r>
        <m:r>
          <w:rPr>
            <w:rFonts w:ascii="Cambria Math" w:hAnsi="Cambria Math"/>
            <w:sz w:val="20"/>
            <w:szCs w:val="20"/>
          </w:rPr>
          <m:t>anged</m:t>
        </m:r>
        <m:r>
          <w:rPr>
            <w:rFonts w:ascii="Cambria Math" w:hAnsi="Book Antiqua"/>
            <w:sz w:val="20"/>
            <w:szCs w:val="20"/>
          </w:rPr>
          <m:t xml:space="preserve"> </m:t>
        </m:r>
      </m:oMath>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sz w:val="20"/>
          <w:szCs w:val="20"/>
        </w:rPr>
        <w:tab/>
      </w:r>
      <w:r w:rsidR="00C80BD4" w:rsidRPr="00C07D41">
        <w:rPr>
          <w:rFonts w:ascii="Book Antiqua" w:hAnsi="Book Antiqua"/>
          <w:i/>
          <w:sz w:val="20"/>
          <w:szCs w:val="20"/>
        </w:rPr>
        <w:t>(16)</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the period of the distant Cepheid will appear to be the same as that for our local Cepheid. The final result is that measurements of distance based on Cepheid variability will be unaffected by ZPE changes. </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B4.   Supernova 1987A</w:t>
      </w:r>
      <w:bookmarkStart w:id="222" w:name="supernova"/>
      <w:bookmarkEnd w:id="222"/>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It has been claimed that two features of supernova SN1987A in the Large Magellanic Cloud (LMC) disprove the idea that there have been any changes in either the ZPE or lightspeed. First was the measured exponential decay of the light intensity curve from the radioactive decay of cobalt 56. Second was the existence of enlarging rings of light from the explosion that illuminated distant sheets of gas and dust. Since both the distance to the LMC and the angular distance of the ring from the supernova are well-known, a simple calculation shows how long it takes light to get from the supernova to the sheets, and how long the peak intensity should take to pass.</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lastRenderedPageBreak/>
        <w:t>As confirmed in Chapter 6 above, radioactive decay rates were proportionally faster when lightspeed was higher and the ZPE energy density lower. This means that, when the explosion occurred, there was a shorter half-life for cobalt 56 than the light intensity curve reveals. For example, if</w:t>
      </w:r>
      <m:oMath>
        <m:r>
          <w:rPr>
            <w:rFonts w:ascii="Cambria Math" w:hAnsi="Book Antiqua"/>
            <w:sz w:val="20"/>
            <w:szCs w:val="20"/>
          </w:rPr>
          <m:t xml:space="preserve"> </m:t>
        </m:r>
        <m:r>
          <w:rPr>
            <w:rStyle w:val="Emphasis"/>
            <w:rFonts w:ascii="Cambria Math" w:hAnsi="Cambria Math"/>
            <w:sz w:val="20"/>
            <w:szCs w:val="20"/>
          </w:rPr>
          <m:t>c</m:t>
        </m:r>
      </m:oMath>
      <w:r w:rsidRPr="00C07D41">
        <w:rPr>
          <w:rFonts w:ascii="Book Antiqua" w:hAnsi="Book Antiqua"/>
          <w:sz w:val="20"/>
          <w:szCs w:val="20"/>
        </w:rPr>
        <w:t xml:space="preserve"> was 10 times its current value, the half-life would only be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what it is today, so the light intensity curve should decay in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it takes today. In a similar fashion, if </w:t>
      </w:r>
      <m:oMath>
        <m:r>
          <w:rPr>
            <w:rStyle w:val="Emphasis"/>
            <w:rFonts w:ascii="Cambria Math" w:hAnsi="Cambria Math"/>
            <w:sz w:val="20"/>
            <w:szCs w:val="20"/>
          </w:rPr>
          <m:t>c</m:t>
        </m:r>
      </m:oMath>
      <w:r w:rsidRPr="00C07D41">
        <w:rPr>
          <w:rFonts w:ascii="Book Antiqua" w:hAnsi="Book Antiqua"/>
          <w:sz w:val="20"/>
          <w:szCs w:val="20"/>
        </w:rPr>
        <w:t xml:space="preserve"> was 10 times greater at the supernova, the light should have illuminated the sheets and formed the rings in only </w:t>
      </w:r>
      <m:oMath>
        <m:f>
          <m:fPr>
            <m:ctrlPr>
              <w:rPr>
                <w:rFonts w:ascii="Cambria Math" w:hAnsi="Book Antiqua"/>
                <w:i/>
                <w:sz w:val="20"/>
                <w:szCs w:val="20"/>
              </w:rPr>
            </m:ctrlPr>
          </m:fPr>
          <m:num>
            <m:r>
              <w:rPr>
                <w:rFonts w:ascii="Cambria Math" w:hAnsi="Book Antiqua"/>
                <w:sz w:val="20"/>
                <w:szCs w:val="20"/>
              </w:rPr>
              <m:t>1</m:t>
            </m:r>
          </m:num>
          <m:den>
            <m:r>
              <w:rPr>
                <w:rFonts w:ascii="Cambria Math" w:hAnsi="Book Antiqua"/>
                <w:sz w:val="20"/>
                <w:szCs w:val="20"/>
              </w:rPr>
              <m:t>10</m:t>
            </m:r>
          </m:den>
        </m:f>
      </m:oMath>
      <w:r w:rsidRPr="00C07D41">
        <w:rPr>
          <w:rFonts w:ascii="Book Antiqua" w:hAnsi="Book Antiqua"/>
          <w:sz w:val="20"/>
          <w:szCs w:val="20"/>
        </w:rPr>
        <w:t xml:space="preserve"> of the time at today’s speed. Yet both the light intensity decay curve and the timing of the appearance of the rings are in accord with the speed of light today. </w:t>
      </w:r>
    </w:p>
    <w:p w:rsidR="00C80BD4" w:rsidRPr="00C07D41" w:rsidRDefault="00C80BD4" w:rsidP="00C80BD4">
      <w:pPr>
        <w:pStyle w:val="NormalWeb"/>
        <w:ind w:firstLine="720"/>
        <w:jc w:val="both"/>
        <w:rPr>
          <w:rFonts w:ascii="Book Antiqua" w:hAnsi="Book Antiqua"/>
          <w:sz w:val="20"/>
          <w:szCs w:val="20"/>
        </w:rPr>
      </w:pPr>
      <w:r w:rsidRPr="00C07D41">
        <w:rPr>
          <w:rFonts w:ascii="Book Antiqua" w:hAnsi="Book Antiqua"/>
          <w:sz w:val="20"/>
          <w:szCs w:val="20"/>
        </w:rPr>
        <w:t xml:space="preserve">This </w:t>
      </w:r>
      <w:r>
        <w:rPr>
          <w:rFonts w:ascii="Book Antiqua" w:hAnsi="Book Antiqua"/>
          <w:sz w:val="20"/>
          <w:szCs w:val="20"/>
        </w:rPr>
        <w:t>happens</w:t>
      </w:r>
      <w:r w:rsidRPr="00C07D41">
        <w:rPr>
          <w:rFonts w:ascii="Book Antiqua" w:hAnsi="Book Antiqua"/>
          <w:sz w:val="20"/>
          <w:szCs w:val="20"/>
        </w:rPr>
        <w:t xml:space="preserve"> because of the slow-down in the speed of light mentioned in Chapter 2 and above, dealing with radiant energy density and Cepheid variables. Since </w:t>
      </w:r>
      <w:r w:rsidRPr="00C07D41">
        <w:rPr>
          <w:rStyle w:val="Emphasis"/>
          <w:rFonts w:ascii="Book Antiqua" w:hAnsi="Book Antiqua"/>
          <w:sz w:val="20"/>
          <w:szCs w:val="20"/>
        </w:rPr>
        <w:t>c</w:t>
      </w:r>
      <w:r w:rsidRPr="00C07D41">
        <w:rPr>
          <w:rFonts w:ascii="Book Antiqua" w:hAnsi="Book Antiqua"/>
          <w:sz w:val="20"/>
          <w:szCs w:val="20"/>
        </w:rPr>
        <w:t xml:space="preserve"> is the same at any instant throughout the universe, light from distant objects always arrives at earth at its current universal value. Barnet et al. proved this in regard to light from distant quasars </w:t>
      </w:r>
      <w:hyperlink r:id="rId1265" w:anchor="2a212" w:history="1">
        <w:r w:rsidRPr="00C07D41">
          <w:rPr>
            <w:rStyle w:val="Hyperlink"/>
            <w:rFonts w:ascii="Book Antiqua" w:hAnsi="Book Antiqua"/>
            <w:sz w:val="20"/>
            <w:szCs w:val="20"/>
          </w:rPr>
          <w:t>[24]</w:t>
        </w:r>
      </w:hyperlink>
      <w:r w:rsidRPr="00C07D41">
        <w:rPr>
          <w:rFonts w:ascii="Book Antiqua" w:hAnsi="Book Antiqua"/>
          <w:sz w:val="20"/>
          <w:szCs w:val="20"/>
        </w:rPr>
        <w:t xml:space="preserve">. So if </w:t>
      </w:r>
      <w:r w:rsidRPr="00C07D41">
        <w:rPr>
          <w:rStyle w:val="Emphasis"/>
          <w:rFonts w:ascii="Book Antiqua" w:hAnsi="Book Antiqua"/>
          <w:sz w:val="20"/>
          <w:szCs w:val="20"/>
        </w:rPr>
        <w:t>c</w:t>
      </w:r>
      <w:r w:rsidRPr="00C07D41">
        <w:rPr>
          <w:rFonts w:ascii="Book Antiqua" w:hAnsi="Book Antiqua"/>
          <w:sz w:val="20"/>
          <w:szCs w:val="20"/>
        </w:rPr>
        <w:t xml:space="preserve"> really was 10 times its current value at the time of the supernova in the LMC, then the photons with the information have slowed in transit to 1/10th of their original speed and so bring us information at 1/10th the rate it happened. In other words we are seeing the entire event being played back in slow motion. The shorter half-life and shorter transit times are lengthened by the slow-down in </w:t>
      </w:r>
      <m:oMath>
        <m:r>
          <w:rPr>
            <w:rStyle w:val="Emphasis"/>
            <w:rFonts w:ascii="Cambria Math" w:hAnsi="Cambria Math"/>
            <w:sz w:val="20"/>
            <w:szCs w:val="20"/>
          </w:rPr>
          <m:t>c</m:t>
        </m:r>
      </m:oMath>
      <w:r w:rsidRPr="00C07D41">
        <w:rPr>
          <w:rFonts w:ascii="Book Antiqua" w:hAnsi="Book Antiqua"/>
          <w:sz w:val="20"/>
          <w:szCs w:val="20"/>
        </w:rPr>
        <w:t xml:space="preserve"> so they appear to run at the same rate as these events do today. Thus these phenomena do not negate changes in the ZPE.</w:t>
      </w:r>
    </w:p>
    <w:p w:rsidR="00C80BD4" w:rsidRPr="00C07D41" w:rsidRDefault="00C80BD4" w:rsidP="00C80BD4">
      <w:pPr>
        <w:pStyle w:val="Heading3"/>
        <w:keepNext w:val="0"/>
        <w:widowControl/>
        <w:pBdr>
          <w:top w:val="none" w:sz="0" w:space="0" w:color="auto"/>
          <w:left w:val="none" w:sz="0" w:space="0" w:color="auto"/>
          <w:bottom w:val="none" w:sz="0" w:space="0" w:color="auto"/>
          <w:right w:val="none" w:sz="0" w:space="0" w:color="auto"/>
        </w:pBdr>
        <w:autoSpaceDE w:val="0"/>
        <w:autoSpaceDN w:val="0"/>
        <w:adjustRightInd w:val="0"/>
        <w:jc w:val="both"/>
        <w:rPr>
          <w:rFonts w:ascii="Book Antiqua" w:hAnsi="Book Antiqua"/>
          <w:sz w:val="20"/>
          <w:szCs w:val="20"/>
        </w:rPr>
      </w:pPr>
      <w:r w:rsidRPr="00C07D41">
        <w:rPr>
          <w:rFonts w:ascii="Book Antiqua" w:hAnsi="Book Antiqua"/>
          <w:sz w:val="20"/>
          <w:szCs w:val="20"/>
        </w:rPr>
        <w:t>B5.   Chemical Reactions</w:t>
      </w:r>
    </w:p>
    <w:p w:rsidR="00C80BD4" w:rsidRPr="00C07D41" w:rsidRDefault="00C80BD4" w:rsidP="00C80BD4">
      <w:pPr>
        <w:rPr>
          <w:rFonts w:ascii="Book Antiqua" w:hAnsi="Book Antiqua"/>
        </w:rPr>
      </w:pPr>
    </w:p>
    <w:p w:rsidR="00C80BD4" w:rsidRPr="00E7147B" w:rsidRDefault="00C80BD4" w:rsidP="00C80BD4">
      <w:pPr>
        <w:ind w:firstLine="720"/>
        <w:jc w:val="both"/>
        <w:rPr>
          <w:rFonts w:ascii="Book Antiqua" w:hAnsi="Book Antiqua"/>
        </w:rPr>
      </w:pPr>
      <w:r w:rsidRPr="00E7147B">
        <w:rPr>
          <w:rFonts w:ascii="Book Antiqua" w:hAnsi="Book Antiqua"/>
        </w:rPr>
        <w:t xml:space="preserve">Collision theory suggests that chemical reactions could be affected by a changing ZPE and speed of light. In chemical reactions, a series of steps may occur rapidly. But if the old collision theory was correct, </w:t>
      </w:r>
      <w:r w:rsidRPr="00E7147B">
        <w:rPr>
          <w:rFonts w:ascii="Book Antiqua" w:hAnsi="Book Antiqua"/>
          <w:i/>
        </w:rPr>
        <w:t>“all chemical reactions would be completed in a fraction of a second.”</w:t>
      </w:r>
      <w:r w:rsidRPr="00E7147B">
        <w:rPr>
          <w:rFonts w:ascii="Book Antiqua" w:hAnsi="Book Antiqua"/>
        </w:rPr>
        <w:t xml:space="preserve"> [25] It is now known that collision theory </w:t>
      </w:r>
      <w:r w:rsidRPr="00E7147B">
        <w:rPr>
          <w:rFonts w:ascii="Book Antiqua" w:hAnsi="Book Antiqua"/>
          <w:i/>
        </w:rPr>
        <w:t>“is of only limited usefulnesss,”</w:t>
      </w:r>
      <w:r w:rsidRPr="00E7147B">
        <w:rPr>
          <w:rFonts w:ascii="Book Antiqua" w:hAnsi="Book Antiqua"/>
        </w:rPr>
        <w:t xml:space="preserve"> [26] since reaction rates are governed by the slowest step in the reaction series, called the </w:t>
      </w:r>
      <w:r w:rsidRPr="00E7147B">
        <w:rPr>
          <w:rFonts w:ascii="Book Antiqua" w:hAnsi="Book Antiqua"/>
          <w:i/>
        </w:rPr>
        <w:t>“rate determining step.”</w:t>
      </w:r>
      <w:r w:rsidRPr="00E7147B">
        <w:rPr>
          <w:rFonts w:ascii="Book Antiqua" w:hAnsi="Book Antiqua"/>
        </w:rPr>
        <w:t xml:space="preserve"> [27] </w:t>
      </w:r>
      <w:proofErr w:type="gramStart"/>
      <w:r w:rsidRPr="00E7147B">
        <w:rPr>
          <w:rFonts w:ascii="Book Antiqua" w:hAnsi="Book Antiqua"/>
        </w:rPr>
        <w:t>Here</w:t>
      </w:r>
      <w:proofErr w:type="gramEnd"/>
      <w:r w:rsidRPr="00E7147B">
        <w:rPr>
          <w:rFonts w:ascii="Book Antiqua" w:hAnsi="Book Antiqua"/>
        </w:rPr>
        <w:t>, an activated complex forms and disrupts, yielding products for the rest of the reaction series. The key step is the activated complex formation, written mathematically as [28]:</w:t>
      </w:r>
    </w:p>
    <w:p w:rsidR="00C80BD4" w:rsidRPr="00C07D41" w:rsidRDefault="007B3EBC" w:rsidP="00C80BD4">
      <w:pPr>
        <w:pStyle w:val="NormalWeb"/>
        <w:jc w:val="right"/>
        <w:rPr>
          <w:rFonts w:ascii="Book Antiqua" w:hAnsi="Book Antiqua"/>
          <w:i/>
          <w:sz w:val="20"/>
          <w:szCs w:val="20"/>
        </w:rPr>
      </w:pPr>
      <m:oMath>
        <w:bookmarkStart w:id="223" w:name="chemical"/>
        <w:bookmarkEnd w:id="223"/>
        <m:sSup>
          <m:sSupPr>
            <m:ctrlPr>
              <w:rPr>
                <w:rFonts w:ascii="Cambria Math" w:hAnsi="Book Antiqua"/>
                <w:i/>
                <w:sz w:val="20"/>
                <w:szCs w:val="20"/>
              </w:rPr>
            </m:ctrlPr>
          </m:sSupPr>
          <m:e>
            <m:r>
              <w:rPr>
                <w:rFonts w:ascii="Cambria Math" w:hAnsi="Cambria Math"/>
                <w:sz w:val="20"/>
                <w:szCs w:val="20"/>
              </w:rPr>
              <m:t>k</m:t>
            </m:r>
          </m:e>
          <m:sup>
            <m:r>
              <w:rPr>
                <w:rFonts w:ascii="Book Antiqua" w:hAnsi="Cambria Math"/>
                <w:sz w:val="20"/>
                <w:szCs w:val="20"/>
              </w:rPr>
              <m:t>*</m:t>
            </m:r>
          </m:sup>
        </m:sSup>
        <m:r>
          <w:rPr>
            <w:rFonts w:ascii="Cambria Math" w:hAnsi="Book Antiqua"/>
            <w:sz w:val="20"/>
            <w:szCs w:val="20"/>
          </w:rPr>
          <m:t xml:space="preserve"> = </m:t>
        </m:r>
        <m:r>
          <w:rPr>
            <w:rFonts w:ascii="Cambria Math" w:hAnsi="Cambria Math"/>
            <w:sz w:val="20"/>
            <w:szCs w:val="20"/>
          </w:rPr>
          <m:t>A</m:t>
        </m:r>
        <m:sSup>
          <m:sSupPr>
            <m:ctrlPr>
              <w:rPr>
                <w:rFonts w:ascii="Cambria Math" w:hAnsi="Book Antiqua"/>
                <w:i/>
                <w:sz w:val="20"/>
                <w:szCs w:val="20"/>
              </w:rPr>
            </m:ctrlPr>
          </m:sSupPr>
          <m:e>
            <m:r>
              <w:rPr>
                <w:rFonts w:ascii="Cambria Math" w:hAnsi="Cambria Math"/>
                <w:sz w:val="20"/>
                <w:szCs w:val="20"/>
              </w:rPr>
              <m:t>K</m:t>
            </m:r>
          </m:e>
          <m:sup>
            <m:r>
              <w:rPr>
                <w:rFonts w:ascii="Book Antiqua" w:hAnsi="Book Antiqua"/>
                <w:sz w:val="20"/>
                <w:szCs w:val="20"/>
              </w:rPr>
              <m:t>≠</m:t>
            </m:r>
          </m:sup>
        </m:sSup>
      </m:oMath>
      <w:r w:rsidR="00C80BD4" w:rsidRPr="00C07D41">
        <w:rPr>
          <w:rStyle w:val="superscript1"/>
          <w:rFonts w:eastAsia="Calibri"/>
        </w:rPr>
        <w:t xml:space="preserve"> </w:t>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Style w:val="superscript1"/>
          <w:rFonts w:eastAsia="Calibri"/>
        </w:rPr>
        <w:tab/>
      </w:r>
      <w:r w:rsidR="00C80BD4" w:rsidRPr="00C07D41">
        <w:rPr>
          <w:rFonts w:ascii="Book Antiqua" w:hAnsi="Book Antiqua"/>
          <w:i/>
          <w:sz w:val="20"/>
          <w:szCs w:val="20"/>
        </w:rPr>
        <w:t>(17)</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Here,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Cambria Math"/>
                <w:sz w:val="20"/>
                <w:szCs w:val="20"/>
              </w:rPr>
              <m:t>*</m:t>
            </m:r>
          </m:sup>
        </m:sSup>
      </m:oMath>
      <w:r w:rsidRPr="00C07D41">
        <w:rPr>
          <w:rStyle w:val="Emphasis"/>
          <w:rFonts w:ascii="Book Antiqua" w:hAnsi="Book Antiqua"/>
          <w:sz w:val="20"/>
          <w:szCs w:val="20"/>
        </w:rPr>
        <w:t xml:space="preserve"> </w:t>
      </w:r>
      <w:r w:rsidRPr="00C07D41">
        <w:rPr>
          <w:rFonts w:ascii="Book Antiqua" w:hAnsi="Book Antiqua"/>
          <w:sz w:val="20"/>
          <w:szCs w:val="20"/>
        </w:rPr>
        <w:t>is the reaction rate constant, and</w:t>
      </w:r>
      <m:oMath>
        <m:r>
          <w:rPr>
            <w:rFonts w:ascii="Cambria Math" w:hAnsi="Book Antiqua"/>
            <w:sz w:val="20"/>
            <w:szCs w:val="20"/>
          </w:rPr>
          <m:t xml:space="preserve"> </m:t>
        </m:r>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the equilibrium constant for the activated complex. </w:t>
      </w:r>
      <m:oMath>
        <m:sSup>
          <m:sSupPr>
            <m:ctrlPr>
              <w:rPr>
                <w:rStyle w:val="Emphasis"/>
                <w:rFonts w:ascii="Cambria Math" w:hAnsi="Book Antiqua"/>
                <w:i w:val="0"/>
                <w:iCs w:val="0"/>
                <w:sz w:val="20"/>
                <w:szCs w:val="20"/>
              </w:rPr>
            </m:ctrlPr>
          </m:sSupPr>
          <m:e>
            <m:r>
              <w:rPr>
                <w:rStyle w:val="Emphasis"/>
                <w:rFonts w:ascii="Cambria Math" w:hAnsi="Cambria Math"/>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w:t>
      </w:r>
      <w:proofErr w:type="gramStart"/>
      <w:r w:rsidRPr="00C07D41">
        <w:rPr>
          <w:rFonts w:ascii="Book Antiqua" w:hAnsi="Book Antiqua"/>
          <w:sz w:val="20"/>
          <w:szCs w:val="20"/>
        </w:rPr>
        <w:t>describes</w:t>
      </w:r>
      <w:proofErr w:type="gramEnd"/>
      <w:r w:rsidRPr="00C07D41">
        <w:rPr>
          <w:rFonts w:ascii="Book Antiqua" w:hAnsi="Book Antiqua"/>
          <w:sz w:val="20"/>
          <w:szCs w:val="20"/>
        </w:rPr>
        <w:t xml:space="preserve"> the “equilibrium” between reactants and activated complexes and is unchanged with ZPE variation since temperature and kinetic energy are unchanged. The term </w:t>
      </w:r>
      <m:oMath>
        <m:r>
          <w:rPr>
            <w:rStyle w:val="Emphasis"/>
            <w:rFonts w:ascii="Cambria Math" w:hAnsi="Book Antiqua"/>
            <w:sz w:val="20"/>
            <w:szCs w:val="20"/>
          </w:rPr>
          <m:t>A</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the reaction probability, or chance of forming the activated complex at any time. In Chapter 4, equations (17) and (19) show that masses and </w:t>
      </w:r>
      <w:proofErr w:type="gramStart"/>
      <w:r w:rsidRPr="00C07D41">
        <w:rPr>
          <w:rFonts w:ascii="Book Antiqua" w:hAnsi="Book Antiqua"/>
          <w:sz w:val="20"/>
          <w:szCs w:val="20"/>
        </w:rPr>
        <w:t>velocities  behave</w:t>
      </w:r>
      <w:proofErr w:type="gramEnd"/>
      <w:r w:rsidRPr="00C07D41">
        <w:rPr>
          <w:rFonts w:ascii="Book Antiqua" w:hAnsi="Book Antiqua"/>
          <w:sz w:val="20"/>
          <w:szCs w:val="20"/>
        </w:rPr>
        <w:t xml:space="preserve"> such that, at constant temperature, the number of approaches per second by ions or charged molecules to a potential reactant is proportional to </w:t>
      </w:r>
      <m:oMath>
        <m:r>
          <w:rPr>
            <w:rStyle w:val="Emphasis"/>
            <w:rFonts w:ascii="Cambria Math" w:hAnsi="Book Antiqua"/>
            <w:sz w:val="20"/>
            <w:szCs w:val="20"/>
          </w:rPr>
          <m:t>c</m:t>
        </m:r>
      </m:oMath>
      <w:r w:rsidRPr="00C07D41">
        <w:rPr>
          <w:rFonts w:ascii="Book Antiqua" w:hAnsi="Book Antiqua"/>
          <w:sz w:val="20"/>
          <w:szCs w:val="20"/>
        </w:rPr>
        <w:t xml:space="preserve">. We call this </w:t>
      </w:r>
      <w:proofErr w:type="gramStart"/>
      <w:r w:rsidRPr="00C07D41">
        <w:rPr>
          <w:rFonts w:ascii="Book Antiqua" w:hAnsi="Book Antiqua"/>
          <w:sz w:val="20"/>
          <w:szCs w:val="20"/>
        </w:rPr>
        <w:t xml:space="preserve">number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The velocity of these approaches is faster when </w:t>
      </w:r>
      <m:oMath>
        <m:r>
          <w:rPr>
            <w:rStyle w:val="Emphasis"/>
            <w:rFonts w:ascii="Cambria Math" w:hAnsi="Book Antiqua"/>
            <w:sz w:val="20"/>
            <w:szCs w:val="20"/>
          </w:rPr>
          <m:t>c</m:t>
        </m:r>
      </m:oMath>
      <w:r w:rsidRPr="00C07D41">
        <w:rPr>
          <w:rStyle w:val="Emphasis"/>
          <w:rFonts w:ascii="Book Antiqua" w:hAnsi="Book Antiqua"/>
          <w:sz w:val="20"/>
          <w:szCs w:val="20"/>
        </w:rPr>
        <w:t xml:space="preserve"> </w:t>
      </w:r>
      <w:r w:rsidRPr="00C07D41">
        <w:rPr>
          <w:rFonts w:ascii="Book Antiqua" w:hAnsi="Book Antiqua"/>
          <w:sz w:val="20"/>
          <w:szCs w:val="20"/>
        </w:rPr>
        <w:t xml:space="preserve">is higher. This means the time that each ion or charged molecule is in the vicinity of the potential reactant is proportional </w:t>
      </w:r>
      <w:proofErr w:type="gramStart"/>
      <w:r w:rsidRPr="00C07D41">
        <w:rPr>
          <w:rFonts w:ascii="Book Antiqua" w:hAnsi="Book Antiqua"/>
          <w:sz w:val="20"/>
          <w:szCs w:val="20"/>
        </w:rPr>
        <w:t xml:space="preserve">to </w:t>
      </w:r>
      <m:oMath>
        <w:proofErr w:type="gramEnd"/>
        <m:r>
          <w:rPr>
            <w:rStyle w:val="Emphasis"/>
            <w:rFonts w:ascii="Cambria Math" w:hAnsi="Book Antiqua"/>
            <w:sz w:val="20"/>
            <w:szCs w:val="20"/>
          </w:rPr>
          <m:t>1</m:t>
        </m:r>
        <m:r>
          <m:rPr>
            <m:sty m:val="b"/>
          </m:rPr>
          <w:rPr>
            <w:rStyle w:val="Strong"/>
            <w:rFonts w:ascii="Cambria Math" w:eastAsia="Calibri" w:hAnsi="Book Antiqua"/>
            <w:sz w:val="20"/>
            <w:szCs w:val="20"/>
          </w:rPr>
          <m:t>/</m:t>
        </m:r>
        <m:r>
          <w:rPr>
            <w:rStyle w:val="Emphasis"/>
            <w:rFonts w:ascii="Cambria Math" w:hAnsi="Book Antiqua"/>
            <w:sz w:val="20"/>
            <w:szCs w:val="20"/>
          </w:rPr>
          <m:t>c</m:t>
        </m:r>
      </m:oMath>
      <w:r w:rsidRPr="00C07D41">
        <w:rPr>
          <w:rFonts w:ascii="Book Antiqua" w:hAnsi="Book Antiqua"/>
          <w:sz w:val="20"/>
          <w:szCs w:val="20"/>
        </w:rPr>
        <w:t xml:space="preserve">. Let this amount of time </w:t>
      </w:r>
      <w:proofErr w:type="gramStart"/>
      <w:r w:rsidRPr="00C07D41">
        <w:rPr>
          <w:rFonts w:ascii="Book Antiqua" w:hAnsi="Book Antiqua"/>
          <w:sz w:val="20"/>
          <w:szCs w:val="20"/>
        </w:rPr>
        <w:t xml:space="preserve">be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It can be shown that the chance of forming the activated complex</w:t>
      </w:r>
      <w:proofErr w:type="gramStart"/>
      <w:r w:rsidRPr="00C07D41">
        <w:rPr>
          <w:rFonts w:ascii="Book Antiqua" w:hAnsi="Book Antiqua"/>
          <w:sz w:val="20"/>
          <w:szCs w:val="20"/>
        </w:rPr>
        <w:t xml:space="preserve">, </w:t>
      </w:r>
      <m:oMath>
        <w:proofErr w:type="gramEnd"/>
        <m:r>
          <w:rPr>
            <w:rStyle w:val="Emphasis"/>
            <w:rFonts w:ascii="Cambria Math" w:hAnsi="Book Antiqua"/>
            <w:sz w:val="20"/>
            <w:szCs w:val="20"/>
          </w:rPr>
          <m:t>A</m:t>
        </m:r>
      </m:oMath>
      <w:r w:rsidRPr="00C07D41">
        <w:rPr>
          <w:rFonts w:ascii="Book Antiqua" w:hAnsi="Book Antiqua"/>
          <w:sz w:val="20"/>
          <w:szCs w:val="20"/>
        </w:rPr>
        <w:t xml:space="preserve">, at any instant is the number of ions approaching the reactant per second,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Y</m:t>
            </m:r>
          </m:e>
          <m:sup>
            <m:r>
              <w:rPr>
                <w:rStyle w:val="Emphasis"/>
                <w:rFonts w:ascii="Book Antiqua"/>
                <w:sz w:val="20"/>
                <w:szCs w:val="20"/>
              </w:rPr>
              <m:t>*</m:t>
            </m:r>
          </m:sup>
        </m:sSup>
      </m:oMath>
      <w:r w:rsidRPr="00C07D41">
        <w:rPr>
          <w:rFonts w:ascii="Book Antiqua" w:hAnsi="Book Antiqua"/>
          <w:sz w:val="20"/>
          <w:szCs w:val="20"/>
        </w:rPr>
        <w:t xml:space="preserve">, multiplied by the time the ion spends in the vicinity of the reactant,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X</m:t>
            </m:r>
          </m:e>
          <m:sup>
            <m:r>
              <w:rPr>
                <w:rStyle w:val="Emphasis"/>
                <w:rFonts w:ascii="Book Antiqua"/>
                <w:sz w:val="20"/>
                <w:szCs w:val="20"/>
              </w:rPr>
              <m:t>*</m:t>
            </m:r>
          </m:sup>
        </m:sSup>
      </m:oMath>
      <w:r w:rsidRPr="00C07D41">
        <w:rPr>
          <w:rFonts w:ascii="Book Antiqua" w:hAnsi="Book Antiqua"/>
          <w:sz w:val="20"/>
          <w:szCs w:val="20"/>
        </w:rPr>
        <w:t>. So that</w:t>
      </w:r>
    </w:p>
    <w:p w:rsidR="00C80BD4" w:rsidRPr="00C07D41" w:rsidRDefault="00C80BD4" w:rsidP="00C80BD4">
      <w:pPr>
        <w:pStyle w:val="NormalWeb"/>
        <w:jc w:val="right"/>
        <w:rPr>
          <w:rFonts w:ascii="Book Antiqua" w:hAnsi="Book Antiqua"/>
          <w:i/>
          <w:sz w:val="20"/>
          <w:szCs w:val="20"/>
        </w:rPr>
      </w:pPr>
      <m:oMath>
        <m:r>
          <w:rPr>
            <w:rFonts w:ascii="Cambria Math" w:hAnsi="Book Antiqua"/>
            <w:sz w:val="20"/>
            <w:szCs w:val="20"/>
          </w:rPr>
          <m:t>A =</m:t>
        </m:r>
        <m:sSup>
          <m:sSupPr>
            <m:ctrlPr>
              <w:rPr>
                <w:rFonts w:ascii="Cambria Math" w:hAnsi="Book Antiqua"/>
                <w:i/>
                <w:sz w:val="20"/>
                <w:szCs w:val="20"/>
              </w:rPr>
            </m:ctrlPr>
          </m:sSupPr>
          <m:e>
            <m:r>
              <w:rPr>
                <w:rFonts w:ascii="Cambria Math" w:hAnsi="Book Antiqua"/>
                <w:sz w:val="20"/>
                <w:szCs w:val="20"/>
              </w:rPr>
              <m:t xml:space="preserve"> Y</m:t>
            </m:r>
          </m:e>
          <m:sup>
            <m:r>
              <w:rPr>
                <w:rFonts w:ascii="Book Antiqua"/>
                <w:sz w:val="20"/>
                <w:szCs w:val="20"/>
              </w:rPr>
              <m:t>*</m:t>
            </m:r>
          </m:sup>
        </m:sSup>
        <m:sSup>
          <m:sSupPr>
            <m:ctrlPr>
              <w:rPr>
                <w:rFonts w:ascii="Cambria Math" w:hAnsi="Book Antiqua"/>
                <w:i/>
                <w:sz w:val="20"/>
                <w:szCs w:val="20"/>
              </w:rPr>
            </m:ctrlPr>
          </m:sSupPr>
          <m:e>
            <m:r>
              <w:rPr>
                <w:rFonts w:ascii="Cambria Math" w:hAnsi="Book Antiqua"/>
                <w:sz w:val="20"/>
                <w:szCs w:val="20"/>
              </w:rPr>
              <m:t>X</m:t>
            </m:r>
          </m:e>
          <m:sup>
            <m:r>
              <w:rPr>
                <w:rFonts w:ascii="Book Antiqua"/>
                <w:sz w:val="20"/>
                <w:szCs w:val="20"/>
              </w:rPr>
              <m:t>*</m:t>
            </m:r>
          </m:sup>
        </m:sSup>
        <m:r>
          <w:rPr>
            <w:rFonts w:ascii="Cambria Math" w:hAnsi="Book Antiqua"/>
            <w:sz w:val="20"/>
            <w:szCs w:val="20"/>
          </w:rPr>
          <m:t xml:space="preserve"> ~ c(1/c) = constant</m:t>
        </m:r>
      </m:oMath>
      <w:r w:rsidRPr="00C07D41">
        <w:rPr>
          <w:rFonts w:ascii="Book Antiqua" w:hAnsi="Book Antiqua"/>
          <w:sz w:val="20"/>
          <w:szCs w:val="20"/>
        </w:rPr>
        <w:t xml:space="preserve"> </w:t>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sz w:val="20"/>
          <w:szCs w:val="20"/>
        </w:rPr>
        <w:tab/>
      </w:r>
      <w:r w:rsidRPr="00C07D41">
        <w:rPr>
          <w:rFonts w:ascii="Book Antiqua" w:hAnsi="Book Antiqua"/>
          <w:i/>
          <w:sz w:val="20"/>
          <w:szCs w:val="20"/>
        </w:rPr>
        <w:t>(18)</w:t>
      </w:r>
    </w:p>
    <w:p w:rsidR="00C80BD4" w:rsidRPr="00C07D41" w:rsidRDefault="00C80BD4" w:rsidP="00C80BD4">
      <w:pPr>
        <w:pStyle w:val="NormalWeb"/>
        <w:jc w:val="both"/>
        <w:rPr>
          <w:rFonts w:ascii="Book Antiqua" w:hAnsi="Book Antiqua"/>
          <w:sz w:val="20"/>
          <w:szCs w:val="20"/>
        </w:rPr>
      </w:pPr>
      <w:r w:rsidRPr="00C07D41">
        <w:rPr>
          <w:rFonts w:ascii="Book Antiqua" w:hAnsi="Book Antiqua"/>
          <w:sz w:val="20"/>
          <w:szCs w:val="20"/>
        </w:rPr>
        <w:t xml:space="preserve">Thus </w:t>
      </w:r>
      <m:oMath>
        <m:r>
          <w:rPr>
            <w:rStyle w:val="Emphasis"/>
            <w:rFonts w:ascii="Cambria Math" w:hAnsi="Book Antiqua"/>
            <w:sz w:val="20"/>
            <w:szCs w:val="20"/>
          </w:rPr>
          <m:t>A</m:t>
        </m:r>
      </m:oMath>
      <w:r w:rsidRPr="00C07D41">
        <w:rPr>
          <w:rFonts w:ascii="Book Antiqua" w:hAnsi="Book Antiqua"/>
          <w:sz w:val="20"/>
          <w:szCs w:val="20"/>
        </w:rPr>
        <w:t xml:space="preserve"> is constant. Since </w:t>
      </w:r>
      <m:oMath>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hAnsi="Book Antiqua"/>
                <w:sz w:val="20"/>
                <w:szCs w:val="20"/>
              </w:rPr>
              <m:t>≠</m:t>
            </m:r>
          </m:sup>
        </m:sSup>
      </m:oMath>
      <w:r w:rsidRPr="00C07D41">
        <w:rPr>
          <w:rFonts w:ascii="Book Antiqua" w:hAnsi="Book Antiqua"/>
          <w:sz w:val="20"/>
          <w:szCs w:val="20"/>
        </w:rPr>
        <w:t xml:space="preserve"> is also constant, the reaction rate</w:t>
      </w:r>
      <w:proofErr w:type="gramStart"/>
      <w:r w:rsidRPr="00C07D41">
        <w:rPr>
          <w:rFonts w:ascii="Book Antiqua" w:hAnsi="Book Antiqua"/>
          <w:sz w:val="20"/>
          <w:szCs w:val="20"/>
        </w:rPr>
        <w:t xml:space="preserve">, </w:t>
      </w:r>
      <m:oMath>
        <w:proofErr w:type="gramEnd"/>
        <m:sSup>
          <m:sSupPr>
            <m:ctrlPr>
              <w:rPr>
                <w:rStyle w:val="Emphasis"/>
                <w:rFonts w:ascii="Cambria Math" w:hAnsi="Book Antiqua"/>
                <w:i w:val="0"/>
                <w:iCs w:val="0"/>
                <w:sz w:val="20"/>
                <w:szCs w:val="20"/>
              </w:rPr>
            </m:ctrlPr>
          </m:sSupPr>
          <m:e>
            <m:r>
              <w:rPr>
                <w:rStyle w:val="Emphasis"/>
                <w:rFonts w:ascii="Cambria Math" w:hAnsi="Book Antiqua"/>
                <w:sz w:val="20"/>
                <w:szCs w:val="20"/>
              </w:rPr>
              <m:t>k</m:t>
            </m:r>
          </m:e>
          <m:sup>
            <m:r>
              <w:rPr>
                <w:rStyle w:val="Emphasis"/>
                <w:rFonts w:ascii="Book Antiqua"/>
                <w:sz w:val="20"/>
                <w:szCs w:val="20"/>
              </w:rPr>
              <m:t>*</m:t>
            </m:r>
          </m:sup>
        </m:sSup>
      </m:oMath>
      <w:r w:rsidRPr="00C07D41">
        <w:rPr>
          <w:rFonts w:ascii="Book Antiqua" w:hAnsi="Book Antiqua"/>
          <w:sz w:val="20"/>
          <w:szCs w:val="20"/>
        </w:rPr>
        <w:t xml:space="preserve">, remains fixed for all </w:t>
      </w:r>
      <m:oMath>
        <m:r>
          <w:rPr>
            <w:rStyle w:val="Emphasis"/>
            <w:rFonts w:ascii="Cambria Math" w:hAnsi="Book Antiqua"/>
            <w:sz w:val="20"/>
            <w:szCs w:val="20"/>
          </w:rPr>
          <m:t>c</m:t>
        </m:r>
      </m:oMath>
      <w:r w:rsidRPr="00C07D41">
        <w:rPr>
          <w:rStyle w:val="Emphasis"/>
          <w:rFonts w:ascii="Book Antiqua" w:hAnsi="Book Antiqua"/>
          <w:i w:val="0"/>
          <w:sz w:val="20"/>
          <w:szCs w:val="20"/>
        </w:rPr>
        <w:t xml:space="preserve"> and hence all strengths of the Zero Point Energy.</w:t>
      </w:r>
      <w:r w:rsidRPr="00C07D41">
        <w:rPr>
          <w:rFonts w:ascii="Book Antiqua" w:hAnsi="Book Antiqua"/>
          <w:sz w:val="20"/>
          <w:szCs w:val="20"/>
        </w:rPr>
        <w:t>.</w:t>
      </w:r>
    </w:p>
    <w:p w:rsidR="00C80BD4" w:rsidRPr="00C07D41" w:rsidRDefault="00C80BD4" w:rsidP="00C80BD4">
      <w:pPr>
        <w:pStyle w:val="NormalWeb"/>
        <w:jc w:val="both"/>
        <w:rPr>
          <w:rFonts w:ascii="Book Antiqua" w:hAnsi="Book Antiqua"/>
          <w:i/>
          <w:sz w:val="20"/>
          <w:szCs w:val="20"/>
        </w:rPr>
      </w:pPr>
      <w:r w:rsidRPr="00C07D41">
        <w:rPr>
          <w:rStyle w:val="Strong"/>
          <w:rFonts w:ascii="Book Antiqua" w:eastAsia="Calibri" w:hAnsi="Book Antiqua"/>
          <w:i/>
          <w:sz w:val="20"/>
          <w:szCs w:val="20"/>
        </w:rPr>
        <w:t>References – All URL’s retrieved 20</w:t>
      </w:r>
      <w:r w:rsidRPr="00C07D41">
        <w:rPr>
          <w:rStyle w:val="Strong"/>
          <w:rFonts w:ascii="Book Antiqua" w:eastAsia="Calibri" w:hAnsi="Book Antiqua"/>
          <w:i/>
          <w:sz w:val="20"/>
          <w:szCs w:val="20"/>
          <w:vertAlign w:val="superscript"/>
        </w:rPr>
        <w:t>th</w:t>
      </w:r>
      <w:r w:rsidRPr="00C07D41">
        <w:rPr>
          <w:rStyle w:val="Strong"/>
          <w:rFonts w:ascii="Book Antiqua" w:eastAsia="Calibri" w:hAnsi="Book Antiqua"/>
          <w:i/>
          <w:sz w:val="20"/>
          <w:szCs w:val="20"/>
        </w:rPr>
        <w:t xml:space="preserve"> September 2012.</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[1]</w:t>
      </w:r>
      <w:bookmarkStart w:id="224" w:name="2a148"/>
      <w:bookmarkEnd w:id="224"/>
      <w:r w:rsidRPr="00C07D41">
        <w:rPr>
          <w:rFonts w:ascii="Book Antiqua" w:hAnsi="Book Antiqua"/>
          <w:sz w:val="16"/>
          <w:szCs w:val="16"/>
        </w:rPr>
        <w:t xml:space="preserve"> F.A. Jenkins &amp; H.E. White, </w:t>
      </w:r>
      <w:r w:rsidRPr="00C07D41">
        <w:rPr>
          <w:rStyle w:val="Emphasis"/>
          <w:rFonts w:ascii="Book Antiqua" w:hAnsi="Book Antiqua"/>
          <w:sz w:val="16"/>
          <w:szCs w:val="16"/>
        </w:rPr>
        <w:t>Fundamentals of Optics</w:t>
      </w:r>
      <w:r w:rsidRPr="00C07D41">
        <w:rPr>
          <w:rFonts w:ascii="Book Antiqua" w:hAnsi="Book Antiqua"/>
          <w:sz w:val="16"/>
          <w:szCs w:val="16"/>
        </w:rPr>
        <w:t xml:space="preserve"> 3rd Edition</w:t>
      </w:r>
      <w:proofErr w:type="gramStart"/>
      <w:r w:rsidRPr="00C07D41">
        <w:rPr>
          <w:rFonts w:ascii="Book Antiqua" w:hAnsi="Book Antiqua"/>
          <w:sz w:val="16"/>
          <w:szCs w:val="16"/>
        </w:rPr>
        <w:t>,  pp</w:t>
      </w:r>
      <w:proofErr w:type="gramEnd"/>
      <w:r w:rsidRPr="00C07D41">
        <w:rPr>
          <w:rFonts w:ascii="Book Antiqua" w:hAnsi="Book Antiqua"/>
          <w:sz w:val="16"/>
          <w:szCs w:val="16"/>
        </w:rPr>
        <w:t>. 412-414, (McGraw-Hill, 1957).</w:t>
      </w:r>
      <w:r w:rsidRPr="00C07D41">
        <w:rPr>
          <w:rFonts w:ascii="Book Antiqua" w:hAnsi="Book Antiqua"/>
          <w:sz w:val="16"/>
          <w:szCs w:val="16"/>
        </w:rPr>
        <w:br/>
        <w:t>[2]</w:t>
      </w:r>
      <w:bookmarkStart w:id="225" w:name="2a149"/>
      <w:bookmarkEnd w:id="225"/>
      <w:r w:rsidRPr="00C07D41">
        <w:rPr>
          <w:rFonts w:ascii="Book Antiqua" w:hAnsi="Book Antiqua"/>
          <w:sz w:val="16"/>
          <w:szCs w:val="16"/>
        </w:rPr>
        <w:t xml:space="preserve"> S. G. Starling &amp; A. J. Woodall, </w:t>
      </w:r>
      <w:r w:rsidRPr="00C07D41">
        <w:rPr>
          <w:rStyle w:val="Emphasis"/>
          <w:rFonts w:ascii="Book Antiqua" w:hAnsi="Book Antiqua"/>
          <w:sz w:val="16"/>
          <w:szCs w:val="16"/>
        </w:rPr>
        <w:t>Physics</w:t>
      </w:r>
      <w:r w:rsidRPr="00C07D41">
        <w:rPr>
          <w:rStyle w:val="Emphasis"/>
          <w:rFonts w:ascii="Book Antiqua" w:hAnsi="Book Antiqua"/>
          <w:i w:val="0"/>
          <w:sz w:val="16"/>
          <w:szCs w:val="16"/>
        </w:rPr>
        <w:t>, p</w:t>
      </w:r>
      <w:r w:rsidRPr="00C07D41">
        <w:rPr>
          <w:rStyle w:val="Emphasis"/>
          <w:rFonts w:ascii="Book Antiqua" w:hAnsi="Book Antiqua"/>
          <w:sz w:val="16"/>
          <w:szCs w:val="16"/>
        </w:rPr>
        <w:t xml:space="preserve">. </w:t>
      </w:r>
      <w:r w:rsidRPr="00C07D41">
        <w:rPr>
          <w:rFonts w:ascii="Book Antiqua" w:hAnsi="Book Antiqua"/>
          <w:sz w:val="16"/>
          <w:szCs w:val="16"/>
        </w:rPr>
        <w:t>1129,</w:t>
      </w:r>
      <w:r w:rsidRPr="00C07D41">
        <w:rPr>
          <w:rStyle w:val="Emphasis"/>
          <w:rFonts w:ascii="Book Antiqua" w:hAnsi="Book Antiqua"/>
          <w:sz w:val="16"/>
          <w:szCs w:val="16"/>
        </w:rPr>
        <w:t xml:space="preserve"> (</w:t>
      </w:r>
      <w:r w:rsidRPr="00C07D41">
        <w:rPr>
          <w:rFonts w:ascii="Book Antiqua" w:hAnsi="Book Antiqua"/>
          <w:sz w:val="16"/>
          <w:szCs w:val="16"/>
        </w:rPr>
        <w:t>Longmans, 1958).</w:t>
      </w:r>
      <w:r w:rsidRPr="00C07D41">
        <w:rPr>
          <w:rFonts w:ascii="Book Antiqua" w:hAnsi="Book Antiqua"/>
          <w:sz w:val="16"/>
          <w:szCs w:val="16"/>
        </w:rPr>
        <w:br/>
        <w:t>[3]</w:t>
      </w:r>
      <w:bookmarkStart w:id="226" w:name="2a150"/>
      <w:bookmarkEnd w:id="226"/>
      <w:proofErr w:type="gramStart"/>
      <w:r w:rsidRPr="00C07D41">
        <w:rPr>
          <w:rFonts w:ascii="Book Antiqua" w:hAnsi="Book Antiqua"/>
          <w:sz w:val="16"/>
          <w:szCs w:val="16"/>
        </w:rPr>
        <w:t xml:space="preserve">A.P. French, </w:t>
      </w:r>
      <w:r w:rsidRPr="00C07D41">
        <w:rPr>
          <w:rFonts w:ascii="Book Antiqua" w:hAnsi="Book Antiqua"/>
          <w:i/>
          <w:sz w:val="16"/>
          <w:szCs w:val="16"/>
        </w:rPr>
        <w:t>Principles of Modern Physics</w:t>
      </w:r>
      <w:r w:rsidRPr="00C07D41">
        <w:rPr>
          <w:rFonts w:ascii="Book Antiqua" w:hAnsi="Book Antiqua"/>
          <w:sz w:val="16"/>
          <w:szCs w:val="16"/>
        </w:rPr>
        <w:t>, p. 40, (Wiley, 1959).</w:t>
      </w:r>
      <w:proofErr w:type="gramEnd"/>
      <w:r w:rsidRPr="00C07D41">
        <w:rPr>
          <w:rFonts w:ascii="Book Antiqua" w:hAnsi="Book Antiqua"/>
          <w:sz w:val="16"/>
          <w:szCs w:val="16"/>
        </w:rPr>
        <w:t xml:space="preserve"> </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lastRenderedPageBreak/>
        <w:t>[4]</w:t>
      </w:r>
      <w:bookmarkStart w:id="227" w:name="2a151"/>
      <w:bookmarkEnd w:id="227"/>
      <w:r w:rsidRPr="00C07D41">
        <w:rPr>
          <w:rFonts w:ascii="Book Antiqua" w:hAnsi="Book Antiqua"/>
          <w:sz w:val="16"/>
          <w:szCs w:val="16"/>
        </w:rPr>
        <w:t xml:space="preserve"> M. Harwit, </w:t>
      </w:r>
      <w:r w:rsidRPr="00C07D41">
        <w:rPr>
          <w:rFonts w:ascii="Book Antiqua" w:hAnsi="Book Antiqua"/>
          <w:i/>
          <w:sz w:val="16"/>
          <w:szCs w:val="16"/>
        </w:rPr>
        <w:t>Astrophysical Concepts</w:t>
      </w:r>
      <w:r w:rsidRPr="00C07D41">
        <w:rPr>
          <w:rFonts w:ascii="Book Antiqua" w:hAnsi="Book Antiqua"/>
          <w:sz w:val="16"/>
          <w:szCs w:val="16"/>
        </w:rPr>
        <w:t>, p. 322, (Springer-Verlag, 1988).</w:t>
      </w:r>
      <w:r w:rsidRPr="00C07D41">
        <w:rPr>
          <w:rFonts w:ascii="Book Antiqua" w:hAnsi="Book Antiqua"/>
          <w:sz w:val="16"/>
          <w:szCs w:val="16"/>
        </w:rPr>
        <w:br/>
      </w:r>
      <w:proofErr w:type="gramStart"/>
      <w:r w:rsidRPr="00C07D41">
        <w:rPr>
          <w:rFonts w:ascii="Book Antiqua" w:hAnsi="Book Antiqua"/>
          <w:sz w:val="16"/>
          <w:szCs w:val="16"/>
        </w:rPr>
        <w:t>[5]</w:t>
      </w:r>
      <w:bookmarkStart w:id="228" w:name="2a152"/>
      <w:bookmarkEnd w:id="228"/>
      <w:r w:rsidRPr="00C07D41">
        <w:rPr>
          <w:rFonts w:ascii="Book Antiqua" w:hAnsi="Book Antiqua"/>
          <w:sz w:val="16"/>
          <w:szCs w:val="16"/>
        </w:rPr>
        <w:t xml:space="preserve"> J. P. Cox &amp; R.T. Giuli, </w:t>
      </w:r>
      <w:r w:rsidRPr="00C07D41">
        <w:rPr>
          <w:rStyle w:val="Emphasis"/>
          <w:rFonts w:ascii="Book Antiqua" w:hAnsi="Book Antiqua"/>
          <w:sz w:val="16"/>
          <w:szCs w:val="16"/>
        </w:rPr>
        <w:t>Principles of Stellar Structure,</w:t>
      </w:r>
      <w:r w:rsidRPr="00C07D41">
        <w:rPr>
          <w:rStyle w:val="Emphasis"/>
          <w:rFonts w:ascii="Book Antiqua" w:hAnsi="Book Antiqua"/>
          <w:i w:val="0"/>
          <w:sz w:val="16"/>
          <w:szCs w:val="16"/>
        </w:rPr>
        <w:t xml:space="preserve"> p. 383,</w:t>
      </w:r>
      <w:r w:rsidRPr="00C07D41">
        <w:rPr>
          <w:rStyle w:val="Emphasis"/>
          <w:rFonts w:ascii="Book Antiqua" w:hAnsi="Book Antiqua"/>
          <w:sz w:val="16"/>
          <w:szCs w:val="16"/>
        </w:rPr>
        <w:t xml:space="preserve"> </w:t>
      </w:r>
      <w:r w:rsidRPr="00C07D41">
        <w:rPr>
          <w:rFonts w:ascii="Book Antiqua" w:hAnsi="Book Antiqua"/>
          <w:sz w:val="16"/>
          <w:szCs w:val="16"/>
        </w:rPr>
        <w:t>(Gordon &amp; Breach, New York, (1968).</w:t>
      </w:r>
      <w:proofErr w:type="gramEnd"/>
      <w:r w:rsidRPr="00C07D41">
        <w:rPr>
          <w:rFonts w:ascii="Book Antiqua" w:hAnsi="Book Antiqua"/>
          <w:sz w:val="16"/>
          <w:szCs w:val="16"/>
        </w:rPr>
        <w:br/>
        <w:t>[6]</w:t>
      </w:r>
      <w:bookmarkStart w:id="229" w:name="2a153"/>
      <w:bookmarkEnd w:id="229"/>
      <w:r w:rsidRPr="00C07D41">
        <w:rPr>
          <w:rFonts w:ascii="Book Antiqua" w:hAnsi="Book Antiqua"/>
          <w:sz w:val="16"/>
          <w:szCs w:val="16"/>
        </w:rPr>
        <w:t xml:space="preserve"> Ibid, p. 374.</w:t>
      </w:r>
      <w:r w:rsidRPr="00C07D41">
        <w:rPr>
          <w:rFonts w:ascii="Book Antiqua" w:hAnsi="Book Antiqua"/>
          <w:sz w:val="16"/>
          <w:szCs w:val="16"/>
        </w:rPr>
        <w:br/>
        <w:t>[7]</w:t>
      </w:r>
      <w:bookmarkStart w:id="230" w:name="2a154"/>
      <w:bookmarkEnd w:id="230"/>
      <w:r w:rsidRPr="00C07D41">
        <w:rPr>
          <w:rFonts w:ascii="Book Antiqua" w:hAnsi="Book Antiqua"/>
          <w:sz w:val="16"/>
          <w:szCs w:val="16"/>
        </w:rPr>
        <w:t xml:space="preserve"> M. Harwit, op. cit., p. 315.</w:t>
      </w:r>
      <w:r w:rsidRPr="00C07D41">
        <w:rPr>
          <w:rFonts w:ascii="Book Antiqua" w:hAnsi="Book Antiqua"/>
          <w:sz w:val="16"/>
          <w:szCs w:val="16"/>
        </w:rPr>
        <w:br/>
        <w:t>[8]</w:t>
      </w:r>
      <w:bookmarkStart w:id="231" w:name="2a155"/>
      <w:bookmarkEnd w:id="231"/>
      <w:r w:rsidRPr="00C07D41">
        <w:rPr>
          <w:rFonts w:ascii="Book Antiqua" w:hAnsi="Book Antiqua"/>
          <w:sz w:val="16"/>
          <w:szCs w:val="16"/>
        </w:rPr>
        <w:t xml:space="preserve"> Ibid, p. 82.</w:t>
      </w:r>
      <w:r w:rsidRPr="00C07D41">
        <w:rPr>
          <w:rFonts w:ascii="Book Antiqua" w:hAnsi="Book Antiqua"/>
          <w:sz w:val="16"/>
          <w:szCs w:val="16"/>
        </w:rPr>
        <w:br/>
        <w:t>[</w:t>
      </w:r>
      <w:proofErr w:type="gramStart"/>
      <w:r w:rsidRPr="00C07D41">
        <w:rPr>
          <w:rFonts w:ascii="Book Antiqua" w:hAnsi="Book Antiqua"/>
          <w:sz w:val="16"/>
          <w:szCs w:val="16"/>
        </w:rPr>
        <w:t>9 ]</w:t>
      </w:r>
      <w:bookmarkStart w:id="232" w:name="2a156"/>
      <w:bookmarkEnd w:id="232"/>
      <w:proofErr w:type="gramEnd"/>
      <w:r w:rsidRPr="00C07D41">
        <w:rPr>
          <w:rFonts w:ascii="Book Antiqua" w:hAnsi="Book Antiqua"/>
          <w:sz w:val="16"/>
          <w:szCs w:val="16"/>
        </w:rPr>
        <w:t xml:space="preserve"> T. L. Swihart, </w:t>
      </w:r>
      <w:r w:rsidRPr="00C07D41">
        <w:rPr>
          <w:rFonts w:ascii="Book Antiqua" w:hAnsi="Book Antiqua"/>
          <w:i/>
          <w:sz w:val="16"/>
          <w:szCs w:val="16"/>
        </w:rPr>
        <w:t>Physics of Stellar Interiors,</w:t>
      </w:r>
      <w:r w:rsidRPr="00C07D41">
        <w:rPr>
          <w:rFonts w:ascii="Book Antiqua" w:hAnsi="Book Antiqua"/>
          <w:sz w:val="16"/>
          <w:szCs w:val="16"/>
        </w:rPr>
        <w:t xml:space="preserve"> p. 76, (Pachart Publishing House, Tucson, Arizona, 1972).</w:t>
      </w:r>
      <w:r w:rsidRPr="00C07D41">
        <w:rPr>
          <w:rFonts w:ascii="Book Antiqua" w:hAnsi="Book Antiqua"/>
          <w:sz w:val="16"/>
          <w:szCs w:val="16"/>
        </w:rPr>
        <w:br/>
        <w:t>[10]</w:t>
      </w:r>
      <w:bookmarkStart w:id="233" w:name="2a157"/>
      <w:bookmarkEnd w:id="233"/>
      <w:r w:rsidRPr="00C07D41">
        <w:rPr>
          <w:rFonts w:ascii="Book Antiqua" w:hAnsi="Book Antiqua"/>
          <w:sz w:val="16"/>
          <w:szCs w:val="16"/>
        </w:rPr>
        <w:t xml:space="preserve"> Cox and Giuli, op. cit., p. 374 </w:t>
      </w:r>
      <w:r w:rsidRPr="00C07D41">
        <w:rPr>
          <w:rFonts w:ascii="Book Antiqua" w:hAnsi="Book Antiqua"/>
          <w:sz w:val="16"/>
          <w:szCs w:val="16"/>
        </w:rPr>
        <w:br/>
        <w:t>[11]</w:t>
      </w:r>
      <w:bookmarkStart w:id="234" w:name="2a158"/>
      <w:bookmarkEnd w:id="234"/>
      <w:r w:rsidRPr="00C07D41">
        <w:rPr>
          <w:rFonts w:ascii="Book Antiqua" w:hAnsi="Book Antiqua"/>
          <w:sz w:val="16"/>
          <w:szCs w:val="16"/>
        </w:rPr>
        <w:t xml:space="preserve"> M. Harwit, op. cit., p. 323.  </w:t>
      </w:r>
      <w:r w:rsidRPr="00C07D41">
        <w:rPr>
          <w:rFonts w:ascii="Book Antiqua" w:hAnsi="Book Antiqua"/>
          <w:sz w:val="16"/>
          <w:szCs w:val="16"/>
        </w:rPr>
        <w:br/>
        <w:t>[12]</w:t>
      </w:r>
      <w:bookmarkStart w:id="235" w:name="2a159"/>
      <w:bookmarkEnd w:id="235"/>
      <w:r w:rsidRPr="00C07D41">
        <w:rPr>
          <w:rFonts w:ascii="Book Antiqua" w:hAnsi="Book Antiqua"/>
          <w:sz w:val="16"/>
          <w:szCs w:val="16"/>
        </w:rPr>
        <w:t xml:space="preserve"> Ibid, pp. 323-324.</w:t>
      </w:r>
      <w:r w:rsidRPr="00C07D41">
        <w:rPr>
          <w:rFonts w:ascii="Book Antiqua" w:hAnsi="Book Antiqua"/>
          <w:sz w:val="16"/>
          <w:szCs w:val="16"/>
        </w:rPr>
        <w:br/>
        <w:t>[13]</w:t>
      </w:r>
      <w:bookmarkStart w:id="236" w:name="2a160"/>
      <w:bookmarkEnd w:id="236"/>
      <w:r w:rsidRPr="00C07D41">
        <w:rPr>
          <w:rFonts w:ascii="Book Antiqua" w:hAnsi="Book Antiqua"/>
          <w:sz w:val="16"/>
          <w:szCs w:val="16"/>
        </w:rPr>
        <w:t xml:space="preserve"> Ibid, p. 314.</w:t>
      </w:r>
      <w:r w:rsidRPr="00C07D41">
        <w:rPr>
          <w:rFonts w:ascii="Book Antiqua" w:hAnsi="Book Antiqua"/>
          <w:sz w:val="16"/>
          <w:szCs w:val="16"/>
        </w:rPr>
        <w:br/>
      </w:r>
      <w:proofErr w:type="gramStart"/>
      <w:r w:rsidRPr="00C07D41">
        <w:rPr>
          <w:rFonts w:ascii="Book Antiqua" w:hAnsi="Book Antiqua"/>
          <w:sz w:val="16"/>
          <w:szCs w:val="16"/>
        </w:rPr>
        <w:t>[14]</w:t>
      </w:r>
      <w:bookmarkStart w:id="237" w:name="2a161"/>
      <w:bookmarkEnd w:id="237"/>
      <w:r w:rsidRPr="00C07D41">
        <w:rPr>
          <w:rFonts w:ascii="Book Antiqua" w:hAnsi="Book Antiqua"/>
          <w:sz w:val="16"/>
          <w:szCs w:val="16"/>
        </w:rPr>
        <w:t xml:space="preserve"> M. Schwarzschild, </w:t>
      </w:r>
      <w:r w:rsidRPr="00C07D41">
        <w:rPr>
          <w:rStyle w:val="Emphasis"/>
          <w:rFonts w:ascii="Book Antiqua" w:hAnsi="Book Antiqua"/>
          <w:sz w:val="16"/>
          <w:szCs w:val="16"/>
        </w:rPr>
        <w:t xml:space="preserve">Structure and Evolution of the Stars, </w:t>
      </w:r>
      <w:r w:rsidRPr="00C07D41">
        <w:rPr>
          <w:rStyle w:val="Emphasis"/>
          <w:rFonts w:ascii="Book Antiqua" w:hAnsi="Book Antiqua"/>
          <w:i w:val="0"/>
          <w:sz w:val="16"/>
          <w:szCs w:val="16"/>
        </w:rPr>
        <w:t>p. 88,</w:t>
      </w:r>
      <w:r w:rsidRPr="00C07D41">
        <w:rPr>
          <w:rStyle w:val="Emphasis"/>
          <w:rFonts w:ascii="Book Antiqua" w:hAnsi="Book Antiqua"/>
          <w:sz w:val="16"/>
          <w:szCs w:val="16"/>
        </w:rPr>
        <w:t xml:space="preserve"> (</w:t>
      </w:r>
      <w:r w:rsidRPr="00C07D41">
        <w:rPr>
          <w:rFonts w:ascii="Book Antiqua" w:hAnsi="Book Antiqua"/>
          <w:sz w:val="16"/>
          <w:szCs w:val="16"/>
        </w:rPr>
        <w:t>Princeton University Press, Princeton, New Jersey, 1958).</w:t>
      </w:r>
      <w:proofErr w:type="gramEnd"/>
      <w:r w:rsidRPr="00C07D41">
        <w:rPr>
          <w:rFonts w:ascii="Book Antiqua" w:hAnsi="Book Antiqua"/>
          <w:sz w:val="16"/>
          <w:szCs w:val="16"/>
        </w:rPr>
        <w:br/>
        <w:t>[15]</w:t>
      </w:r>
      <w:bookmarkStart w:id="238" w:name="2a162"/>
      <w:bookmarkEnd w:id="238"/>
      <w:r w:rsidRPr="00C07D41">
        <w:rPr>
          <w:rFonts w:ascii="Book Antiqua" w:hAnsi="Book Antiqua"/>
          <w:sz w:val="16"/>
          <w:szCs w:val="16"/>
        </w:rPr>
        <w:t xml:space="preserve"> M. Harwit, op. cit., pp. 336-337 and Fig. 8.7. </w:t>
      </w:r>
      <w:r w:rsidRPr="00C07D41">
        <w:rPr>
          <w:rFonts w:ascii="Book Antiqua" w:hAnsi="Book Antiqua"/>
          <w:sz w:val="16"/>
          <w:szCs w:val="16"/>
        </w:rPr>
        <w:br/>
        <w:t>[16]</w:t>
      </w:r>
      <w:bookmarkStart w:id="239" w:name="2a163"/>
      <w:bookmarkEnd w:id="239"/>
      <w:r w:rsidRPr="00C07D41">
        <w:rPr>
          <w:rFonts w:ascii="Book Antiqua" w:hAnsi="Book Antiqua"/>
          <w:sz w:val="16"/>
          <w:szCs w:val="16"/>
        </w:rPr>
        <w:t xml:space="preserve"> T. L. Swihart, op. cit., p. 82. </w:t>
      </w:r>
      <w:r w:rsidRPr="00C07D41">
        <w:rPr>
          <w:rFonts w:ascii="Book Antiqua" w:hAnsi="Book Antiqua"/>
          <w:sz w:val="16"/>
          <w:szCs w:val="16"/>
        </w:rPr>
        <w:br/>
        <w:t>[17]</w:t>
      </w:r>
      <w:bookmarkStart w:id="240" w:name="2a164"/>
      <w:bookmarkEnd w:id="240"/>
      <w:r w:rsidRPr="00C07D41">
        <w:rPr>
          <w:rFonts w:ascii="Book Antiqua" w:hAnsi="Book Antiqua"/>
          <w:sz w:val="16"/>
          <w:szCs w:val="16"/>
        </w:rPr>
        <w:t xml:space="preserve"> M. Harwit, op. cit., p. 321.  </w:t>
      </w:r>
      <w:r w:rsidRPr="00C07D41">
        <w:rPr>
          <w:rFonts w:ascii="Book Antiqua" w:hAnsi="Book Antiqua"/>
          <w:sz w:val="16"/>
          <w:szCs w:val="16"/>
        </w:rPr>
        <w:br/>
        <w:t>[18]</w:t>
      </w:r>
      <w:bookmarkStart w:id="241" w:name="2a165"/>
      <w:bookmarkEnd w:id="241"/>
      <w:r w:rsidRPr="00C07D41">
        <w:rPr>
          <w:rFonts w:ascii="Book Antiqua" w:hAnsi="Book Antiqua"/>
          <w:sz w:val="16"/>
          <w:szCs w:val="16"/>
        </w:rPr>
        <w:t xml:space="preserve"> M. Schwarzschild, op. cit., p. 42. </w:t>
      </w:r>
      <w:r w:rsidRPr="00C07D41">
        <w:rPr>
          <w:rFonts w:ascii="Book Antiqua" w:hAnsi="Book Antiqua"/>
          <w:sz w:val="16"/>
          <w:szCs w:val="16"/>
        </w:rPr>
        <w:br/>
        <w:t xml:space="preserve">[19] D.E. Scott, </w:t>
      </w:r>
      <w:proofErr w:type="gramStart"/>
      <w:r w:rsidRPr="00C07D41">
        <w:rPr>
          <w:rFonts w:ascii="Book Antiqua" w:hAnsi="Book Antiqua"/>
          <w:i/>
          <w:sz w:val="16"/>
          <w:szCs w:val="16"/>
        </w:rPr>
        <w:t>The</w:t>
      </w:r>
      <w:proofErr w:type="gramEnd"/>
      <w:r w:rsidRPr="00C07D41">
        <w:rPr>
          <w:rFonts w:ascii="Book Antiqua" w:hAnsi="Book Antiqua"/>
          <w:i/>
          <w:sz w:val="16"/>
          <w:szCs w:val="16"/>
        </w:rPr>
        <w:t xml:space="preserve"> Electric Sky, </w:t>
      </w:r>
      <w:r w:rsidRPr="00C07D41">
        <w:rPr>
          <w:rFonts w:ascii="Book Antiqua" w:hAnsi="Book Antiqua"/>
          <w:sz w:val="16"/>
          <w:szCs w:val="16"/>
        </w:rPr>
        <w:t>p. 90, (Mikamar Publishing, 2006).</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[20]</w:t>
      </w:r>
      <w:bookmarkStart w:id="242" w:name="2a166"/>
      <w:bookmarkEnd w:id="242"/>
      <w:r w:rsidRPr="00C07D41">
        <w:rPr>
          <w:rFonts w:ascii="Book Antiqua" w:hAnsi="Book Antiqua"/>
          <w:sz w:val="16"/>
          <w:szCs w:val="16"/>
        </w:rPr>
        <w:t xml:space="preserve"> F. Hoyle, </w:t>
      </w:r>
      <w:r w:rsidRPr="00C07D41">
        <w:rPr>
          <w:rStyle w:val="Emphasis"/>
          <w:rFonts w:ascii="Book Antiqua" w:hAnsi="Book Antiqua"/>
          <w:sz w:val="16"/>
          <w:szCs w:val="16"/>
        </w:rPr>
        <w:t>Frontiers of Astronomy</w:t>
      </w:r>
      <w:r w:rsidRPr="00C07D41">
        <w:rPr>
          <w:rFonts w:ascii="Book Antiqua" w:hAnsi="Book Antiqua"/>
          <w:sz w:val="16"/>
          <w:szCs w:val="16"/>
        </w:rPr>
        <w:t>, pp. 184-188, (William Heinemann Ltd, London, 1956) 184-188.</w:t>
      </w:r>
      <w:r w:rsidRPr="00C07D41">
        <w:rPr>
          <w:rFonts w:ascii="Book Antiqua" w:hAnsi="Book Antiqua"/>
          <w:sz w:val="16"/>
          <w:szCs w:val="16"/>
        </w:rPr>
        <w:br/>
        <w:t>[21]</w:t>
      </w:r>
      <w:bookmarkStart w:id="243" w:name="2a167"/>
      <w:bookmarkEnd w:id="243"/>
      <w:r w:rsidRPr="00C07D41">
        <w:rPr>
          <w:rFonts w:ascii="Book Antiqua" w:hAnsi="Book Antiqua"/>
          <w:sz w:val="16"/>
          <w:szCs w:val="16"/>
        </w:rPr>
        <w:t xml:space="preserve"> D. Ostlie &amp; B. Carroll, </w:t>
      </w:r>
      <w:r w:rsidRPr="00C07D41">
        <w:rPr>
          <w:rStyle w:val="Emphasis"/>
          <w:rFonts w:ascii="Book Antiqua" w:hAnsi="Book Antiqua"/>
          <w:sz w:val="16"/>
          <w:szCs w:val="16"/>
        </w:rPr>
        <w:t xml:space="preserve">An Introduction to Modern Stellar Astrophysics, </w:t>
      </w:r>
      <w:r w:rsidRPr="00C07D41">
        <w:rPr>
          <w:rFonts w:ascii="Book Antiqua" w:hAnsi="Book Antiqua"/>
          <w:sz w:val="16"/>
          <w:szCs w:val="16"/>
        </w:rPr>
        <w:t>Weber State University (Addison-Wesley Publishing Co. Inc., Reading, MA, 1996). Quote available from the AAVSO website at:</w:t>
      </w:r>
    </w:p>
    <w:p w:rsidR="00C80BD4" w:rsidRPr="00C07D41" w:rsidRDefault="007B3EBC" w:rsidP="00C80BD4">
      <w:pPr>
        <w:pStyle w:val="NoSpacing"/>
        <w:rPr>
          <w:rFonts w:ascii="Book Antiqua" w:hAnsi="Book Antiqua"/>
          <w:i/>
          <w:sz w:val="16"/>
          <w:szCs w:val="16"/>
        </w:rPr>
      </w:pPr>
      <w:hyperlink r:id="rId1266" w:history="1">
        <w:r w:rsidR="00C80BD4" w:rsidRPr="00C07D41">
          <w:rPr>
            <w:rStyle w:val="Hyperlink"/>
            <w:rFonts w:ascii="Book Antiqua" w:hAnsi="Book Antiqua"/>
            <w:i/>
            <w:szCs w:val="16"/>
          </w:rPr>
          <w:t>http://www.aavso.org/vsots_xzcyg</w:t>
        </w:r>
      </w:hyperlink>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[22]</w:t>
      </w:r>
      <w:bookmarkStart w:id="244" w:name="2a168"/>
      <w:bookmarkEnd w:id="244"/>
      <w:r w:rsidRPr="00C07D41">
        <w:rPr>
          <w:rFonts w:ascii="Book Antiqua" w:hAnsi="Book Antiqua"/>
          <w:sz w:val="16"/>
          <w:szCs w:val="16"/>
        </w:rPr>
        <w:t xml:space="preserve"> P.S. Wesson, </w:t>
      </w:r>
      <w:r w:rsidRPr="00C07D41">
        <w:rPr>
          <w:rStyle w:val="Emphasis"/>
          <w:rFonts w:ascii="Book Antiqua" w:hAnsi="Book Antiqua"/>
          <w:sz w:val="16"/>
          <w:szCs w:val="16"/>
        </w:rPr>
        <w:t>Cosmology and Geophysics: Monographs on Astronomical Subjects,</w:t>
      </w:r>
      <w:r w:rsidRPr="00C07D41">
        <w:rPr>
          <w:rStyle w:val="Emphasis"/>
          <w:rFonts w:ascii="Book Antiqua" w:hAnsi="Book Antiqua"/>
          <w:b/>
          <w:sz w:val="16"/>
          <w:szCs w:val="16"/>
        </w:rPr>
        <w:t xml:space="preserve"> 3</w:t>
      </w:r>
      <w:r w:rsidRPr="00C07D41">
        <w:rPr>
          <w:rFonts w:ascii="Book Antiqua" w:hAnsi="Book Antiqua"/>
          <w:sz w:val="16"/>
          <w:szCs w:val="16"/>
        </w:rPr>
        <w:t>, pp. 62-63, (Adam Hilger Ltd., Bristol, 1978).</w:t>
      </w:r>
      <w:r w:rsidRPr="00C07D41">
        <w:rPr>
          <w:rFonts w:ascii="Book Antiqua" w:hAnsi="Book Antiqua"/>
          <w:sz w:val="16"/>
          <w:szCs w:val="16"/>
        </w:rPr>
        <w:br/>
        <w:t xml:space="preserve">[23] The quote is under the title “Pulsating star mystery solved” here: </w:t>
      </w:r>
      <w:hyperlink r:id="rId1267" w:history="1">
        <w:r w:rsidRPr="00C07D41">
          <w:rPr>
            <w:rStyle w:val="Hyperlink"/>
            <w:rFonts w:ascii="Book Antiqua" w:hAnsi="Book Antiqua"/>
            <w:i/>
            <w:szCs w:val="16"/>
            <w:lang w:val="de-DE"/>
          </w:rPr>
          <w:t>http://www.eso.org/public/news/eso1046/</w:t>
        </w:r>
      </w:hyperlink>
      <w:r w:rsidRPr="00C07D41">
        <w:rPr>
          <w:rFonts w:ascii="Book Antiqua" w:hAnsi="Book Antiqua"/>
          <w:sz w:val="16"/>
          <w:szCs w:val="16"/>
          <w:lang w:val="de-DE"/>
        </w:rPr>
        <w:t>. The paper detailing the research results is titled “The</w:t>
      </w:r>
      <w:r w:rsidRPr="00C07D41">
        <w:rPr>
          <w:rFonts w:ascii="Book Antiqua" w:hAnsi="Book Antiqua"/>
          <w:sz w:val="16"/>
          <w:szCs w:val="16"/>
        </w:rPr>
        <w:t xml:space="preserve"> dynamical mass of a classical </w:t>
      </w:r>
      <w:r w:rsidRPr="00C07D41">
        <w:rPr>
          <w:rFonts w:ascii="Book Antiqua" w:hAnsi="Book Antiqua"/>
          <w:bCs/>
          <w:sz w:val="16"/>
          <w:szCs w:val="16"/>
        </w:rPr>
        <w:t>Cepheid</w:t>
      </w:r>
      <w:r w:rsidRPr="00C07D41">
        <w:rPr>
          <w:rFonts w:ascii="Book Antiqua" w:hAnsi="Book Antiqua"/>
          <w:sz w:val="16"/>
          <w:szCs w:val="16"/>
        </w:rPr>
        <w:t xml:space="preserve"> variable star in an eclipsing binary system,”</w:t>
      </w:r>
      <w:r w:rsidRPr="00C07D41">
        <w:rPr>
          <w:rFonts w:ascii="Book Antiqua" w:hAnsi="Book Antiqua"/>
          <w:sz w:val="16"/>
          <w:szCs w:val="16"/>
          <w:lang w:val="de-DE"/>
        </w:rPr>
        <w:t xml:space="preserve"> by G. Pietrzynski et al., </w:t>
      </w:r>
      <w:r w:rsidRPr="00C07D41">
        <w:rPr>
          <w:rFonts w:ascii="Book Antiqua" w:hAnsi="Book Antiqua"/>
          <w:i/>
          <w:sz w:val="16"/>
          <w:szCs w:val="16"/>
          <w:lang w:val="de-DE"/>
        </w:rPr>
        <w:t>Nature</w:t>
      </w:r>
      <w:r w:rsidRPr="00C07D41">
        <w:rPr>
          <w:rFonts w:ascii="Book Antiqua" w:hAnsi="Book Antiqua"/>
          <w:sz w:val="16"/>
          <w:szCs w:val="16"/>
          <w:lang w:val="de-DE"/>
        </w:rPr>
        <w:t xml:space="preserve">, </w:t>
      </w:r>
      <w:r w:rsidRPr="00C07D41">
        <w:rPr>
          <w:rFonts w:ascii="Book Antiqua" w:hAnsi="Book Antiqua"/>
          <w:b/>
          <w:sz w:val="16"/>
          <w:szCs w:val="16"/>
          <w:lang w:val="de-DE"/>
        </w:rPr>
        <w:t>468</w:t>
      </w:r>
      <w:r w:rsidRPr="00C07D41">
        <w:rPr>
          <w:rFonts w:ascii="Book Antiqua" w:hAnsi="Book Antiqua"/>
          <w:sz w:val="16"/>
          <w:szCs w:val="16"/>
          <w:lang w:val="de-DE"/>
        </w:rPr>
        <w:t xml:space="preserve"> (7323), pp. 542-544, (25 November, 2010).</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[24]</w:t>
      </w:r>
      <w:bookmarkStart w:id="245" w:name="2a212"/>
      <w:bookmarkEnd w:id="245"/>
      <w:r w:rsidRPr="00C07D41">
        <w:rPr>
          <w:rFonts w:ascii="Book Antiqua" w:hAnsi="Book Antiqua"/>
          <w:sz w:val="16"/>
          <w:szCs w:val="16"/>
        </w:rPr>
        <w:t xml:space="preserve"> C. Barnet, R. Davis, and W. L. Sanders, </w:t>
      </w:r>
      <w:r w:rsidRPr="00C07D41">
        <w:rPr>
          <w:rStyle w:val="Emphasis"/>
          <w:rFonts w:ascii="Book Antiqua" w:hAnsi="Book Antiqua"/>
          <w:sz w:val="16"/>
          <w:szCs w:val="16"/>
        </w:rPr>
        <w:t>Ap. J</w:t>
      </w:r>
      <w:r w:rsidRPr="00C07D41">
        <w:rPr>
          <w:rFonts w:ascii="Book Antiqua" w:hAnsi="Book Antiqua"/>
          <w:sz w:val="16"/>
          <w:szCs w:val="16"/>
        </w:rPr>
        <w:t xml:space="preserve">. </w:t>
      </w:r>
      <w:proofErr w:type="gramStart"/>
      <w:r w:rsidRPr="00C07D41">
        <w:rPr>
          <w:rStyle w:val="Strong"/>
          <w:rFonts w:ascii="Book Antiqua" w:eastAsia="Calibri" w:hAnsi="Book Antiqua"/>
          <w:sz w:val="16"/>
          <w:szCs w:val="16"/>
        </w:rPr>
        <w:t>295</w:t>
      </w:r>
      <w:r w:rsidRPr="00C07D41">
        <w:rPr>
          <w:rFonts w:ascii="Book Antiqua" w:hAnsi="Book Antiqua"/>
          <w:sz w:val="16"/>
          <w:szCs w:val="16"/>
        </w:rPr>
        <w:t xml:space="preserve"> ,</w:t>
      </w:r>
      <w:proofErr w:type="gramEnd"/>
      <w:r w:rsidRPr="00C07D41">
        <w:rPr>
          <w:rFonts w:ascii="Book Antiqua" w:hAnsi="Book Antiqua"/>
          <w:sz w:val="16"/>
          <w:szCs w:val="16"/>
        </w:rPr>
        <w:t xml:space="preserve"> p. 24, (1985).</w:t>
      </w:r>
    </w:p>
    <w:p w:rsidR="00C80BD4" w:rsidRPr="00C07D41" w:rsidRDefault="00C80BD4" w:rsidP="00C80BD4">
      <w:pPr>
        <w:pStyle w:val="NoSpacing"/>
        <w:rPr>
          <w:rFonts w:ascii="Book Antiqua" w:hAnsi="Book Antiqua"/>
          <w:sz w:val="16"/>
          <w:szCs w:val="16"/>
        </w:rPr>
      </w:pPr>
      <w:r w:rsidRPr="00C07D41">
        <w:rPr>
          <w:rFonts w:ascii="Book Antiqua" w:hAnsi="Book Antiqua"/>
          <w:sz w:val="16"/>
          <w:szCs w:val="16"/>
        </w:rPr>
        <w:t>[25]</w:t>
      </w:r>
      <w:bookmarkStart w:id="246" w:name="2a169"/>
      <w:bookmarkEnd w:id="246"/>
      <w:r w:rsidRPr="00C07D41">
        <w:rPr>
          <w:rFonts w:ascii="Book Antiqua" w:hAnsi="Book Antiqua"/>
          <w:sz w:val="16"/>
          <w:szCs w:val="16"/>
        </w:rPr>
        <w:t xml:space="preserve"> W. J. Moore, </w:t>
      </w:r>
      <w:r w:rsidRPr="00C07D41">
        <w:rPr>
          <w:rStyle w:val="Emphasis"/>
          <w:rFonts w:ascii="Book Antiqua" w:hAnsi="Book Antiqua"/>
          <w:sz w:val="16"/>
          <w:szCs w:val="16"/>
        </w:rPr>
        <w:t xml:space="preserve">Physical Chemistry, </w:t>
      </w:r>
      <w:r w:rsidRPr="00C07D41">
        <w:rPr>
          <w:rFonts w:ascii="Book Antiqua" w:hAnsi="Book Antiqua"/>
          <w:sz w:val="16"/>
          <w:szCs w:val="16"/>
        </w:rPr>
        <w:t>3rd ed., p. 548, (Longmans, 1961).</w:t>
      </w:r>
      <w:r w:rsidRPr="00C07D41">
        <w:rPr>
          <w:rFonts w:ascii="Book Antiqua" w:hAnsi="Book Antiqua"/>
          <w:sz w:val="16"/>
          <w:szCs w:val="16"/>
        </w:rPr>
        <w:br/>
        <w:t>[26]</w:t>
      </w:r>
      <w:bookmarkStart w:id="247" w:name="2a170"/>
      <w:bookmarkEnd w:id="247"/>
      <w:r w:rsidRPr="00C07D41">
        <w:rPr>
          <w:rFonts w:ascii="Book Antiqua" w:hAnsi="Book Antiqua"/>
          <w:sz w:val="16"/>
          <w:szCs w:val="16"/>
        </w:rPr>
        <w:t xml:space="preserve"> S. V. Filseth in </w:t>
      </w:r>
      <w:r w:rsidRPr="00C07D41">
        <w:rPr>
          <w:rStyle w:val="Emphasis"/>
          <w:rFonts w:ascii="Book Antiqua" w:hAnsi="Book Antiqua"/>
          <w:sz w:val="16"/>
          <w:szCs w:val="16"/>
        </w:rPr>
        <w:t xml:space="preserve">Chemical Systems: Energetics, Dynamics, Structure, </w:t>
      </w:r>
      <w:r w:rsidRPr="00C07D41">
        <w:rPr>
          <w:rFonts w:ascii="Book Antiqua" w:hAnsi="Book Antiqua"/>
          <w:sz w:val="16"/>
          <w:szCs w:val="16"/>
        </w:rPr>
        <w:t>J. A. Campbell, (Ed.), pp. 555-556, 583, (Freeman and Co., San Francisco, 1970).</w:t>
      </w:r>
      <w:r w:rsidRPr="00C07D41">
        <w:rPr>
          <w:rFonts w:ascii="Book Antiqua" w:hAnsi="Book Antiqua"/>
          <w:sz w:val="16"/>
          <w:szCs w:val="16"/>
        </w:rPr>
        <w:br/>
        <w:t>[27]</w:t>
      </w:r>
      <w:bookmarkStart w:id="248" w:name="2a171"/>
      <w:bookmarkEnd w:id="248"/>
      <w:r w:rsidRPr="00C07D41">
        <w:rPr>
          <w:rFonts w:ascii="Book Antiqua" w:hAnsi="Book Antiqua"/>
          <w:sz w:val="16"/>
          <w:szCs w:val="16"/>
        </w:rPr>
        <w:t xml:space="preserve"> Ibid, pp. 555-556.</w:t>
      </w:r>
      <w:r w:rsidRPr="00C07D41">
        <w:rPr>
          <w:rFonts w:ascii="Book Antiqua" w:hAnsi="Book Antiqua"/>
          <w:sz w:val="16"/>
          <w:szCs w:val="16"/>
        </w:rPr>
        <w:br/>
        <w:t>[28]</w:t>
      </w:r>
      <w:bookmarkStart w:id="249" w:name="2a172"/>
      <w:bookmarkEnd w:id="249"/>
      <w:r w:rsidRPr="00C07D41">
        <w:rPr>
          <w:rFonts w:ascii="Book Antiqua" w:hAnsi="Book Antiqua"/>
          <w:sz w:val="16"/>
          <w:szCs w:val="16"/>
        </w:rPr>
        <w:t xml:space="preserve"> Ibid, p. 588.</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b/>
          <w:sz w:val="20"/>
        </w:rPr>
      </w:pPr>
      <w:r w:rsidRPr="00C07D41">
        <w:rPr>
          <w:rFonts w:ascii="Book Antiqua" w:hAnsi="Book Antiqua"/>
          <w:b/>
          <w:sz w:val="20"/>
        </w:rPr>
        <w:t>Figure References</w:t>
      </w:r>
      <w:r w:rsidRPr="00C07D41">
        <w:rPr>
          <w:rFonts w:ascii="Book Antiqua" w:hAnsi="Book Antiqua"/>
          <w:i/>
          <w:sz w:val="20"/>
        </w:rPr>
        <w:t xml:space="preserve"> – All URL’s retrieved 20</w:t>
      </w:r>
      <w:r w:rsidRPr="00C07D41">
        <w:rPr>
          <w:rFonts w:ascii="Book Antiqua" w:hAnsi="Book Antiqua"/>
          <w:i/>
          <w:sz w:val="20"/>
          <w:vertAlign w:val="superscript"/>
        </w:rPr>
        <w:t>th</w:t>
      </w:r>
      <w:r w:rsidRPr="00C07D41">
        <w:rPr>
          <w:rFonts w:ascii="Book Antiqua" w:hAnsi="Book Antiqua"/>
          <w:i/>
          <w:sz w:val="20"/>
        </w:rPr>
        <w:t xml:space="preserve"> September 2012.</w:t>
      </w:r>
    </w:p>
    <w:p w:rsidR="00C80BD4" w:rsidRPr="00C07D41" w:rsidRDefault="00C80BD4" w:rsidP="00C80BD4">
      <w:pPr>
        <w:pStyle w:val="NoSpacing"/>
        <w:rPr>
          <w:rFonts w:ascii="Book Antiqua" w:hAnsi="Book Antiqua"/>
          <w:sz w:val="16"/>
          <w:szCs w:val="16"/>
        </w:rPr>
      </w:pPr>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1: The variation in brightness of two Cepheid variable stars:  </w:t>
      </w:r>
      <w:hyperlink r:id="rId1268" w:history="1">
        <w:r w:rsidRPr="00C07D41">
          <w:rPr>
            <w:rStyle w:val="Hyperlink"/>
            <w:rFonts w:ascii="Book Antiqua" w:hAnsi="Book Antiqua"/>
            <w:i/>
            <w:szCs w:val="16"/>
          </w:rPr>
          <w:t>http://www.physics.hku.hk/~nature/notes/lectures/chap13.html</w:t>
        </w:r>
      </w:hyperlink>
    </w:p>
    <w:p w:rsidR="00C80BD4" w:rsidRPr="00C07D41" w:rsidRDefault="00C80BD4" w:rsidP="00C80BD4">
      <w:pPr>
        <w:pStyle w:val="NoSpacing"/>
        <w:rPr>
          <w:rFonts w:ascii="Book Antiqua" w:hAnsi="Book Antiqua"/>
          <w:i/>
          <w:sz w:val="16"/>
          <w:szCs w:val="16"/>
        </w:rPr>
      </w:pPr>
      <w:r w:rsidRPr="00C07D41">
        <w:rPr>
          <w:rFonts w:ascii="Book Antiqua" w:hAnsi="Book Antiqua"/>
          <w:sz w:val="16"/>
          <w:szCs w:val="16"/>
        </w:rPr>
        <w:t xml:space="preserve">Figure 2: Cepheid pulsation and luminosity:  </w:t>
      </w:r>
      <w:hyperlink r:id="rId1269" w:history="1">
        <w:r w:rsidRPr="00C07D41">
          <w:rPr>
            <w:rStyle w:val="Hyperlink"/>
            <w:rFonts w:ascii="Book Antiqua" w:hAnsi="Book Antiqua"/>
            <w:i/>
            <w:szCs w:val="16"/>
          </w:rPr>
          <w:t>http://www.astro.ljmu.ac.uk/courses/phys134/distance.html</w:t>
        </w:r>
      </w:hyperlink>
    </w:p>
    <w:p w:rsidR="00C80BD4" w:rsidRDefault="00C80BD4" w:rsidP="00C80BD4">
      <w:pPr>
        <w:pStyle w:val="NormalWeb"/>
        <w:jc w:val="center"/>
        <w:rPr>
          <w:rFonts w:ascii="Book Antiqua" w:hAnsi="Book Antiqua"/>
          <w:b/>
          <w:sz w:val="28"/>
          <w:szCs w:val="28"/>
        </w:rPr>
      </w:pPr>
      <w:r w:rsidRPr="00CE6BDB">
        <w:rPr>
          <w:rFonts w:ascii="Book Antiqua" w:hAnsi="Book Antiqua"/>
          <w:b/>
          <w:sz w:val="28"/>
          <w:szCs w:val="28"/>
        </w:rPr>
        <w:t>*  *  *  *  *  *</w:t>
      </w:r>
    </w:p>
    <w:p w:rsidR="0060216B" w:rsidRDefault="0060216B">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96FD7" w:rsidRPr="00AB49F0" w:rsidRDefault="00C96FD7" w:rsidP="00C96FD7">
      <w:pPr>
        <w:pStyle w:val="NormalWeb"/>
        <w:jc w:val="center"/>
        <w:rPr>
          <w:rFonts w:ascii="Book Antiqua" w:hAnsi="Book Antiqua"/>
          <w:b/>
          <w:bCs/>
          <w:iCs/>
          <w:color w:val="000000"/>
        </w:rPr>
      </w:pPr>
      <w:r w:rsidRPr="00AB49F0">
        <w:rPr>
          <w:rFonts w:ascii="Book Antiqua" w:hAnsi="Book Antiqua"/>
          <w:b/>
          <w:bCs/>
          <w:iCs/>
          <w:color w:val="000000"/>
        </w:rPr>
        <w:lastRenderedPageBreak/>
        <w:t xml:space="preserve">Appendix C: </w:t>
      </w:r>
      <w:r w:rsidRPr="00AB49F0">
        <w:rPr>
          <w:rFonts w:ascii="Book Antiqua" w:hAnsi="Book Antiqua"/>
          <w:b/>
          <w:bCs/>
          <w:i/>
          <w:iCs/>
          <w:color w:val="000000"/>
        </w:rPr>
        <w:t>Doppler shifts &amp; the ZPE</w:t>
      </w:r>
    </w:p>
    <w:p w:rsidR="00C96FD7" w:rsidRPr="00D112AF" w:rsidRDefault="00C96FD7" w:rsidP="00C96FD7">
      <w:pPr>
        <w:pStyle w:val="NormalWeb"/>
        <w:rPr>
          <w:rFonts w:ascii="Book Antiqua" w:hAnsi="Book Antiqua"/>
          <w:b/>
          <w:bCs/>
          <w:i/>
          <w:iCs/>
          <w:color w:val="000000"/>
          <w:sz w:val="20"/>
          <w:szCs w:val="20"/>
        </w:rPr>
      </w:pPr>
      <w:r w:rsidRPr="00D112AF">
        <w:rPr>
          <w:rStyle w:val="Strong"/>
          <w:rFonts w:ascii="Book Antiqua" w:hAnsi="Book Antiqua"/>
          <w:i/>
          <w:sz w:val="20"/>
          <w:szCs w:val="20"/>
        </w:rPr>
        <w:t xml:space="preserve">C1.    What is </w:t>
      </w:r>
      <w:proofErr w:type="gramStart"/>
      <w:r w:rsidRPr="00D112AF">
        <w:rPr>
          <w:rStyle w:val="Strong"/>
          <w:rFonts w:ascii="Book Antiqua" w:hAnsi="Book Antiqua"/>
          <w:i/>
          <w:sz w:val="20"/>
          <w:szCs w:val="20"/>
        </w:rPr>
        <w:t>Being</w:t>
      </w:r>
      <w:proofErr w:type="gramEnd"/>
      <w:r w:rsidRPr="00D112AF">
        <w:rPr>
          <w:rStyle w:val="Strong"/>
          <w:rFonts w:ascii="Book Antiqua" w:hAnsi="Book Antiqua"/>
          <w:i/>
          <w:sz w:val="20"/>
          <w:szCs w:val="20"/>
        </w:rPr>
        <w:t xml:space="preserve"> Measured?</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As previously shown, the red shift of light coming in from distant galaxies cannot be due to a Doppler shift.  However there are genuine examples of a</w:t>
      </w:r>
      <w:r>
        <w:rPr>
          <w:rFonts w:ascii="Book Antiqua" w:hAnsi="Book Antiqua"/>
          <w:sz w:val="20"/>
          <w:szCs w:val="20"/>
        </w:rPr>
        <w:t>ctual</w:t>
      </w:r>
      <w:r w:rsidRPr="00D112AF">
        <w:rPr>
          <w:rFonts w:ascii="Book Antiqua" w:hAnsi="Book Antiqua"/>
          <w:sz w:val="20"/>
          <w:szCs w:val="20"/>
        </w:rPr>
        <w:t xml:space="preserve"> Doppler shift</w:t>
      </w:r>
      <w:r>
        <w:rPr>
          <w:rFonts w:ascii="Book Antiqua" w:hAnsi="Book Antiqua"/>
          <w:sz w:val="20"/>
          <w:szCs w:val="20"/>
        </w:rPr>
        <w:t>s</w:t>
      </w:r>
      <w:r w:rsidRPr="00D112AF">
        <w:rPr>
          <w:rFonts w:ascii="Book Antiqua" w:hAnsi="Book Antiqua"/>
          <w:sz w:val="20"/>
          <w:szCs w:val="20"/>
        </w:rPr>
        <w:t xml:space="preserve"> in space.  </w:t>
      </w:r>
      <w:r>
        <w:rPr>
          <w:rFonts w:ascii="Book Antiqua" w:hAnsi="Book Antiqua"/>
          <w:sz w:val="20"/>
          <w:szCs w:val="20"/>
        </w:rPr>
        <w:t xml:space="preserve">These can mainly be seen in our Local Group of galaxies, binary stars, and in more distant galaxy rotation rates.  </w:t>
      </w:r>
      <w:r w:rsidRPr="00D112AF">
        <w:rPr>
          <w:rFonts w:ascii="Book Antiqua" w:hAnsi="Book Antiqua"/>
          <w:sz w:val="20"/>
          <w:szCs w:val="20"/>
        </w:rPr>
        <w:t>Are these affected by a varying ZPE or speed of light?  It is expected that these Doppler effects will usually be non-relativistic at their point of origin. Consequently, the basic Doppler formula becomes</w:t>
      </w:r>
    </w:p>
    <w:p w:rsidR="00C96FD7" w:rsidRPr="00D112AF" w:rsidRDefault="00C96FD7" w:rsidP="00C96FD7">
      <w:pPr>
        <w:pStyle w:val="NormalWeb"/>
        <w:jc w:val="right"/>
        <w:rPr>
          <w:rFonts w:ascii="Book Antiqua" w:hAnsi="Book Antiqua"/>
          <w:i/>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w:t>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sz w:val="20"/>
          <w:szCs w:val="20"/>
        </w:rPr>
        <w:tab/>
      </w:r>
      <w:r w:rsidRPr="00D112AF">
        <w:rPr>
          <w:rFonts w:ascii="Book Antiqua" w:hAnsi="Book Antiqua"/>
          <w:i/>
          <w:sz w:val="20"/>
          <w:szCs w:val="20"/>
        </w:rPr>
        <w:t>(1)</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Here, </w:t>
      </w:r>
      <m:oMath>
        <m:r>
          <w:rPr>
            <w:rFonts w:ascii="Cambria Math" w:hAnsi="Cambria Math"/>
            <w:sz w:val="20"/>
            <w:szCs w:val="20"/>
          </w:rPr>
          <m:t>λ</m:t>
        </m:r>
      </m:oMath>
      <w:r w:rsidRPr="00D112AF">
        <w:rPr>
          <w:rFonts w:ascii="Book Antiqua" w:hAnsi="Book Antiqua"/>
          <w:sz w:val="20"/>
          <w:szCs w:val="20"/>
        </w:rPr>
        <w:t xml:space="preserve"> is the laboratory wavelength and </w:t>
      </w:r>
      <m:oMath>
        <m:r>
          <w:rPr>
            <w:rFonts w:ascii="Cambria Math" w:hAnsi="Cambria Math"/>
            <w:sz w:val="20"/>
            <w:szCs w:val="20"/>
          </w:rPr>
          <m:t>Δλ</m:t>
        </m:r>
      </m:oMath>
      <w:r w:rsidRPr="00D112AF">
        <w:rPr>
          <w:rFonts w:ascii="Book Antiqua" w:hAnsi="Book Antiqua"/>
          <w:sz w:val="20"/>
          <w:szCs w:val="20"/>
        </w:rPr>
        <w:t xml:space="preserve"> is the observed change in wavelength compared with the laboratory standard. The velocity producing the Doppler shift is given </w:t>
      </w:r>
      <w:proofErr w:type="gramStart"/>
      <w:r w:rsidRPr="00D112AF">
        <w:rPr>
          <w:rFonts w:ascii="Book Antiqua" w:hAnsi="Book Antiqua"/>
          <w:sz w:val="20"/>
          <w:szCs w:val="20"/>
        </w:rPr>
        <w:t xml:space="preserve">by </w:t>
      </w:r>
      <m:oMath>
        <w:proofErr w:type="gramEnd"/>
        <m:r>
          <w:rPr>
            <w:rStyle w:val="Emphasis"/>
            <w:rFonts w:ascii="Cambria Math" w:hAnsi="Cambria Math"/>
            <w:sz w:val="20"/>
            <w:szCs w:val="20"/>
          </w:rPr>
          <m:t>v</m:t>
        </m:r>
      </m:oMath>
      <w:r w:rsidRPr="00D112AF">
        <w:rPr>
          <w:rFonts w:ascii="Book Antiqua" w:hAnsi="Book Antiqua"/>
          <w:sz w:val="20"/>
          <w:szCs w:val="20"/>
        </w:rPr>
        <w:t xml:space="preserve">, while the speed of light is </w:t>
      </w:r>
      <m:oMath>
        <m:r>
          <w:rPr>
            <w:rStyle w:val="Emphasis"/>
            <w:rFonts w:ascii="Cambria Math" w:hAnsi="Cambria Math"/>
            <w:sz w:val="20"/>
            <w:szCs w:val="20"/>
          </w:rPr>
          <m:t>c</m:t>
        </m:r>
      </m:oMath>
      <w:r w:rsidRPr="00D112AF">
        <w:rPr>
          <w:rFonts w:ascii="Book Antiqua" w:hAnsi="Book Antiqua"/>
          <w:sz w:val="20"/>
          <w:szCs w:val="20"/>
        </w:rPr>
        <w:t xml:space="preserve">. The relativistic counterpart can be found in </w:t>
      </w:r>
      <w:r w:rsidRPr="00D112AF">
        <w:rPr>
          <w:rStyle w:val="Emphasis"/>
          <w:rFonts w:ascii="Book Antiqua" w:hAnsi="Book Antiqua"/>
          <w:sz w:val="20"/>
          <w:szCs w:val="20"/>
        </w:rPr>
        <w:t>Fundamentals of Optics</w:t>
      </w:r>
      <w:r w:rsidRPr="00D112AF">
        <w:rPr>
          <w:rFonts w:ascii="Book Antiqua" w:hAnsi="Book Antiqua"/>
          <w:sz w:val="20"/>
          <w:szCs w:val="20"/>
        </w:rPr>
        <w:t xml:space="preserve"> </w:t>
      </w:r>
      <w:hyperlink r:id="rId1270" w:anchor="6a191" w:history="1">
        <w:r w:rsidRPr="00D112AF">
          <w:rPr>
            <w:rStyle w:val="Hyperlink"/>
            <w:rFonts w:ascii="Book Antiqua" w:hAnsi="Book Antiqua"/>
            <w:sz w:val="20"/>
            <w:szCs w:val="20"/>
          </w:rPr>
          <w:t>[1]</w:t>
        </w:r>
      </w:hyperlink>
      <w:r w:rsidRPr="00D112AF">
        <w:rPr>
          <w:rFonts w:ascii="Book Antiqua" w:hAnsi="Book Antiqua"/>
          <w:sz w:val="20"/>
          <w:szCs w:val="20"/>
        </w:rPr>
        <w:t xml:space="preserve">. It has the same primary term </w:t>
      </w:r>
      <m:oMath>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Fonts w:ascii="Book Antiqua" w:hAnsi="Book Antiqua"/>
          <w:sz w:val="20"/>
          <w:szCs w:val="20"/>
        </w:rPr>
        <w:t xml:space="preserve"> as in (1) but also includes higher order terms. As shown in chapter 2, wavelengths remain unchanged in transit through space as the speed of light drops. The analogy of a locomotive pulling carriages was given. As the locomotive slows down, the carriage length (wavelengths) remains fixed, but the number of carriages passing a given point per second (the frequency) slows down in proportion to the locomotive’s speed.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Therefore, a</w:t>
      </w:r>
      <w:r>
        <w:rPr>
          <w:rFonts w:ascii="Book Antiqua" w:hAnsi="Book Antiqua"/>
          <w:sz w:val="20"/>
          <w:szCs w:val="20"/>
        </w:rPr>
        <w:t>lthough there is</w:t>
      </w:r>
      <w:r w:rsidRPr="00D112AF">
        <w:rPr>
          <w:rFonts w:ascii="Book Antiqua" w:hAnsi="Book Antiqua"/>
          <w:sz w:val="20"/>
          <w:szCs w:val="20"/>
        </w:rPr>
        <w:t xml:space="preserve"> ZPE induced red-shifting</w:t>
      </w:r>
      <w:r>
        <w:rPr>
          <w:rFonts w:ascii="Book Antiqua" w:hAnsi="Book Antiqua"/>
          <w:sz w:val="20"/>
          <w:szCs w:val="20"/>
        </w:rPr>
        <w:t xml:space="preserve"> of the light at the point of emission from atoms</w:t>
      </w:r>
      <w:r w:rsidRPr="00D112AF">
        <w:rPr>
          <w:rFonts w:ascii="Book Antiqua" w:hAnsi="Book Antiqua"/>
          <w:sz w:val="20"/>
          <w:szCs w:val="20"/>
        </w:rPr>
        <w:t xml:space="preserve">, the term </w:t>
      </w:r>
      <m:oMath>
        <m:r>
          <w:rPr>
            <w:rFonts w:ascii="Cambria Math" w:hAnsi="Cambria Math"/>
            <w:sz w:val="20"/>
            <w:szCs w:val="20"/>
          </w:rPr>
          <m:t>Δλ</m:t>
        </m:r>
      </m:oMath>
      <w:r w:rsidRPr="00D112AF">
        <w:rPr>
          <w:rFonts w:ascii="Book Antiqua" w:hAnsi="Book Antiqua"/>
          <w:sz w:val="20"/>
          <w:szCs w:val="20"/>
        </w:rPr>
        <w:t xml:space="preserve"> remains unchanged in transit. The laboratory wavelength</w:t>
      </w:r>
      <w:proofErr w:type="gramStart"/>
      <w:r w:rsidRPr="00D112AF">
        <w:rPr>
          <w:rFonts w:ascii="Book Antiqua" w:hAnsi="Book Antiqua"/>
          <w:sz w:val="20"/>
          <w:szCs w:val="20"/>
        </w:rPr>
        <w:t xml:space="preserve">, </w:t>
      </w:r>
      <m:oMath>
        <w:proofErr w:type="gramEnd"/>
        <m:r>
          <w:rPr>
            <w:rFonts w:ascii="Cambria Math" w:hAnsi="Cambria Math"/>
            <w:sz w:val="20"/>
            <w:szCs w:val="20"/>
          </w:rPr>
          <m:t>λ</m:t>
        </m:r>
      </m:oMath>
      <w:r w:rsidRPr="00D112AF">
        <w:rPr>
          <w:rFonts w:ascii="Book Antiqua" w:hAnsi="Book Antiqua"/>
          <w:sz w:val="20"/>
          <w:szCs w:val="20"/>
        </w:rPr>
        <w:t xml:space="preserve">, also remains unchanged. Thus the left hand side of equation (1) is independent of changing conditions in transit and depends entirely on conditions at the time of emission. If we now designate the speed of light at the time of emission as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and the velocity involved at that time as being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then, retaining </w:t>
      </w:r>
      <m:oMath>
        <m:r>
          <w:rPr>
            <w:rStyle w:val="Emphasis"/>
            <w:rFonts w:ascii="Cambria Math" w:hAnsi="Cambria Math"/>
            <w:sz w:val="20"/>
            <w:szCs w:val="20"/>
          </w:rPr>
          <m:t>c</m:t>
        </m:r>
      </m:oMath>
      <w:r w:rsidRPr="00D112AF">
        <w:rPr>
          <w:rFonts w:ascii="Book Antiqua" w:hAnsi="Book Antiqua"/>
          <w:sz w:val="20"/>
          <w:szCs w:val="20"/>
        </w:rPr>
        <w:t xml:space="preserve"> as the velocity of light now and </w:t>
      </w:r>
      <m:oMath>
        <m:r>
          <w:rPr>
            <w:rStyle w:val="Emphasis"/>
            <w:rFonts w:ascii="Cambria Math" w:hAnsi="Cambria Math"/>
            <w:sz w:val="20"/>
            <w:szCs w:val="20"/>
          </w:rPr>
          <m:t>v</m:t>
        </m:r>
      </m:oMath>
      <w:r w:rsidRPr="00D112AF">
        <w:rPr>
          <w:rFonts w:ascii="Book Antiqua" w:hAnsi="Book Antiqua"/>
          <w:sz w:val="20"/>
          <w:szCs w:val="20"/>
        </w:rPr>
        <w:t xml:space="preserve"> the inferred velocity at reception, we can write (1) as </w:t>
      </w:r>
    </w:p>
    <w:p w:rsidR="00C96FD7" w:rsidRPr="00D112AF" w:rsidRDefault="00C96FD7" w:rsidP="00C96FD7">
      <w:pPr>
        <w:pStyle w:val="NormalWeb"/>
        <w:jc w:val="right"/>
        <w:rPr>
          <w:rFonts w:ascii="Book Antiqua" w:hAnsi="Book Antiqua"/>
          <w:sz w:val="20"/>
          <w:szCs w:val="20"/>
        </w:rPr>
      </w:pPr>
      <m:oMath>
        <m:r>
          <w:rPr>
            <w:rFonts w:ascii="Cambria Math" w:hAnsi="Cambria Math"/>
            <w:sz w:val="20"/>
            <w:szCs w:val="20"/>
          </w:rPr>
          <m:t>Δλ</m:t>
        </m:r>
        <m:r>
          <w:rPr>
            <w:rFonts w:ascii="Cambria Math" w:hAnsi="Book Antiqua"/>
            <w:sz w:val="20"/>
            <w:szCs w:val="20"/>
          </w:rPr>
          <m:t xml:space="preserve"> / </m:t>
        </m:r>
        <m:r>
          <w:rPr>
            <w:rFonts w:ascii="Cambria Math" w:hAnsi="Cambria Math"/>
            <w:sz w:val="20"/>
            <w:szCs w:val="20"/>
          </w:rPr>
          <m:t>λ</m:t>
        </m:r>
        <m:r>
          <w:rPr>
            <w:rFonts w:ascii="Cambria Math" w:hAnsi="Book Antiqua"/>
            <w:sz w:val="20"/>
            <w:szCs w:val="20"/>
          </w:rPr>
          <m:t xml:space="preserve"> = </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p"/>
          </m:rPr>
          <w:rPr>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 xml:space="preserve"> </m:t>
        </m:r>
        <m:r>
          <m:rPr>
            <m:sty m:val="p"/>
          </m:rPr>
          <w:rPr>
            <w:rFonts w:ascii="Cambria Math" w:hAnsi="Book Antiqua"/>
            <w:sz w:val="20"/>
            <w:szCs w:val="20"/>
          </w:rPr>
          <m:t xml:space="preserve">= </m:t>
        </m:r>
        <m:r>
          <w:rPr>
            <w:rStyle w:val="Emphasis"/>
            <w:rFonts w:ascii="Cambria Math" w:hAnsi="Cambria Math"/>
            <w:sz w:val="20"/>
            <w:szCs w:val="20"/>
          </w:rPr>
          <m:t>v</m:t>
        </m:r>
        <m:r>
          <w:rPr>
            <w:rStyle w:val="Emphasis"/>
            <w:rFonts w:ascii="Cambria Math" w:hAnsi="Book Antiqua"/>
            <w:sz w:val="20"/>
            <w:szCs w:val="20"/>
          </w:rPr>
          <m:t>/</m:t>
        </m:r>
        <m:r>
          <w:rPr>
            <w:rStyle w:val="Emphasis"/>
            <w:rFonts w:ascii="Cambria Math" w:hAnsi="Cambria Math"/>
            <w:sz w:val="20"/>
            <w:szCs w:val="20"/>
          </w:rPr>
          <m:t>c</m:t>
        </m:r>
      </m:oMath>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r>
      <w:r w:rsidRPr="00D112AF">
        <w:rPr>
          <w:rStyle w:val="Emphasis"/>
          <w:rFonts w:ascii="Book Antiqua" w:hAnsi="Book Antiqua"/>
          <w:sz w:val="20"/>
          <w:szCs w:val="20"/>
        </w:rPr>
        <w:tab/>
        <w:t xml:space="preserve"> </w:t>
      </w:r>
      <w:r w:rsidRPr="00D112AF">
        <w:rPr>
          <w:rFonts w:ascii="Book Antiqua" w:hAnsi="Book Antiqua"/>
          <w:sz w:val="20"/>
          <w:szCs w:val="20"/>
        </w:rPr>
        <w:t xml:space="preserve">(2) </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From (2) it follows that </w:t>
      </w:r>
    </w:p>
    <w:p w:rsidR="00C96FD7" w:rsidRPr="00D112AF" w:rsidRDefault="007B3EBC" w:rsidP="00C96FD7">
      <w:pPr>
        <w:pStyle w:val="NormalWeb"/>
        <w:jc w:val="right"/>
        <w:rPr>
          <w:rFonts w:ascii="Book Antiqua" w:hAnsi="Book Antiqua"/>
          <w:sz w:val="20"/>
          <w:szCs w:val="20"/>
        </w:rPr>
      </w:pPr>
      <m:oMath>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w:rPr>
            <w:rStyle w:val="Emphasis"/>
            <w:rFonts w:ascii="Cambria Math" w:hAnsi="Book Antiqua"/>
            <w:sz w:val="20"/>
            <w:szCs w:val="20"/>
          </w:rPr>
          <m:t xml:space="preserve"> = </m:t>
        </m:r>
        <m:r>
          <w:rPr>
            <w:rStyle w:val="Emphasis"/>
            <w:rFonts w:ascii="Cambria Math" w:hAnsi="Cambria Math"/>
            <w:sz w:val="20"/>
            <w:szCs w:val="20"/>
          </w:rPr>
          <m:t>v</m:t>
        </m:r>
        <m:r>
          <w:rPr>
            <w:rStyle w:val="Emphasis"/>
            <w:rFonts w:ascii="Cambria Math" w:hAnsi="Book Antiqua"/>
            <w:sz w:val="20"/>
            <w:szCs w:val="20"/>
          </w:rPr>
          <m:t xml:space="preserve"> (</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Style w:val="Emphasis"/>
          <w:rFonts w:ascii="Book Antiqua" w:hAnsi="Book Antiqua"/>
          <w:sz w:val="20"/>
          <w:szCs w:val="20"/>
        </w:rPr>
        <w:tab/>
      </w:r>
      <w:r w:rsidR="00C96FD7" w:rsidRPr="00D112AF">
        <w:rPr>
          <w:rFonts w:ascii="Book Antiqua" w:hAnsi="Book Antiqua"/>
          <w:i/>
          <w:sz w:val="20"/>
          <w:szCs w:val="20"/>
        </w:rPr>
        <w:t xml:space="preserve"> (3)</w:t>
      </w:r>
    </w:p>
    <w:p w:rsidR="00C96FD7" w:rsidRPr="00D112AF" w:rsidRDefault="00C96FD7" w:rsidP="00C96FD7">
      <w:pPr>
        <w:pStyle w:val="NormalWeb"/>
        <w:jc w:val="both"/>
        <w:rPr>
          <w:rFonts w:ascii="Book Antiqua" w:hAnsi="Book Antiqua"/>
          <w:sz w:val="20"/>
          <w:szCs w:val="20"/>
        </w:rPr>
      </w:pPr>
      <w:r w:rsidRPr="00D112AF">
        <w:rPr>
          <w:rFonts w:ascii="Book Antiqua" w:hAnsi="Book Antiqua"/>
          <w:sz w:val="20"/>
          <w:szCs w:val="20"/>
        </w:rPr>
        <w:t xml:space="preserve">Therefore, the actual velocity at the point of emission that we are measuring is </w:t>
      </w:r>
      <m:oMath>
        <m:r>
          <w:rPr>
            <w:rStyle w:val="Emphasis"/>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Style w:val="Emphasis"/>
            <w:rFonts w:ascii="Cambria Math" w:hAnsi="Book Antiqua"/>
            <w:sz w:val="20"/>
            <w:szCs w:val="20"/>
          </w:rPr>
          <m:t>/</m:t>
        </m:r>
        <m:r>
          <w:rPr>
            <w:rStyle w:val="Emphasis"/>
            <w:rFonts w:ascii="Cambria Math" w:hAnsi="Cambria Math"/>
            <w:sz w:val="20"/>
            <w:szCs w:val="20"/>
          </w:rPr>
          <m:t>c</m:t>
        </m:r>
        <m:r>
          <w:rPr>
            <w:rStyle w:val="Emphasis"/>
            <w:rFonts w:ascii="Cambria Math" w:hAnsi="Book Antiqua"/>
            <w:sz w:val="20"/>
            <w:szCs w:val="20"/>
          </w:rPr>
          <m:t>)</m:t>
        </m:r>
      </m:oMath>
      <w:r w:rsidRPr="00D112AF">
        <w:rPr>
          <w:rStyle w:val="Emphasis"/>
          <w:rFonts w:ascii="Book Antiqua" w:hAnsi="Book Antiqua"/>
          <w:sz w:val="20"/>
          <w:szCs w:val="20"/>
        </w:rPr>
        <w:t xml:space="preserve"> </w:t>
      </w:r>
      <w:r w:rsidRPr="00D112AF">
        <w:rPr>
          <w:rFonts w:ascii="Book Antiqua" w:hAnsi="Book Antiqua"/>
          <w:sz w:val="20"/>
          <w:szCs w:val="20"/>
        </w:rPr>
        <w:t>times greater than the velocity</w:t>
      </w:r>
      <m:oMath>
        <m:r>
          <w:rPr>
            <w:rFonts w:ascii="Cambria Math" w:hAnsi="Book Antiqua"/>
            <w:sz w:val="20"/>
            <w:szCs w:val="20"/>
          </w:rPr>
          <m:t xml:space="preserve"> </m:t>
        </m:r>
        <m:r>
          <w:rPr>
            <w:rStyle w:val="Emphasis"/>
            <w:rFonts w:ascii="Cambria Math" w:hAnsi="Cambria Math"/>
            <w:sz w:val="20"/>
            <w:szCs w:val="20"/>
          </w:rPr>
          <m:t>v</m:t>
        </m:r>
        <m:r>
          <w:rPr>
            <w:rFonts w:ascii="Cambria Math" w:hAnsi="Book Antiqua"/>
            <w:sz w:val="20"/>
            <w:szCs w:val="20"/>
          </w:rPr>
          <m:t xml:space="preserve"> </m:t>
        </m:r>
      </m:oMath>
      <w:r w:rsidRPr="00D112AF">
        <w:rPr>
          <w:rFonts w:ascii="Book Antiqua" w:hAnsi="Book Antiqua"/>
          <w:sz w:val="20"/>
          <w:szCs w:val="20"/>
        </w:rPr>
        <w:t>that we are inferring from the measurements. The practical outcome of this conclusion may be demonstrated by two examples.</w:t>
      </w:r>
    </w:p>
    <w:p w:rsidR="00C96FD7" w:rsidRPr="00D112AF" w:rsidRDefault="00C96FD7" w:rsidP="00C96FD7">
      <w:pPr>
        <w:pStyle w:val="NormalWeb"/>
        <w:spacing w:before="0" w:beforeAutospacing="0" w:after="240" w:afterAutospacing="0" w:line="210" w:lineRule="atLeast"/>
        <w:jc w:val="both"/>
        <w:rPr>
          <w:rFonts w:ascii="Book Antiqua" w:hAnsi="Book Antiqua"/>
          <w:b/>
          <w:i/>
          <w:sz w:val="20"/>
          <w:szCs w:val="20"/>
        </w:rPr>
      </w:pPr>
      <w:bookmarkStart w:id="250" w:name="data"/>
      <w:bookmarkEnd w:id="250"/>
      <w:r w:rsidRPr="00D112AF">
        <w:rPr>
          <w:rStyle w:val="Strong"/>
          <w:rFonts w:ascii="Book Antiqua" w:hAnsi="Book Antiqua"/>
          <w:i/>
          <w:sz w:val="20"/>
          <w:szCs w:val="20"/>
        </w:rPr>
        <w:t xml:space="preserve">C2.    Data </w:t>
      </w:r>
      <w:proofErr w:type="gramStart"/>
      <w:r w:rsidRPr="00D112AF">
        <w:rPr>
          <w:rStyle w:val="Strong"/>
          <w:rFonts w:ascii="Book Antiqua" w:hAnsi="Book Antiqua"/>
          <w:i/>
          <w:sz w:val="20"/>
          <w:szCs w:val="20"/>
        </w:rPr>
        <w:t>From</w:t>
      </w:r>
      <w:proofErr w:type="gramEnd"/>
      <w:r w:rsidRPr="00D112AF">
        <w:rPr>
          <w:rStyle w:val="Strong"/>
          <w:rFonts w:ascii="Book Antiqua" w:hAnsi="Book Antiqua"/>
          <w:i/>
          <w:sz w:val="20"/>
          <w:szCs w:val="20"/>
        </w:rPr>
        <w:t xml:space="preserve"> a Supernova</w:t>
      </w:r>
    </w:p>
    <w:p w:rsidR="00C96FD7"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rate of expansion of the supernova SN 1993J in M81 (NGC 3031) was observed in optical, radio and ultraviolet wavelengths. For example, optical spectroscopy using Doppler shifts of the blue edge of the hydrogen alpha line absorption trough determined the expansion rate based on a constant speed of light. Data from the supernova’s brilliance had given a distance to M81 that closely agreed with the Cepheid data [2-5]. But if </w:t>
      </w:r>
      <m:oMath>
        <m:r>
          <w:rPr>
            <w:rStyle w:val="Emphasis"/>
            <w:rFonts w:ascii="Cambria Math" w:hAnsi="Cambria Math"/>
            <w:sz w:val="20"/>
            <w:szCs w:val="20"/>
          </w:rPr>
          <m:t>c</m:t>
        </m:r>
      </m:oMath>
      <w:r w:rsidRPr="00D112AF">
        <w:rPr>
          <w:rFonts w:ascii="Book Antiqua" w:hAnsi="Book Antiqua"/>
          <w:sz w:val="20"/>
          <w:szCs w:val="20"/>
        </w:rPr>
        <w:t xml:space="preserve"> was higher at emission and slowed in transit, then we, the observers, were seeing those events in slow motion. Nevertheless, the Doppler shift calculated on the current speed of light would exactly correspond with the observed sequence of events. This result is obtained since the actual velocity of expansion</w:t>
      </w:r>
      <w:proofErr w:type="gramStart"/>
      <w:r w:rsidRPr="00D112AF">
        <w:rPr>
          <w:rFonts w:ascii="Book Antiqua" w:hAnsi="Book Antiqua"/>
          <w:sz w:val="20"/>
          <w:szCs w:val="20"/>
        </w:rPr>
        <w:t xml:space="preserve">, </w:t>
      </w:r>
      <m:oMath>
        <w:proofErr w:type="gramEnd"/>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oMath>
      <w:r w:rsidRPr="00D112AF">
        <w:rPr>
          <w:rFonts w:ascii="Book Antiqua" w:hAnsi="Book Antiqua"/>
          <w:sz w:val="20"/>
          <w:szCs w:val="20"/>
        </w:rPr>
        <w:t xml:space="preserve">, and the actual velocity of light, </w:t>
      </w:r>
      <m:oMath>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oMath>
      <w:r w:rsidRPr="00D112AF">
        <w:rPr>
          <w:rFonts w:ascii="Book Antiqua" w:hAnsi="Book Antiqua"/>
          <w:sz w:val="20"/>
          <w:szCs w:val="20"/>
        </w:rPr>
        <w:t xml:space="preserve">, were both proportionally greater. Because of this proportionality, the ratio </w:t>
      </w:r>
      <m:oMath>
        <m:r>
          <w:rPr>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v</m:t>
            </m:r>
          </m:e>
          <m:sub>
            <m:r>
              <w:rPr>
                <w:rStyle w:val="Emphasis"/>
                <w:rFonts w:ascii="Cambria Math" w:hAnsi="Book Antiqua"/>
                <w:sz w:val="20"/>
                <w:szCs w:val="20"/>
              </w:rPr>
              <m:t>1</m:t>
            </m:r>
          </m:sub>
        </m:sSub>
        <m:r>
          <m:rPr>
            <m:sty m:val="bi"/>
          </m:rPr>
          <w:rPr>
            <w:rStyle w:val="Strong"/>
            <w:rFonts w:ascii="Cambria Math" w:hAnsi="Book Antiqua"/>
            <w:sz w:val="20"/>
            <w:szCs w:val="20"/>
          </w:rPr>
          <m:t>/</m:t>
        </m:r>
        <m:sSub>
          <m:sSubPr>
            <m:ctrlPr>
              <w:rPr>
                <w:rStyle w:val="Emphasis"/>
                <w:rFonts w:ascii="Cambria Math" w:hAnsi="Book Antiqua"/>
                <w:i w:val="0"/>
                <w:iCs w:val="0"/>
                <w:sz w:val="20"/>
                <w:szCs w:val="20"/>
              </w:rPr>
            </m:ctrlPr>
          </m:sSubPr>
          <m:e>
            <m:r>
              <w:rPr>
                <w:rStyle w:val="Emphasis"/>
                <w:rFonts w:ascii="Cambria Math" w:hAnsi="Cambria Math"/>
                <w:sz w:val="20"/>
                <w:szCs w:val="20"/>
              </w:rPr>
              <m:t>c</m:t>
            </m:r>
          </m:e>
          <m:sub>
            <m:r>
              <w:rPr>
                <w:rStyle w:val="Emphasis"/>
                <w:rFonts w:ascii="Cambria Math" w:hAnsi="Book Antiqua"/>
                <w:sz w:val="20"/>
                <w:szCs w:val="20"/>
              </w:rPr>
              <m:t>1</m:t>
            </m:r>
          </m:sub>
        </m:sSub>
        <m:r>
          <w:rPr>
            <w:rFonts w:ascii="Cambria Math" w:hAnsi="Book Antiqua"/>
            <w:sz w:val="20"/>
            <w:szCs w:val="20"/>
          </w:rPr>
          <m:t>)</m:t>
        </m:r>
      </m:oMath>
      <w:r w:rsidRPr="00D112AF">
        <w:rPr>
          <w:rFonts w:ascii="Book Antiqua" w:hAnsi="Book Antiqua"/>
          <w:sz w:val="20"/>
          <w:szCs w:val="20"/>
        </w:rPr>
        <w:t xml:space="preserve"> at the point of emission is still the same as the inferred </w:t>
      </w:r>
      <m:oMath>
        <m:r>
          <w:rPr>
            <w:rFonts w:ascii="Cambria Math" w:hAnsi="Book Antiqua"/>
            <w:sz w:val="20"/>
            <w:szCs w:val="20"/>
          </w:rPr>
          <m:t>(</m:t>
        </m:r>
        <m:r>
          <w:rPr>
            <w:rFonts w:ascii="Cambria Math" w:hAnsi="Cambria Math"/>
            <w:sz w:val="20"/>
            <w:szCs w:val="20"/>
          </w:rPr>
          <m:t>v</m:t>
        </m:r>
        <m:r>
          <w:rPr>
            <w:rFonts w:ascii="Cambria Math" w:hAnsi="Book Antiqua"/>
            <w:sz w:val="20"/>
            <w:szCs w:val="20"/>
          </w:rPr>
          <m:t>/</m:t>
        </m:r>
        <m:r>
          <w:rPr>
            <w:rFonts w:ascii="Cambria Math" w:hAnsi="Cambria Math"/>
            <w:sz w:val="20"/>
            <w:szCs w:val="20"/>
          </w:rPr>
          <m:t>c</m:t>
        </m:r>
        <m:r>
          <w:rPr>
            <w:rFonts w:ascii="Cambria Math" w:hAnsi="Book Antiqua"/>
            <w:sz w:val="20"/>
            <w:szCs w:val="20"/>
          </w:rPr>
          <m:t>)</m:t>
        </m:r>
      </m:oMath>
      <w:r w:rsidRPr="00D112AF">
        <w:rPr>
          <w:rFonts w:ascii="Book Antiqua" w:hAnsi="Book Antiqua"/>
          <w:sz w:val="20"/>
          <w:szCs w:val="20"/>
        </w:rPr>
        <w:t xml:space="preserve"> at reception, so velocities measured by Doppler shifts will always be in agreement with observed phenomena under conditions of varying ZPE and lightspeed, </w:t>
      </w:r>
      <m:oMath>
        <m:r>
          <w:rPr>
            <w:rStyle w:val="Emphasis"/>
            <w:rFonts w:ascii="Cambria Math" w:hAnsi="Cambria Math"/>
            <w:sz w:val="20"/>
            <w:szCs w:val="20"/>
          </w:rPr>
          <m:t>c</m:t>
        </m:r>
      </m:oMath>
      <w:r w:rsidRPr="00D112AF">
        <w:rPr>
          <w:rFonts w:ascii="Book Antiqua" w:hAnsi="Book Antiqua"/>
          <w:sz w:val="20"/>
          <w:szCs w:val="20"/>
        </w:rPr>
        <w:t>.</w:t>
      </w:r>
      <w:bookmarkStart w:id="251" w:name="rotation"/>
      <w:bookmarkEnd w:id="251"/>
    </w:p>
    <w:p w:rsidR="00C96FD7" w:rsidRPr="00D112AF" w:rsidRDefault="00C96FD7" w:rsidP="00C96FD7">
      <w:pPr>
        <w:pStyle w:val="NormalWeb"/>
        <w:jc w:val="both"/>
        <w:rPr>
          <w:rFonts w:ascii="Book Antiqua" w:hAnsi="Book Antiqua"/>
          <w:b/>
          <w:i/>
          <w:sz w:val="20"/>
          <w:szCs w:val="20"/>
        </w:rPr>
      </w:pPr>
      <w:r w:rsidRPr="00D112AF">
        <w:rPr>
          <w:rFonts w:ascii="Book Antiqua" w:hAnsi="Book Antiqua"/>
          <w:b/>
          <w:i/>
          <w:sz w:val="20"/>
          <w:szCs w:val="20"/>
        </w:rPr>
        <w:lastRenderedPageBreak/>
        <w:t xml:space="preserve">C3.   </w:t>
      </w:r>
      <w:r w:rsidRPr="00D112AF">
        <w:rPr>
          <w:rStyle w:val="Strong"/>
          <w:rFonts w:ascii="Book Antiqua" w:hAnsi="Book Antiqua"/>
          <w:i/>
          <w:sz w:val="20"/>
          <w:szCs w:val="20"/>
        </w:rPr>
        <w:t>Rotation Rates of Distant Galaxies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Doppler shifts are used to calculate galaxy rotation rates.  </w:t>
      </w:r>
      <w:r>
        <w:rPr>
          <w:rFonts w:ascii="Book Antiqua" w:hAnsi="Book Antiqua"/>
          <w:sz w:val="20"/>
          <w:szCs w:val="20"/>
        </w:rPr>
        <w:t>However, e</w:t>
      </w:r>
      <w:r w:rsidRPr="00D112AF">
        <w:rPr>
          <w:rFonts w:ascii="Book Antiqua" w:hAnsi="Book Antiqua"/>
          <w:sz w:val="20"/>
          <w:szCs w:val="20"/>
        </w:rPr>
        <w:t xml:space="preserve">quation (3) implies these rates were faster than suspected from a straightforward reading of the Doppler measurements. The problem of the flat rotation curves of galaxies, where stars in the outer parts of galaxies are rotating around the center at the same speed as those closer in, is well-known. It has given rise to the idea of the ‘missing mass’ which it is thought must exist as ‘dark matter’ halos to galaxies. This is the only way the gravitational model can attempt to explain the speed of rotation of the outer arms.  A changing ZPE and Doppler shift seem to make the situation as shown in equation (3) somewhat worse in the eyes of a number of astronomers.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The answer to this comes from the Plasma Model of galaxy formation which was elaborated by Anthony Peratt in two major articles in the IEEE Transaction on Plasma Science [6]. There, Peratt published photographs of experiments in the laboratory with plasma filaments and Birkeland currents. The photographs reveal that every form of galaxy can be reproduced as a sequence starting with a double radio galaxy and a quasar and ending up with a spiral galaxy simply by the interaction of two or more plasma filaments. The interaction time governs the final form of the object </w:t>
      </w:r>
      <w:hyperlink r:id="rId1271" w:anchor="6a220" w:history="1">
        <w:r w:rsidRPr="00D112AF">
          <w:rPr>
            <w:rStyle w:val="Hyperlink"/>
            <w:rFonts w:ascii="Book Antiqua" w:hAnsi="Book Antiqua"/>
            <w:sz w:val="20"/>
            <w:szCs w:val="20"/>
          </w:rPr>
          <w:t>[6]</w:t>
        </w:r>
      </w:hyperlink>
      <w:r w:rsidRPr="00D112AF">
        <w:rPr>
          <w:rFonts w:ascii="Book Antiqua" w:hAnsi="Book Antiqua"/>
          <w:sz w:val="20"/>
          <w:szCs w:val="20"/>
        </w:rPr>
        <w:t>. One of the sequences is reproduced in Figure 1 below.</w:t>
      </w:r>
    </w:p>
    <w:p w:rsidR="00C96FD7" w:rsidRPr="00D112AF" w:rsidRDefault="00C96FD7" w:rsidP="00C96FD7">
      <w:pPr>
        <w:pStyle w:val="NormalWeb"/>
        <w:jc w:val="center"/>
        <w:rPr>
          <w:rFonts w:ascii="Book Antiqua" w:hAnsi="Book Antiqua"/>
          <w:sz w:val="20"/>
          <w:szCs w:val="20"/>
        </w:rPr>
      </w:pPr>
      <w:r w:rsidRPr="00D112AF">
        <w:rPr>
          <w:rFonts w:ascii="Book Antiqua" w:hAnsi="Book Antiqua"/>
          <w:noProof/>
          <w:sz w:val="20"/>
          <w:szCs w:val="20"/>
        </w:rPr>
        <w:drawing>
          <wp:inline distT="0" distB="0" distL="0" distR="0">
            <wp:extent cx="6611435" cy="2676525"/>
            <wp:effectExtent l="19050" t="0" r="0" b="0"/>
            <wp:docPr id="773" name="Picture 10" desc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b"/>
                    <pic:cNvPicPr>
                      <a:picLocks noChangeAspect="1" noChangeArrowheads="1"/>
                    </pic:cNvPicPr>
                  </pic:nvPicPr>
                  <pic:blipFill>
                    <a:blip r:embed="rId1272" cstate="print"/>
                    <a:srcRect/>
                    <a:stretch>
                      <a:fillRect/>
                    </a:stretch>
                  </pic:blipFill>
                  <pic:spPr bwMode="auto">
                    <a:xfrm>
                      <a:off x="0" y="0"/>
                      <a:ext cx="6615069" cy="2677996"/>
                    </a:xfrm>
                    <a:prstGeom prst="rect">
                      <a:avLst/>
                    </a:prstGeom>
                    <a:noFill/>
                    <a:ln w="9525">
                      <a:noFill/>
                      <a:miter lim="800000"/>
                      <a:headEnd/>
                      <a:tailEnd/>
                    </a:ln>
                  </pic:spPr>
                </pic:pic>
              </a:graphicData>
            </a:graphic>
          </wp:inline>
        </w:drawing>
      </w:r>
    </w:p>
    <w:p w:rsidR="00C96FD7" w:rsidRPr="0092452E" w:rsidRDefault="00C96FD7" w:rsidP="00C96FD7">
      <w:pPr>
        <w:pStyle w:val="NormalWeb"/>
        <w:rPr>
          <w:rFonts w:ascii="Book Antiqua" w:hAnsi="Book Antiqua"/>
          <w:i/>
          <w:sz w:val="18"/>
          <w:szCs w:val="18"/>
        </w:rPr>
      </w:pPr>
      <w:r w:rsidRPr="0092452E">
        <w:rPr>
          <w:rFonts w:ascii="Book Antiqua" w:hAnsi="Book Antiqua"/>
          <w:b/>
          <w:i/>
          <w:sz w:val="18"/>
          <w:szCs w:val="18"/>
        </w:rPr>
        <w:t xml:space="preserve">Figure </w:t>
      </w:r>
      <w:proofErr w:type="gramStart"/>
      <w:r w:rsidRPr="0092452E">
        <w:rPr>
          <w:rFonts w:ascii="Book Antiqua" w:hAnsi="Book Antiqua"/>
          <w:b/>
          <w:i/>
          <w:sz w:val="18"/>
          <w:szCs w:val="18"/>
        </w:rPr>
        <w:t>I</w:t>
      </w:r>
      <w:proofErr w:type="gramEnd"/>
      <w:r w:rsidRPr="0092452E">
        <w:rPr>
          <w:rFonts w:ascii="Book Antiqua" w:hAnsi="Book Antiqua"/>
          <w:b/>
          <w:i/>
          <w:sz w:val="18"/>
          <w:szCs w:val="18"/>
        </w:rPr>
        <w:t>:</w:t>
      </w:r>
      <w:r w:rsidRPr="0092452E">
        <w:rPr>
          <w:rFonts w:ascii="Book Antiqua" w:hAnsi="Book Antiqua"/>
          <w:i/>
          <w:sz w:val="18"/>
          <w:szCs w:val="18"/>
        </w:rPr>
        <w:t xml:space="preserve"> The interaction sequence of two plasma filaments in the laboratory, looking down their length from above</w:t>
      </w:r>
      <w:r>
        <w:rPr>
          <w:rFonts w:ascii="Book Antiqua" w:hAnsi="Book Antiqua"/>
          <w:i/>
          <w:sz w:val="18"/>
          <w:szCs w:val="18"/>
        </w:rPr>
        <w:t xml:space="preserve"> at their point of closest approach</w:t>
      </w:r>
      <w:r w:rsidRPr="0092452E">
        <w:rPr>
          <w:rFonts w:ascii="Book Antiqua" w:hAnsi="Book Antiqua"/>
          <w:i/>
          <w:sz w:val="18"/>
          <w:szCs w:val="18"/>
        </w:rPr>
        <w:t xml:space="preserve">. Every kind of galaxy </w:t>
      </w:r>
      <w:r>
        <w:rPr>
          <w:rFonts w:ascii="Book Antiqua" w:hAnsi="Book Antiqua"/>
          <w:i/>
          <w:sz w:val="18"/>
          <w:szCs w:val="18"/>
        </w:rPr>
        <w:t>has</w:t>
      </w:r>
      <w:r w:rsidRPr="0092452E">
        <w:rPr>
          <w:rFonts w:ascii="Book Antiqua" w:hAnsi="Book Antiqua"/>
          <w:i/>
          <w:sz w:val="18"/>
          <w:szCs w:val="18"/>
        </w:rPr>
        <w:t xml:space="preserve"> be</w:t>
      </w:r>
      <w:r>
        <w:rPr>
          <w:rFonts w:ascii="Book Antiqua" w:hAnsi="Book Antiqua"/>
          <w:i/>
          <w:sz w:val="18"/>
          <w:szCs w:val="18"/>
        </w:rPr>
        <w:t xml:space="preserve">en </w:t>
      </w:r>
      <w:r w:rsidRPr="0092452E">
        <w:rPr>
          <w:rFonts w:ascii="Book Antiqua" w:hAnsi="Book Antiqua"/>
          <w:i/>
          <w:sz w:val="18"/>
          <w:szCs w:val="18"/>
        </w:rPr>
        <w:t>formed in miniature, depending where the interaction stops. Experiments with up to 12 interacting filaments have been performed, but most galaxy types result from the interaction of two or three filaments. See Chapter 6 for more details.</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 xml:space="preserve"> The experiments show that the flat rotation curves of the spiral arms in galaxies are reproduced exactly. The spiral arms are not controlled by gravitation, but rather by the strength of the Birkeland current in the plasma filaments which make up the spiral arms </w:t>
      </w:r>
      <w:hyperlink r:id="rId1273" w:anchor="6a221" w:history="1">
        <w:r w:rsidRPr="00D112AF">
          <w:rPr>
            <w:rStyle w:val="Hyperlink"/>
            <w:rFonts w:ascii="Book Antiqua" w:hAnsi="Book Antiqua"/>
            <w:sz w:val="20"/>
            <w:szCs w:val="20"/>
          </w:rPr>
          <w:t>[7]</w:t>
        </w:r>
      </w:hyperlink>
      <w:r w:rsidRPr="00D112AF">
        <w:rPr>
          <w:rFonts w:ascii="Book Antiqua" w:hAnsi="Book Antiqua"/>
          <w:sz w:val="20"/>
          <w:szCs w:val="20"/>
        </w:rPr>
        <w:t xml:space="preserve">. The animated versions of the experimental photographs reveal this clearly. As the current strength drops off, so, too, does the rotation rate of the spiral arms about the galaxy center. It has nothing to do with gravity and orbital mechanics. Thus when the Birkeland current strength is greater, the entire galaxy rotation rate is faster </w:t>
      </w:r>
      <w:hyperlink r:id="rId1274" w:anchor="6a223" w:history="1">
        <w:r w:rsidRPr="009D4E00">
          <w:rPr>
            <w:rStyle w:val="Hyperlink"/>
            <w:rFonts w:ascii="Book Antiqua" w:hAnsi="Book Antiqua"/>
            <w:sz w:val="20"/>
            <w:szCs w:val="20"/>
          </w:rPr>
          <w:t>[7]</w:t>
        </w:r>
      </w:hyperlink>
      <w:r w:rsidRPr="00D112AF">
        <w:rPr>
          <w:rFonts w:ascii="Book Antiqua" w:hAnsi="Book Antiqua"/>
          <w:sz w:val="20"/>
          <w:szCs w:val="20"/>
        </w:rPr>
        <w:t>. This is in accord with plasma theory.</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t>It might then be expected that the strength of the Birkeland currents would decline with time after the formation of the universe. For this reason alone, it would then be anticipated that actual galaxy rotation rates would be faster the</w:t>
      </w:r>
      <w:r>
        <w:rPr>
          <w:rFonts w:ascii="Book Antiqua" w:hAnsi="Book Antiqua"/>
          <w:sz w:val="20"/>
          <w:szCs w:val="20"/>
        </w:rPr>
        <w:t xml:space="preserve"> farther out they are, or</w:t>
      </w:r>
      <w:r w:rsidRPr="00D112AF">
        <w:rPr>
          <w:rFonts w:ascii="Book Antiqua" w:hAnsi="Book Antiqua"/>
          <w:sz w:val="20"/>
          <w:szCs w:val="20"/>
        </w:rPr>
        <w:t xml:space="preserve"> nearer they are to the inception of the cosmos. This situation closely approximates what we are seeing if the Doppler velocities are corrected for higher lightspeed at the time of emission. </w:t>
      </w:r>
    </w:p>
    <w:p w:rsidR="00C96FD7" w:rsidRPr="00D112AF" w:rsidRDefault="00C96FD7" w:rsidP="00C96FD7">
      <w:pPr>
        <w:pStyle w:val="NormalWeb"/>
        <w:ind w:firstLine="720"/>
        <w:jc w:val="both"/>
        <w:rPr>
          <w:rFonts w:ascii="Book Antiqua" w:hAnsi="Book Antiqua"/>
          <w:sz w:val="20"/>
          <w:szCs w:val="20"/>
        </w:rPr>
      </w:pPr>
      <w:r w:rsidRPr="00D112AF">
        <w:rPr>
          <w:rFonts w:ascii="Book Antiqua" w:hAnsi="Book Antiqua"/>
          <w:sz w:val="20"/>
          <w:szCs w:val="20"/>
        </w:rPr>
        <w:lastRenderedPageBreak/>
        <w:t>Chapter 6 shows that when the ZPE strength is lower, and lightspeed is higher, the electric current strengths will be intrinsically greater. Therefore, using plasma physics, and an initially low ZPE strength, it follows that galaxy rotation rates must necessarily be higher in the past. Rotation rates then drop</w:t>
      </w:r>
      <w:r>
        <w:rPr>
          <w:rFonts w:ascii="Book Antiqua" w:hAnsi="Book Antiqua"/>
          <w:sz w:val="20"/>
          <w:szCs w:val="20"/>
        </w:rPr>
        <w:t>ped</w:t>
      </w:r>
      <w:r w:rsidRPr="00D112AF">
        <w:rPr>
          <w:rFonts w:ascii="Book Antiqua" w:hAnsi="Book Antiqua"/>
          <w:sz w:val="20"/>
          <w:szCs w:val="20"/>
        </w:rPr>
        <w:t xml:space="preserve"> as the ZPE strength increased and currents lessened. This agrees with what we see as well as with the evidence from galaxy Doppler shifts. Equations (1) to (3</w:t>
      </w:r>
      <w:proofErr w:type="gramStart"/>
      <w:r w:rsidRPr="00D112AF">
        <w:rPr>
          <w:rFonts w:ascii="Book Antiqua" w:hAnsi="Book Antiqua"/>
          <w:sz w:val="20"/>
          <w:szCs w:val="20"/>
        </w:rPr>
        <w:t>),</w:t>
      </w:r>
      <w:proofErr w:type="gramEnd"/>
      <w:r w:rsidRPr="00D112AF">
        <w:rPr>
          <w:rFonts w:ascii="Book Antiqua" w:hAnsi="Book Antiqua"/>
          <w:sz w:val="20"/>
          <w:szCs w:val="20"/>
        </w:rPr>
        <w:t xml:space="preserve"> imply that the further out into space we look, the faster the galaxy rotation rates should be.  Plasma physics agrees when it is coupled with an increasing ZPE strength and declining </w:t>
      </w:r>
      <w:r w:rsidRPr="00D112AF">
        <w:rPr>
          <w:rStyle w:val="Emphasis"/>
          <w:rFonts w:ascii="Book Antiqua" w:hAnsi="Book Antiqua"/>
          <w:sz w:val="20"/>
          <w:szCs w:val="20"/>
        </w:rPr>
        <w:t>c</w:t>
      </w:r>
      <w:r w:rsidRPr="00D112AF">
        <w:rPr>
          <w:rFonts w:ascii="Book Antiqua" w:hAnsi="Book Antiqua"/>
          <w:sz w:val="20"/>
          <w:szCs w:val="20"/>
        </w:rPr>
        <w:t xml:space="preserve"> values. </w:t>
      </w:r>
    </w:p>
    <w:p w:rsidR="00C96FD7" w:rsidRPr="00D112AF" w:rsidRDefault="00C96FD7" w:rsidP="00C96FD7">
      <w:pPr>
        <w:pStyle w:val="NormalWeb"/>
        <w:spacing w:before="0" w:beforeAutospacing="0" w:after="240" w:afterAutospacing="0" w:line="210" w:lineRule="atLeast"/>
        <w:jc w:val="both"/>
        <w:rPr>
          <w:rStyle w:val="Strong"/>
          <w:rFonts w:ascii="Book Antiqua" w:hAnsi="Book Antiqua"/>
          <w:b w:val="0"/>
          <w:i/>
          <w:sz w:val="20"/>
          <w:szCs w:val="20"/>
        </w:rPr>
      </w:pPr>
      <w:r w:rsidRPr="00D112AF">
        <w:rPr>
          <w:rStyle w:val="Strong"/>
          <w:rFonts w:ascii="Book Antiqua" w:hAnsi="Book Antiqua"/>
          <w:i/>
          <w:sz w:val="20"/>
          <w:szCs w:val="20"/>
        </w:rPr>
        <w:t>C4.   Binary Stars' Orbit Revolution Rates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As shown, the Doppler shift information gives us the rotation rates of distant galaxies.  It also gives us similar information regarding binary stars.  These are two</w:t>
      </w:r>
      <w:r w:rsidRPr="00C96FD7">
        <w:rPr>
          <w:rStyle w:val="Strong"/>
          <w:rFonts w:ascii="Book Antiqua" w:hAnsi="Book Antiqua"/>
          <w:b w:val="0"/>
          <w:sz w:val="20"/>
          <w:szCs w:val="20"/>
        </w:rPr>
        <w:softHyphen/>
        <w:t xml:space="preserve">-star systems which orbit around each other.  In some two-star systems, their alignment is such that, as seen from the earth, periodic eclipses occur as one star passes in front of the other. These are known, specifically, as eclipsing binaries.  There have been recorded over 11,000 eclipsing binary stars in our Local Group of galaxies [8]. This includes our own Galaxy (the Milky Way), the Large Magellanic Cloud, the Small Magellanic Cloud, M31 (the great Andromeda galaxy), and M33 (the Triangulum spiral galaxy), as well as some of the associated dwarf galaxies. The times between the eclipses can be measured as one star passes in front of its companion star. This gives us the time it takes for the stars to orbit each other. In addition, the velocity of the two stars involved can be measured by the Doppler </w:t>
      </w:r>
      <w:proofErr w:type="gramStart"/>
      <w:r w:rsidRPr="00C96FD7">
        <w:rPr>
          <w:rStyle w:val="Strong"/>
          <w:rFonts w:ascii="Book Antiqua" w:hAnsi="Book Antiqua"/>
          <w:b w:val="0"/>
          <w:sz w:val="20"/>
          <w:szCs w:val="20"/>
        </w:rPr>
        <w:t>effect</w:t>
      </w:r>
      <w:proofErr w:type="gramEnd"/>
      <w:r w:rsidRPr="00C96FD7">
        <w:rPr>
          <w:rStyle w:val="Strong"/>
          <w:rFonts w:ascii="Book Antiqua" w:hAnsi="Book Antiqua"/>
          <w:b w:val="0"/>
          <w:sz w:val="20"/>
          <w:szCs w:val="20"/>
        </w:rPr>
        <w:t>. The color of the stars supplies additional information. From these data, astronomers try to calculate orbital characteristics, as well as the masses and distances of the stars involved.</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Nevertheless, some feel that there might be a potential problem because of equation (3) in this Appendix. This suspected problem arises because the ZPE was lower in the past, so there was a higher speed of light. Consequently, we are seeing these eclipsing binary star events in slow motion. Thus the orbit times for the stars involved must have been shorter at the time when the light was emitted. This is backed up by equation (3) which indicates that the orbit speed was higher than we are assuming from the Doppler data. Thus the orbit velocity (indicated by the Doppler shift) was higher, in proportion to the speed of light change (as given by equation 3), and the orbital period (from the eclipse timing) was correspondingly shorter. The two effects are synchronous. From gravitational physics, faster orbit times mean either more massive stars and/or much tighter orbits so the two components of the system are closer together. The suspicion is that if this is the case, then unrealistically short distances between the stars would be required and/or unrealistic velocities.  But that is the necessary outcome from gravitational physics.</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However the explanation is quite clear in the plasma physics model: although some double stars may be formed by stellar fissioning, most double stars are formed from twin plasma filaments. Due to the nature of intertwining plasma filaments, which are a feature of Birkeland currents, the majority of binaries are probably formed from intertwining plasma filaments. Multiple stars could then be formed from multiple filaments. Laboratory experiments with plasma have included up to 12 filaments. Those filaments with parallel currents intertwine and their magnetic fields cause them to approach each other until short-range repulsive forces operate to keep them apart. In space, when the system undergoes a Bennett pinch, plasma stars are formed, each of which has an electric charge. </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Stars bearing an electric charge</w:t>
      </w:r>
      <w:proofErr w:type="gramStart"/>
      <w:r w:rsidRPr="00C96FD7">
        <w:rPr>
          <w:rStyle w:val="Strong"/>
          <w:rFonts w:ascii="Book Antiqua" w:hAnsi="Book Antiqua"/>
          <w:b w:val="0"/>
          <w:sz w:val="20"/>
          <w:szCs w:val="20"/>
        </w:rPr>
        <w:t xml:space="preserve">, </w:t>
      </w:r>
      <m:oMath>
        <w:proofErr w:type="gramEnd"/>
        <m:r>
          <m:rPr>
            <m:sty m:val="bi"/>
          </m:rPr>
          <w:rPr>
            <w:rStyle w:val="Strong"/>
            <w:rFonts w:ascii="Cambria Math" w:hAnsi="Book Antiqua"/>
            <w:sz w:val="20"/>
            <w:szCs w:val="20"/>
          </w:rPr>
          <m:t>+</m:t>
        </m:r>
        <m:r>
          <m:rPr>
            <m:sty m:val="bi"/>
          </m:rPr>
          <w:rPr>
            <w:rStyle w:val="Strong"/>
            <w:rFonts w:ascii="Cambria Math" w:hAnsi="Cambria Math"/>
            <w:sz w:val="20"/>
            <w:szCs w:val="20"/>
          </w:rPr>
          <m:t>q</m:t>
        </m:r>
      </m:oMath>
      <w:r w:rsidRPr="00C96FD7">
        <w:rPr>
          <w:rStyle w:val="Strong"/>
          <w:rFonts w:ascii="Book Antiqua" w:hAnsi="Book Antiqua"/>
          <w:b w:val="0"/>
          <w:sz w:val="20"/>
          <w:szCs w:val="20"/>
        </w:rPr>
        <w:t xml:space="preserve">, are in a classical situation:  in the laboratory, a charged particle in a magnetic field is acted on by a force which gives it a velocity, </w:t>
      </w:r>
      <m:oMath>
        <m:r>
          <m:rPr>
            <m:sty m:val="bi"/>
          </m:rPr>
          <w:rPr>
            <w:rStyle w:val="Strong"/>
            <w:rFonts w:ascii="Cambria Math" w:hAnsi="Cambria Math"/>
            <w:sz w:val="20"/>
            <w:szCs w:val="20"/>
          </w:rPr>
          <m:t>v</m:t>
        </m:r>
      </m:oMath>
      <w:r w:rsidRPr="00C96FD7">
        <w:rPr>
          <w:rStyle w:val="Strong"/>
          <w:rFonts w:ascii="Book Antiqua" w:hAnsi="Book Antiqua"/>
          <w:b w:val="0"/>
          <w:sz w:val="20"/>
          <w:szCs w:val="20"/>
        </w:rPr>
        <w:t>, or angular velocity</w:t>
      </w:r>
      <m:oMath>
        <m:r>
          <m:rPr>
            <m:sty m:val="bi"/>
          </m:rPr>
          <w:rPr>
            <w:rStyle w:val="Strong"/>
            <w:rFonts w:ascii="Cambria Math" w:hAnsi="Book Antiqua"/>
            <w:sz w:val="20"/>
            <w:szCs w:val="20"/>
          </w:rPr>
          <m:t xml:space="preserve"> </m:t>
        </m:r>
        <m:r>
          <m:rPr>
            <m:sty m:val="bi"/>
          </m:rPr>
          <w:rPr>
            <w:rStyle w:val="Strong"/>
            <w:rFonts w:ascii="Cambria Math" w:hAnsi="Cambria Math"/>
            <w:sz w:val="20"/>
            <w:szCs w:val="20"/>
          </w:rPr>
          <m:t>ω</m:t>
        </m:r>
      </m:oMath>
      <w:r w:rsidRPr="00C96FD7">
        <w:rPr>
          <w:rStyle w:val="Strong"/>
          <w:rFonts w:ascii="Book Antiqua" w:hAnsi="Book Antiqua"/>
          <w:b w:val="0"/>
          <w:sz w:val="20"/>
          <w:szCs w:val="20"/>
        </w:rPr>
        <w:t xml:space="preserve"> as it travels in a circle. Both velocities are dependent on the strength of the current. If we substitute the two stars, each carrying a strong electric charge, for the charged particles, they will behave the same way.  They will come to their closest approach distance governed by the operation of short range repulsive forces, which depend on the parameters of the system. Since the ratio </w:t>
      </w:r>
      <m:oMath>
        <m:r>
          <m:rPr>
            <m:sty m:val="bi"/>
          </m:rPr>
          <w:rPr>
            <w:rStyle w:val="Strong"/>
            <w:rFonts w:ascii="Cambria Math" w:hAnsi="Book Antiqua"/>
            <w:sz w:val="20"/>
            <w:szCs w:val="20"/>
          </w:rPr>
          <m:t>(</m:t>
        </m:r>
        <m:sSup>
          <m:sSupPr>
            <m:ctrlPr>
              <w:rPr>
                <w:rStyle w:val="Strong"/>
                <w:rFonts w:ascii="Cambria Math" w:hAnsi="Book Antiqua"/>
                <w:b w:val="0"/>
                <w:bCs w:val="0"/>
                <w:i/>
                <w:sz w:val="20"/>
                <w:szCs w:val="20"/>
              </w:rPr>
            </m:ctrlPr>
          </m:sSupPr>
          <m:e>
            <m:r>
              <m:rPr>
                <m:sty m:val="bi"/>
              </m:rPr>
              <w:rPr>
                <w:rStyle w:val="Strong"/>
                <w:rFonts w:ascii="Cambria Math" w:hAnsi="Cambria Math"/>
                <w:sz w:val="20"/>
                <w:szCs w:val="20"/>
              </w:rPr>
              <m:t>q</m:t>
            </m:r>
          </m:e>
          <m:sup>
            <m:r>
              <m:rPr>
                <m:sty m:val="bi"/>
              </m:rPr>
              <w:rPr>
                <w:rStyle w:val="Strong"/>
                <w:rFonts w:ascii="Cambria Math" w:hAnsi="Cambria Math"/>
                <w:sz w:val="20"/>
                <w:szCs w:val="20"/>
              </w:rPr>
              <m:t>2</m:t>
            </m:r>
          </m:sup>
        </m:sSup>
        <m:r>
          <m:rPr>
            <m:sty m:val="bi"/>
          </m:rPr>
          <w:rPr>
            <w:rStyle w:val="Strong"/>
            <w:rFonts w:ascii="Cambria Math" w:hAnsi="Book Antiqua"/>
            <w:sz w:val="20"/>
            <w:szCs w:val="20"/>
          </w:rPr>
          <m:t>/</m:t>
        </m:r>
        <m:r>
          <m:rPr>
            <m:sty m:val="bi"/>
          </m:rPr>
          <w:rPr>
            <w:rStyle w:val="Strong"/>
            <w:rFonts w:ascii="Cambria Math" w:hAnsi="Cambria Math"/>
            <w:sz w:val="20"/>
            <w:szCs w:val="20"/>
          </w:rPr>
          <m:t>ε</m:t>
        </m:r>
        <m:r>
          <m:rPr>
            <m:sty m:val="bi"/>
          </m:rPr>
          <w:rPr>
            <w:rStyle w:val="Strong"/>
            <w:rFonts w:ascii="Cambria Math" w:hAnsi="Book Antiqua"/>
            <w:sz w:val="20"/>
            <w:szCs w:val="20"/>
          </w:rPr>
          <m:t xml:space="preserve">) </m:t>
        </m:r>
      </m:oMath>
      <w:r w:rsidRPr="00C96FD7">
        <w:rPr>
          <w:rStyle w:val="Strong"/>
          <w:rFonts w:ascii="Book Antiqua" w:hAnsi="Book Antiqua"/>
          <w:b w:val="0"/>
          <w:sz w:val="20"/>
          <w:szCs w:val="20"/>
        </w:rPr>
        <w:t>remains constant for the charges on the stars, then this minimum separation distance will remain fixed as the ZPE varies. However, their velocity, as they circle each other in the magnetic field, can be shown (as in Chapter 6) to be inversely proportional to the strength of the ZPE and so proportional to the speed of light.</w:t>
      </w:r>
    </w:p>
    <w:p w:rsidR="00C96FD7" w:rsidRP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lastRenderedPageBreak/>
        <w:t xml:space="preserve">As demonstrated in Chapter 6, when the ZPE strength was lower, the electric and magnetic forces acting on the stars in a double or multiple systems would have been stronger than gravitational forces. This means the orbiting of stars in these systems was then in response to electromagnetic forces, making orbital velocities were higher, proportional </w:t>
      </w:r>
      <w:proofErr w:type="gramStart"/>
      <w:r w:rsidRPr="00C96FD7">
        <w:rPr>
          <w:rStyle w:val="Strong"/>
          <w:rFonts w:ascii="Book Antiqua" w:hAnsi="Book Antiqua"/>
          <w:b w:val="0"/>
          <w:sz w:val="20"/>
          <w:szCs w:val="20"/>
        </w:rPr>
        <w:t xml:space="preserve">to </w:t>
      </w:r>
      <m:oMath>
        <w:proofErr w:type="gramEnd"/>
        <m:r>
          <m:rPr>
            <m:sty m:val="bi"/>
          </m:rPr>
          <w:rPr>
            <w:rStyle w:val="Strong"/>
            <w:rFonts w:ascii="Cambria Math" w:hAnsi="Cambria Math"/>
            <w:sz w:val="20"/>
            <w:szCs w:val="20"/>
          </w:rPr>
          <m:t>c</m:t>
        </m:r>
      </m:oMath>
      <w:r w:rsidRPr="00C96FD7">
        <w:rPr>
          <w:rStyle w:val="Strong"/>
          <w:rFonts w:ascii="Book Antiqua" w:hAnsi="Book Antiqua"/>
          <w:b w:val="0"/>
          <w:sz w:val="20"/>
          <w:szCs w:val="20"/>
        </w:rPr>
        <w:t xml:space="preserve">. Orbit times and hence eclipse times were then shorter. Orbit radii, however, remained approximately constant because the action of short-range repulsive forces. As the light emitted from these events slowed in transit, we see these events in slow motion with proportionally longer times between eclipses.  This matches the Doppler orbit velocities. In this way, the orbit times for eclipsing binaries as we view them will remain constant. </w:t>
      </w:r>
    </w:p>
    <w:p w:rsidR="00C96FD7" w:rsidRPr="00D112AF" w:rsidRDefault="00C96FD7" w:rsidP="00C96FD7">
      <w:pPr>
        <w:pStyle w:val="NormalWeb"/>
        <w:ind w:firstLine="720"/>
        <w:jc w:val="both"/>
        <w:rPr>
          <w:rFonts w:ascii="Book Antiqua" w:hAnsi="Book Antiqua"/>
          <w:sz w:val="20"/>
          <w:szCs w:val="20"/>
        </w:rPr>
      </w:pPr>
      <w:r w:rsidRPr="00C96FD7">
        <w:rPr>
          <w:rStyle w:val="Strong"/>
          <w:rFonts w:ascii="Book Antiqua" w:hAnsi="Book Antiqua"/>
          <w:b w:val="0"/>
          <w:sz w:val="20"/>
          <w:szCs w:val="20"/>
        </w:rPr>
        <w:t xml:space="preserve">As we approach our own epoch in time and space, the strength of electromagnetic interactions reduces until eventually gravity takes over. Near the change-over point there will be contributions to orbit parameters from both electromagnetism and gravity. The equation for stars orbiting under the effects of both gravity and electric and magnetic forces was given by </w:t>
      </w:r>
      <w:r w:rsidRPr="00D112AF">
        <w:rPr>
          <w:rFonts w:ascii="Book Antiqua" w:hAnsi="Book Antiqua"/>
          <w:sz w:val="20"/>
          <w:szCs w:val="20"/>
        </w:rPr>
        <w:t xml:space="preserve">Anthony Peratt. The motion of a solid object in such an environment is completely described by his second equation in </w:t>
      </w:r>
      <w:r w:rsidRPr="00D112AF">
        <w:rPr>
          <w:rFonts w:ascii="Book Antiqua" w:hAnsi="Book Antiqua"/>
          <w:i/>
          <w:sz w:val="20"/>
          <w:szCs w:val="20"/>
        </w:rPr>
        <w:t>Evolution of a Plasma Universe</w:t>
      </w:r>
      <w:r w:rsidRPr="00D112AF">
        <w:rPr>
          <w:rFonts w:ascii="Book Antiqua" w:hAnsi="Book Antiqua"/>
          <w:sz w:val="20"/>
          <w:szCs w:val="20"/>
        </w:rPr>
        <w:t xml:space="preserve"> [9]:</w:t>
      </w:r>
    </w:p>
    <w:p w:rsidR="00C96FD7" w:rsidRPr="00D112AF" w:rsidRDefault="00C96FD7" w:rsidP="00C96FD7">
      <w:pPr>
        <w:pStyle w:val="equation"/>
        <w:spacing w:before="80" w:after="80"/>
        <w:jc w:val="right"/>
        <w:rPr>
          <w:color w:val="000000"/>
          <w:sz w:val="20"/>
        </w:rPr>
      </w:pPr>
      <w:r w:rsidRPr="00D112AF">
        <w:rPr>
          <w:color w:val="000000"/>
          <w:sz w:val="20"/>
        </w:rPr>
        <w:tab/>
      </w:r>
      <w:r w:rsidRPr="00D112AF">
        <w:rPr>
          <w:color w:val="000000"/>
          <w:position w:val="-20"/>
          <w:sz w:val="20"/>
        </w:rPr>
        <w:object w:dxaOrig="2600" w:dyaOrig="499">
          <v:shape id="_x0000_i1357" type="#_x0000_t75" style="width:129.5pt;height:24.8pt" o:ole="">
            <v:imagedata r:id="rId923" o:title=""/>
          </v:shape>
          <o:OLEObject Type="Embed" ProgID="Equation.DSMT4" ShapeID="_x0000_i1357" DrawAspect="Content" ObjectID="_1433920509" r:id="rId1275"/>
        </w:object>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color w:val="000000"/>
          <w:sz w:val="20"/>
        </w:rPr>
        <w:tab/>
      </w:r>
      <w:r w:rsidRPr="00D112AF">
        <w:rPr>
          <w:i/>
          <w:color w:val="000000"/>
          <w:sz w:val="20"/>
        </w:rPr>
        <w:t>(4)</w:t>
      </w:r>
    </w:p>
    <w:p w:rsidR="00C96FD7" w:rsidRPr="00D112AF" w:rsidRDefault="00C96FD7" w:rsidP="00C96FD7">
      <w:pPr>
        <w:pStyle w:val="NormalWeb"/>
        <w:jc w:val="both"/>
        <w:rPr>
          <w:rStyle w:val="Strong"/>
          <w:rFonts w:ascii="Book Antiqua" w:hAnsi="Book Antiqua"/>
          <w:b w:val="0"/>
          <w:sz w:val="20"/>
          <w:szCs w:val="20"/>
        </w:rPr>
      </w:pPr>
      <w:r w:rsidRPr="00D112AF">
        <w:rPr>
          <w:rFonts w:ascii="Book Antiqua" w:hAnsi="Book Antiqua"/>
          <w:color w:val="000000"/>
          <w:sz w:val="20"/>
          <w:szCs w:val="20"/>
        </w:rPr>
        <w:t xml:space="preserve">In his equation reproduced as (4) here, </w:t>
      </w:r>
      <w:r w:rsidRPr="00D112AF">
        <w:rPr>
          <w:rFonts w:ascii="Book Antiqua" w:hAnsi="Book Antiqua"/>
          <w:color w:val="000000"/>
          <w:position w:val="-6"/>
          <w:sz w:val="20"/>
          <w:szCs w:val="20"/>
        </w:rPr>
        <w:object w:dxaOrig="220" w:dyaOrig="200">
          <v:shape id="_x0000_i1358" type="#_x0000_t75" style="width:10.3pt;height:10.3pt" o:ole="">
            <v:imagedata r:id="rId925" o:title=""/>
          </v:shape>
          <o:OLEObject Type="Embed" ProgID="Equation.DSMT4" ShapeID="_x0000_i1358" DrawAspect="Content" ObjectID="_1433920510" r:id="rId1276"/>
        </w:object>
      </w:r>
      <w:r w:rsidRPr="00D112AF">
        <w:rPr>
          <w:rFonts w:ascii="Book Antiqua" w:hAnsi="Book Antiqua"/>
          <w:color w:val="000000"/>
          <w:sz w:val="20"/>
          <w:szCs w:val="20"/>
        </w:rPr>
        <w:t>is the mass of the object, which has a velocity</w:t>
      </w:r>
      <w:r w:rsidRPr="00D112AF">
        <w:rPr>
          <w:rFonts w:ascii="Book Antiqua" w:hAnsi="Book Antiqua"/>
          <w:color w:val="000000"/>
          <w:position w:val="-6"/>
          <w:sz w:val="20"/>
          <w:szCs w:val="20"/>
        </w:rPr>
        <w:object w:dxaOrig="180" w:dyaOrig="200">
          <v:shape id="_x0000_i1359" type="#_x0000_t75" style="width:9.7pt;height:10.3pt" o:ole="">
            <v:imagedata r:id="rId927" o:title=""/>
          </v:shape>
          <o:OLEObject Type="Embed" ProgID="Equation.DSMT4" ShapeID="_x0000_i1359" DrawAspect="Content" ObjectID="_1433920511" r:id="rId1277"/>
        </w:object>
      </w:r>
      <w:r w:rsidRPr="00D112AF">
        <w:rPr>
          <w:rFonts w:ascii="Book Antiqua" w:hAnsi="Book Antiqua"/>
          <w:color w:val="000000"/>
          <w:sz w:val="20"/>
          <w:szCs w:val="20"/>
        </w:rPr>
        <w:t>and carries an electric charge</w:t>
      </w:r>
      <w:r w:rsidRPr="00D112AF">
        <w:rPr>
          <w:rFonts w:ascii="Book Antiqua" w:hAnsi="Book Antiqua"/>
          <w:color w:val="000000"/>
          <w:position w:val="-10"/>
          <w:sz w:val="20"/>
          <w:szCs w:val="20"/>
        </w:rPr>
        <w:object w:dxaOrig="160" w:dyaOrig="240">
          <v:shape id="_x0000_i1360" type="#_x0000_t75" style="width:7.85pt;height:12.1pt" o:ole="">
            <v:imagedata r:id="rId929" o:title=""/>
          </v:shape>
          <o:OLEObject Type="Embed" ProgID="Equation.DSMT4" ShapeID="_x0000_i1360" DrawAspect="Content" ObjectID="_1433920512" r:id="rId1278"/>
        </w:object>
      </w:r>
      <w:r w:rsidRPr="00D112AF">
        <w:rPr>
          <w:rFonts w:ascii="Book Antiqua" w:hAnsi="Book Antiqua"/>
          <w:color w:val="000000"/>
          <w:sz w:val="20"/>
          <w:szCs w:val="20"/>
        </w:rPr>
        <w:t xml:space="preserve">.  The electric field strength and magnetic induction are </w:t>
      </w:r>
      <w:r w:rsidRPr="00D112AF">
        <w:rPr>
          <w:rFonts w:ascii="Book Antiqua" w:hAnsi="Book Antiqua"/>
          <w:color w:val="000000"/>
          <w:position w:val="-4"/>
          <w:sz w:val="20"/>
          <w:szCs w:val="20"/>
        </w:rPr>
        <w:object w:dxaOrig="180" w:dyaOrig="260">
          <v:shape id="_x0000_i1361" type="#_x0000_t75" style="width:9.7pt;height:12.7pt" o:ole="">
            <v:imagedata r:id="rId931" o:title=""/>
          </v:shape>
          <o:OLEObject Type="Embed" ProgID="Equation.DSMT4" ShapeID="_x0000_i1361" DrawAspect="Content" ObjectID="_1433920513" r:id="rId1279"/>
        </w:object>
      </w:r>
      <w:r w:rsidRPr="00D112AF">
        <w:rPr>
          <w:rFonts w:ascii="Book Antiqua" w:hAnsi="Book Antiqua"/>
          <w:color w:val="000000"/>
          <w:sz w:val="20"/>
          <w:szCs w:val="20"/>
        </w:rPr>
        <w:t xml:space="preserve"> and </w:t>
      </w:r>
      <w:r w:rsidRPr="00D112AF">
        <w:rPr>
          <w:rFonts w:ascii="Book Antiqua" w:hAnsi="Book Antiqua"/>
          <w:color w:val="000000"/>
          <w:position w:val="-4"/>
          <w:sz w:val="20"/>
          <w:szCs w:val="20"/>
        </w:rPr>
        <w:object w:dxaOrig="200" w:dyaOrig="260">
          <v:shape id="_x0000_i1362" type="#_x0000_t75" style="width:10.3pt;height:12.7pt" o:ole="">
            <v:imagedata r:id="rId933" o:title=""/>
          </v:shape>
          <o:OLEObject Type="Embed" ProgID="Equation.DSMT4" ShapeID="_x0000_i1362" DrawAspect="Content" ObjectID="_1433920514" r:id="rId1280"/>
        </w:object>
      </w:r>
      <w:r w:rsidRPr="00D112AF">
        <w:rPr>
          <w:rFonts w:ascii="Book Antiqua" w:hAnsi="Book Antiqua"/>
          <w:color w:val="000000"/>
          <w:sz w:val="20"/>
          <w:szCs w:val="20"/>
        </w:rPr>
        <w:t xml:space="preserve"> respectively.  The term</w:t>
      </w:r>
      <w:r w:rsidRPr="00D112AF">
        <w:rPr>
          <w:rFonts w:ascii="Book Antiqua" w:hAnsi="Book Antiqua"/>
          <w:color w:val="000000"/>
          <w:position w:val="-8"/>
          <w:sz w:val="20"/>
          <w:szCs w:val="20"/>
        </w:rPr>
        <w:object w:dxaOrig="279" w:dyaOrig="220">
          <v:shape id="_x0000_i1363" type="#_x0000_t75" style="width:14.5pt;height:10.3pt" o:ole="">
            <v:imagedata r:id="rId935" o:title=""/>
          </v:shape>
          <o:OLEObject Type="Embed" ProgID="Equation.DSMT4" ShapeID="_x0000_i1363" DrawAspect="Content" ObjectID="_1433920515" r:id="rId1281"/>
        </w:object>
      </w:r>
      <w:r w:rsidRPr="00D112AF">
        <w:rPr>
          <w:rFonts w:ascii="Book Antiqua" w:hAnsi="Book Antiqua"/>
          <w:color w:val="000000"/>
          <w:sz w:val="20"/>
          <w:szCs w:val="20"/>
        </w:rPr>
        <w:t>is due to the viscosity of the medium, and</w:t>
      </w:r>
      <w:r w:rsidRPr="00D112AF">
        <w:rPr>
          <w:rFonts w:ascii="Book Antiqua" w:hAnsi="Book Antiqua"/>
          <w:color w:val="000000"/>
          <w:position w:val="-10"/>
          <w:sz w:val="20"/>
          <w:szCs w:val="20"/>
        </w:rPr>
        <w:object w:dxaOrig="220" w:dyaOrig="279">
          <v:shape id="_x0000_i1364" type="#_x0000_t75" style="width:10.3pt;height:14.5pt" o:ole="">
            <v:imagedata r:id="rId937" o:title=""/>
          </v:shape>
          <o:OLEObject Type="Embed" ProgID="Equation.3" ShapeID="_x0000_i1364" DrawAspect="Content" ObjectID="_1433920516" r:id="rId1282"/>
        </w:object>
      </w:r>
      <w:r w:rsidRPr="00D112AF">
        <w:rPr>
          <w:rFonts w:ascii="Book Antiqua" w:hAnsi="Book Antiqua"/>
          <w:color w:val="000000"/>
          <w:sz w:val="20"/>
          <w:szCs w:val="20"/>
        </w:rPr>
        <w:t xml:space="preserve">is the sum of all other forces acting.  In the case being considered here, </w:t>
      </w:r>
      <w:proofErr w:type="gramStart"/>
      <w:r w:rsidRPr="00D112AF">
        <w:rPr>
          <w:rFonts w:ascii="Book Antiqua" w:hAnsi="Book Antiqua"/>
          <w:color w:val="000000"/>
          <w:sz w:val="20"/>
          <w:szCs w:val="20"/>
        </w:rPr>
        <w:t xml:space="preserve">the </w:t>
      </w:r>
      <w:r w:rsidRPr="00D112AF">
        <w:rPr>
          <w:rFonts w:ascii="Book Antiqua" w:hAnsi="Book Antiqua"/>
          <w:color w:val="000000"/>
          <w:position w:val="-8"/>
          <w:sz w:val="20"/>
          <w:szCs w:val="20"/>
        </w:rPr>
        <w:object w:dxaOrig="279" w:dyaOrig="220">
          <v:shape id="_x0000_i1365" type="#_x0000_t75" style="width:14.5pt;height:10.3pt" o:ole="">
            <v:imagedata r:id="rId939" o:title=""/>
          </v:shape>
          <o:OLEObject Type="Embed" ProgID="Equation.DSMT4" ShapeID="_x0000_i1365" DrawAspect="Content" ObjectID="_1433920517" r:id="rId1283"/>
        </w:object>
      </w:r>
      <w:r w:rsidRPr="00D112AF">
        <w:rPr>
          <w:rFonts w:ascii="Book Antiqua" w:hAnsi="Book Antiqua"/>
          <w:color w:val="000000"/>
          <w:sz w:val="20"/>
          <w:szCs w:val="20"/>
        </w:rPr>
        <w:t>and</w:t>
      </w:r>
      <w:proofErr w:type="gramEnd"/>
      <w:r w:rsidRPr="00D112AF">
        <w:rPr>
          <w:rFonts w:ascii="Book Antiqua" w:hAnsi="Book Antiqua"/>
          <w:color w:val="000000"/>
          <w:sz w:val="20"/>
          <w:szCs w:val="20"/>
        </w:rPr>
        <w:t xml:space="preserve"> </w:t>
      </w:r>
      <w:r w:rsidRPr="00D112AF">
        <w:rPr>
          <w:rFonts w:ascii="Book Antiqua" w:hAnsi="Book Antiqua"/>
          <w:color w:val="000000"/>
          <w:position w:val="-10"/>
          <w:sz w:val="20"/>
          <w:szCs w:val="20"/>
        </w:rPr>
        <w:object w:dxaOrig="200" w:dyaOrig="279">
          <v:shape id="_x0000_i1366" type="#_x0000_t75" style="width:10.3pt;height:14.5pt" o:ole="">
            <v:imagedata r:id="rId941" o:title=""/>
          </v:shape>
          <o:OLEObject Type="Embed" ProgID="Equation.DSMT4" ShapeID="_x0000_i1366" DrawAspect="Content" ObjectID="_1433920518" r:id="rId1284"/>
        </w:object>
      </w:r>
      <w:r w:rsidRPr="00D112AF">
        <w:rPr>
          <w:rFonts w:ascii="Book Antiqua" w:hAnsi="Book Antiqua"/>
          <w:color w:val="000000"/>
          <w:sz w:val="20"/>
          <w:szCs w:val="20"/>
        </w:rPr>
        <w:t>terms may be omitted, and only the gravitational and electromagnetic forces need to be considered.  Initially, the gravitational term is small compared with the electric and magnetic effects. It is only later that it becomes dominant when the ZPE strength has increased to near its present levels.</w:t>
      </w:r>
    </w:p>
    <w:p w:rsidR="00C96FD7" w:rsidRDefault="00C96FD7" w:rsidP="00C96FD7">
      <w:pPr>
        <w:pStyle w:val="NormalWeb"/>
        <w:ind w:firstLine="720"/>
        <w:jc w:val="both"/>
        <w:rPr>
          <w:rStyle w:val="Strong"/>
          <w:rFonts w:ascii="Book Antiqua" w:hAnsi="Book Antiqua"/>
          <w:b w:val="0"/>
          <w:sz w:val="20"/>
          <w:szCs w:val="20"/>
        </w:rPr>
      </w:pPr>
      <w:r w:rsidRPr="00C96FD7">
        <w:rPr>
          <w:rStyle w:val="Strong"/>
          <w:rFonts w:ascii="Book Antiqua" w:hAnsi="Book Antiqua"/>
          <w:b w:val="0"/>
          <w:sz w:val="20"/>
          <w:szCs w:val="20"/>
        </w:rPr>
        <w:t xml:space="preserve"> In this way plasma physics gives a consistent picture regarding supernova, distant galaxies </w:t>
      </w:r>
      <w:proofErr w:type="gramStart"/>
      <w:r w:rsidRPr="00C96FD7">
        <w:rPr>
          <w:rStyle w:val="Strong"/>
          <w:rFonts w:ascii="Book Antiqua" w:hAnsi="Book Antiqua"/>
          <w:b w:val="0"/>
          <w:sz w:val="20"/>
          <w:szCs w:val="20"/>
        </w:rPr>
        <w:t>and  eclipsing</w:t>
      </w:r>
      <w:proofErr w:type="gramEnd"/>
      <w:r w:rsidRPr="00C96FD7">
        <w:rPr>
          <w:rStyle w:val="Strong"/>
          <w:rFonts w:ascii="Book Antiqua" w:hAnsi="Book Antiqua"/>
          <w:b w:val="0"/>
          <w:sz w:val="20"/>
          <w:szCs w:val="20"/>
        </w:rPr>
        <w:t xml:space="preserve"> binary stars along with their associated Doppler shifts in a changing ZPE scenario. </w:t>
      </w:r>
    </w:p>
    <w:p w:rsidR="00C96FD7" w:rsidRPr="00D112AF" w:rsidRDefault="00C96FD7" w:rsidP="00C96FD7">
      <w:pPr>
        <w:pStyle w:val="NormalWeb"/>
        <w:jc w:val="both"/>
        <w:rPr>
          <w:rFonts w:ascii="Book Antiqua" w:hAnsi="Book Antiqua"/>
          <w:b/>
          <w:sz w:val="20"/>
          <w:szCs w:val="20"/>
        </w:rPr>
      </w:pPr>
      <w:r w:rsidRPr="00D112AF">
        <w:rPr>
          <w:rFonts w:ascii="Book Antiqua" w:hAnsi="Book Antiqua"/>
          <w:b/>
          <w:sz w:val="20"/>
          <w:szCs w:val="20"/>
        </w:rPr>
        <w:t xml:space="preserve">References </w:t>
      </w:r>
      <w:r w:rsidRPr="00D112AF">
        <w:rPr>
          <w:rFonts w:ascii="Book Antiqua" w:hAnsi="Book Antiqua"/>
          <w:i/>
          <w:sz w:val="20"/>
          <w:szCs w:val="20"/>
        </w:rPr>
        <w:t>– All URL’s retrieved 20</w:t>
      </w:r>
      <w:r w:rsidRPr="00D112AF">
        <w:rPr>
          <w:rFonts w:ascii="Book Antiqua" w:hAnsi="Book Antiqua"/>
          <w:i/>
          <w:sz w:val="20"/>
          <w:szCs w:val="20"/>
          <w:vertAlign w:val="superscript"/>
        </w:rPr>
        <w:t>th</w:t>
      </w:r>
      <w:r w:rsidRPr="00D112AF">
        <w:rPr>
          <w:rFonts w:ascii="Book Antiqua" w:hAnsi="Book Antiqua"/>
          <w:i/>
          <w:sz w:val="20"/>
          <w:szCs w:val="20"/>
        </w:rPr>
        <w:t xml:space="preserve"> September 2012.</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[1]</w:t>
      </w:r>
      <w:bookmarkStart w:id="252" w:name="6a191"/>
      <w:bookmarkEnd w:id="252"/>
      <w:r w:rsidRPr="00D112AF">
        <w:rPr>
          <w:rFonts w:ascii="Book Antiqua" w:hAnsi="Book Antiqua"/>
          <w:sz w:val="16"/>
          <w:szCs w:val="16"/>
        </w:rPr>
        <w:t xml:space="preserve"> F. A. Jenkins &amp; H. E. White, </w:t>
      </w:r>
      <w:r w:rsidRPr="00D112AF">
        <w:rPr>
          <w:rStyle w:val="Emphasis"/>
          <w:rFonts w:ascii="Book Antiqua" w:hAnsi="Book Antiqua"/>
          <w:sz w:val="16"/>
          <w:szCs w:val="16"/>
        </w:rPr>
        <w:t>Fundamentals of Optics,</w:t>
      </w:r>
      <w:r w:rsidRPr="00D112AF">
        <w:rPr>
          <w:rFonts w:ascii="Book Antiqua" w:hAnsi="Book Antiqua"/>
          <w:sz w:val="16"/>
          <w:szCs w:val="16"/>
        </w:rPr>
        <w:t xml:space="preserve"> 3rd Edition, p. 403, (McGraw-Hill, 1957).</w:t>
      </w:r>
      <w:r w:rsidRPr="00D112AF">
        <w:rPr>
          <w:rFonts w:ascii="Book Antiqua" w:hAnsi="Book Antiqua"/>
          <w:sz w:val="16"/>
          <w:szCs w:val="16"/>
        </w:rPr>
        <w:br/>
        <w:t>[2]</w:t>
      </w:r>
      <w:bookmarkStart w:id="253" w:name="6a192"/>
      <w:bookmarkEnd w:id="253"/>
      <w:r w:rsidRPr="00D112AF">
        <w:rPr>
          <w:rFonts w:ascii="Book Antiqua" w:hAnsi="Book Antiqua"/>
          <w:sz w:val="16"/>
          <w:szCs w:val="16"/>
        </w:rPr>
        <w:t xml:space="preserve"> W. L. Freedman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427 (</w:t>
      </w:r>
      <w:r w:rsidRPr="00D112AF">
        <w:rPr>
          <w:rFonts w:ascii="Book Antiqua" w:hAnsi="Book Antiqua"/>
          <w:sz w:val="16"/>
          <w:szCs w:val="16"/>
        </w:rPr>
        <w:t>2)</w:t>
      </w:r>
      <w:proofErr w:type="gramStart"/>
      <w:r w:rsidRPr="00D112AF">
        <w:rPr>
          <w:rFonts w:ascii="Book Antiqua" w:hAnsi="Book Antiqua"/>
          <w:sz w:val="16"/>
          <w:szCs w:val="16"/>
        </w:rPr>
        <w:t>,  pp</w:t>
      </w:r>
      <w:proofErr w:type="gramEnd"/>
      <w:r w:rsidRPr="00D112AF">
        <w:rPr>
          <w:rFonts w:ascii="Book Antiqua" w:hAnsi="Book Antiqua"/>
          <w:sz w:val="16"/>
          <w:szCs w:val="16"/>
        </w:rPr>
        <w:t xml:space="preserve">. 628-655, (1994). </w:t>
      </w:r>
      <w:r w:rsidRPr="00D112AF">
        <w:rPr>
          <w:rFonts w:ascii="Book Antiqua" w:hAnsi="Book Antiqua"/>
          <w:sz w:val="16"/>
          <w:szCs w:val="16"/>
        </w:rPr>
        <w:br/>
      </w:r>
      <w:proofErr w:type="gramStart"/>
      <w:r w:rsidRPr="00D112AF">
        <w:rPr>
          <w:rFonts w:ascii="Book Antiqua" w:hAnsi="Book Antiqua"/>
          <w:sz w:val="16"/>
          <w:szCs w:val="16"/>
        </w:rPr>
        <w:t>[3]</w:t>
      </w:r>
      <w:bookmarkStart w:id="254" w:name="6a193"/>
      <w:bookmarkEnd w:id="254"/>
      <w:r w:rsidRPr="00D112AF">
        <w:rPr>
          <w:rFonts w:ascii="Book Antiqua" w:hAnsi="Book Antiqua"/>
          <w:sz w:val="16"/>
          <w:szCs w:val="16"/>
        </w:rPr>
        <w:t xml:space="preserve"> N. Bartel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368</w:t>
      </w:r>
      <w:r w:rsidRPr="00D112AF">
        <w:rPr>
          <w:rFonts w:ascii="Book Antiqua" w:hAnsi="Book Antiqua"/>
          <w:sz w:val="16"/>
          <w:szCs w:val="16"/>
        </w:rPr>
        <w:t xml:space="preserve"> (No. 6472), pp. 610-613, (1994).</w:t>
      </w:r>
      <w:proofErr w:type="gramEnd"/>
      <w:r w:rsidRPr="00D112AF">
        <w:rPr>
          <w:rFonts w:ascii="Book Antiqua" w:hAnsi="Book Antiqua"/>
          <w:sz w:val="16"/>
          <w:szCs w:val="16"/>
        </w:rPr>
        <w:t xml:space="preserve"> </w:t>
      </w:r>
      <w:r w:rsidRPr="00D112AF">
        <w:rPr>
          <w:rFonts w:ascii="Book Antiqua" w:hAnsi="Book Antiqua"/>
          <w:sz w:val="16"/>
          <w:szCs w:val="16"/>
        </w:rPr>
        <w:br/>
      </w:r>
      <w:proofErr w:type="gramStart"/>
      <w:r w:rsidRPr="00D112AF">
        <w:rPr>
          <w:rFonts w:ascii="Book Antiqua" w:hAnsi="Book Antiqua"/>
          <w:sz w:val="16"/>
          <w:szCs w:val="16"/>
        </w:rPr>
        <w:t>[4]</w:t>
      </w:r>
      <w:bookmarkStart w:id="255" w:name="6a194"/>
      <w:bookmarkEnd w:id="255"/>
      <w:r w:rsidRPr="00D112AF">
        <w:rPr>
          <w:rFonts w:ascii="Book Antiqua" w:hAnsi="Book Antiqua"/>
          <w:sz w:val="16"/>
          <w:szCs w:val="16"/>
        </w:rPr>
        <w:t xml:space="preserve"> J. M. Marcaide et al., </w:t>
      </w:r>
      <w:r w:rsidRPr="00D112AF">
        <w:rPr>
          <w:rStyle w:val="Emphasis"/>
          <w:rFonts w:ascii="Book Antiqua" w:hAnsi="Book Antiqua"/>
          <w:sz w:val="16"/>
          <w:szCs w:val="16"/>
        </w:rPr>
        <w:t>Nature</w:t>
      </w:r>
      <w:r w:rsidRPr="00D112AF">
        <w:rPr>
          <w:rFonts w:ascii="Book Antiqua" w:hAnsi="Book Antiqua"/>
          <w:sz w:val="16"/>
          <w:szCs w:val="16"/>
        </w:rPr>
        <w:t xml:space="preserve"> </w:t>
      </w:r>
      <w:r w:rsidRPr="00D112AF">
        <w:rPr>
          <w:rStyle w:val="Strong"/>
          <w:rFonts w:ascii="Book Antiqua" w:hAnsi="Book Antiqua"/>
          <w:sz w:val="16"/>
          <w:szCs w:val="16"/>
        </w:rPr>
        <w:t>373</w:t>
      </w:r>
      <w:r w:rsidRPr="00D112AF">
        <w:rPr>
          <w:rFonts w:ascii="Book Antiqua" w:hAnsi="Book Antiqua"/>
          <w:sz w:val="16"/>
          <w:szCs w:val="16"/>
        </w:rPr>
        <w:t>(No. 6509), pp. 44-45, (1995).</w:t>
      </w:r>
      <w:proofErr w:type="gramEnd"/>
      <w:r w:rsidRPr="00D112AF">
        <w:rPr>
          <w:rFonts w:ascii="Book Antiqua" w:hAnsi="Book Antiqua"/>
          <w:sz w:val="16"/>
          <w:szCs w:val="16"/>
        </w:rPr>
        <w:br/>
        <w:t>[5]</w:t>
      </w:r>
      <w:bookmarkStart w:id="256" w:name="6a195"/>
      <w:bookmarkEnd w:id="256"/>
      <w:r w:rsidRPr="00D112AF">
        <w:rPr>
          <w:rFonts w:ascii="Book Antiqua" w:hAnsi="Book Antiqua"/>
          <w:sz w:val="16"/>
          <w:szCs w:val="16"/>
        </w:rPr>
        <w:t xml:space="preserve"> J. M. Marcaide et al.,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486</w:t>
      </w:r>
      <w:r w:rsidRPr="00D112AF">
        <w:rPr>
          <w:rFonts w:ascii="Book Antiqua" w:hAnsi="Book Antiqua"/>
          <w:sz w:val="16"/>
          <w:szCs w:val="16"/>
        </w:rPr>
        <w:t>, pp. L31-L34, (1997).</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[6]</w:t>
      </w:r>
      <w:bookmarkStart w:id="257" w:name="6a220"/>
      <w:bookmarkEnd w:id="257"/>
      <w:r w:rsidRPr="00D112AF">
        <w:rPr>
          <w:rFonts w:ascii="Book Antiqua" w:hAnsi="Book Antiqua"/>
          <w:sz w:val="16"/>
          <w:szCs w:val="16"/>
        </w:rPr>
        <w:t xml:space="preserve"> A. L. Peratt, </w:t>
      </w:r>
      <w:r w:rsidRPr="00D112AF">
        <w:rPr>
          <w:rStyle w:val="Emphasis"/>
          <w:rFonts w:ascii="Book Antiqua" w:hAnsi="Book Antiqua"/>
          <w:sz w:val="16"/>
          <w:szCs w:val="16"/>
        </w:rPr>
        <w:t>IEEE Transactions on Plasma Science</w:t>
      </w:r>
      <w:r w:rsidRPr="00D112AF">
        <w:rPr>
          <w:rFonts w:ascii="Book Antiqua" w:hAnsi="Book Antiqua"/>
          <w:sz w:val="16"/>
          <w:szCs w:val="16"/>
        </w:rPr>
        <w:t>, Vol. PS-14 No. 6, pp. 639-778, (Dec. 1986).</w:t>
      </w:r>
      <w:r w:rsidRPr="00D112AF">
        <w:rPr>
          <w:rFonts w:ascii="Book Antiqua" w:hAnsi="Book Antiqua"/>
          <w:sz w:val="16"/>
          <w:szCs w:val="16"/>
        </w:rPr>
        <w:br/>
        <w:t>[7]</w:t>
      </w:r>
      <w:bookmarkStart w:id="258" w:name="6a221"/>
      <w:bookmarkEnd w:id="258"/>
      <w:r w:rsidRPr="00D112AF">
        <w:rPr>
          <w:rFonts w:ascii="Book Antiqua" w:hAnsi="Book Antiqua"/>
          <w:sz w:val="16"/>
          <w:szCs w:val="16"/>
        </w:rPr>
        <w:t xml:space="preserve"> Ibid, Figure 14. </w:t>
      </w: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[8] E. Guinan, IAU Symposium 277, Burkina Faso, Africa, 2010, found here: </w:t>
      </w:r>
      <w:hyperlink r:id="rId1285" w:history="1">
        <w:r w:rsidRPr="00D112AF">
          <w:rPr>
            <w:rStyle w:val="Hyperlink"/>
            <w:rFonts w:ascii="Book Antiqua" w:hAnsi="Book Antiqua"/>
            <w:szCs w:val="16"/>
          </w:rPr>
          <w:t>http://www.iaus277.org/seeabstract.php?id=120</w:t>
        </w:r>
      </w:hyperlink>
      <w:r w:rsidRPr="00D112AF">
        <w:rPr>
          <w:rFonts w:ascii="Book Antiqua" w:hAnsi="Book Antiqua"/>
          <w:sz w:val="16"/>
          <w:szCs w:val="16"/>
        </w:rPr>
        <w:t xml:space="preserve">. Also B. Paczynski et al., </w:t>
      </w:r>
      <w:r w:rsidRPr="00D112AF">
        <w:rPr>
          <w:rFonts w:ascii="Book Antiqua" w:hAnsi="Book Antiqua"/>
          <w:i/>
          <w:sz w:val="16"/>
          <w:szCs w:val="16"/>
        </w:rPr>
        <w:t>Mon.Not.Roy.Astron.Soc.</w:t>
      </w:r>
      <w:r w:rsidRPr="00D112AF">
        <w:rPr>
          <w:rFonts w:ascii="Book Antiqua" w:hAnsi="Book Antiqua"/>
          <w:sz w:val="16"/>
          <w:szCs w:val="16"/>
        </w:rPr>
        <w:t xml:space="preserve"> </w:t>
      </w:r>
      <w:proofErr w:type="gramStart"/>
      <w:r w:rsidRPr="00D112AF">
        <w:rPr>
          <w:rFonts w:ascii="Book Antiqua" w:hAnsi="Book Antiqua"/>
          <w:b/>
          <w:sz w:val="16"/>
          <w:szCs w:val="16"/>
        </w:rPr>
        <w:t>368</w:t>
      </w:r>
      <w:r w:rsidRPr="00D112AF">
        <w:rPr>
          <w:rFonts w:ascii="Book Antiqua" w:hAnsi="Book Antiqua"/>
          <w:sz w:val="16"/>
          <w:szCs w:val="16"/>
        </w:rPr>
        <w:t>, 1311-1318, (2006).</w:t>
      </w:r>
      <w:proofErr w:type="gramEnd"/>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 xml:space="preserve">[9] A. L. Peratt, “Evolution of a Plasma Universe”, </w:t>
      </w:r>
      <w:r w:rsidRPr="00D112AF">
        <w:rPr>
          <w:rFonts w:ascii="Book Antiqua" w:hAnsi="Book Antiqua"/>
          <w:i/>
          <w:sz w:val="16"/>
          <w:szCs w:val="16"/>
        </w:rPr>
        <w:t>IEEE Transactions on Plasma Science</w:t>
      </w:r>
      <w:r w:rsidRPr="00D112AF">
        <w:rPr>
          <w:rFonts w:ascii="Book Antiqua" w:hAnsi="Book Antiqua"/>
          <w:sz w:val="16"/>
          <w:szCs w:val="16"/>
        </w:rPr>
        <w:t xml:space="preserve">, PS </w:t>
      </w:r>
      <w:r w:rsidRPr="00D112AF">
        <w:rPr>
          <w:rFonts w:ascii="Book Antiqua" w:hAnsi="Book Antiqua"/>
          <w:b/>
          <w:sz w:val="16"/>
          <w:szCs w:val="16"/>
        </w:rPr>
        <w:t>14</w:t>
      </w:r>
      <w:r w:rsidRPr="00D112AF">
        <w:rPr>
          <w:rFonts w:ascii="Book Antiqua" w:hAnsi="Book Antiqua"/>
          <w:sz w:val="16"/>
          <w:szCs w:val="16"/>
        </w:rPr>
        <w:t xml:space="preserve"> (6): 639-778 (Dec 1986).</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b/>
          <w:sz w:val="20"/>
        </w:rPr>
      </w:pPr>
      <w:r w:rsidRPr="00D112AF">
        <w:rPr>
          <w:rFonts w:ascii="Book Antiqua" w:hAnsi="Book Antiqua"/>
          <w:b/>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C96FD7" w:rsidRPr="00D112AF" w:rsidRDefault="00C96FD7" w:rsidP="00C96FD7">
      <w:pPr>
        <w:pStyle w:val="NoSpacing"/>
        <w:rPr>
          <w:rFonts w:ascii="Book Antiqua" w:hAnsi="Book Antiqua"/>
          <w:sz w:val="20"/>
        </w:rPr>
      </w:pPr>
    </w:p>
    <w:p w:rsidR="00C96FD7" w:rsidRPr="00D112AF" w:rsidRDefault="00C96FD7" w:rsidP="00C96FD7">
      <w:pPr>
        <w:pStyle w:val="NoSpacing"/>
        <w:rPr>
          <w:rFonts w:ascii="Book Antiqua" w:hAnsi="Book Antiqua"/>
          <w:sz w:val="16"/>
          <w:szCs w:val="16"/>
        </w:rPr>
      </w:pPr>
      <w:r w:rsidRPr="00D112AF">
        <w:rPr>
          <w:rFonts w:ascii="Book Antiqua" w:hAnsi="Book Antiqua"/>
          <w:sz w:val="16"/>
          <w:szCs w:val="16"/>
        </w:rPr>
        <w:t>Figure 1: Interaction of plasma filaments in lab experiments forming galaxies and their rotation characteristics.</w:t>
      </w:r>
    </w:p>
    <w:p w:rsidR="00C96FD7" w:rsidRPr="00D112AF" w:rsidRDefault="007B3EBC" w:rsidP="00C96FD7">
      <w:pPr>
        <w:pStyle w:val="NoSpacing"/>
        <w:jc w:val="both"/>
        <w:rPr>
          <w:rFonts w:ascii="Book Antiqua" w:hAnsi="Book Antiqua"/>
          <w:sz w:val="16"/>
          <w:szCs w:val="16"/>
        </w:rPr>
      </w:pPr>
      <w:hyperlink r:id="rId1286" w:history="1">
        <w:r w:rsidR="00C96FD7" w:rsidRPr="00D112AF">
          <w:rPr>
            <w:rStyle w:val="Hyperlink"/>
            <w:rFonts w:ascii="Book Antiqua" w:hAnsi="Book Antiqua"/>
            <w:i/>
            <w:szCs w:val="16"/>
          </w:rPr>
          <w:t>http://www.thunderbolts.info/wp/2011/12/05/considering-the-electric-sun-part-1/perattsimulations_1/</w:t>
        </w:r>
      </w:hyperlink>
    </w:p>
    <w:p w:rsidR="00C96FD7" w:rsidRPr="00D112AF" w:rsidRDefault="00C96FD7" w:rsidP="00C96FD7">
      <w:pPr>
        <w:pStyle w:val="NoSpacing"/>
        <w:jc w:val="both"/>
        <w:rPr>
          <w:rFonts w:ascii="Book Antiqua" w:hAnsi="Book Antiqua"/>
          <w:sz w:val="16"/>
          <w:szCs w:val="16"/>
        </w:rPr>
      </w:pPr>
    </w:p>
    <w:p w:rsidR="00C96FD7" w:rsidRDefault="00C96FD7" w:rsidP="00C96FD7">
      <w:pPr>
        <w:pStyle w:val="NoSpacing"/>
        <w:jc w:val="center"/>
        <w:rPr>
          <w:rFonts w:ascii="Book Antiqua" w:hAnsi="Book Antiqua"/>
          <w:b/>
          <w:sz w:val="28"/>
          <w:szCs w:val="28"/>
        </w:rPr>
      </w:pPr>
      <w:r w:rsidRPr="00D112AF">
        <w:rPr>
          <w:rFonts w:ascii="Book Antiqua" w:hAnsi="Book Antiqua"/>
          <w:b/>
          <w:sz w:val="28"/>
          <w:szCs w:val="28"/>
        </w:rPr>
        <w:t>*  *  *  *  *  *  *</w:t>
      </w:r>
    </w:p>
    <w:p w:rsidR="009C03A3" w:rsidRDefault="009C03A3">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D966CB" w:rsidRPr="00AB49F0" w:rsidRDefault="00D966CB" w:rsidP="00D966CB">
      <w:pPr>
        <w:pStyle w:val="NoSpacing"/>
        <w:jc w:val="center"/>
        <w:rPr>
          <w:rFonts w:ascii="Book Antiqua" w:hAnsi="Book Antiqua"/>
          <w:b/>
          <w:bCs/>
          <w:i/>
          <w:iCs/>
          <w:color w:val="000000"/>
          <w:szCs w:val="24"/>
        </w:rPr>
      </w:pPr>
      <w:r w:rsidRPr="00AB49F0">
        <w:rPr>
          <w:rFonts w:ascii="Book Antiqua" w:hAnsi="Book Antiqua"/>
          <w:b/>
          <w:bCs/>
          <w:iCs/>
          <w:color w:val="000000"/>
          <w:szCs w:val="24"/>
        </w:rPr>
        <w:lastRenderedPageBreak/>
        <w:t xml:space="preserve">Appendix D: </w:t>
      </w:r>
      <w:r w:rsidRPr="00AB49F0">
        <w:rPr>
          <w:rFonts w:ascii="Book Antiqua" w:hAnsi="Book Antiqua"/>
          <w:b/>
          <w:bCs/>
          <w:i/>
          <w:iCs/>
          <w:color w:val="000000"/>
          <w:szCs w:val="24"/>
        </w:rPr>
        <w:t>Pulsars and the ZPE</w:t>
      </w:r>
    </w:p>
    <w:p w:rsidR="00D966CB" w:rsidRPr="00D112AF" w:rsidRDefault="00D966CB" w:rsidP="00D966CB">
      <w:pPr>
        <w:pStyle w:val="NoSpacing"/>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Pulsars are astronomical objects which send out exceptionally rapid pulses of electromagnetic radiation. Most pulsars are detectable only in the radio wavelengths of the electromagnetic spectrum, but some also have rapid pulses in the visible region of the spectrum. A minority pulse in X-rays or gamma rays, but </w:t>
      </w:r>
      <w:r w:rsidRPr="00C52F61">
        <w:rPr>
          <w:rFonts w:ascii="Book Antiqua" w:hAnsi="Book Antiqua"/>
          <w:sz w:val="20"/>
        </w:rPr>
        <w:t>out of about 2000 or so pulsars discovered to date there are</w:t>
      </w:r>
      <w:r>
        <w:rPr>
          <w:rFonts w:ascii="Book Antiqua" w:hAnsi="Book Antiqua"/>
          <w:sz w:val="20"/>
        </w:rPr>
        <w:t xml:space="preserve"> </w:t>
      </w:r>
      <w:r w:rsidRPr="00D112AF">
        <w:rPr>
          <w:rFonts w:ascii="Book Antiqua" w:hAnsi="Book Antiqua"/>
          <w:sz w:val="20"/>
        </w:rPr>
        <w:t>only about a dozen gamma-ray pulsars known</w:t>
      </w:r>
      <w:r>
        <w:rPr>
          <w:rFonts w:ascii="Book Antiqua" w:hAnsi="Book Antiqua"/>
          <w:sz w:val="20"/>
        </w:rPr>
        <w:t>.</w:t>
      </w:r>
      <w:r w:rsidRPr="00D112AF">
        <w:rPr>
          <w:rFonts w:ascii="Book Antiqua" w:hAnsi="Book Antiqua"/>
          <w:sz w:val="20"/>
        </w:rPr>
        <w:t xml:space="preserve"> The first pulsar was discovered by S. J. Bell Burnell and A. Hewish in November 1967. The precisely timed pulses initially seemed unnatural, and the object was facetiously labeled LGM-1, standing for Little Green Men, or extra-terrestrials!</w:t>
      </w:r>
    </w:p>
    <w:p w:rsidR="00D966CB" w:rsidRPr="00D112AF" w:rsidRDefault="00D966CB" w:rsidP="00D966CB">
      <w:pPr>
        <w:pStyle w:val="NoSpacing"/>
        <w:ind w:firstLine="720"/>
        <w:jc w:val="both"/>
        <w:rPr>
          <w:rFonts w:ascii="Book Antiqua" w:hAnsi="Book Antiqua"/>
          <w:sz w:val="20"/>
        </w:rPr>
      </w:pPr>
    </w:p>
    <w:p w:rsidR="00D966CB" w:rsidRPr="000F5DD1" w:rsidRDefault="00D966CB" w:rsidP="00D966CB">
      <w:pPr>
        <w:pStyle w:val="NoSpacing"/>
        <w:ind w:firstLine="720"/>
        <w:jc w:val="both"/>
        <w:rPr>
          <w:rFonts w:ascii="Book Antiqua" w:hAnsi="Book Antiqua"/>
          <w:sz w:val="20"/>
        </w:rPr>
      </w:pPr>
      <w:r w:rsidRPr="00D112AF">
        <w:rPr>
          <w:rFonts w:ascii="Book Antiqua" w:hAnsi="Book Antiqua"/>
          <w:sz w:val="20"/>
        </w:rPr>
        <w:t xml:space="preserve">The most impressive thing about pulsars is their unbelievably high rate of pulse emission.  Initially, </w:t>
      </w:r>
      <w:proofErr w:type="gramStart"/>
      <w:r w:rsidRPr="00D112AF">
        <w:rPr>
          <w:rFonts w:ascii="Book Antiqua" w:hAnsi="Book Antiqua"/>
          <w:sz w:val="20"/>
        </w:rPr>
        <w:t>It</w:t>
      </w:r>
      <w:proofErr w:type="gramEnd"/>
      <w:r w:rsidRPr="00D112AF">
        <w:rPr>
          <w:rFonts w:ascii="Book Antiqua" w:hAnsi="Book Antiqua"/>
          <w:sz w:val="20"/>
        </w:rPr>
        <w:t xml:space="preserve"> was thought that the star emitting the pulses was rotating very quickly, like a light-house, emitting one pulse per revolution.  A typical statement about this is that </w:t>
      </w:r>
      <w:r w:rsidRPr="00D112AF">
        <w:rPr>
          <w:rFonts w:ascii="Book Antiqua" w:hAnsi="Book Antiqua"/>
          <w:i/>
          <w:sz w:val="20"/>
        </w:rPr>
        <w:t>“Due to their powerful magnetic fields, pulsars emit most of their radiation in tightly focused beams much like a lighthouse</w:t>
      </w:r>
      <w:r w:rsidRPr="000F5DD1">
        <w:rPr>
          <w:rFonts w:ascii="Book Antiqua" w:hAnsi="Book Antiqua"/>
          <w:i/>
          <w:sz w:val="20"/>
        </w:rPr>
        <w:t>.”</w:t>
      </w:r>
      <w:r w:rsidRPr="000F5DD1">
        <w:rPr>
          <w:rFonts w:ascii="Book Antiqua" w:hAnsi="Book Antiqua"/>
          <w:sz w:val="20"/>
        </w:rPr>
        <w:t>[1]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It is usually accepted that pulsars are remnants of supernova explosions. But caution is needed </w:t>
      </w:r>
      <w:r w:rsidRPr="002B1815">
        <w:rPr>
          <w:rFonts w:ascii="Book Antiqua" w:hAnsi="Book Antiqua"/>
          <w:sz w:val="20"/>
        </w:rPr>
        <w:t>regarding this interpretation</w:t>
      </w:r>
      <w:r>
        <w:rPr>
          <w:rFonts w:ascii="Book Antiqua" w:hAnsi="Book Antiqua"/>
          <w:color w:val="FF0000"/>
          <w:sz w:val="20"/>
        </w:rPr>
        <w:t xml:space="preserve"> </w:t>
      </w:r>
      <w:r w:rsidRPr="00D112AF">
        <w:rPr>
          <w:rFonts w:ascii="Book Antiqua" w:hAnsi="Book Antiqua"/>
          <w:sz w:val="20"/>
        </w:rPr>
        <w:t xml:space="preserve">as a recent study </w:t>
      </w:r>
      <w:r>
        <w:rPr>
          <w:rFonts w:ascii="Book Antiqua" w:hAnsi="Book Antiqua"/>
          <w:sz w:val="20"/>
        </w:rPr>
        <w:t>listed only</w:t>
      </w:r>
      <w:r w:rsidRPr="00D112AF">
        <w:rPr>
          <w:rFonts w:ascii="Book Antiqua" w:hAnsi="Book Antiqua"/>
          <w:sz w:val="20"/>
        </w:rPr>
        <w:t xml:space="preserve"> 46 pulsars associated with supernovas </w:t>
      </w:r>
      <w:r>
        <w:rPr>
          <w:rFonts w:ascii="Book Antiqua" w:hAnsi="Book Antiqua"/>
          <w:sz w:val="20"/>
        </w:rPr>
        <w:t>out of</w:t>
      </w:r>
      <w:r w:rsidRPr="002B1815">
        <w:rPr>
          <w:rFonts w:ascii="Book Antiqua" w:hAnsi="Book Antiqua"/>
          <w:sz w:val="20"/>
        </w:rPr>
        <w:t xml:space="preserve"> a study of over 230 supernovas and 1300 pulsars [3].</w:t>
      </w:r>
      <w:r w:rsidRPr="00D112AF">
        <w:rPr>
          <w:rFonts w:ascii="Book Antiqua" w:hAnsi="Book Antiqua"/>
          <w:sz w:val="20"/>
        </w:rPr>
        <w:t xml:space="preserve"> </w:t>
      </w:r>
      <w:r>
        <w:rPr>
          <w:rFonts w:ascii="Book Antiqua" w:hAnsi="Book Antiqua"/>
          <w:sz w:val="20"/>
        </w:rPr>
        <w:t>Nevertheless,</w:t>
      </w:r>
      <w:r w:rsidRPr="00D112AF">
        <w:rPr>
          <w:rFonts w:ascii="Book Antiqua" w:hAnsi="Book Antiqua"/>
          <w:sz w:val="20"/>
        </w:rPr>
        <w:t xml:space="preserve"> it is standard modeling to assume that the</w:t>
      </w:r>
      <w:r>
        <w:rPr>
          <w:rFonts w:ascii="Book Antiqua" w:hAnsi="Book Antiqua"/>
          <w:sz w:val="20"/>
        </w:rPr>
        <w:t>se</w:t>
      </w:r>
      <w:r w:rsidRPr="00D112AF">
        <w:rPr>
          <w:rFonts w:ascii="Book Antiqua" w:hAnsi="Book Antiqua"/>
          <w:sz w:val="20"/>
        </w:rPr>
        <w:t xml:space="preserve"> supernova </w:t>
      </w:r>
      <w:r w:rsidRPr="002B1815">
        <w:rPr>
          <w:rFonts w:ascii="Book Antiqua" w:hAnsi="Book Antiqua"/>
          <w:sz w:val="20"/>
        </w:rPr>
        <w:t>remnant</w:t>
      </w:r>
      <w:r>
        <w:rPr>
          <w:rFonts w:ascii="Book Antiqua" w:hAnsi="Book Antiqua"/>
          <w:sz w:val="20"/>
        </w:rPr>
        <w:t>s</w:t>
      </w:r>
      <w:r w:rsidRPr="002B1815">
        <w:rPr>
          <w:rFonts w:ascii="Book Antiqua" w:hAnsi="Book Antiqua"/>
          <w:sz w:val="20"/>
        </w:rPr>
        <w:t xml:space="preserve"> </w:t>
      </w:r>
      <w:r>
        <w:rPr>
          <w:rFonts w:ascii="Book Antiqua" w:hAnsi="Book Antiqua"/>
          <w:sz w:val="20"/>
        </w:rPr>
        <w:t>are</w:t>
      </w:r>
      <w:r w:rsidRPr="00D112AF">
        <w:rPr>
          <w:rFonts w:ascii="Book Antiqua" w:hAnsi="Book Antiqua"/>
          <w:sz w:val="20"/>
        </w:rPr>
        <w:t xml:space="preserve"> rapidly spinning neutron star</w:t>
      </w:r>
      <w:r>
        <w:rPr>
          <w:rFonts w:ascii="Book Antiqua" w:hAnsi="Book Antiqua"/>
          <w:sz w:val="20"/>
        </w:rPr>
        <w:t>s</w:t>
      </w:r>
      <w:r w:rsidRPr="00D112AF">
        <w:rPr>
          <w:rFonts w:ascii="Book Antiqua" w:hAnsi="Book Antiqua"/>
          <w:sz w:val="20"/>
        </w:rPr>
        <w:t xml:space="preserve"> with strong magnetic dipole</w:t>
      </w:r>
      <w:r>
        <w:rPr>
          <w:rFonts w:ascii="Book Antiqua" w:hAnsi="Book Antiqua"/>
          <w:sz w:val="20"/>
        </w:rPr>
        <w:t>s</w:t>
      </w:r>
      <w:r w:rsidRPr="00D112AF">
        <w:rPr>
          <w:rFonts w:ascii="Book Antiqua" w:hAnsi="Book Antiqua"/>
          <w:sz w:val="20"/>
        </w:rPr>
        <w:t xml:space="preserve"> off-set from the spin axis as in Figure 1. </w:t>
      </w:r>
      <w:r>
        <w:rPr>
          <w:rFonts w:ascii="Book Antiqua" w:hAnsi="Book Antiqua"/>
          <w:sz w:val="20"/>
        </w:rPr>
        <w:t>A</w:t>
      </w:r>
      <w:r w:rsidRPr="00D112AF">
        <w:rPr>
          <w:rFonts w:ascii="Book Antiqua" w:hAnsi="Book Antiqua"/>
          <w:sz w:val="20"/>
        </w:rPr>
        <w:t xml:space="preserve"> neutron star is assumed to send out a radio, light or X-ray signal that is aligned with the magnetic poles. Thus, as the star spins, observers receive pulses of electromagnetic radiation in the same way that a rotating lighthouse appears to send out pulses. </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112458" cy="3190875"/>
            <wp:effectExtent l="19050" t="0" r="2342" b="0"/>
            <wp:docPr id="24" name="il_fi" descr="http://www.atnf.csiro.au/people/pulsar/wwwdev/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tnf.csiro.au/people/pulsar/wwwdev/Model.jpg"/>
                    <pic:cNvPicPr>
                      <a:picLocks noChangeAspect="1" noChangeArrowheads="1"/>
                    </pic:cNvPicPr>
                  </pic:nvPicPr>
                  <pic:blipFill>
                    <a:blip r:embed="rId1287" cstate="print"/>
                    <a:srcRect/>
                    <a:stretch>
                      <a:fillRect/>
                    </a:stretch>
                  </pic:blipFill>
                  <pic:spPr bwMode="auto">
                    <a:xfrm>
                      <a:off x="0" y="0"/>
                      <a:ext cx="4115532" cy="319326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1:</w:t>
      </w:r>
      <w:r w:rsidRPr="0092452E">
        <w:rPr>
          <w:rFonts w:ascii="Book Antiqua" w:hAnsi="Book Antiqua"/>
          <w:i/>
          <w:sz w:val="18"/>
          <w:szCs w:val="18"/>
        </w:rPr>
        <w:t xml:space="preserve"> Typical model of a pulsar – a rapidly rotating neutron star whose magnetic field axis is off-set from the spin-axis. The radio pulses, which are aligned with the magnetic field axis, sweep out once every rotation.</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However, pulsars </w:t>
      </w:r>
      <w:r>
        <w:rPr>
          <w:rFonts w:ascii="Book Antiqua" w:hAnsi="Book Antiqua"/>
          <w:sz w:val="20"/>
        </w:rPr>
        <w:t>have been</w:t>
      </w:r>
      <w:r w:rsidRPr="00D112AF">
        <w:rPr>
          <w:rFonts w:ascii="Book Antiqua" w:hAnsi="Book Antiqua"/>
          <w:sz w:val="20"/>
        </w:rPr>
        <w:t xml:space="preserve"> discovered </w:t>
      </w:r>
      <w:r>
        <w:rPr>
          <w:rFonts w:ascii="Book Antiqua" w:hAnsi="Book Antiqua"/>
          <w:sz w:val="20"/>
        </w:rPr>
        <w:t>which have</w:t>
      </w:r>
      <w:r w:rsidRPr="00D112AF">
        <w:rPr>
          <w:rFonts w:ascii="Book Antiqua" w:hAnsi="Book Antiqua"/>
          <w:sz w:val="20"/>
        </w:rPr>
        <w:t xml:space="preserve"> pulse rates of less than a second, even though the stars involved were more massive than the sun. It would be impossible for such stars to hold together and not be </w:t>
      </w:r>
      <w:r w:rsidRPr="002B1815">
        <w:rPr>
          <w:rFonts w:ascii="Book Antiqua" w:hAnsi="Book Antiqua"/>
          <w:sz w:val="20"/>
        </w:rPr>
        <w:t>disrupted by</w:t>
      </w:r>
      <w:r w:rsidRPr="00D112AF">
        <w:rPr>
          <w:rFonts w:ascii="Book Antiqua" w:hAnsi="Book Antiqua"/>
          <w:sz w:val="20"/>
        </w:rPr>
        <w:t xml:space="preserve"> such rotation rates. One way out, suggested by Tom Gold in 1968, was that these stars consisted entirely of neutrons closely packed together. Such a star would have a very strong gravitational field which would allow it to hold together </w:t>
      </w:r>
      <w:r w:rsidRPr="00D112AF">
        <w:rPr>
          <w:rFonts w:ascii="Book Antiqua" w:hAnsi="Book Antiqua"/>
          <w:sz w:val="20"/>
        </w:rPr>
        <w:lastRenderedPageBreak/>
        <w:t>during such rapid rotation. It was only once pulsars with flashes occurring thousandths of seconds apart had been found in 1982 that Gold’s suggestion was generally accepted. These millisecond pulsars could only hold together as a rotating object if it was as dense as neutron-star. As a result, this neutron-star model became standard, as shown in Figure 1.</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On the basis of that explanation </w:t>
      </w:r>
      <w:r>
        <w:rPr>
          <w:rFonts w:ascii="Book Antiqua" w:hAnsi="Book Antiqua"/>
          <w:sz w:val="20"/>
        </w:rPr>
        <w:t>regarding</w:t>
      </w:r>
      <w:r w:rsidRPr="00D112AF">
        <w:rPr>
          <w:rFonts w:ascii="Book Antiqua" w:hAnsi="Book Antiqua"/>
          <w:sz w:val="20"/>
        </w:rPr>
        <w:t xml:space="preserve"> the behavior of pulsars, objections have been raised to the idea of the Zero Point Energy increasing over the lifetime of the universe, with a resulting decline in the speed of light and changes in other physical constants. Millisecond pulsars </w:t>
      </w:r>
      <w:r>
        <w:rPr>
          <w:rFonts w:ascii="Book Antiqua" w:hAnsi="Book Antiqua"/>
          <w:sz w:val="20"/>
        </w:rPr>
        <w:t>rotate</w:t>
      </w:r>
      <w:r w:rsidRPr="00D112AF">
        <w:rPr>
          <w:rFonts w:ascii="Book Antiqua" w:hAnsi="Book Antiqua"/>
          <w:sz w:val="20"/>
        </w:rPr>
        <w:t xml:space="preserve"> very rapidly, almost at the limit of what any proposed neutron star pulsar model could allow. If the energy density of the ZPE has increased on a cosmological scale during the time that pulsar signals were in transit, and the speed of light has slowed in inverse proportion, then we are seeing these pulsar events in slow-motion. This means that any proposed neutron star would rotate even more rapidly at the time of emission, </w:t>
      </w:r>
      <w:r>
        <w:rPr>
          <w:rFonts w:ascii="Book Antiqua" w:hAnsi="Book Antiqua"/>
          <w:sz w:val="20"/>
        </w:rPr>
        <w:t>causing it to disrupt, or fly</w:t>
      </w:r>
      <w:r w:rsidRPr="00D112AF">
        <w:rPr>
          <w:rFonts w:ascii="Book Antiqua" w:hAnsi="Book Antiqua"/>
          <w:sz w:val="20"/>
        </w:rPr>
        <w:t xml:space="preserve"> apart</w:t>
      </w:r>
      <w:r>
        <w:rPr>
          <w:rFonts w:ascii="Book Antiqua" w:hAnsi="Book Antiqua"/>
          <w:sz w:val="20"/>
        </w:rPr>
        <w:t>,</w:t>
      </w:r>
      <w:r w:rsidRPr="00D112AF">
        <w:rPr>
          <w:rFonts w:ascii="Book Antiqua" w:hAnsi="Book Antiqua"/>
          <w:sz w:val="20"/>
        </w:rPr>
        <w:t xml:space="preserve"> because of the forces involved. Thus the argument goes that any change in the strength of the ZPE, and hence </w:t>
      </w:r>
      <w:r w:rsidRPr="00D112AF">
        <w:rPr>
          <w:rStyle w:val="Emphasis"/>
          <w:rFonts w:ascii="Book Antiqua" w:hAnsi="Book Antiqua"/>
          <w:sz w:val="20"/>
        </w:rPr>
        <w:t>c</w:t>
      </w:r>
      <w:r w:rsidRPr="00D112AF">
        <w:rPr>
          <w:rFonts w:ascii="Book Antiqua" w:hAnsi="Book Antiqua"/>
          <w:sz w:val="20"/>
        </w:rPr>
        <w:t>, cannot have occurred or distant pulsars would not exist.</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Before answering this challenge, we note that a pulsar recently discovered has the fastest rotation rate known; </w:t>
      </w:r>
      <w:r>
        <w:rPr>
          <w:rFonts w:ascii="Book Antiqua" w:hAnsi="Book Antiqua"/>
          <w:sz w:val="20"/>
        </w:rPr>
        <w:t>almost</w:t>
      </w:r>
      <w:r w:rsidRPr="00D112AF">
        <w:rPr>
          <w:rFonts w:ascii="Book Antiqua" w:hAnsi="Book Antiqua"/>
          <w:sz w:val="20"/>
        </w:rPr>
        <w:t xml:space="preserve"> 43,000 </w:t>
      </w:r>
      <w:r>
        <w:rPr>
          <w:rFonts w:ascii="Book Antiqua" w:hAnsi="Book Antiqua"/>
          <w:sz w:val="20"/>
        </w:rPr>
        <w:t>“</w:t>
      </w:r>
      <w:r w:rsidRPr="002B1815">
        <w:rPr>
          <w:rFonts w:ascii="Book Antiqua" w:hAnsi="Book Antiqua"/>
          <w:sz w:val="20"/>
        </w:rPr>
        <w:t>revolutions</w:t>
      </w:r>
      <w:r>
        <w:rPr>
          <w:rFonts w:ascii="Book Antiqua" w:hAnsi="Book Antiqua"/>
          <w:sz w:val="20"/>
        </w:rPr>
        <w:t>”</w:t>
      </w:r>
      <w:r w:rsidRPr="00D112AF">
        <w:rPr>
          <w:rFonts w:ascii="Book Antiqua" w:hAnsi="Book Antiqua"/>
          <w:sz w:val="20"/>
        </w:rPr>
        <w:t xml:space="preserve"> per minute. It is proving difficult to account for this with any neutron star model.  This indicates that a new explanation for pulsars is needed. In fact, Scott has elaborated why neutron </w:t>
      </w:r>
      <w:r>
        <w:rPr>
          <w:rFonts w:ascii="Book Antiqua" w:hAnsi="Book Antiqua"/>
          <w:sz w:val="20"/>
        </w:rPr>
        <w:t>stars themselves may</w:t>
      </w:r>
      <w:r w:rsidRPr="00D112AF">
        <w:rPr>
          <w:rFonts w:ascii="Book Antiqua" w:hAnsi="Book Antiqua"/>
          <w:sz w:val="20"/>
        </w:rPr>
        <w:t xml:space="preserve"> not even exist in reality </w:t>
      </w:r>
      <w:hyperlink r:id="rId1288" w:anchor="8a213" w:history="1">
        <w:r w:rsidRPr="00D112AF">
          <w:rPr>
            <w:rStyle w:val="Hyperlink"/>
            <w:rFonts w:ascii="Book Antiqua" w:hAnsi="Book Antiqua"/>
            <w:sz w:val="20"/>
          </w:rPr>
          <w:t>[2]</w:t>
        </w:r>
      </w:hyperlink>
      <w:r w:rsidRPr="00D112AF">
        <w:rPr>
          <w:rFonts w:ascii="Book Antiqua" w:hAnsi="Book Antiqua"/>
          <w:sz w:val="20"/>
        </w:rPr>
        <w:t xml:space="preserve">. So the actual data need to be examined along with the options available for explanations.  As of January 2007, the most rapid pulses are those from </w:t>
      </w:r>
      <w:r w:rsidRPr="00D112AF">
        <w:rPr>
          <w:rStyle w:val="Emphasis"/>
          <w:rFonts w:ascii="Book Antiqua" w:hAnsi="Book Antiqua"/>
          <w:sz w:val="20"/>
        </w:rPr>
        <w:t>PSR J1748-2246ad</w:t>
      </w:r>
      <w:r w:rsidRPr="00D112AF">
        <w:rPr>
          <w:rFonts w:ascii="Book Antiqua" w:hAnsi="Book Antiqua"/>
          <w:sz w:val="20"/>
        </w:rPr>
        <w:t xml:space="preserve"> in a globular cluster called Terzan 5 located in the constellation of Sagittarius. This star sends out pulses 716 times per second or 42,960 pulses per minute. It has a companion star that orbits the pulsar once every 26 hours. It eclipses the pulsar for about 40% of the time, presumably because this companion is bloated. All told, 33 pulsars have been detected in this cluster, most of them millisecond pulsars [4].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Orbital companions are observed around millisecond pulsars in about 80% of those studied, although for normal pulsars this drops to about 1%. Currently, about 7% of all known pulsars have companions, some of which include planets. For example </w:t>
      </w:r>
      <w:r w:rsidRPr="00D112AF">
        <w:rPr>
          <w:rStyle w:val="Emphasis"/>
          <w:rFonts w:ascii="Book Antiqua" w:hAnsi="Book Antiqua"/>
          <w:sz w:val="20"/>
        </w:rPr>
        <w:t>PSR B1257+12</w:t>
      </w:r>
      <w:r w:rsidRPr="00D112AF">
        <w:rPr>
          <w:rFonts w:ascii="Book Antiqua" w:hAnsi="Book Antiqua"/>
          <w:sz w:val="20"/>
        </w:rPr>
        <w:t xml:space="preserve"> </w:t>
      </w:r>
      <w:proofErr w:type="gramStart"/>
      <w:r w:rsidRPr="00D112AF">
        <w:rPr>
          <w:rFonts w:ascii="Book Antiqua" w:hAnsi="Book Antiqua"/>
          <w:sz w:val="20"/>
        </w:rPr>
        <w:t>is</w:t>
      </w:r>
      <w:proofErr w:type="gramEnd"/>
      <w:r w:rsidRPr="00D112AF">
        <w:rPr>
          <w:rFonts w:ascii="Book Antiqua" w:hAnsi="Book Antiqua"/>
          <w:sz w:val="20"/>
        </w:rPr>
        <w:t xml:space="preserve"> a 6.2 millisecond pulsar accompanied by at least two planets with earth-like masses [5].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Scott has summarized three characteristics about these pulses.</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millisecond pulsars flash like a strobe light so that the duration of each output pulse is much shorter than the time between pulses. In fact, the duty cycle, the duration of each pulse, is typically about 5% of the time between pulses. </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Some individual pulses are quite variable in intensity.</w:t>
      </w: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The polarization of the pulse implies that the origin has a strong magnetic field. Magnetic fields require electric currents.</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jc w:val="both"/>
        <w:rPr>
          <w:rFonts w:ascii="Book Antiqua" w:hAnsi="Book Antiqua"/>
          <w:b/>
          <w:sz w:val="20"/>
        </w:rPr>
      </w:pPr>
      <w:r w:rsidRPr="00D112AF">
        <w:rPr>
          <w:rFonts w:ascii="Book Antiqua" w:hAnsi="Book Antiqua"/>
          <w:sz w:val="20"/>
        </w:rPr>
        <w:t>To these 3 points may be added a fourth which emerged on 10</w:t>
      </w:r>
      <w:r w:rsidRPr="00D112AF">
        <w:rPr>
          <w:rFonts w:ascii="Book Antiqua" w:hAnsi="Book Antiqua"/>
          <w:sz w:val="20"/>
          <w:vertAlign w:val="superscript"/>
        </w:rPr>
        <w:t>th</w:t>
      </w:r>
      <w:r w:rsidRPr="00D112AF">
        <w:rPr>
          <w:rFonts w:ascii="Book Antiqua" w:hAnsi="Book Antiqua"/>
          <w:sz w:val="20"/>
        </w:rPr>
        <w:t xml:space="preserve"> January 2012 from a study performed by the LOFAR installation in Europe. The report of that study is found in “Radio Array Starts to Work,” [6]. The outcome is that</w:t>
      </w:r>
    </w:p>
    <w:p w:rsidR="00D966CB" w:rsidRPr="00D112AF" w:rsidRDefault="00D966CB" w:rsidP="00D966CB">
      <w:pPr>
        <w:pStyle w:val="NoSpacing"/>
        <w:jc w:val="both"/>
        <w:rPr>
          <w:rFonts w:ascii="Book Antiqua" w:hAnsi="Book Antiqua"/>
          <w:b/>
          <w:sz w:val="20"/>
        </w:rPr>
      </w:pPr>
    </w:p>
    <w:p w:rsidR="00D966CB" w:rsidRPr="00D112AF" w:rsidRDefault="00D966CB" w:rsidP="00D966CB">
      <w:pPr>
        <w:pStyle w:val="NoSpacing"/>
        <w:numPr>
          <w:ilvl w:val="0"/>
          <w:numId w:val="43"/>
        </w:numPr>
        <w:jc w:val="both"/>
        <w:rPr>
          <w:rFonts w:ascii="Book Antiqua" w:hAnsi="Book Antiqua"/>
          <w:sz w:val="20"/>
        </w:rPr>
      </w:pPr>
      <w:r w:rsidRPr="00D112AF">
        <w:rPr>
          <w:rFonts w:ascii="Book Antiqua" w:hAnsi="Book Antiqua"/>
          <w:sz w:val="20"/>
        </w:rPr>
        <w:t xml:space="preserve">The pulsar signal emanates from a very narrow region near the pulsar. This contradicts the standard pulsar models. </w:t>
      </w:r>
    </w:p>
    <w:p w:rsidR="00D966CB" w:rsidRPr="00D112AF" w:rsidRDefault="00D966CB" w:rsidP="00D966CB">
      <w:pPr>
        <w:pStyle w:val="NoSpacing"/>
        <w:ind w:left="108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These data are </w:t>
      </w:r>
      <w:r w:rsidRPr="000F5DD1">
        <w:rPr>
          <w:rFonts w:ascii="Book Antiqua" w:hAnsi="Book Antiqua"/>
          <w:sz w:val="20"/>
        </w:rPr>
        <w:t xml:space="preserve">inconsistent with </w:t>
      </w:r>
      <w:r>
        <w:rPr>
          <w:rFonts w:ascii="Book Antiqua" w:hAnsi="Book Antiqua"/>
          <w:sz w:val="20"/>
        </w:rPr>
        <w:t>the</w:t>
      </w:r>
      <w:r w:rsidRPr="000F5DD1">
        <w:rPr>
          <w:rFonts w:ascii="Book Antiqua" w:hAnsi="Book Antiqua"/>
          <w:sz w:val="20"/>
        </w:rPr>
        <w:t xml:space="preserve"> rotating</w:t>
      </w:r>
      <w:r w:rsidRPr="00D112AF">
        <w:rPr>
          <w:rFonts w:ascii="Book Antiqua" w:hAnsi="Book Antiqua"/>
          <w:sz w:val="20"/>
        </w:rPr>
        <w:t xml:space="preserve"> lighthouse model. </w:t>
      </w:r>
      <w:r>
        <w:rPr>
          <w:rFonts w:ascii="Book Antiqua" w:hAnsi="Book Antiqua"/>
          <w:sz w:val="20"/>
        </w:rPr>
        <w:t>There is an alternate idea that these stars or their surfaces are pulsing in and out.  However, this also appears to be inconsistent with the data.</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r>
        <w:rPr>
          <w:rFonts w:ascii="Book Antiqua" w:hAnsi="Book Antiqua"/>
          <w:sz w:val="20"/>
        </w:rPr>
        <w:t>By way of</w:t>
      </w:r>
      <w:r w:rsidRPr="00D112AF">
        <w:rPr>
          <w:rFonts w:ascii="Book Antiqua" w:hAnsi="Book Antiqua"/>
          <w:sz w:val="20"/>
        </w:rPr>
        <w:t xml:space="preserve"> contrast, Scott shows that all these characteristics are consistent with electric arc (lightning) interaction between two components </w:t>
      </w:r>
      <w:hyperlink r:id="rId1289" w:anchor="8a213" w:history="1">
        <w:r w:rsidRPr="00D112AF">
          <w:rPr>
            <w:rStyle w:val="Hyperlink"/>
            <w:rFonts w:ascii="Book Antiqua" w:hAnsi="Book Antiqua"/>
            <w:sz w:val="20"/>
          </w:rPr>
          <w:t>[2]</w:t>
        </w:r>
      </w:hyperlink>
      <w:r w:rsidRPr="00D112AF">
        <w:rPr>
          <w:rFonts w:ascii="Book Antiqua" w:hAnsi="Book Antiqua"/>
          <w:sz w:val="20"/>
        </w:rPr>
        <w:t xml:space="preserve">. In this respect, millisecond pulsars bear a similarity to the Jupiter-Io system illustrated in Figures 2 and 3. </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5236210" cy="2533650"/>
            <wp:effectExtent l="19050" t="0" r="2540" b="0"/>
            <wp:docPr id="774"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0" cstate="print">
                      <a:lum/>
                    </a:blip>
                    <a:srcRect l="3584" t="12028" r="896" b="51049"/>
                    <a:stretch>
                      <a:fillRect/>
                    </a:stretch>
                  </pic:blipFill>
                  <pic:spPr bwMode="auto">
                    <a:xfrm>
                      <a:off x="0" y="0"/>
                      <a:ext cx="5236210" cy="2533650"/>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jc w:val="both"/>
        <w:rPr>
          <w:rFonts w:ascii="Book Antiqua" w:hAnsi="Book Antiqua"/>
          <w:i/>
          <w:sz w:val="20"/>
        </w:rPr>
      </w:pPr>
      <w:r w:rsidRPr="0092452E">
        <w:rPr>
          <w:rFonts w:ascii="Book Antiqua" w:hAnsi="Book Antiqua"/>
          <w:b/>
          <w:i/>
          <w:sz w:val="18"/>
          <w:szCs w:val="18"/>
        </w:rPr>
        <w:t>Figure 2:</w:t>
      </w:r>
      <w:r w:rsidRPr="0092452E">
        <w:rPr>
          <w:rFonts w:ascii="Book Antiqua" w:hAnsi="Book Antiqua"/>
          <w:i/>
          <w:sz w:val="18"/>
          <w:szCs w:val="18"/>
        </w:rPr>
        <w:t xml:space="preserve"> The Jupiter-Io System (a) Jupiter’s plasmasphere with its intense magnetic field. The inner moon Io traverses the field as it orbits Jupiter.</w:t>
      </w:r>
    </w:p>
    <w:p w:rsidR="00D966CB" w:rsidRPr="00D112AF" w:rsidRDefault="00D966CB" w:rsidP="00D966CB">
      <w:pPr>
        <w:pStyle w:val="NoSpacing"/>
        <w:ind w:firstLine="720"/>
        <w:jc w:val="both"/>
        <w:rPr>
          <w:rFonts w:ascii="Book Antiqua" w:hAnsi="Book Antiqua"/>
          <w:sz w:val="20"/>
        </w:rPr>
      </w:pP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drawing>
          <wp:inline distT="0" distB="0" distL="0" distR="0">
            <wp:extent cx="4772935" cy="2838450"/>
            <wp:effectExtent l="19050" t="0" r="8615" b="0"/>
            <wp:docPr id="775" name="il_fi" descr="http://astronomyonline.org/Science/Images/RadioAstronomy/Figure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stronomyonline.org/Science/Images/RadioAstronomy/Figure28.gif"/>
                    <pic:cNvPicPr>
                      <a:picLocks noChangeAspect="1" noChangeArrowheads="1"/>
                    </pic:cNvPicPr>
                  </pic:nvPicPr>
                  <pic:blipFill>
                    <a:blip r:embed="rId1290" cstate="print"/>
                    <a:srcRect l="31362" t="71864" r="10573" b="1259"/>
                    <a:stretch>
                      <a:fillRect/>
                    </a:stretch>
                  </pic:blipFill>
                  <pic:spPr bwMode="auto">
                    <a:xfrm>
                      <a:off x="0" y="0"/>
                      <a:ext cx="4780547" cy="2842977"/>
                    </a:xfrm>
                    <a:prstGeom prst="rect">
                      <a:avLst/>
                    </a:prstGeom>
                    <a:noFill/>
                    <a:ln w="9525">
                      <a:noFill/>
                      <a:miter lim="800000"/>
                      <a:headEnd/>
                      <a:tailEnd/>
                    </a:ln>
                  </pic:spPr>
                </pic:pic>
              </a:graphicData>
            </a:graphic>
          </wp:inline>
        </w:drawing>
      </w:r>
    </w:p>
    <w:p w:rsidR="00D966CB" w:rsidRPr="00D112AF" w:rsidRDefault="00D966CB" w:rsidP="00D966CB">
      <w:pPr>
        <w:pStyle w:val="NoSpacing"/>
        <w:ind w:firstLine="720"/>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3:</w:t>
      </w:r>
      <w:r w:rsidRPr="0092452E">
        <w:rPr>
          <w:rFonts w:ascii="Book Antiqua" w:hAnsi="Book Antiqua"/>
          <w:i/>
          <w:sz w:val="18"/>
          <w:szCs w:val="18"/>
        </w:rPr>
        <w:t xml:space="preserve"> Enlargement of central region showing the orbit of the moon Io and its plasma torus. As Io orbits through Jupiter’s magnetic field, the electric charge builds up on Io </w:t>
      </w:r>
      <w:proofErr w:type="gramStart"/>
      <w:r w:rsidRPr="0092452E">
        <w:rPr>
          <w:rFonts w:ascii="Book Antiqua" w:hAnsi="Book Antiqua"/>
          <w:i/>
          <w:sz w:val="18"/>
          <w:szCs w:val="18"/>
        </w:rPr>
        <w:t>until a discharge current flows</w:t>
      </w:r>
      <w:proofErr w:type="gramEnd"/>
      <w:r w:rsidRPr="0092452E">
        <w:rPr>
          <w:rFonts w:ascii="Book Antiqua" w:hAnsi="Book Antiqua"/>
          <w:i/>
          <w:sz w:val="18"/>
          <w:szCs w:val="18"/>
        </w:rPr>
        <w:t xml:space="preserve"> causing lightning bolts with their radio emissions, and aurorae.</w:t>
      </w:r>
    </w:p>
    <w:p w:rsidR="00D966CB" w:rsidRPr="00D112AF" w:rsidRDefault="00D966CB" w:rsidP="00D966CB">
      <w:pPr>
        <w:pStyle w:val="NoSpacing"/>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p>
    <w:p w:rsidR="00D966CB" w:rsidRDefault="00D966CB" w:rsidP="00D966CB">
      <w:pPr>
        <w:pStyle w:val="NoSpacing"/>
        <w:ind w:firstLine="720"/>
        <w:jc w:val="both"/>
        <w:rPr>
          <w:rFonts w:ascii="Book Antiqua" w:hAnsi="Book Antiqua"/>
          <w:sz w:val="20"/>
        </w:rPr>
      </w:pPr>
      <w:r w:rsidRPr="00D112AF">
        <w:rPr>
          <w:rFonts w:ascii="Book Antiqua" w:hAnsi="Book Antiqua"/>
          <w:sz w:val="20"/>
        </w:rPr>
        <w:t xml:space="preserve">A stellar variation of this system as a mechanism for a pulsar is a distinct possibility.  The principles involved in such a system were outlined in 1995 by K. R. Healy and A. L. Peratt </w:t>
      </w:r>
      <w:hyperlink r:id="rId1291" w:anchor="8a214" w:history="1">
        <w:r w:rsidRPr="00D112AF">
          <w:rPr>
            <w:rStyle w:val="Hyperlink"/>
            <w:rFonts w:ascii="Book Antiqua" w:hAnsi="Book Antiqua"/>
            <w:sz w:val="20"/>
          </w:rPr>
          <w:t>[7]</w:t>
        </w:r>
      </w:hyperlink>
      <w:r w:rsidRPr="00D112AF">
        <w:rPr>
          <w:rFonts w:ascii="Book Antiqua" w:hAnsi="Book Antiqua"/>
          <w:sz w:val="20"/>
        </w:rPr>
        <w:t>. They employed a plasma disk electromagnetically coupled to the magnetosphere via field-aligned currents to build up the electric charge.</w:t>
      </w:r>
    </w:p>
    <w:p w:rsidR="00D966CB" w:rsidRDefault="00D966CB" w:rsidP="00D966CB">
      <w:pPr>
        <w:pStyle w:val="NoSpacing"/>
        <w:ind w:firstLine="720"/>
        <w:jc w:val="both"/>
        <w:rPr>
          <w:rFonts w:ascii="Book Antiqua" w:hAnsi="Book Antiqua"/>
          <w:sz w:val="20"/>
        </w:rPr>
      </w:pP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This parallels conditions at the Crab Pulsar in Figure 4.</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 </w:t>
      </w:r>
    </w:p>
    <w:p w:rsidR="00D966CB" w:rsidRPr="00D112AF" w:rsidRDefault="00D966CB" w:rsidP="00D966CB">
      <w:pPr>
        <w:pStyle w:val="NoSpacing"/>
        <w:jc w:val="center"/>
        <w:rPr>
          <w:rFonts w:ascii="Book Antiqua" w:hAnsi="Book Antiqua"/>
          <w:sz w:val="20"/>
        </w:rPr>
      </w:pPr>
      <w:r w:rsidRPr="00D112AF">
        <w:rPr>
          <w:rFonts w:ascii="Book Antiqua" w:hAnsi="Book Antiqua"/>
          <w:noProof/>
          <w:sz w:val="20"/>
        </w:rPr>
        <w:lastRenderedPageBreak/>
        <w:drawing>
          <wp:inline distT="0" distB="0" distL="0" distR="0">
            <wp:extent cx="4767790" cy="4619625"/>
            <wp:effectExtent l="19050" t="0" r="0" b="0"/>
            <wp:docPr id="776" name="il_fi" descr="http://www.cosmosmagazine.com/files/imagecache/news/files/news/20080604_crab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smosmagazine.com/files/imagecache/news/files/news/20080604_crab_nebula.jpg"/>
                    <pic:cNvPicPr>
                      <a:picLocks noChangeAspect="1" noChangeArrowheads="1"/>
                    </pic:cNvPicPr>
                  </pic:nvPicPr>
                  <pic:blipFill>
                    <a:blip r:embed="rId1292" cstate="print"/>
                    <a:srcRect/>
                    <a:stretch>
                      <a:fillRect/>
                    </a:stretch>
                  </pic:blipFill>
                  <pic:spPr bwMode="auto">
                    <a:xfrm>
                      <a:off x="0" y="0"/>
                      <a:ext cx="4778544" cy="4630045"/>
                    </a:xfrm>
                    <a:prstGeom prst="rect">
                      <a:avLst/>
                    </a:prstGeom>
                    <a:noFill/>
                    <a:ln w="9525">
                      <a:noFill/>
                      <a:miter lim="800000"/>
                      <a:headEnd/>
                      <a:tailEnd/>
                    </a:ln>
                  </pic:spPr>
                </pic:pic>
              </a:graphicData>
            </a:graphic>
          </wp:inline>
        </w:drawing>
      </w:r>
    </w:p>
    <w:p w:rsidR="00D966CB" w:rsidRPr="00D112AF" w:rsidRDefault="00D966CB" w:rsidP="00D966CB">
      <w:pPr>
        <w:pStyle w:val="NoSpacing"/>
        <w:jc w:val="both"/>
        <w:rPr>
          <w:rFonts w:ascii="Book Antiqua" w:hAnsi="Book Antiqua"/>
          <w:sz w:val="20"/>
        </w:rPr>
      </w:pPr>
    </w:p>
    <w:p w:rsidR="00D966CB" w:rsidRPr="0092452E" w:rsidRDefault="00D966CB" w:rsidP="00D966CB">
      <w:pPr>
        <w:pStyle w:val="NoSpacing"/>
        <w:rPr>
          <w:rFonts w:ascii="Book Antiqua" w:hAnsi="Book Antiqua"/>
          <w:i/>
          <w:sz w:val="18"/>
          <w:szCs w:val="18"/>
        </w:rPr>
      </w:pPr>
      <w:r w:rsidRPr="0092452E">
        <w:rPr>
          <w:rFonts w:ascii="Book Antiqua" w:hAnsi="Book Antiqua"/>
          <w:b/>
          <w:i/>
          <w:sz w:val="18"/>
          <w:szCs w:val="18"/>
        </w:rPr>
        <w:t>Figure 4:</w:t>
      </w:r>
      <w:r w:rsidRPr="0092452E">
        <w:rPr>
          <w:rFonts w:ascii="Book Antiqua" w:hAnsi="Book Antiqua"/>
          <w:i/>
          <w:sz w:val="18"/>
          <w:szCs w:val="18"/>
        </w:rPr>
        <w:t xml:space="preserve"> The Crab Pulsar is in this structure with a spinning plasma disk around a central object with the polar jets shown here. Orbital companions have been confirmed for 80% </w:t>
      </w:r>
      <w:r w:rsidRPr="002B1815">
        <w:rPr>
          <w:rFonts w:ascii="Book Antiqua" w:hAnsi="Book Antiqua"/>
          <w:i/>
          <w:sz w:val="18"/>
          <w:szCs w:val="18"/>
        </w:rPr>
        <w:t>of pulsars</w:t>
      </w:r>
      <w:r w:rsidRPr="0092452E">
        <w:rPr>
          <w:rFonts w:ascii="Book Antiqua" w:hAnsi="Book Antiqua"/>
          <w:i/>
          <w:sz w:val="18"/>
          <w:szCs w:val="18"/>
        </w:rPr>
        <w:t>. A planetary companion has been suspected in this case as early as 1970 [12]. If so, this spinning disk in a strong magnetic field would build up a potential difference and periodically discharge. This agrees with models proposed by Healy, Peratt, and Scott.</w:t>
      </w:r>
    </w:p>
    <w:p w:rsidR="00D966CB" w:rsidRPr="00D112AF" w:rsidRDefault="00D966CB" w:rsidP="00D966CB">
      <w:pPr>
        <w:pStyle w:val="NoSpacing"/>
        <w:rPr>
          <w:rFonts w:ascii="Book Antiqua" w:hAnsi="Book Antiqua"/>
          <w:sz w:val="18"/>
          <w:szCs w:val="18"/>
        </w:rPr>
      </w:pPr>
    </w:p>
    <w:p w:rsidR="00D966CB" w:rsidRPr="00D112AF" w:rsidRDefault="00D966CB" w:rsidP="00D966CB">
      <w:pPr>
        <w:pStyle w:val="NoSpacing"/>
        <w:jc w:val="both"/>
        <w:rPr>
          <w:rFonts w:ascii="Book Antiqua" w:hAnsi="Book Antiqua"/>
          <w:sz w:val="20"/>
        </w:rPr>
      </w:pPr>
      <w:r w:rsidRPr="00D112AF">
        <w:rPr>
          <w:rFonts w:ascii="Book Antiqua" w:hAnsi="Book Antiqua"/>
          <w:i/>
          <w:sz w:val="20"/>
        </w:rPr>
        <w:t xml:space="preserve"> </w:t>
      </w:r>
    </w:p>
    <w:p w:rsidR="00D966CB" w:rsidRPr="00D112AF" w:rsidRDefault="00D966CB" w:rsidP="00D966CB">
      <w:pPr>
        <w:pStyle w:val="NoSpacing"/>
        <w:ind w:firstLine="720"/>
        <w:jc w:val="both"/>
        <w:rPr>
          <w:rFonts w:ascii="Book Antiqua" w:hAnsi="Book Antiqua"/>
          <w:sz w:val="20"/>
        </w:rPr>
      </w:pPr>
      <w:r w:rsidRPr="00D112AF">
        <w:rPr>
          <w:rFonts w:ascii="Book Antiqua" w:hAnsi="Book Antiqua"/>
          <w:sz w:val="20"/>
        </w:rPr>
        <w:t xml:space="preserve">Variations on this theme of a unipolar inductor mechanism to build up electric charge appeared in 1998 for a white-dwarf/planet pair </w:t>
      </w:r>
      <w:hyperlink r:id="rId1293" w:anchor="8a215" w:history="1">
        <w:r w:rsidRPr="00D112AF">
          <w:rPr>
            <w:rStyle w:val="Hyperlink"/>
            <w:rFonts w:ascii="Book Antiqua" w:hAnsi="Book Antiqua"/>
            <w:sz w:val="20"/>
          </w:rPr>
          <w:t>[8]</w:t>
        </w:r>
      </w:hyperlink>
      <w:r w:rsidRPr="00D112AF">
        <w:rPr>
          <w:rFonts w:ascii="Book Antiqua" w:hAnsi="Book Antiqua"/>
          <w:sz w:val="20"/>
        </w:rPr>
        <w:t xml:space="preserve">, and, around 2002, for a magnetic and non-magnetic white dwarf pair </w:t>
      </w:r>
      <w:hyperlink r:id="rId1294" w:anchor="8a216" w:history="1">
        <w:r w:rsidRPr="00D112AF">
          <w:rPr>
            <w:rStyle w:val="Hyperlink"/>
            <w:rFonts w:ascii="Book Antiqua" w:hAnsi="Book Antiqua"/>
            <w:sz w:val="20"/>
          </w:rPr>
          <w:t>[9, 10]</w:t>
        </w:r>
      </w:hyperlink>
      <w:r w:rsidRPr="00D112AF">
        <w:rPr>
          <w:rFonts w:ascii="Book Antiqua" w:hAnsi="Book Antiqua"/>
          <w:sz w:val="20"/>
        </w:rPr>
        <w:t xml:space="preserve">. Scott himself proposed a related mechanism in 2006 whereby two stars acting as capacitors, with plasma between them acting as a resistor, would build up voltage between them and then discharge in the same way as a relaxation oscillator </w:t>
      </w:r>
      <w:hyperlink r:id="rId1295" w:anchor="8a218" w:history="1">
        <w:r w:rsidRPr="00D112AF">
          <w:rPr>
            <w:rStyle w:val="Hyperlink"/>
            <w:rFonts w:ascii="Book Antiqua" w:hAnsi="Book Antiqua"/>
            <w:sz w:val="20"/>
          </w:rPr>
          <w:t>[11]</w:t>
        </w:r>
      </w:hyperlink>
      <w:r w:rsidRPr="00D112AF">
        <w:rPr>
          <w:rFonts w:ascii="Book Antiqua" w:hAnsi="Book Antiqua"/>
          <w:sz w:val="20"/>
        </w:rPr>
        <w:t>. Thus, it is perfectly possible that pulsars are not rapidly spinning neutron stars, but rather stars with spinning plasma disks. These disks build up a potential difference via the magnetic field and then periodically discharge. In some cases a visible or invisible companion may be involved as well as the disk. The star’s spin rate is then independent of the rate of discharge</w:t>
      </w:r>
      <w:r>
        <w:rPr>
          <w:rFonts w:ascii="Book Antiqua" w:hAnsi="Book Antiqua"/>
          <w:sz w:val="20"/>
        </w:rPr>
        <w:t>.</w:t>
      </w:r>
      <w:r w:rsidRPr="00D112AF">
        <w:rPr>
          <w:rFonts w:ascii="Book Antiqua" w:hAnsi="Book Antiqua"/>
          <w:sz w:val="20"/>
        </w:rPr>
        <w:t xml:space="preserve"> </w:t>
      </w:r>
    </w:p>
    <w:p w:rsidR="00D966CB" w:rsidRPr="00D112AF" w:rsidRDefault="00D966CB" w:rsidP="00D966CB">
      <w:pPr>
        <w:pStyle w:val="NoSpacing"/>
        <w:ind w:firstLine="720"/>
        <w:jc w:val="both"/>
        <w:rPr>
          <w:rFonts w:ascii="Book Antiqua" w:hAnsi="Book Antiqua"/>
          <w:sz w:val="20"/>
        </w:rPr>
      </w:pPr>
    </w:p>
    <w:p w:rsidR="00D966CB" w:rsidRPr="002B1815" w:rsidRDefault="00D966CB" w:rsidP="00D966CB">
      <w:pPr>
        <w:pStyle w:val="NoSpacing"/>
        <w:ind w:firstLine="720"/>
        <w:jc w:val="both"/>
        <w:rPr>
          <w:rFonts w:ascii="Book Antiqua" w:hAnsi="Book Antiqua"/>
          <w:sz w:val="20"/>
        </w:rPr>
      </w:pPr>
      <w:r w:rsidRPr="00D112AF">
        <w:rPr>
          <w:rFonts w:ascii="Book Antiqua" w:hAnsi="Book Antiqua"/>
          <w:sz w:val="20"/>
        </w:rPr>
        <w:t xml:space="preserve">The outcome is that pulsars may well be acting on the basis of plasma physics with a charging/discharging capacitor-like system in operation. Since capacitances, currents and voltages are ZPE-dependent, any systematic changes in the ZPE will result in similar systematic changes in the charge rate of the capacitor and hence the pulse emission rate, as shown in Chapter 6. The end result is that, even with changes in the ZPE and the slow-down in light travel time from the point of emission to the observer, the pulses will still arrive at precise intervals. A more reasonable pulsar model thus </w:t>
      </w:r>
      <w:r w:rsidRPr="00D112AF">
        <w:rPr>
          <w:rFonts w:ascii="Book Antiqua" w:hAnsi="Book Antiqua"/>
          <w:sz w:val="20"/>
        </w:rPr>
        <w:lastRenderedPageBreak/>
        <w:t>removes an objection to a varying ZPE that the changing speed of light might otherwise produce</w:t>
      </w:r>
      <w:r>
        <w:rPr>
          <w:rFonts w:ascii="Book Antiqua" w:hAnsi="Book Antiqua"/>
          <w:sz w:val="20"/>
        </w:rPr>
        <w:t xml:space="preserve">, </w:t>
      </w:r>
      <w:r w:rsidRPr="002B1815">
        <w:rPr>
          <w:rFonts w:ascii="Book Antiqua" w:hAnsi="Book Antiqua"/>
          <w:sz w:val="20"/>
        </w:rPr>
        <w:t xml:space="preserve">as well as removing the impossibilities involved with anything spinning that rapidly and holding together. </w:t>
      </w:r>
    </w:p>
    <w:p w:rsidR="00D966CB" w:rsidRPr="00D112AF" w:rsidRDefault="00D966CB" w:rsidP="00D966CB">
      <w:pPr>
        <w:pStyle w:val="NoSpacing"/>
        <w:ind w:firstLine="720"/>
        <w:jc w:val="both"/>
        <w:rPr>
          <w:rFonts w:ascii="Book Antiqua" w:hAnsi="Book Antiqua"/>
          <w:sz w:val="20"/>
        </w:rPr>
      </w:pPr>
    </w:p>
    <w:p w:rsidR="00D966CB" w:rsidRPr="00D966CB" w:rsidRDefault="00D966CB" w:rsidP="00D966CB">
      <w:pPr>
        <w:pStyle w:val="NoSpacing"/>
        <w:rPr>
          <w:rStyle w:val="Strong"/>
          <w:rFonts w:ascii="Book Antiqua" w:hAnsi="Book Antiqua"/>
          <w:b w:val="0"/>
          <w:i/>
          <w:sz w:val="20"/>
        </w:rPr>
      </w:pPr>
      <w:r w:rsidRPr="00D112AF">
        <w:rPr>
          <w:rStyle w:val="Strong"/>
          <w:rFonts w:ascii="Book Antiqua" w:hAnsi="Book Antiqua"/>
          <w:sz w:val="20"/>
        </w:rPr>
        <w:t>References</w:t>
      </w:r>
      <w:r w:rsidRPr="00D112AF">
        <w:rPr>
          <w:rStyle w:val="Strong"/>
          <w:rFonts w:ascii="Book Antiqua" w:hAnsi="Book Antiqua"/>
          <w:i/>
          <w:sz w:val="20"/>
        </w:rPr>
        <w:t xml:space="preserve"> </w:t>
      </w:r>
      <w:r w:rsidRPr="00D966CB">
        <w:rPr>
          <w:rStyle w:val="Strong"/>
          <w:rFonts w:ascii="Book Antiqua" w:hAnsi="Book Antiqua"/>
          <w:b w:val="0"/>
          <w:i/>
          <w:sz w:val="20"/>
        </w:rPr>
        <w:t>– All URL’s retrieved 20</w:t>
      </w:r>
      <w:r w:rsidRPr="00D966CB">
        <w:rPr>
          <w:rStyle w:val="Strong"/>
          <w:rFonts w:ascii="Book Antiqua" w:hAnsi="Book Antiqua"/>
          <w:b w:val="0"/>
          <w:i/>
          <w:sz w:val="20"/>
          <w:vertAlign w:val="superscript"/>
        </w:rPr>
        <w:t>th</w:t>
      </w:r>
      <w:r w:rsidRPr="00D966CB">
        <w:rPr>
          <w:rStyle w:val="Strong"/>
          <w:rFonts w:ascii="Book Antiqua" w:hAnsi="Book Antiqua"/>
          <w:b w:val="0"/>
          <w:i/>
          <w:sz w:val="20"/>
        </w:rPr>
        <w:t xml:space="preserve"> September, 2012.</w:t>
      </w:r>
    </w:p>
    <w:p w:rsidR="00D966CB" w:rsidRPr="00D112AF" w:rsidRDefault="00D966CB" w:rsidP="00D966CB">
      <w:pPr>
        <w:pStyle w:val="NoSpacing"/>
        <w:rPr>
          <w:rStyle w:val="Strong"/>
          <w:rFonts w:ascii="Book Antiqua" w:hAnsi="Book Antiqua"/>
          <w:sz w:val="16"/>
          <w:szCs w:val="16"/>
        </w:rPr>
      </w:pPr>
    </w:p>
    <w:p w:rsidR="00D966CB" w:rsidRPr="00D966CB" w:rsidRDefault="00D966CB" w:rsidP="00D966CB">
      <w:pPr>
        <w:pStyle w:val="NoSpacing"/>
        <w:rPr>
          <w:rFonts w:ascii="Book Antiqua" w:hAnsi="Book Antiqua"/>
          <w:b/>
          <w:sz w:val="16"/>
          <w:szCs w:val="16"/>
        </w:rPr>
      </w:pPr>
      <w:r w:rsidRPr="00D966CB">
        <w:rPr>
          <w:rStyle w:val="Strong"/>
          <w:rFonts w:ascii="Book Antiqua" w:hAnsi="Book Antiqua"/>
          <w:b w:val="0"/>
          <w:sz w:val="16"/>
          <w:szCs w:val="16"/>
        </w:rPr>
        <w:t xml:space="preserve">[1] R. Anderson, “New Pulsar Clocks Will Aid Gravitational Wave Detection,” </w:t>
      </w:r>
      <w:r w:rsidRPr="00D966CB">
        <w:rPr>
          <w:rStyle w:val="Strong"/>
          <w:rFonts w:ascii="Book Antiqua" w:hAnsi="Book Antiqua"/>
          <w:b w:val="0"/>
          <w:i/>
          <w:sz w:val="16"/>
          <w:szCs w:val="16"/>
        </w:rPr>
        <w:t>Universe Today</w:t>
      </w:r>
      <w:r w:rsidRPr="00D966CB">
        <w:rPr>
          <w:rStyle w:val="Strong"/>
          <w:rFonts w:ascii="Book Antiqua" w:hAnsi="Book Antiqua"/>
          <w:b w:val="0"/>
          <w:sz w:val="16"/>
          <w:szCs w:val="16"/>
        </w:rPr>
        <w:t xml:space="preserve">, 5 January, 2010.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[2]</w:t>
      </w:r>
      <w:bookmarkStart w:id="259" w:name="8a213"/>
      <w:bookmarkEnd w:id="259"/>
      <w:r w:rsidRPr="00D112AF">
        <w:rPr>
          <w:rFonts w:ascii="Book Antiqua" w:hAnsi="Book Antiqua"/>
          <w:sz w:val="16"/>
          <w:szCs w:val="16"/>
        </w:rPr>
        <w:t xml:space="preserve"> D. E. Scott, </w:t>
      </w:r>
      <w:r w:rsidRPr="00D112AF">
        <w:rPr>
          <w:rFonts w:ascii="Book Antiqua" w:hAnsi="Book Antiqua"/>
          <w:i/>
          <w:sz w:val="16"/>
          <w:szCs w:val="16"/>
        </w:rPr>
        <w:t>The Electric Sky,</w:t>
      </w:r>
      <w:r w:rsidRPr="00D112AF">
        <w:rPr>
          <w:rFonts w:ascii="Book Antiqua" w:hAnsi="Book Antiqua"/>
          <w:sz w:val="16"/>
          <w:szCs w:val="16"/>
        </w:rPr>
        <w:t xml:space="preserve"> pp.176-177, (Mikamar Publishing, 2006). </w:t>
      </w:r>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 xml:space="preserve">[3] D. A. Leahy, W. Tian, “A New Sample of Candidate for Pulsar/Supernova Remnant Association,” </w:t>
      </w:r>
      <w:r w:rsidRPr="00D112AF">
        <w:rPr>
          <w:rFonts w:ascii="Book Antiqua" w:hAnsi="Book Antiqua"/>
          <w:i/>
          <w:sz w:val="16"/>
          <w:szCs w:val="16"/>
        </w:rPr>
        <w:t>Bulletin of the American Astronomical Society</w:t>
      </w:r>
      <w:r w:rsidRPr="00D112AF">
        <w:rPr>
          <w:rFonts w:ascii="Book Antiqua" w:hAnsi="Book Antiqua"/>
          <w:sz w:val="16"/>
          <w:szCs w:val="16"/>
        </w:rPr>
        <w:t xml:space="preserve">, </w:t>
      </w:r>
      <w:r w:rsidRPr="00D112AF">
        <w:rPr>
          <w:rFonts w:ascii="Book Antiqua" w:hAnsi="Book Antiqua"/>
          <w:b/>
          <w:sz w:val="16"/>
          <w:szCs w:val="16"/>
        </w:rPr>
        <w:t>35</w:t>
      </w:r>
      <w:r w:rsidRPr="00D112AF">
        <w:rPr>
          <w:rFonts w:ascii="Book Antiqua" w:hAnsi="Book Antiqua"/>
          <w:sz w:val="16"/>
          <w:szCs w:val="16"/>
        </w:rPr>
        <w:t xml:space="preserve">, p.612, (March, 2003). </w:t>
      </w:r>
      <w:proofErr w:type="gramStart"/>
      <w:r w:rsidRPr="00D112AF">
        <w:rPr>
          <w:rFonts w:ascii="Book Antiqua" w:hAnsi="Book Antiqua"/>
          <w:sz w:val="16"/>
          <w:szCs w:val="16"/>
        </w:rPr>
        <w:t>Abstract  available</w:t>
      </w:r>
      <w:proofErr w:type="gramEnd"/>
      <w:r w:rsidRPr="00D112AF">
        <w:rPr>
          <w:rFonts w:ascii="Book Antiqua" w:hAnsi="Book Antiqua"/>
          <w:sz w:val="16"/>
          <w:szCs w:val="16"/>
        </w:rPr>
        <w:t xml:space="preserve"> at: </w:t>
      </w:r>
      <w:hyperlink r:id="rId1296" w:history="1">
        <w:r w:rsidRPr="00D112AF">
          <w:rPr>
            <w:rStyle w:val="Hyperlink"/>
            <w:rFonts w:ascii="Book Antiqua" w:hAnsi="Book Antiqua"/>
            <w:i/>
            <w:szCs w:val="16"/>
          </w:rPr>
          <w:t>http://adsabs.harvard.edu/abs/2003HEAD....7.1009L</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[4] See National Radio Astronomy Observatory news release titled “Astronomers discover fastest spinning pulsar,” at: </w:t>
      </w:r>
    </w:p>
    <w:p w:rsidR="00D966CB" w:rsidRPr="00D112AF" w:rsidRDefault="007B3EBC" w:rsidP="00D966CB">
      <w:pPr>
        <w:pStyle w:val="NoSpacing"/>
        <w:rPr>
          <w:rFonts w:ascii="Book Antiqua" w:hAnsi="Book Antiqua"/>
          <w:sz w:val="16"/>
          <w:szCs w:val="16"/>
        </w:rPr>
      </w:pPr>
      <w:hyperlink r:id="rId1297" w:history="1">
        <w:r w:rsidR="00D966CB" w:rsidRPr="00D112AF">
          <w:rPr>
            <w:rStyle w:val="Hyperlink"/>
            <w:rFonts w:ascii="Book Antiqua" w:hAnsi="Book Antiqua"/>
            <w:szCs w:val="16"/>
          </w:rPr>
          <w:t>http://www.nrao.edu/pr/2006/mspulsar/</w:t>
        </w:r>
      </w:hyperlink>
    </w:p>
    <w:p w:rsidR="00D966CB" w:rsidRPr="00D112AF" w:rsidRDefault="00D966CB" w:rsidP="00D966CB">
      <w:pPr>
        <w:pStyle w:val="NoSpacing"/>
        <w:rPr>
          <w:rFonts w:ascii="Book Antiqua" w:hAnsi="Book Antiqua"/>
          <w:sz w:val="16"/>
          <w:szCs w:val="16"/>
        </w:rPr>
      </w:pPr>
      <w:proofErr w:type="gramStart"/>
      <w:r w:rsidRPr="00D112AF">
        <w:rPr>
          <w:rFonts w:ascii="Book Antiqua" w:hAnsi="Book Antiqua"/>
          <w:sz w:val="16"/>
          <w:szCs w:val="16"/>
        </w:rPr>
        <w:t>[5] M. Konacki, A. Wolczcan, “Masses and orbital inclinations of planets in the PSR B1257+12 system,”</w:t>
      </w:r>
      <w:r w:rsidRPr="00D112AF">
        <w:rPr>
          <w:rFonts w:ascii="Book Antiqua" w:hAnsi="Book Antiqua"/>
          <w:i/>
          <w:sz w:val="16"/>
          <w:szCs w:val="16"/>
        </w:rPr>
        <w:t>Astrophys.J.</w:t>
      </w:r>
      <w:proofErr w:type="gramEnd"/>
      <w:r w:rsidRPr="00D112AF">
        <w:rPr>
          <w:rFonts w:ascii="Book Antiqua" w:hAnsi="Book Antiqua"/>
          <w:sz w:val="16"/>
          <w:szCs w:val="16"/>
        </w:rPr>
        <w:t xml:space="preserve"> </w:t>
      </w:r>
      <w:proofErr w:type="gramStart"/>
      <w:r w:rsidRPr="00D112AF">
        <w:rPr>
          <w:rFonts w:ascii="Book Antiqua" w:hAnsi="Book Antiqua"/>
          <w:b/>
          <w:sz w:val="16"/>
          <w:szCs w:val="16"/>
        </w:rPr>
        <w:t>591,</w:t>
      </w:r>
      <w:r w:rsidRPr="00D112AF">
        <w:rPr>
          <w:rFonts w:ascii="Book Antiqua" w:hAnsi="Book Antiqua"/>
          <w:sz w:val="16"/>
          <w:szCs w:val="16"/>
        </w:rPr>
        <w:t xml:space="preserve"> L147-L150, (2003).</w:t>
      </w:r>
      <w:proofErr w:type="gramEnd"/>
      <w:r w:rsidRPr="00D112AF">
        <w:rPr>
          <w:rFonts w:ascii="Book Antiqua" w:hAnsi="Book Antiqua"/>
          <w:sz w:val="16"/>
          <w:szCs w:val="16"/>
        </w:rPr>
        <w:t xml:space="preserve"> Abstract available online at: </w:t>
      </w:r>
      <w:hyperlink r:id="rId1298" w:history="1">
        <w:r w:rsidRPr="00D112AF">
          <w:rPr>
            <w:rStyle w:val="Hyperlink"/>
            <w:rFonts w:ascii="Book Antiqua" w:hAnsi="Book Antiqua"/>
            <w:szCs w:val="16"/>
          </w:rPr>
          <w:t>http://arxiv.org/abs/astro-ph/0305536</w:t>
        </w:r>
      </w:hyperlink>
      <w:r w:rsidRPr="00D112AF">
        <w:rPr>
          <w:rFonts w:ascii="Book Antiqua" w:hAnsi="Book Antiqua"/>
          <w:sz w:val="16"/>
          <w:szCs w:val="16"/>
        </w:rPr>
        <w:t xml:space="preserve"> </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[6] </w:t>
      </w:r>
      <w:hyperlink r:id="rId1299" w:history="1">
        <w:r w:rsidRPr="00D112AF">
          <w:rPr>
            <w:rStyle w:val="Hyperlink"/>
            <w:rFonts w:ascii="Book Antiqua" w:hAnsi="Book Antiqua"/>
            <w:szCs w:val="16"/>
          </w:rPr>
          <w:t>http://www.nature.com/news/radio-array-starts-work-1.9762</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This links to a Nature News article entitled “Radio Array Starts to Work,” authored by Eric Hand on 10 January 2012.</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[7]</w:t>
      </w:r>
      <w:bookmarkStart w:id="260" w:name="8a214"/>
      <w:bookmarkEnd w:id="260"/>
      <w:r w:rsidRPr="00D112AF">
        <w:rPr>
          <w:rFonts w:ascii="Book Antiqua" w:hAnsi="Book Antiqua"/>
          <w:sz w:val="16"/>
          <w:szCs w:val="16"/>
        </w:rPr>
        <w:t xml:space="preserve"> K. R. Healy &amp; A. L Peratt, </w:t>
      </w:r>
      <w:r w:rsidRPr="00D112AF">
        <w:rPr>
          <w:rStyle w:val="Emphasis"/>
          <w:rFonts w:ascii="Book Antiqua" w:hAnsi="Book Antiqua"/>
          <w:sz w:val="16"/>
          <w:szCs w:val="16"/>
        </w:rPr>
        <w:t>Astrophysics and Space Science</w:t>
      </w:r>
      <w:r w:rsidRPr="00D112AF">
        <w:rPr>
          <w:rFonts w:ascii="Book Antiqua" w:hAnsi="Book Antiqua"/>
          <w:sz w:val="16"/>
          <w:szCs w:val="16"/>
        </w:rPr>
        <w:t xml:space="preserve"> </w:t>
      </w:r>
      <w:r w:rsidRPr="00D112AF">
        <w:rPr>
          <w:rStyle w:val="Strong"/>
          <w:rFonts w:ascii="Book Antiqua" w:hAnsi="Book Antiqua"/>
          <w:sz w:val="16"/>
          <w:szCs w:val="16"/>
        </w:rPr>
        <w:t>227</w:t>
      </w:r>
      <w:r w:rsidRPr="00D112AF">
        <w:rPr>
          <w:rFonts w:ascii="Book Antiqua" w:hAnsi="Book Antiqua"/>
          <w:sz w:val="16"/>
          <w:szCs w:val="16"/>
        </w:rPr>
        <w:t xml:space="preserve"> (1995), pp.229-253</w:t>
      </w:r>
      <w:r w:rsidRPr="00D112AF">
        <w:rPr>
          <w:rFonts w:ascii="Book Antiqua" w:hAnsi="Book Antiqua"/>
          <w:sz w:val="16"/>
          <w:szCs w:val="16"/>
        </w:rPr>
        <w:br/>
        <w:t>[8]</w:t>
      </w:r>
      <w:bookmarkStart w:id="261" w:name="8a215"/>
      <w:bookmarkEnd w:id="261"/>
      <w:r w:rsidRPr="00D112AF">
        <w:rPr>
          <w:rFonts w:ascii="Book Antiqua" w:hAnsi="Book Antiqua"/>
          <w:sz w:val="16"/>
          <w:szCs w:val="16"/>
        </w:rPr>
        <w:t xml:space="preserve"> J. Li, L. Ferrario &amp; D. Wickramasinghe, </w:t>
      </w:r>
      <w:r w:rsidRPr="00D112AF">
        <w:rPr>
          <w:rStyle w:val="Emphasis"/>
          <w:rFonts w:ascii="Book Antiqua" w:hAnsi="Book Antiqua"/>
          <w:sz w:val="16"/>
          <w:szCs w:val="16"/>
        </w:rPr>
        <w:t>Astrophysical Journal</w:t>
      </w:r>
      <w:r w:rsidRPr="00D112AF">
        <w:rPr>
          <w:rFonts w:ascii="Book Antiqua" w:hAnsi="Book Antiqua"/>
          <w:sz w:val="16"/>
          <w:szCs w:val="16"/>
        </w:rPr>
        <w:t xml:space="preserve"> </w:t>
      </w:r>
      <w:r w:rsidRPr="00D112AF">
        <w:rPr>
          <w:rStyle w:val="Strong"/>
          <w:rFonts w:ascii="Book Antiqua" w:hAnsi="Book Antiqua"/>
          <w:sz w:val="16"/>
          <w:szCs w:val="16"/>
        </w:rPr>
        <w:t>503</w:t>
      </w:r>
      <w:r w:rsidRPr="00D112AF">
        <w:rPr>
          <w:rFonts w:ascii="Book Antiqua" w:hAnsi="Book Antiqua"/>
          <w:sz w:val="16"/>
          <w:szCs w:val="16"/>
        </w:rPr>
        <w:t xml:space="preserve">, L151-L154, (1998). </w:t>
      </w:r>
      <w:r w:rsidRPr="00D112AF">
        <w:rPr>
          <w:rFonts w:ascii="Book Antiqua" w:hAnsi="Book Antiqua"/>
          <w:sz w:val="16"/>
          <w:szCs w:val="16"/>
        </w:rPr>
        <w:br/>
      </w:r>
      <w:proofErr w:type="gramStart"/>
      <w:r w:rsidRPr="00D112AF">
        <w:rPr>
          <w:rFonts w:ascii="Book Antiqua" w:hAnsi="Book Antiqua"/>
          <w:sz w:val="16"/>
          <w:szCs w:val="16"/>
        </w:rPr>
        <w:t>[9]</w:t>
      </w:r>
      <w:bookmarkStart w:id="262" w:name="8a216"/>
      <w:bookmarkEnd w:id="262"/>
      <w:r w:rsidRPr="00D112AF">
        <w:rPr>
          <w:rFonts w:ascii="Book Antiqua" w:hAnsi="Book Antiqua"/>
          <w:sz w:val="16"/>
          <w:szCs w:val="16"/>
        </w:rPr>
        <w:t xml:space="preserve"> A. Bhardwaj, G. R. Gladstone &amp; P. Zarka, </w:t>
      </w:r>
      <w:r w:rsidRPr="00D112AF">
        <w:rPr>
          <w:rStyle w:val="Emphasis"/>
          <w:rFonts w:ascii="Book Antiqua" w:hAnsi="Book Antiqua"/>
          <w:sz w:val="16"/>
          <w:szCs w:val="16"/>
        </w:rPr>
        <w:t>Advances in Space Research</w:t>
      </w:r>
      <w:r w:rsidRPr="00D112AF">
        <w:rPr>
          <w:rFonts w:ascii="Book Antiqua" w:hAnsi="Book Antiqua"/>
          <w:sz w:val="16"/>
          <w:szCs w:val="16"/>
        </w:rPr>
        <w:t xml:space="preserve"> </w:t>
      </w:r>
      <w:r w:rsidRPr="00D112AF">
        <w:rPr>
          <w:rStyle w:val="Strong"/>
          <w:rFonts w:ascii="Book Antiqua" w:hAnsi="Book Antiqua"/>
          <w:sz w:val="16"/>
          <w:szCs w:val="16"/>
        </w:rPr>
        <w:t>27</w:t>
      </w:r>
      <w:r w:rsidRPr="00D112AF">
        <w:rPr>
          <w:rFonts w:ascii="Book Antiqua" w:hAnsi="Book Antiqua"/>
          <w:sz w:val="16"/>
          <w:szCs w:val="16"/>
        </w:rPr>
        <w:t>:11, pp.1915-1922, (2001).</w:t>
      </w:r>
      <w:proofErr w:type="gramEnd"/>
      <w:r w:rsidRPr="00D112AF">
        <w:rPr>
          <w:rFonts w:ascii="Book Antiqua" w:hAnsi="Book Antiqua"/>
          <w:sz w:val="16"/>
          <w:szCs w:val="16"/>
        </w:rPr>
        <w:br/>
        <w:t>[10</w:t>
      </w:r>
      <w:proofErr w:type="gramStart"/>
      <w:r w:rsidRPr="00D112AF">
        <w:rPr>
          <w:rFonts w:ascii="Book Antiqua" w:hAnsi="Book Antiqua"/>
          <w:sz w:val="16"/>
          <w:szCs w:val="16"/>
        </w:rPr>
        <w:t>]</w:t>
      </w:r>
      <w:bookmarkStart w:id="263" w:name="8a217"/>
      <w:bookmarkEnd w:id="263"/>
      <w:r w:rsidRPr="00D112AF">
        <w:rPr>
          <w:rFonts w:ascii="Book Antiqua" w:hAnsi="Book Antiqua"/>
          <w:sz w:val="16"/>
          <w:szCs w:val="16"/>
        </w:rPr>
        <w:t xml:space="preserve">  A</w:t>
      </w:r>
      <w:proofErr w:type="gramEnd"/>
      <w:r w:rsidRPr="00D112AF">
        <w:rPr>
          <w:rFonts w:ascii="Book Antiqua" w:hAnsi="Book Antiqua"/>
          <w:sz w:val="16"/>
          <w:szCs w:val="16"/>
        </w:rPr>
        <w:t xml:space="preserve">. Bhardwaj &amp; M. Michael (2002) online at: </w:t>
      </w:r>
    </w:p>
    <w:p w:rsidR="00D966CB" w:rsidRPr="00D112AF" w:rsidRDefault="007B3EBC" w:rsidP="00D966CB">
      <w:pPr>
        <w:pStyle w:val="NoSpacing"/>
        <w:rPr>
          <w:rFonts w:ascii="Book Antiqua" w:hAnsi="Book Antiqua"/>
          <w:sz w:val="16"/>
          <w:szCs w:val="16"/>
        </w:rPr>
      </w:pPr>
      <w:hyperlink r:id="rId1300" w:history="1">
        <w:r w:rsidR="00D966CB" w:rsidRPr="00D112AF">
          <w:rPr>
            <w:rStyle w:val="Hyperlink"/>
            <w:rFonts w:ascii="Book Antiqua" w:hAnsi="Book Antiqua"/>
            <w:szCs w:val="16"/>
          </w:rPr>
          <w:t>http://arxiv.org/ftp/astro-ph/papers/0209/0209070.pdf</w:t>
        </w:r>
      </w:hyperlink>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[11]</w:t>
      </w:r>
      <w:bookmarkStart w:id="264" w:name="8a218"/>
      <w:bookmarkEnd w:id="264"/>
      <w:r w:rsidRPr="00D112AF">
        <w:rPr>
          <w:rFonts w:ascii="Book Antiqua" w:hAnsi="Book Antiqua"/>
          <w:sz w:val="16"/>
          <w:szCs w:val="16"/>
        </w:rPr>
        <w:t xml:space="preserve"> D. E. Scott, op. cit., p.178.</w:t>
      </w:r>
    </w:p>
    <w:p w:rsidR="00D966CB" w:rsidRPr="00D112AF" w:rsidRDefault="00D966CB" w:rsidP="00D966CB">
      <w:pPr>
        <w:pStyle w:val="NoSpacing"/>
        <w:rPr>
          <w:rFonts w:ascii="Book Antiqua" w:hAnsi="Book Antiqua"/>
          <w:sz w:val="16"/>
          <w:szCs w:val="16"/>
        </w:rPr>
      </w:pPr>
      <w:r w:rsidRPr="00D112AF">
        <w:rPr>
          <w:rFonts w:ascii="Book Antiqua" w:hAnsi="Book Antiqua"/>
          <w:sz w:val="16"/>
          <w:szCs w:val="16"/>
        </w:rPr>
        <w:t xml:space="preserve">[12] M. F. Curtis “Pulsar Planetary Systems,” </w:t>
      </w:r>
      <w:r w:rsidRPr="00D112AF">
        <w:rPr>
          <w:rFonts w:ascii="Book Antiqua" w:hAnsi="Book Antiqua"/>
          <w:i/>
          <w:sz w:val="16"/>
          <w:szCs w:val="16"/>
        </w:rPr>
        <w:t>Astrophysical Journal Letters</w:t>
      </w:r>
      <w:r w:rsidRPr="00D112AF">
        <w:rPr>
          <w:rFonts w:ascii="Book Antiqua" w:hAnsi="Book Antiqua"/>
          <w:sz w:val="16"/>
          <w:szCs w:val="16"/>
        </w:rPr>
        <w:t xml:space="preserve">, </w:t>
      </w:r>
      <w:r w:rsidRPr="00D112AF">
        <w:rPr>
          <w:rFonts w:ascii="Book Antiqua" w:hAnsi="Book Antiqua"/>
          <w:b/>
          <w:sz w:val="16"/>
          <w:szCs w:val="16"/>
        </w:rPr>
        <w:t>159</w:t>
      </w:r>
      <w:r w:rsidRPr="00D112AF">
        <w:rPr>
          <w:rFonts w:ascii="Book Antiqua" w:hAnsi="Book Antiqua"/>
          <w:sz w:val="16"/>
          <w:szCs w:val="16"/>
        </w:rPr>
        <w:t>, pp. 25-28, (1970).</w:t>
      </w:r>
    </w:p>
    <w:p w:rsidR="00D966CB" w:rsidRPr="00D112AF" w:rsidRDefault="00D966CB" w:rsidP="00D966CB">
      <w:pPr>
        <w:pStyle w:val="NoSpacing"/>
        <w:rPr>
          <w:rFonts w:ascii="Book Antiqua" w:hAnsi="Book Antiqua"/>
          <w:b/>
          <w:i/>
          <w:sz w:val="16"/>
          <w:szCs w:val="16"/>
        </w:rPr>
      </w:pPr>
    </w:p>
    <w:p w:rsidR="00D966CB" w:rsidRPr="00D112AF" w:rsidRDefault="00D966CB" w:rsidP="00D966CB">
      <w:pPr>
        <w:pStyle w:val="NoSpacing"/>
        <w:rPr>
          <w:rFonts w:ascii="Book Antiqua" w:hAnsi="Book Antiqua"/>
          <w:b/>
          <w:i/>
          <w:sz w:val="20"/>
        </w:rPr>
      </w:pPr>
      <w:r w:rsidRPr="00D112AF">
        <w:rPr>
          <w:rFonts w:ascii="Book Antiqua" w:hAnsi="Book Antiqua"/>
          <w:b/>
          <w:i/>
          <w:sz w:val="20"/>
        </w:rPr>
        <w:t xml:space="preserve">Figure References </w:t>
      </w:r>
      <w:r w:rsidRPr="00D112AF">
        <w:rPr>
          <w:rFonts w:ascii="Book Antiqua" w:hAnsi="Book Antiqua"/>
          <w:i/>
          <w:sz w:val="20"/>
        </w:rPr>
        <w:t>– All URL’s retrieved 20</w:t>
      </w:r>
      <w:r w:rsidRPr="00D112AF">
        <w:rPr>
          <w:rFonts w:ascii="Book Antiqua" w:hAnsi="Book Antiqua"/>
          <w:i/>
          <w:sz w:val="20"/>
          <w:vertAlign w:val="superscript"/>
        </w:rPr>
        <w:t>th</w:t>
      </w:r>
      <w:r w:rsidRPr="00D112AF">
        <w:rPr>
          <w:rFonts w:ascii="Book Antiqua" w:hAnsi="Book Antiqua"/>
          <w:i/>
          <w:sz w:val="20"/>
        </w:rPr>
        <w:t xml:space="preserve"> September, 2012.</w:t>
      </w:r>
    </w:p>
    <w:p w:rsidR="00D966CB" w:rsidRPr="00D112AF" w:rsidRDefault="00D966CB" w:rsidP="00D966CB">
      <w:pPr>
        <w:pStyle w:val="NoSpacing"/>
        <w:rPr>
          <w:rFonts w:ascii="Book Antiqua" w:hAnsi="Book Antiqua"/>
          <w:sz w:val="16"/>
          <w:szCs w:val="16"/>
        </w:rPr>
      </w:pPr>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1: Typical model of a pulsar. </w:t>
      </w:r>
      <w:hyperlink r:id="rId1301" w:history="1">
        <w:r w:rsidRPr="00D112AF">
          <w:rPr>
            <w:rStyle w:val="Hyperlink"/>
            <w:rFonts w:ascii="Book Antiqua" w:hAnsi="Book Antiqua"/>
            <w:i/>
            <w:szCs w:val="16"/>
          </w:rPr>
          <w:t>http://www.atnf.csiro.au/people/pulsar/wwwdev/Education_page.html</w:t>
        </w:r>
      </w:hyperlink>
    </w:p>
    <w:p w:rsidR="00D966CB" w:rsidRPr="00D112AF" w:rsidRDefault="00D966CB" w:rsidP="00D966CB">
      <w:pPr>
        <w:pStyle w:val="NoSpacing"/>
        <w:rPr>
          <w:rFonts w:ascii="Book Antiqua" w:hAnsi="Book Antiqua"/>
          <w:i/>
          <w:sz w:val="16"/>
          <w:szCs w:val="16"/>
        </w:rPr>
      </w:pPr>
      <w:r w:rsidRPr="00D112AF">
        <w:rPr>
          <w:rFonts w:ascii="Book Antiqua" w:hAnsi="Book Antiqua"/>
          <w:sz w:val="16"/>
          <w:szCs w:val="16"/>
        </w:rPr>
        <w:t>Figure 2 &amp; 3: The Jupiter-Io System.</w:t>
      </w:r>
      <w:r w:rsidRPr="00D112AF">
        <w:rPr>
          <w:rFonts w:ascii="Book Antiqua" w:hAnsi="Book Antiqua"/>
          <w:i/>
          <w:sz w:val="16"/>
          <w:szCs w:val="16"/>
        </w:rPr>
        <w:t xml:space="preserve"> </w:t>
      </w:r>
      <w:hyperlink r:id="rId1302" w:history="1">
        <w:r w:rsidRPr="00D112AF">
          <w:rPr>
            <w:rStyle w:val="Hyperlink"/>
            <w:rFonts w:ascii="Book Antiqua" w:hAnsi="Book Antiqua"/>
            <w:i/>
            <w:szCs w:val="16"/>
          </w:rPr>
          <w:t>http://www.thunderbolts.info/forum/phpBB3/viewtopic.php?p=1999</w:t>
        </w:r>
      </w:hyperlink>
    </w:p>
    <w:p w:rsidR="00D966CB" w:rsidRPr="00D112AF" w:rsidRDefault="00D966CB" w:rsidP="00D966CB">
      <w:pPr>
        <w:pStyle w:val="NoSpacing"/>
        <w:rPr>
          <w:rFonts w:ascii="Book Antiqua" w:hAnsi="Book Antiqua"/>
          <w:i/>
          <w:color w:val="FF0000"/>
          <w:sz w:val="16"/>
          <w:szCs w:val="16"/>
        </w:rPr>
      </w:pPr>
      <w:r w:rsidRPr="00D112AF">
        <w:rPr>
          <w:rFonts w:ascii="Book Antiqua" w:hAnsi="Book Antiqua"/>
          <w:sz w:val="16"/>
          <w:szCs w:val="16"/>
        </w:rPr>
        <w:t xml:space="preserve">Figure 4: The Crab Pulsar with a spinning disk and polar jets. </w:t>
      </w:r>
      <w:hyperlink r:id="rId1303" w:history="1">
        <w:r w:rsidRPr="00D112AF">
          <w:rPr>
            <w:rStyle w:val="Hyperlink"/>
            <w:rFonts w:ascii="Book Antiqua" w:hAnsi="Book Antiqua"/>
            <w:i/>
            <w:szCs w:val="16"/>
          </w:rPr>
          <w:t>http://en.wikipedia.org/wiki/Crab_Pulsar</w:t>
        </w:r>
      </w:hyperlink>
    </w:p>
    <w:p w:rsidR="00D966CB" w:rsidRPr="00D112AF" w:rsidRDefault="00D966CB" w:rsidP="00D966CB">
      <w:pPr>
        <w:pStyle w:val="NoSpacing"/>
        <w:rPr>
          <w:rFonts w:ascii="Book Antiqua" w:hAnsi="Book Antiqua"/>
          <w:sz w:val="16"/>
          <w:szCs w:val="16"/>
        </w:rPr>
      </w:pPr>
    </w:p>
    <w:p w:rsidR="00D966CB" w:rsidRDefault="00D966CB" w:rsidP="00D966CB">
      <w:pPr>
        <w:pStyle w:val="NoSpacing"/>
        <w:jc w:val="center"/>
        <w:rPr>
          <w:rFonts w:ascii="Book Antiqua" w:hAnsi="Book Antiqua"/>
          <w:b/>
          <w:sz w:val="28"/>
          <w:szCs w:val="28"/>
        </w:rPr>
      </w:pPr>
      <w:r w:rsidRPr="00D112AF">
        <w:rPr>
          <w:rFonts w:ascii="Book Antiqua" w:hAnsi="Book Antiqua"/>
          <w:b/>
          <w:sz w:val="28"/>
          <w:szCs w:val="28"/>
        </w:rPr>
        <w:t>*  *  *  *  *  *  *</w:t>
      </w:r>
    </w:p>
    <w:p w:rsidR="00BA5C34" w:rsidRDefault="00BA5C34">
      <w:pPr>
        <w:widowControl/>
        <w:spacing w:after="200" w:line="276" w:lineRule="auto"/>
        <w:rPr>
          <w:rFonts w:ascii="Book Antiqua" w:eastAsia="Times New Roman" w:hAnsi="Book Antiqua"/>
          <w:b/>
          <w:sz w:val="28"/>
          <w:szCs w:val="28"/>
          <w:lang w:val="en-US"/>
        </w:rPr>
      </w:pPr>
      <w:r>
        <w:rPr>
          <w:rFonts w:ascii="Book Antiqua" w:hAnsi="Book Antiqua"/>
          <w:b/>
          <w:sz w:val="28"/>
          <w:szCs w:val="28"/>
        </w:rPr>
        <w:br w:type="page"/>
      </w:r>
    </w:p>
    <w:p w:rsidR="00CA4909" w:rsidRPr="00AB49F0" w:rsidRDefault="00CA4909" w:rsidP="00CA4909">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E: </w:t>
      </w:r>
      <w:r w:rsidRPr="00AB49F0">
        <w:rPr>
          <w:rFonts w:ascii="Book Antiqua" w:hAnsi="Book Antiqua"/>
          <w:b/>
          <w:bCs/>
          <w:i/>
          <w:iCs/>
          <w:color w:val="000000"/>
          <w:szCs w:val="24"/>
        </w:rPr>
        <w:t xml:space="preserve">The Origins of Craters </w:t>
      </w:r>
      <w:proofErr w:type="gramStart"/>
      <w:r w:rsidRPr="00AB49F0">
        <w:rPr>
          <w:rFonts w:ascii="Book Antiqua" w:hAnsi="Book Antiqua"/>
          <w:b/>
          <w:bCs/>
          <w:i/>
          <w:iCs/>
          <w:color w:val="000000"/>
          <w:szCs w:val="24"/>
        </w:rPr>
        <w:t>Throughout</w:t>
      </w:r>
      <w:proofErr w:type="gramEnd"/>
      <w:r w:rsidRPr="00AB49F0">
        <w:rPr>
          <w:rFonts w:ascii="Book Antiqua" w:hAnsi="Book Antiqua"/>
          <w:b/>
          <w:bCs/>
          <w:i/>
          <w:iCs/>
          <w:color w:val="000000"/>
          <w:szCs w:val="24"/>
        </w:rPr>
        <w:t xml:space="preserve"> the Solar System.</w:t>
      </w:r>
    </w:p>
    <w:p w:rsidR="00CA4909" w:rsidRPr="004E2F1C" w:rsidRDefault="00CA4909" w:rsidP="00CA4909">
      <w:pPr>
        <w:pStyle w:val="NoSpacing"/>
        <w:rPr>
          <w:rFonts w:ascii="Book Antiqua" w:hAnsi="Book Antiqua"/>
          <w:b/>
          <w:bCs/>
          <w:iCs/>
          <w:color w:val="000000"/>
          <w:sz w:val="20"/>
          <w:u w:val="single"/>
        </w:rPr>
      </w:pPr>
    </w:p>
    <w:p w:rsidR="00CA4909" w:rsidRPr="002D2F7A" w:rsidRDefault="00CA4909" w:rsidP="00CA4909">
      <w:pPr>
        <w:pStyle w:val="NoSpacing"/>
        <w:ind w:firstLine="720"/>
        <w:jc w:val="both"/>
        <w:rPr>
          <w:rFonts w:ascii="Book Antiqua" w:hAnsi="Book Antiqua"/>
          <w:i/>
          <w:sz w:val="20"/>
        </w:rPr>
      </w:pPr>
      <w:r>
        <w:rPr>
          <w:rFonts w:ascii="Book Antiqua" w:hAnsi="Book Antiqua"/>
          <w:i/>
          <w:sz w:val="20"/>
        </w:rPr>
        <w:t xml:space="preserve">E1. </w:t>
      </w:r>
      <w:r w:rsidRPr="002D2F7A">
        <w:rPr>
          <w:rFonts w:ascii="Book Antiqua" w:hAnsi="Book Antiqua"/>
          <w:i/>
          <w:sz w:val="20"/>
        </w:rPr>
        <w:t>Types of Craters</w:t>
      </w:r>
    </w:p>
    <w:p w:rsidR="00CA490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Craters come in three main types; simple, complex and peaked ring craters. Simple craters are generally bowl-shaped with an uplifted rim. Complex craters have central peaks and terraced walls. These two are illustrated in Figure 1. In the third type, a “peaked ring” replaces the central peak complex and it may be called a “multi-ringed” crater. Actual examples of all three types are shown in Figure 2.</w:t>
      </w:r>
    </w:p>
    <w:p w:rsidR="00CA4909" w:rsidRPr="004E2F1C" w:rsidRDefault="00CA4909" w:rsidP="00CA4909">
      <w:pPr>
        <w:jc w:val="both"/>
        <w:rPr>
          <w:rFonts w:ascii="Book Antiqua" w:hAnsi="Book Antiqua"/>
          <w:b/>
        </w:rPr>
      </w:pPr>
    </w:p>
    <w:p w:rsidR="00CA4909" w:rsidRPr="004E2F1C" w:rsidRDefault="00CA4909" w:rsidP="00CA4909">
      <w:pPr>
        <w:jc w:val="center"/>
        <w:rPr>
          <w:rFonts w:ascii="Book Antiqua" w:hAnsi="Book Antiqua"/>
          <w:b/>
        </w:rPr>
      </w:pPr>
      <w:r w:rsidRPr="004E2F1C">
        <w:rPr>
          <w:rFonts w:ascii="Book Antiqua" w:hAnsi="Book Antiqua"/>
          <w:b/>
          <w:noProof/>
          <w:lang w:val="en-US"/>
        </w:rPr>
        <w:drawing>
          <wp:inline distT="0" distB="0" distL="0" distR="0">
            <wp:extent cx="3992015" cy="2650992"/>
            <wp:effectExtent l="19050" t="0" r="8485" b="0"/>
            <wp:docPr id="780" name="il_fi" descr="http://www.scienceclarified.com/landforms/images/ueol_02_img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cienceclarified.com/landforms/images/ueol_02_img0081.jpg"/>
                    <pic:cNvPicPr>
                      <a:picLocks noChangeAspect="1" noChangeArrowheads="1"/>
                    </pic:cNvPicPr>
                  </pic:nvPicPr>
                  <pic:blipFill>
                    <a:blip r:embed="rId1304" cstate="print">
                      <a:lum contrast="30000"/>
                    </a:blip>
                    <a:srcRect/>
                    <a:stretch>
                      <a:fillRect/>
                    </a:stretch>
                  </pic:blipFill>
                  <pic:spPr bwMode="auto">
                    <a:xfrm>
                      <a:off x="0" y="0"/>
                      <a:ext cx="4007336" cy="2661166"/>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1:</w:t>
      </w:r>
      <w:r w:rsidRPr="00147F66">
        <w:rPr>
          <w:rFonts w:ascii="Book Antiqua" w:hAnsi="Book Antiqua"/>
          <w:i/>
          <w:sz w:val="18"/>
          <w:szCs w:val="18"/>
        </w:rPr>
        <w:t xml:space="preserve"> The difference between simple and complex craters. The complex crater has a terraced ringwall and a central peak complex. In addition, the heat from the impact results in partial liquefaction of the pulverized material which then covers the bottom of the bowl as a flat area.</w:t>
      </w:r>
    </w:p>
    <w:p w:rsidR="00CA4909" w:rsidRPr="004E2F1C" w:rsidRDefault="00CA4909" w:rsidP="00CA4909">
      <w:pPr>
        <w:jc w:val="both"/>
        <w:rPr>
          <w:rFonts w:ascii="Book Antiqua" w:hAnsi="Book Antiqua"/>
          <w:i/>
        </w:rPr>
      </w:pPr>
    </w:p>
    <w:p w:rsidR="00CA4909" w:rsidRPr="004E2F1C" w:rsidRDefault="00CA4909" w:rsidP="00CA4909">
      <w:pPr>
        <w:jc w:val="center"/>
        <w:rPr>
          <w:rFonts w:ascii="Book Antiqua" w:hAnsi="Book Antiqua"/>
          <w:color w:val="FFFFFF"/>
        </w:rPr>
      </w:pPr>
      <w:r w:rsidRPr="004E2F1C">
        <w:rPr>
          <w:rFonts w:ascii="Book Antiqua" w:hAnsi="Book Antiqua"/>
          <w:noProof/>
          <w:color w:val="FFFFFF"/>
          <w:lang w:val="en-US"/>
        </w:rPr>
        <w:drawing>
          <wp:inline distT="0" distB="0" distL="0" distR="0">
            <wp:extent cx="4124083" cy="2752725"/>
            <wp:effectExtent l="19050" t="0" r="0" b="0"/>
            <wp:docPr id="1515" name="Picture 22" descr="http://amcg.ese.ic.ac.uk/~gsc/research/collapse/figs/sizep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mcg.ese.ic.ac.uk/~gsc/research/collapse/figs/sizeprog.jpg"/>
                    <pic:cNvPicPr>
                      <a:picLocks noChangeAspect="1" noChangeArrowheads="1"/>
                    </pic:cNvPicPr>
                  </pic:nvPicPr>
                  <pic:blipFill>
                    <a:blip r:embed="rId1305" cstate="print">
                      <a:lum contrast="40000"/>
                    </a:blip>
                    <a:srcRect t="9572" r="-20" b="10076"/>
                    <a:stretch>
                      <a:fillRect/>
                    </a:stretch>
                  </pic:blipFill>
                  <pic:spPr bwMode="auto">
                    <a:xfrm>
                      <a:off x="0" y="0"/>
                      <a:ext cx="4128691" cy="2755801"/>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Figure 2:</w:t>
      </w:r>
      <w:r w:rsidRPr="00147F66">
        <w:rPr>
          <w:rFonts w:ascii="Book Antiqua" w:hAnsi="Book Antiqua"/>
          <w:i/>
          <w:sz w:val="18"/>
          <w:szCs w:val="18"/>
        </w:rPr>
        <w:t xml:space="preserve"> Photograph of Mercury illustrating simple craters, complex craters with central peaks, and complex craters with a ‘peaked ring,’which is sometimes called a “multi-ringed” crater. This crater type has broad, flat floors and vertical walls. Some of these features are replicated in Fig. 21.  </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As crater sizes increase, there is a geometric mean diameter when the form of the crater tends to change from one type into another. In other words, a larger impactor can change the resulting crater type.</w:t>
      </w:r>
    </w:p>
    <w:p w:rsidR="00CA4909" w:rsidRPr="00D06D49" w:rsidRDefault="00CA4909" w:rsidP="00CA4909">
      <w:pPr>
        <w:pStyle w:val="NoSpacing"/>
        <w:ind w:firstLine="720"/>
        <w:jc w:val="both"/>
        <w:rPr>
          <w:rFonts w:ascii="Book Antiqua" w:hAnsi="Book Antiqua"/>
          <w:i/>
          <w:sz w:val="20"/>
        </w:rPr>
      </w:pPr>
    </w:p>
    <w:p w:rsidR="00CA4909" w:rsidRDefault="00CA4909" w:rsidP="00CA4909">
      <w:pPr>
        <w:pStyle w:val="NoSpacing"/>
        <w:ind w:firstLine="720"/>
        <w:jc w:val="both"/>
        <w:rPr>
          <w:rFonts w:ascii="Book Antiqua" w:hAnsi="Book Antiqua"/>
          <w:i/>
          <w:sz w:val="20"/>
        </w:rPr>
      </w:pPr>
      <w:r>
        <w:rPr>
          <w:rFonts w:ascii="Book Antiqua" w:hAnsi="Book Antiqua"/>
          <w:i/>
          <w:sz w:val="20"/>
        </w:rPr>
        <w:t>E2.</w:t>
      </w:r>
      <w:r w:rsidRPr="00D06D49">
        <w:rPr>
          <w:rFonts w:ascii="Book Antiqua" w:hAnsi="Book Antiqua"/>
          <w:i/>
          <w:sz w:val="20"/>
        </w:rPr>
        <w:t xml:space="preserve">  Two Processes Forming Craters </w:t>
      </w:r>
    </w:p>
    <w:p w:rsidR="00CA4909" w:rsidRPr="00D06D49" w:rsidRDefault="00CA4909" w:rsidP="00CA4909">
      <w:pPr>
        <w:pStyle w:val="NoSpacing"/>
        <w:jc w:val="both"/>
        <w:rPr>
          <w:rFonts w:ascii="Book Antiqua" w:hAnsi="Book Antiqua"/>
          <w:i/>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Apart from volcanism, there are two processes whereby craters can be formed.  The best known is from the impact of asteroids or comets. The </w:t>
      </w:r>
      <w:r w:rsidR="00197BB5">
        <w:rPr>
          <w:rFonts w:ascii="Book Antiqua" w:hAnsi="Book Antiqua"/>
          <w:sz w:val="20"/>
        </w:rPr>
        <w:t xml:space="preserve">alternative </w:t>
      </w:r>
      <w:r w:rsidRPr="00D06D49">
        <w:rPr>
          <w:rFonts w:ascii="Book Antiqua" w:hAnsi="Book Antiqua"/>
          <w:sz w:val="20"/>
        </w:rPr>
        <w:t xml:space="preserve">that is currently under a lot of </w:t>
      </w:r>
      <w:proofErr w:type="gramStart"/>
      <w:r w:rsidRPr="00D06D49">
        <w:rPr>
          <w:rFonts w:ascii="Book Antiqua" w:hAnsi="Book Antiqua"/>
          <w:sz w:val="20"/>
        </w:rPr>
        <w:t>study,</w:t>
      </w:r>
      <w:proofErr w:type="gramEnd"/>
      <w:r w:rsidRPr="00D06D49">
        <w:rPr>
          <w:rFonts w:ascii="Book Antiqua" w:hAnsi="Book Antiqua"/>
          <w:sz w:val="20"/>
        </w:rPr>
        <w:t xml:space="preserve"> is Electric Discharge Machining (EDM). Experimental work done in the lab can help distinguish the difference in the craters formed by the two methods. </w:t>
      </w:r>
    </w:p>
    <w:p w:rsidR="00197BB5" w:rsidRDefault="00197BB5" w:rsidP="00CA4909">
      <w:pPr>
        <w:pStyle w:val="NoSpacing"/>
        <w:ind w:firstLine="720"/>
        <w:jc w:val="both"/>
        <w:rPr>
          <w:rFonts w:ascii="Book Antiqua" w:hAnsi="Book Antiqua"/>
          <w:sz w:val="20"/>
        </w:rPr>
      </w:pPr>
    </w:p>
    <w:p w:rsidR="00197BB5" w:rsidRPr="00D06D49" w:rsidRDefault="00197BB5"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2936902" cy="2259105"/>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6" cstate="print"/>
                    <a:srcRect t="9471" r="1180"/>
                    <a:stretch>
                      <a:fillRect/>
                    </a:stretch>
                  </pic:blipFill>
                  <pic:spPr bwMode="auto">
                    <a:xfrm>
                      <a:off x="0" y="0"/>
                      <a:ext cx="2942218" cy="22631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E2F1C" w:rsidRDefault="00CA4909" w:rsidP="00197BB5">
      <w:pPr>
        <w:jc w:val="center"/>
        <w:rPr>
          <w:rFonts w:ascii="Book Antiqua" w:hAnsi="Book Antiqua"/>
          <w:sz w:val="18"/>
          <w:szCs w:val="18"/>
        </w:rPr>
      </w:pPr>
      <w:r w:rsidRPr="003A64C2">
        <w:rPr>
          <w:rFonts w:ascii="Book Antiqua" w:hAnsi="Book Antiqua"/>
          <w:b/>
          <w:i/>
          <w:sz w:val="18"/>
          <w:szCs w:val="18"/>
        </w:rPr>
        <w:t xml:space="preserve">Figure </w:t>
      </w:r>
      <w:r w:rsidR="00E64A1F">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Crater formed by Electric Discharge Machining with a flat floor and vertical walls. A rim of debris is evident [1</w:t>
      </w:r>
      <w:r w:rsidRPr="004E2F1C">
        <w:rPr>
          <w:rFonts w:ascii="Book Antiqua" w:hAnsi="Book Antiqua"/>
          <w:sz w:val="18"/>
          <w:szCs w:val="18"/>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046879" cy="2996773"/>
            <wp:effectExtent l="19050" t="0" r="1121" b="0"/>
            <wp:docPr id="66" name="Picture 181" descr="http://academic.pgcc.edu/~bgage/Planetary_images/Activity%202/mars_craters.jpg"/>
            <wp:cNvGraphicFramePr/>
            <a:graphic xmlns:a="http://schemas.openxmlformats.org/drawingml/2006/main">
              <a:graphicData uri="http://schemas.openxmlformats.org/drawingml/2006/picture">
                <pic:pic xmlns:pic="http://schemas.openxmlformats.org/drawingml/2006/picture">
                  <pic:nvPicPr>
                    <pic:cNvPr id="4" name="irc_mi" descr="http://academic.pgcc.edu/~bgage/Planetary_images/Activity%202/mars_craters.jpg"/>
                    <pic:cNvPicPr/>
                  </pic:nvPicPr>
                  <pic:blipFill>
                    <a:blip r:embed="rId1307" cstate="print">
                      <a:lum contrast="40000"/>
                    </a:blip>
                    <a:srcRect/>
                    <a:stretch>
                      <a:fillRect/>
                    </a:stretch>
                  </pic:blipFill>
                  <pic:spPr bwMode="auto">
                    <a:xfrm>
                      <a:off x="0" y="0"/>
                      <a:ext cx="3045294" cy="2995214"/>
                    </a:xfrm>
                    <a:prstGeom prst="rect">
                      <a:avLst/>
                    </a:prstGeom>
                    <a:noFill/>
                    <a:ln w="9525">
                      <a:noFill/>
                      <a:miter lim="800000"/>
                      <a:headEnd/>
                      <a:tailEnd/>
                    </a:ln>
                  </pic:spPr>
                </pic:pic>
              </a:graphicData>
            </a:graphic>
          </wp:inline>
        </w:drawing>
      </w:r>
    </w:p>
    <w:p w:rsidR="00CA4909" w:rsidRPr="004E2F1C" w:rsidRDefault="00CA4909" w:rsidP="00CA4909">
      <w:pPr>
        <w:rPr>
          <w:rFonts w:ascii="Book Antiqua" w:hAnsi="Book Antiqua"/>
          <w:b/>
          <w:i/>
          <w:sz w:val="18"/>
          <w:szCs w:val="18"/>
        </w:rPr>
      </w:pPr>
    </w:p>
    <w:p w:rsidR="00CA4909" w:rsidRPr="003A64C2" w:rsidRDefault="00CA4909" w:rsidP="00197BB5">
      <w:pPr>
        <w:jc w:val="center"/>
        <w:rPr>
          <w:rFonts w:ascii="Book Antiqua" w:hAnsi="Book Antiqua"/>
          <w:i/>
          <w:sz w:val="18"/>
          <w:szCs w:val="18"/>
        </w:rPr>
      </w:pPr>
      <w:r w:rsidRPr="003A64C2">
        <w:rPr>
          <w:rFonts w:ascii="Book Antiqua" w:hAnsi="Book Antiqua"/>
          <w:b/>
          <w:i/>
          <w:sz w:val="18"/>
          <w:szCs w:val="18"/>
        </w:rPr>
        <w:t xml:space="preserve">Figure </w:t>
      </w:r>
      <w:r w:rsidR="00E64A1F">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Craters on Mars with characteristics very similar to those formed in the laboratory by electrical means.</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 xml:space="preserve">Cj Ransom of the Vemasat Laboratories has produced a variety of craters formed electrically. These experimental, electrically machined, craters tend to have flat floors and more or less vertical walls, which may or may not have a rim made up of debris. The Fig. </w:t>
      </w:r>
      <w:r w:rsidR="007471B6">
        <w:rPr>
          <w:rFonts w:ascii="Book Antiqua" w:hAnsi="Book Antiqua"/>
          <w:sz w:val="20"/>
        </w:rPr>
        <w:t>3</w:t>
      </w:r>
      <w:r w:rsidRPr="00D06D49">
        <w:rPr>
          <w:rFonts w:ascii="Book Antiqua" w:hAnsi="Book Antiqua"/>
          <w:sz w:val="20"/>
        </w:rPr>
        <w:t xml:space="preserve"> example is similar to many craters on Mars (Figure </w:t>
      </w:r>
      <w:r w:rsidR="007471B6">
        <w:rPr>
          <w:rFonts w:ascii="Book Antiqua" w:hAnsi="Book Antiqua"/>
          <w:sz w:val="20"/>
        </w:rPr>
        <w:t>4</w:t>
      </w:r>
      <w:r w:rsidRPr="00D06D49">
        <w:rPr>
          <w:rFonts w:ascii="Book Antiqua" w:hAnsi="Book Antiqua"/>
          <w:sz w:val="20"/>
        </w:rPr>
        <w:t xml:space="preserve">), or Mercury (Fig. </w:t>
      </w:r>
      <w:r w:rsidR="007471B6">
        <w:rPr>
          <w:rFonts w:ascii="Book Antiqua" w:hAnsi="Book Antiqua"/>
          <w:sz w:val="20"/>
        </w:rPr>
        <w:t>5</w:t>
      </w:r>
      <w:r w:rsidRPr="00D06D49">
        <w:rPr>
          <w:rFonts w:ascii="Book Antiqua" w:hAnsi="Book Antiqua"/>
          <w:sz w:val="20"/>
        </w:rPr>
        <w:t xml:space="preserve">). Figures </w:t>
      </w:r>
      <w:r w:rsidR="007471B6">
        <w:rPr>
          <w:rFonts w:ascii="Book Antiqua" w:hAnsi="Book Antiqua"/>
          <w:sz w:val="20"/>
        </w:rPr>
        <w:t>5</w:t>
      </w:r>
      <w:r w:rsidRPr="00D06D49">
        <w:rPr>
          <w:rFonts w:ascii="Book Antiqua" w:hAnsi="Book Antiqua"/>
          <w:sz w:val="20"/>
        </w:rPr>
        <w:t xml:space="preserve"> and </w:t>
      </w:r>
      <w:r w:rsidR="007471B6">
        <w:rPr>
          <w:rFonts w:ascii="Book Antiqua" w:hAnsi="Book Antiqua"/>
          <w:sz w:val="20"/>
        </w:rPr>
        <w:t>6</w:t>
      </w:r>
      <w:r w:rsidRPr="00D06D49">
        <w:rPr>
          <w:rFonts w:ascii="Book Antiqua" w:hAnsi="Book Antiqua"/>
          <w:sz w:val="20"/>
        </w:rPr>
        <w:t xml:space="preserve"> also provide examples of craters formed by the EDM process. Similar craters exist on the inner planets. </w:t>
      </w:r>
    </w:p>
    <w:p w:rsidR="00197BB5" w:rsidRDefault="00197BB5"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p>
    <w:p w:rsidR="00CA4909" w:rsidRDefault="00CA4909" w:rsidP="00CA4909">
      <w:pPr>
        <w:jc w:val="center"/>
        <w:rPr>
          <w:rFonts w:ascii="Book Antiqua" w:hAnsi="Book Antiqua"/>
          <w:i/>
        </w:rPr>
      </w:pPr>
      <w:r w:rsidRPr="004E2F1C">
        <w:rPr>
          <w:rFonts w:ascii="Book Antiqua" w:hAnsi="Book Antiqua"/>
          <w:noProof/>
          <w:lang w:val="en-US"/>
        </w:rPr>
        <w:drawing>
          <wp:inline distT="0" distB="0" distL="0" distR="0">
            <wp:extent cx="3152014" cy="2904565"/>
            <wp:effectExtent l="19050" t="0" r="0" b="0"/>
            <wp:docPr id="68" name="il_fi" descr="http://i.dailymail.co.uk/i/pix/2011/03/31/article-1371402-0B69F91000000578-346_634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dailymail.co.uk/i/pix/2011/03/31/article-1371402-0B69F91000000578-346_634x625.jpg"/>
                    <pic:cNvPicPr>
                      <a:picLocks noChangeAspect="1" noChangeArrowheads="1"/>
                    </pic:cNvPicPr>
                  </pic:nvPicPr>
                  <pic:blipFill>
                    <a:blip r:embed="rId1308" cstate="print">
                      <a:lum contrast="10000"/>
                    </a:blip>
                    <a:srcRect t="10151" r="-213" b="3240"/>
                    <a:stretch>
                      <a:fillRect/>
                    </a:stretch>
                  </pic:blipFill>
                  <pic:spPr bwMode="auto">
                    <a:xfrm>
                      <a:off x="0" y="0"/>
                      <a:ext cx="3158567" cy="2910603"/>
                    </a:xfrm>
                    <a:prstGeom prst="rect">
                      <a:avLst/>
                    </a:prstGeom>
                    <a:noFill/>
                    <a:ln w="9525">
                      <a:noFill/>
                      <a:miter lim="800000"/>
                      <a:headEnd/>
                      <a:tailEnd/>
                    </a:ln>
                  </pic:spPr>
                </pic:pic>
              </a:graphicData>
            </a:graphic>
          </wp:inline>
        </w:drawing>
      </w:r>
    </w:p>
    <w:p w:rsidR="00197BB5" w:rsidRPr="004E2F1C" w:rsidRDefault="00197BB5" w:rsidP="00CA4909">
      <w:pPr>
        <w:jc w:val="center"/>
        <w:rPr>
          <w:rFonts w:ascii="Book Antiqua" w:hAnsi="Book Antiqua"/>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E64A1F" w:rsidRPr="00147F66">
        <w:rPr>
          <w:rFonts w:ascii="Book Antiqua" w:hAnsi="Book Antiqua"/>
          <w:b/>
          <w:i/>
          <w:sz w:val="18"/>
          <w:szCs w:val="18"/>
        </w:rPr>
        <w:t>5</w:t>
      </w:r>
      <w:r w:rsidRPr="00147F66">
        <w:rPr>
          <w:rFonts w:ascii="Book Antiqua" w:hAnsi="Book Antiqua"/>
          <w:b/>
          <w:i/>
          <w:sz w:val="18"/>
          <w:szCs w:val="18"/>
        </w:rPr>
        <w:t>:</w:t>
      </w:r>
      <w:r w:rsidRPr="00147F66">
        <w:rPr>
          <w:rFonts w:ascii="Book Antiqua" w:hAnsi="Book Antiqua"/>
          <w:i/>
          <w:sz w:val="18"/>
          <w:szCs w:val="18"/>
        </w:rPr>
        <w:t xml:space="preserve"> Flat-floored craters on Mercury. The crater walls tend to be more or less vertical. These characteristics are thought to be typical of craters formed by Electric Discharge Machining (EDM) since they can be reproduced this way in plasma laboratories.</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16"/>
        <w:gridCol w:w="4986"/>
      </w:tblGrid>
      <w:tr w:rsidR="00CA4909" w:rsidRPr="004E2F1C" w:rsidTr="00197BB5">
        <w:trPr>
          <w:jc w:val="center"/>
        </w:trPr>
        <w:tc>
          <w:tcPr>
            <w:tcW w:w="2671"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19425" cy="2847975"/>
                  <wp:effectExtent l="19050" t="0" r="9525" b="0"/>
                  <wp:docPr id="70" name="Picture 24" descr="http://www.apocryphaltimes.com/wp-content/uploads/2010/08/ed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apocryphaltimes.com/wp-content/uploads/2010/08/edm01.jpg"/>
                          <pic:cNvPicPr>
                            <a:picLocks noChangeAspect="1" noChangeArrowheads="1"/>
                          </pic:cNvPicPr>
                        </pic:nvPicPr>
                        <pic:blipFill>
                          <a:blip r:embed="rId1021" cstate="print">
                            <a:lum contrast="10000"/>
                          </a:blip>
                          <a:srcRect r="9574"/>
                          <a:stretch>
                            <a:fillRect/>
                          </a:stretch>
                        </pic:blipFill>
                        <pic:spPr bwMode="auto">
                          <a:xfrm>
                            <a:off x="0" y="0"/>
                            <a:ext cx="3019425" cy="2847975"/>
                          </a:xfrm>
                          <a:prstGeom prst="rect">
                            <a:avLst/>
                          </a:prstGeom>
                          <a:noFill/>
                          <a:ln w="9525">
                            <a:noFill/>
                            <a:miter lim="800000"/>
                            <a:headEnd/>
                            <a:tailEnd/>
                          </a:ln>
                        </pic:spPr>
                      </pic:pic>
                    </a:graphicData>
                  </a:graphic>
                </wp:inline>
              </w:drawing>
            </w:r>
          </w:p>
        </w:tc>
        <w:tc>
          <w:tcPr>
            <w:tcW w:w="2585"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sz w:val="20"/>
              </w:rPr>
              <w:drawing>
                <wp:inline distT="0" distB="0" distL="0" distR="0">
                  <wp:extent cx="3000375" cy="2847975"/>
                  <wp:effectExtent l="19050" t="0" r="9525" b="0"/>
                  <wp:docPr id="71" name="Picture 27" descr="http://www.apocryphaltimes.com/wp-content/uploads/2010/08/SurfaceOf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pocryphaltimes.com/wp-content/uploads/2010/08/SurfaceOfMars.jpg"/>
                          <pic:cNvPicPr>
                            <a:picLocks noChangeAspect="1" noChangeArrowheads="1"/>
                          </pic:cNvPicPr>
                        </pic:nvPicPr>
                        <pic:blipFill>
                          <a:blip r:embed="rId1022" cstate="print"/>
                          <a:srcRect/>
                          <a:stretch>
                            <a:fillRect/>
                          </a:stretch>
                        </pic:blipFill>
                        <pic:spPr bwMode="auto">
                          <a:xfrm>
                            <a:off x="0" y="0"/>
                            <a:ext cx="3000375" cy="2847975"/>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CA4909">
      <w:pPr>
        <w:pStyle w:val="NoSpacing"/>
        <w:rPr>
          <w:rFonts w:ascii="Book Antiqua" w:hAnsi="Book Antiqua"/>
          <w:i/>
          <w:sz w:val="18"/>
          <w:szCs w:val="18"/>
        </w:rPr>
      </w:pPr>
      <w:proofErr w:type="gramStart"/>
      <w:r w:rsidRPr="003A64C2">
        <w:rPr>
          <w:rFonts w:ascii="Book Antiqua" w:hAnsi="Book Antiqua"/>
          <w:b/>
          <w:i/>
          <w:sz w:val="18"/>
          <w:szCs w:val="18"/>
        </w:rPr>
        <w:t xml:space="preserve">Figure  </w:t>
      </w:r>
      <w:r w:rsidR="008551DC">
        <w:rPr>
          <w:rFonts w:ascii="Book Antiqua" w:hAnsi="Book Antiqua"/>
          <w:b/>
          <w:i/>
          <w:sz w:val="18"/>
          <w:szCs w:val="18"/>
        </w:rPr>
        <w:t>6</w:t>
      </w:r>
      <w:proofErr w:type="gramEnd"/>
      <w:r w:rsidRPr="003A64C2">
        <w:rPr>
          <w:rFonts w:ascii="Book Antiqua" w:hAnsi="Book Antiqua"/>
          <w:b/>
          <w:i/>
          <w:sz w:val="18"/>
          <w:szCs w:val="18"/>
        </w:rPr>
        <w:t>: Left –</w:t>
      </w:r>
      <w:r w:rsidRPr="003A64C2">
        <w:rPr>
          <w:rFonts w:ascii="Book Antiqua" w:hAnsi="Book Antiqua"/>
          <w:i/>
          <w:sz w:val="18"/>
          <w:szCs w:val="18"/>
        </w:rPr>
        <w:t xml:space="preserve"> laboratory craters (some with central peaks) from electric discharge machining. Note that the ground is discolored where the discharge was strongest. </w:t>
      </w:r>
      <w:r w:rsidRPr="003A64C2">
        <w:rPr>
          <w:rFonts w:ascii="Book Antiqua" w:hAnsi="Book Antiqua"/>
          <w:b/>
          <w:i/>
          <w:sz w:val="18"/>
          <w:szCs w:val="18"/>
        </w:rPr>
        <w:t>Right –</w:t>
      </w:r>
      <w:r w:rsidRPr="003A64C2">
        <w:rPr>
          <w:rFonts w:ascii="Book Antiqua" w:hAnsi="Book Antiqua"/>
          <w:i/>
          <w:sz w:val="18"/>
          <w:szCs w:val="18"/>
        </w:rPr>
        <w:t xml:space="preserve"> Similar craters on Mars: many with flat floors.  </w:t>
      </w:r>
    </w:p>
    <w:p w:rsidR="00CA4909" w:rsidRPr="004E2F1C" w:rsidRDefault="00CA4909" w:rsidP="00CA4909">
      <w:pPr>
        <w:pStyle w:val="NoSpacing"/>
        <w:jc w:val="both"/>
        <w:rPr>
          <w:rFonts w:ascii="Book Antiqua" w:hAnsi="Book Antiqua"/>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6"/>
        <w:gridCol w:w="4536"/>
      </w:tblGrid>
      <w:tr w:rsidR="00CA4909" w:rsidRPr="004E2F1C" w:rsidTr="00A15BD0">
        <w:trPr>
          <w:jc w:val="center"/>
        </w:trPr>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lastRenderedPageBreak/>
              <w:drawing>
                <wp:inline distT="0" distB="0" distL="0" distR="0">
                  <wp:extent cx="3177540" cy="2647950"/>
                  <wp:effectExtent l="19050" t="0" r="3810" b="0"/>
                  <wp:docPr id="81" name="Picture 30" descr="http://www.para-az.com/blcrtr112s45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ara-az.com/blcrtr112s45s75.jpg"/>
                          <pic:cNvPicPr>
                            <a:picLocks noChangeAspect="1" noChangeArrowheads="1"/>
                          </pic:cNvPicPr>
                        </pic:nvPicPr>
                        <pic:blipFill>
                          <a:blip r:embed="rId1023" cstate="print"/>
                          <a:srcRect/>
                          <a:stretch>
                            <a:fillRect/>
                          </a:stretch>
                        </pic:blipFill>
                        <pic:spPr bwMode="auto">
                          <a:xfrm>
                            <a:off x="0" y="0"/>
                            <a:ext cx="3184947" cy="26541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sz w:val="20"/>
              </w:rPr>
            </w:pPr>
            <w:r w:rsidRPr="004E2F1C">
              <w:rPr>
                <w:rFonts w:ascii="Book Antiqua" w:hAnsi="Book Antiqua"/>
                <w:noProof/>
                <w:color w:val="000000"/>
                <w:sz w:val="20"/>
              </w:rPr>
              <w:drawing>
                <wp:inline distT="0" distB="0" distL="0" distR="0">
                  <wp:extent cx="2721847" cy="2647950"/>
                  <wp:effectExtent l="19050" t="0" r="2303" b="0"/>
                  <wp:docPr id="82" name="Picture 33" descr="http://lh6.ggpht.com/_KzR8on8Tdmw/R1NduQUpqdI/AAAAAAAACp8/nnwfmUrH50Q/CathodeArcDischargeCr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lh6.ggpht.com/_KzR8on8Tdmw/R1NduQUpqdI/AAAAAAAACp8/nnwfmUrH50Q/CathodeArcDischargeCrater.jpg"/>
                          <pic:cNvPicPr>
                            <a:picLocks noChangeAspect="1" noChangeArrowheads="1"/>
                          </pic:cNvPicPr>
                        </pic:nvPicPr>
                        <pic:blipFill>
                          <a:blip r:embed="rId1024" cstate="print"/>
                          <a:srcRect/>
                          <a:stretch>
                            <a:fillRect/>
                          </a:stretch>
                        </pic:blipFill>
                        <pic:spPr bwMode="auto">
                          <a:xfrm>
                            <a:off x="0" y="0"/>
                            <a:ext cx="2733511" cy="265929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sz w:val="20"/>
        </w:rPr>
      </w:pPr>
    </w:p>
    <w:p w:rsidR="00CA4909" w:rsidRPr="003A64C2" w:rsidRDefault="00CA4909" w:rsidP="00A15BD0">
      <w:pPr>
        <w:pStyle w:val="NoSpacing"/>
        <w:jc w:val="center"/>
        <w:rPr>
          <w:rFonts w:ascii="Book Antiqua" w:hAnsi="Book Antiqua"/>
          <w:i/>
          <w:sz w:val="18"/>
          <w:szCs w:val="18"/>
        </w:rPr>
      </w:pPr>
      <w:r w:rsidRPr="003A64C2">
        <w:rPr>
          <w:rFonts w:ascii="Book Antiqua" w:hAnsi="Book Antiqua"/>
          <w:b/>
          <w:i/>
          <w:sz w:val="18"/>
          <w:szCs w:val="18"/>
        </w:rPr>
        <w:t xml:space="preserve">Figure </w:t>
      </w:r>
      <w:r w:rsidR="008551DC">
        <w:rPr>
          <w:rFonts w:ascii="Book Antiqua" w:hAnsi="Book Antiqua"/>
          <w:b/>
          <w:i/>
          <w:sz w:val="18"/>
          <w:szCs w:val="18"/>
        </w:rPr>
        <w:t>7</w:t>
      </w:r>
      <w:r w:rsidRPr="003A64C2">
        <w:rPr>
          <w:rFonts w:ascii="Book Antiqua" w:hAnsi="Book Antiqua"/>
          <w:b/>
          <w:i/>
          <w:sz w:val="18"/>
          <w:szCs w:val="18"/>
        </w:rPr>
        <w:t>: Left</w:t>
      </w:r>
      <w:r w:rsidRPr="003A64C2">
        <w:rPr>
          <w:rFonts w:ascii="Book Antiqua" w:hAnsi="Book Antiqua"/>
          <w:i/>
          <w:sz w:val="18"/>
          <w:szCs w:val="18"/>
        </w:rPr>
        <w:t xml:space="preserve"> - Electric discharge craters in sand with both flat and bowl-shaped floors. </w:t>
      </w:r>
      <w:r w:rsidRPr="003A64C2">
        <w:rPr>
          <w:rFonts w:ascii="Book Antiqua" w:hAnsi="Book Antiqua"/>
          <w:b/>
          <w:i/>
          <w:sz w:val="18"/>
          <w:szCs w:val="18"/>
        </w:rPr>
        <w:t>Right –</w:t>
      </w:r>
      <w:r w:rsidRPr="003A64C2">
        <w:rPr>
          <w:rFonts w:ascii="Book Antiqua" w:hAnsi="Book Antiqua"/>
          <w:i/>
          <w:sz w:val="18"/>
          <w:szCs w:val="18"/>
        </w:rPr>
        <w:t xml:space="preserve"> EDM crater in steel, which also has a central peak.</w:t>
      </w:r>
    </w:p>
    <w:p w:rsidR="00CA4909" w:rsidRPr="004E2F1C" w:rsidRDefault="00CA4909" w:rsidP="00CA4909">
      <w:pPr>
        <w:ind w:firstLine="720"/>
        <w:jc w:val="both"/>
        <w:rPr>
          <w:rFonts w:ascii="Book Antiqua" w:hAnsi="Book Antiqua"/>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Craters which have been formed by electrical methods can occur singly or in multiples and can often overlap. However, fragmentation of an asteroid before it hits will also reproduce some of these features.  So, too, will a swarm of smaller bodies accompanying the larger asteroid on its path to destruction. These swarms of asteroidal material are common in space. Their impact conditions can be reproduced in laboratory experiments using a “meteorite” that comprises a dessert-spoon or table-spoon of slightly compressed, dry cement dust. It is dropped from a height of 4 feet into a pan of dry, unconsolidated, cement dust about 6 inches deep whose surface has been very lightly tooled with a cement worker’s metal float.  Figure </w:t>
      </w:r>
      <w:r w:rsidR="007471B6">
        <w:rPr>
          <w:rFonts w:ascii="Book Antiqua" w:hAnsi="Book Antiqua"/>
          <w:sz w:val="20"/>
        </w:rPr>
        <w:t>8</w:t>
      </w:r>
      <w:r w:rsidRPr="00D06D49">
        <w:rPr>
          <w:rFonts w:ascii="Book Antiqua" w:hAnsi="Book Antiqua"/>
          <w:sz w:val="20"/>
        </w:rPr>
        <w:t xml:space="preserve"> gives shows craters left by a cement dust “meteorite” which broke up in flight.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486150" cy="2815204"/>
            <wp:effectExtent l="19050" t="0" r="0" b="0"/>
            <wp:docPr id="83" name="Picture 1" descr="C:\Users\Barry\Pictures\2012-07-26 craters 2\craters 2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2\craters 2 004.JPG"/>
                    <pic:cNvPicPr>
                      <a:picLocks noChangeAspect="1" noChangeArrowheads="1"/>
                    </pic:cNvPicPr>
                  </pic:nvPicPr>
                  <pic:blipFill>
                    <a:blip r:embed="rId1309" cstate="print">
                      <a:lum contrast="30000"/>
                    </a:blip>
                    <a:srcRect l="16667" t="16386"/>
                    <a:stretch>
                      <a:fillRect/>
                    </a:stretch>
                  </pic:blipFill>
                  <pic:spPr bwMode="auto">
                    <a:xfrm>
                      <a:off x="0" y="0"/>
                      <a:ext cx="3495147" cy="282246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8551DC" w:rsidRPr="00147F66">
        <w:rPr>
          <w:rFonts w:ascii="Book Antiqua" w:hAnsi="Book Antiqua"/>
          <w:b/>
          <w:i/>
          <w:sz w:val="18"/>
          <w:szCs w:val="18"/>
        </w:rPr>
        <w:t>8</w:t>
      </w:r>
      <w:r w:rsidRPr="00147F66">
        <w:rPr>
          <w:rFonts w:ascii="Book Antiqua" w:hAnsi="Book Antiqua"/>
          <w:b/>
          <w:i/>
          <w:sz w:val="18"/>
          <w:szCs w:val="18"/>
        </w:rPr>
        <w:t>:</w:t>
      </w:r>
      <w:r w:rsidRPr="00147F66">
        <w:rPr>
          <w:rFonts w:ascii="Book Antiqua" w:hAnsi="Book Antiqua"/>
          <w:i/>
          <w:sz w:val="18"/>
          <w:szCs w:val="18"/>
        </w:rPr>
        <w:t xml:space="preserve"> An example of a cement dust impact crater in which the cement dust “meteorite” broke up before it hit the pan of cement dust. Splash craters and rays formed by the “impact” are also in evidence [2].</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Cement dust is used to simulate impact craters because in any such collision, with speeds of up to 45 miles per second, any material is going to be pulverized whether it be soft pumice or alloy steel. So what is needed to reproduce these conditions is a material which has no tensile strength. Dust is such a material. And for practical reasons, cement dust can be used as it comes in uniform quality after all lumps have been screened out. All that is needed is one slightly consolidated “meteorite” of cement dust in a spoon, dropped into the pan of cement dust, and these are the results.</w:t>
      </w:r>
    </w:p>
    <w:p w:rsidR="00CA4909" w:rsidRPr="00D06D49" w:rsidRDefault="00CA4909" w:rsidP="00CA4909">
      <w:pPr>
        <w:pStyle w:val="NoSpacing"/>
        <w:ind w:firstLine="720"/>
        <w:jc w:val="both"/>
        <w:rPr>
          <w:rFonts w:ascii="Book Antiqua" w:hAnsi="Book Antiqua"/>
          <w:sz w:val="20"/>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In these experiments, for both the electrically produced and the cement dust impact craters we get the single, the multiple, and the overlapping craters. Splash craters formed as a result of impact also have their counterparts in EDM (electrically machined) craters. Figure </w:t>
      </w:r>
      <w:r w:rsidR="00150E15">
        <w:rPr>
          <w:rFonts w:ascii="Book Antiqua" w:hAnsi="Book Antiqua"/>
          <w:sz w:val="20"/>
        </w:rPr>
        <w:t>9</w:t>
      </w:r>
      <w:r w:rsidRPr="00D06D49">
        <w:rPr>
          <w:rFonts w:ascii="Book Antiqua" w:hAnsi="Book Antiqua"/>
          <w:sz w:val="20"/>
        </w:rPr>
        <w:t xml:space="preserve"> shows a typical bowl-shaped crater, formed in the cement dust experiments. It is accompanied by the usual radiating ridges, rays and a suite of secondary splash craters.</w:t>
      </w:r>
    </w:p>
    <w:p w:rsidR="00CA4909" w:rsidRPr="00D06D49"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D06D49">
        <w:rPr>
          <w:rFonts w:ascii="Book Antiqua" w:hAnsi="Book Antiqua"/>
          <w:sz w:val="20"/>
        </w:rPr>
        <w:t xml:space="preserve">Using cement dust, it frequently happens that limited chains of craters form along with the main crater. This can be seen in Figures </w:t>
      </w:r>
      <w:r w:rsidR="007425C8">
        <w:rPr>
          <w:rFonts w:ascii="Book Antiqua" w:hAnsi="Book Antiqua"/>
          <w:sz w:val="20"/>
        </w:rPr>
        <w:t>8</w:t>
      </w:r>
      <w:r w:rsidRPr="00D06D49">
        <w:rPr>
          <w:rFonts w:ascii="Book Antiqua" w:hAnsi="Book Antiqua"/>
          <w:sz w:val="20"/>
        </w:rPr>
        <w:t xml:space="preserve"> and </w:t>
      </w:r>
      <w:r w:rsidR="007425C8">
        <w:rPr>
          <w:rFonts w:ascii="Book Antiqua" w:hAnsi="Book Antiqua"/>
          <w:sz w:val="20"/>
        </w:rPr>
        <w:t>9</w:t>
      </w:r>
      <w:r w:rsidRPr="00D06D49">
        <w:rPr>
          <w:rFonts w:ascii="Book Antiqua" w:hAnsi="Book Antiqua"/>
          <w:sz w:val="20"/>
        </w:rPr>
        <w:t xml:space="preserve">. It is also possible to have smaller craters form on the wall of the larger one, as in Figure </w:t>
      </w:r>
      <w:r w:rsidR="007425C8">
        <w:rPr>
          <w:rFonts w:ascii="Book Antiqua" w:hAnsi="Book Antiqua"/>
          <w:sz w:val="20"/>
        </w:rPr>
        <w:t>10</w:t>
      </w:r>
      <w:r w:rsidRPr="00D06D49">
        <w:rPr>
          <w:rFonts w:ascii="Book Antiqua" w:hAnsi="Book Antiqua"/>
          <w:sz w:val="20"/>
        </w:rPr>
        <w:t>.</w:t>
      </w:r>
    </w:p>
    <w:p w:rsidR="00A15BD0" w:rsidRPr="00D06D49" w:rsidRDefault="00A15BD0" w:rsidP="00CA4909">
      <w:pPr>
        <w:pStyle w:val="NoSpacing"/>
        <w:ind w:firstLine="720"/>
        <w:jc w:val="both"/>
        <w:rPr>
          <w:rFonts w:ascii="Book Antiqua" w:hAnsi="Book Antiqua"/>
          <w:sz w:val="20"/>
        </w:rPr>
      </w:pP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931288" cy="4857750"/>
            <wp:effectExtent l="19050" t="0" r="0" b="0"/>
            <wp:docPr id="90" name="Picture 7" descr="C:\Users\Barry\Pictures\2012-07-26 Craters 3\Craters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6 Craters 3\Craters 3 001.JPG"/>
                    <pic:cNvPicPr>
                      <a:picLocks noChangeAspect="1" noChangeArrowheads="1"/>
                    </pic:cNvPicPr>
                  </pic:nvPicPr>
                  <pic:blipFill>
                    <a:blip r:embed="rId1310" cstate="print">
                      <a:lum contrast="30000"/>
                    </a:blip>
                    <a:srcRect t="7386" b="5114"/>
                    <a:stretch>
                      <a:fillRect/>
                    </a:stretch>
                  </pic:blipFill>
                  <pic:spPr bwMode="auto">
                    <a:xfrm>
                      <a:off x="0" y="0"/>
                      <a:ext cx="5948474" cy="48718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9</w:t>
      </w:r>
      <w:r w:rsidRPr="00147F66">
        <w:rPr>
          <w:rFonts w:ascii="Book Antiqua" w:hAnsi="Book Antiqua"/>
          <w:b/>
          <w:i/>
          <w:sz w:val="18"/>
          <w:szCs w:val="18"/>
        </w:rPr>
        <w:t>:</w:t>
      </w:r>
      <w:r w:rsidRPr="00147F66">
        <w:rPr>
          <w:rFonts w:ascii="Book Antiqua" w:hAnsi="Book Antiqua"/>
          <w:i/>
          <w:sz w:val="18"/>
          <w:szCs w:val="18"/>
        </w:rPr>
        <w:t xml:space="preserve"> A typical bowl-shaped impact crater in the cement dust experiments. The usual entourage of radiating ridges, splash craters and rays has formed. The “meteorite” is a table-spoon of slightly consolidated cement dust. It is dropped from a height of about 4 feet into a pan of dry cement dust lightly tooled with a metal float. The ridge running down the middle is caused by the edge of the float.</w:t>
      </w: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4152900" cy="3114958"/>
            <wp:effectExtent l="19050" t="0" r="0" b="0"/>
            <wp:docPr id="93" name="Picture 6" descr="C:\Users\Barry\Pictures\2012-07-26 Craters 3\Craters 3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ry\Pictures\2012-07-26 Craters 3\Craters 3 008.JPG"/>
                    <pic:cNvPicPr>
                      <a:picLocks noChangeAspect="1" noChangeArrowheads="1"/>
                    </pic:cNvPicPr>
                  </pic:nvPicPr>
                  <pic:blipFill>
                    <a:blip r:embed="rId1311" cstate="print">
                      <a:lum contrast="40000"/>
                    </a:blip>
                    <a:srcRect/>
                    <a:stretch>
                      <a:fillRect/>
                    </a:stretch>
                  </pic:blipFill>
                  <pic:spPr bwMode="auto">
                    <a:xfrm>
                      <a:off x="0" y="0"/>
                      <a:ext cx="4153277" cy="3115241"/>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7425C8" w:rsidRPr="00147F66">
        <w:rPr>
          <w:rFonts w:ascii="Book Antiqua" w:hAnsi="Book Antiqua"/>
          <w:b/>
          <w:i/>
          <w:sz w:val="18"/>
          <w:szCs w:val="18"/>
        </w:rPr>
        <w:t>10</w:t>
      </w:r>
      <w:r w:rsidRPr="00147F66">
        <w:rPr>
          <w:rFonts w:ascii="Book Antiqua" w:hAnsi="Book Antiqua"/>
          <w:b/>
          <w:i/>
          <w:sz w:val="18"/>
          <w:szCs w:val="18"/>
        </w:rPr>
        <w:t>:</w:t>
      </w:r>
      <w:r w:rsidRPr="00147F66">
        <w:rPr>
          <w:rFonts w:ascii="Book Antiqua" w:hAnsi="Book Antiqua"/>
          <w:i/>
          <w:sz w:val="18"/>
          <w:szCs w:val="18"/>
        </w:rPr>
        <w:t xml:space="preserve"> Rays, splash craters and short crater chains are in evidence in this cement dust experiment. Importantly, so is a secondary crater on the bottom left part of the wall of the main </w:t>
      </w:r>
      <w:proofErr w:type="gramStart"/>
      <w:r w:rsidRPr="00147F66">
        <w:rPr>
          <w:rFonts w:ascii="Book Antiqua" w:hAnsi="Book Antiqua"/>
          <w:i/>
          <w:sz w:val="18"/>
          <w:szCs w:val="18"/>
        </w:rPr>
        <w:t>crater.</w:t>
      </w:r>
      <w:proofErr w:type="gramEnd"/>
      <w:r w:rsidRPr="00147F66">
        <w:rPr>
          <w:rFonts w:ascii="Book Antiqua" w:hAnsi="Book Antiqua"/>
          <w:i/>
          <w:sz w:val="18"/>
          <w:szCs w:val="18"/>
        </w:rPr>
        <w:t xml:space="preserve"> This secondary crater has a central peak. Again the ridge was left by the float. </w:t>
      </w:r>
    </w:p>
    <w:p w:rsidR="00A15BD0" w:rsidRPr="003A64C2" w:rsidRDefault="00A15BD0" w:rsidP="00CA4909">
      <w:pPr>
        <w:rPr>
          <w:rFonts w:ascii="Book Antiqua" w:hAnsi="Book Antiqua"/>
          <w:i/>
          <w:sz w:val="18"/>
          <w:szCs w:val="18"/>
        </w:rPr>
      </w:pPr>
    </w:p>
    <w:p w:rsidR="00CA4909" w:rsidRPr="00D06D49" w:rsidRDefault="00CA4909" w:rsidP="00CA4909">
      <w:pPr>
        <w:pStyle w:val="NoSpacing"/>
        <w:ind w:firstLine="720"/>
        <w:jc w:val="both"/>
        <w:rPr>
          <w:rFonts w:ascii="Book Antiqua" w:hAnsi="Book Antiqua"/>
          <w:sz w:val="20"/>
        </w:rPr>
      </w:pPr>
      <w:r w:rsidRPr="00D06D49">
        <w:rPr>
          <w:rFonts w:ascii="Book Antiqua" w:hAnsi="Book Antiqua"/>
          <w:sz w:val="20"/>
        </w:rPr>
        <w:t xml:space="preserve">Central peaks are obtained in cement dust experiments where there is an unyielding layer about 3 inches below the surface. This is achieved by using a flat tile or something similar. The typical results are in Figure </w:t>
      </w:r>
      <w:r w:rsidR="00CC272B">
        <w:rPr>
          <w:rFonts w:ascii="Book Antiqua" w:hAnsi="Book Antiqua"/>
          <w:sz w:val="20"/>
        </w:rPr>
        <w:t>11</w:t>
      </w:r>
      <w:r w:rsidRPr="00D06D49">
        <w:rPr>
          <w:rFonts w:ascii="Book Antiqua" w:hAnsi="Book Antiqua"/>
          <w:sz w:val="20"/>
        </w:rPr>
        <w:t xml:space="preserve"> which should be compared with the craters on the Moon in Figure 1</w:t>
      </w:r>
      <w:r w:rsidR="00CC272B">
        <w:rPr>
          <w:rFonts w:ascii="Book Antiqua" w:hAnsi="Book Antiqua"/>
          <w:sz w:val="20"/>
        </w:rPr>
        <w:t>2</w:t>
      </w:r>
      <w:r w:rsidRPr="00D06D49">
        <w:rPr>
          <w:rFonts w:ascii="Book Antiqua" w:hAnsi="Book Antiqua"/>
          <w:sz w:val="20"/>
        </w:rPr>
        <w:t>.</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371975" cy="2670818"/>
            <wp:effectExtent l="19050" t="0" r="9525" b="0"/>
            <wp:docPr id="96" name="Picture 1" descr="C:\Users\Barry\Pictures\2012-07-26 Craters 3\Craters 3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2012-07-26 Craters 3\Craters 3 012.JPG"/>
                    <pic:cNvPicPr>
                      <a:picLocks noChangeAspect="1" noChangeArrowheads="1"/>
                    </pic:cNvPicPr>
                  </pic:nvPicPr>
                  <pic:blipFill>
                    <a:blip r:embed="rId1312" cstate="print">
                      <a:lum contrast="40000"/>
                    </a:blip>
                    <a:srcRect t="12404" r="319" b="9355"/>
                    <a:stretch>
                      <a:fillRect/>
                    </a:stretch>
                  </pic:blipFill>
                  <pic:spPr bwMode="auto">
                    <a:xfrm>
                      <a:off x="0" y="0"/>
                      <a:ext cx="4377203" cy="2674012"/>
                    </a:xfrm>
                    <a:prstGeom prst="rect">
                      <a:avLst/>
                    </a:prstGeom>
                    <a:noFill/>
                    <a:ln w="9525">
                      <a:noFill/>
                      <a:miter lim="800000"/>
                      <a:headEnd/>
                      <a:tailEnd/>
                    </a:ln>
                  </pic:spPr>
                </pic:pic>
              </a:graphicData>
            </a:graphic>
          </wp:inline>
        </w:drawing>
      </w:r>
    </w:p>
    <w:p w:rsidR="00CA4909" w:rsidRPr="003A64C2" w:rsidRDefault="00CA4909" w:rsidP="00CA4909">
      <w:pPr>
        <w:jc w:val="both"/>
        <w:rPr>
          <w:rFonts w:ascii="Book Antiqua" w:hAnsi="Book Antiqua"/>
          <w:b/>
          <w:i/>
        </w:rPr>
      </w:pPr>
    </w:p>
    <w:p w:rsidR="00CA4909" w:rsidRPr="00147F66" w:rsidRDefault="00CA4909" w:rsidP="00147F66">
      <w:pPr>
        <w:pStyle w:val="NoSpacing"/>
        <w:rPr>
          <w:rFonts w:ascii="Book Antiqua" w:hAnsi="Book Antiqua"/>
          <w:i/>
          <w:sz w:val="18"/>
          <w:szCs w:val="18"/>
        </w:rPr>
      </w:pPr>
      <w:r w:rsidRPr="00147F66">
        <w:rPr>
          <w:rFonts w:ascii="Book Antiqua" w:hAnsi="Book Antiqua"/>
          <w:b/>
          <w:i/>
          <w:sz w:val="18"/>
          <w:szCs w:val="18"/>
        </w:rPr>
        <w:t xml:space="preserve">Figure </w:t>
      </w:r>
      <w:r w:rsidR="00CC272B" w:rsidRPr="00147F66">
        <w:rPr>
          <w:rFonts w:ascii="Book Antiqua" w:hAnsi="Book Antiqua"/>
          <w:b/>
          <w:i/>
          <w:sz w:val="18"/>
          <w:szCs w:val="18"/>
        </w:rPr>
        <w:t>11</w:t>
      </w:r>
      <w:r w:rsidRPr="00147F66">
        <w:rPr>
          <w:rFonts w:ascii="Book Antiqua" w:hAnsi="Book Antiqua"/>
          <w:b/>
          <w:i/>
          <w:sz w:val="18"/>
          <w:szCs w:val="18"/>
        </w:rPr>
        <w:t>:</w:t>
      </w:r>
      <w:r w:rsidRPr="00147F66">
        <w:rPr>
          <w:rFonts w:ascii="Book Antiqua" w:hAnsi="Book Antiqua"/>
          <w:i/>
          <w:sz w:val="18"/>
          <w:szCs w:val="18"/>
        </w:rPr>
        <w:t xml:space="preserve"> A cement dust crater with a prominent central peak, terraced walls, ridges and rays, plus some large splash craters.  This crater should be compared with the two examples on the Moon in Figure 1</w:t>
      </w:r>
      <w:r w:rsidR="00CC272B" w:rsidRPr="00147F66">
        <w:rPr>
          <w:rFonts w:ascii="Book Antiqua" w:hAnsi="Book Antiqua"/>
          <w:i/>
          <w:sz w:val="18"/>
          <w:szCs w:val="18"/>
        </w:rPr>
        <w:t>2</w:t>
      </w:r>
      <w:r w:rsidRPr="00147F66">
        <w:rPr>
          <w:rFonts w:ascii="Book Antiqua" w:hAnsi="Book Antiqua"/>
          <w:i/>
          <w:sz w:val="18"/>
          <w:szCs w:val="18"/>
        </w:rPr>
        <w:t xml:space="preserve"> below.</w:t>
      </w:r>
    </w:p>
    <w:p w:rsidR="00CA4909" w:rsidRDefault="00CA4909" w:rsidP="00CA4909">
      <w:pPr>
        <w:pStyle w:val="NoSpacing"/>
        <w:ind w:firstLine="720"/>
        <w:jc w:val="both"/>
        <w:rPr>
          <w:rFonts w:ascii="Book Antiqua" w:hAnsi="Book Antiqua"/>
          <w:sz w:val="20"/>
        </w:rPr>
      </w:pPr>
      <w:r w:rsidRPr="00D06D49">
        <w:rPr>
          <w:rFonts w:ascii="Book Antiqua" w:hAnsi="Book Antiqua"/>
          <w:sz w:val="20"/>
        </w:rPr>
        <w:lastRenderedPageBreak/>
        <w:t xml:space="preserve">From these examples, it can be seen both impacts and electrical machining can form </w:t>
      </w:r>
      <w:proofErr w:type="gramStart"/>
      <w:r w:rsidRPr="00D06D49">
        <w:rPr>
          <w:rFonts w:ascii="Book Antiqua" w:hAnsi="Book Antiqua"/>
          <w:sz w:val="20"/>
        </w:rPr>
        <w:t>bowl-shaped,</w:t>
      </w:r>
      <w:proofErr w:type="gramEnd"/>
      <w:r w:rsidRPr="00D06D49">
        <w:rPr>
          <w:rFonts w:ascii="Book Antiqua" w:hAnsi="Book Antiqua"/>
          <w:sz w:val="20"/>
        </w:rPr>
        <w:t xml:space="preserve"> or ‘simple’ craters, as well as ‘complex’ craters with central peaks and terraces, along with accompanying splash craters and secondary craters on the ring wall.   </w:t>
      </w:r>
    </w:p>
    <w:p w:rsidR="00F81911" w:rsidRPr="00D06D49" w:rsidRDefault="00F81911"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315334" cy="3162300"/>
            <wp:effectExtent l="19050" t="0" r="0" b="0"/>
            <wp:docPr id="98" name="il_fi" descr="http://yellowmagpie.com/wp-content/uploads/2010/02/Far-Side-Of-The-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yellowmagpie.com/wp-content/uploads/2010/02/Far-Side-Of-The-Moon.jpg"/>
                    <pic:cNvPicPr>
                      <a:picLocks noChangeAspect="1" noChangeArrowheads="1"/>
                    </pic:cNvPicPr>
                  </pic:nvPicPr>
                  <pic:blipFill>
                    <a:blip r:embed="rId1313" cstate="print"/>
                    <a:srcRect t="7808" r="-213" b="8108"/>
                    <a:stretch>
                      <a:fillRect/>
                    </a:stretch>
                  </pic:blipFill>
                  <pic:spPr bwMode="auto">
                    <a:xfrm>
                      <a:off x="0" y="0"/>
                      <a:ext cx="5318964" cy="3164460"/>
                    </a:xfrm>
                    <a:prstGeom prst="rect">
                      <a:avLst/>
                    </a:prstGeom>
                    <a:noFill/>
                    <a:ln w="9525">
                      <a:noFill/>
                      <a:miter lim="800000"/>
                      <a:headEnd/>
                      <a:tailEnd/>
                    </a:ln>
                  </pic:spPr>
                </pic:pic>
              </a:graphicData>
            </a:graphic>
          </wp:inline>
        </w:drawing>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323557" cy="3438525"/>
            <wp:effectExtent l="19050" t="0" r="0" b="0"/>
            <wp:docPr id="99" name="Picture 10" descr="http://moontag.files.wordpress.com/2009/05/lunar_crater_daed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oontag.files.wordpress.com/2009/05/lunar_crater_daedalus.jpg"/>
                    <pic:cNvPicPr>
                      <a:picLocks noChangeAspect="1" noChangeArrowheads="1"/>
                    </pic:cNvPicPr>
                  </pic:nvPicPr>
                  <pic:blipFill>
                    <a:blip r:embed="rId1314" cstate="print"/>
                    <a:srcRect t="15065" r="201" b="18559"/>
                    <a:stretch>
                      <a:fillRect/>
                    </a:stretch>
                  </pic:blipFill>
                  <pic:spPr bwMode="auto">
                    <a:xfrm>
                      <a:off x="0" y="0"/>
                      <a:ext cx="5328943" cy="344200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D6396" w:rsidRDefault="00CA4909" w:rsidP="004D6396">
      <w:pPr>
        <w:pStyle w:val="NoSpacing"/>
        <w:rPr>
          <w:rFonts w:ascii="Book Antiqua" w:hAnsi="Book Antiqua"/>
          <w:i/>
          <w:sz w:val="18"/>
          <w:szCs w:val="18"/>
        </w:rPr>
      </w:pPr>
      <w:r w:rsidRPr="004D6396">
        <w:rPr>
          <w:rFonts w:ascii="Book Antiqua" w:hAnsi="Book Antiqua"/>
          <w:b/>
          <w:i/>
          <w:sz w:val="18"/>
          <w:szCs w:val="18"/>
        </w:rPr>
        <w:t>Figure 1</w:t>
      </w:r>
      <w:r w:rsidR="00CC272B" w:rsidRPr="004D6396">
        <w:rPr>
          <w:rFonts w:ascii="Book Antiqua" w:hAnsi="Book Antiqua"/>
          <w:b/>
          <w:i/>
          <w:sz w:val="18"/>
          <w:szCs w:val="18"/>
        </w:rPr>
        <w:t>2</w:t>
      </w:r>
      <w:r w:rsidRPr="004D6396">
        <w:rPr>
          <w:rFonts w:ascii="Book Antiqua" w:hAnsi="Book Antiqua"/>
          <w:b/>
          <w:i/>
          <w:sz w:val="18"/>
          <w:szCs w:val="18"/>
        </w:rPr>
        <w:t>:</w:t>
      </w:r>
      <w:r w:rsidRPr="004D6396">
        <w:rPr>
          <w:rFonts w:ascii="Book Antiqua" w:hAnsi="Book Antiqua"/>
          <w:i/>
          <w:sz w:val="18"/>
          <w:szCs w:val="18"/>
        </w:rPr>
        <w:t xml:space="preserve"> Two views of the far side of the Moon. Top is a general view of ancient craters with many splash craters, and smaller, more recent craters. Bottom is the crater Daedalus about 58 miles across with its wide ringwall showing clearly on its right hand side, along with terraces and a central peak complex.</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000000"/>
          <w:sz w:val="20"/>
        </w:rPr>
      </w:pPr>
      <w:r w:rsidRPr="004E2F1C">
        <w:rPr>
          <w:rFonts w:ascii="Book Antiqua" w:hAnsi="Book Antiqua"/>
          <w:sz w:val="20"/>
        </w:rPr>
        <w:lastRenderedPageBreak/>
        <w:t>One of the important characteristics of craters is their depth</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from the top of the rim to the bottom of the crater and the diameter, </w:t>
      </w:r>
      <m:oMath>
        <m:r>
          <w:rPr>
            <w:rFonts w:ascii="Cambria Math" w:hAnsi="Cambria Math"/>
            <w:sz w:val="20"/>
          </w:rPr>
          <m:t>D</m:t>
        </m:r>
      </m:oMath>
      <w:r w:rsidRPr="004E2F1C">
        <w:rPr>
          <w:rFonts w:ascii="Book Antiqua" w:hAnsi="Book Antiqua"/>
          <w:sz w:val="20"/>
        </w:rPr>
        <w:t xml:space="preserve">, from rim-crest to rim-crest. The </w:t>
      </w:r>
      <w:proofErr w:type="gramStart"/>
      <w:r w:rsidRPr="004E2F1C">
        <w:rPr>
          <w:rFonts w:ascii="Book Antiqua" w:hAnsi="Book Antiqua"/>
          <w:sz w:val="20"/>
        </w:rPr>
        <w:t xml:space="preserve">ratio </w:t>
      </w:r>
      <m:oMath>
        <w:proofErr w:type="gramEnd"/>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or depth/diameter is a feature about which there is much discussion. In these initial experiments, </w:t>
      </w:r>
      <w:r w:rsidRPr="004E2F1C">
        <w:rPr>
          <w:rFonts w:ascii="Book Antiqua" w:hAnsi="Book Antiqua"/>
          <w:color w:val="000000"/>
          <w:sz w:val="20"/>
        </w:rPr>
        <w:t xml:space="preserve">ratios were found to vary between </w:t>
      </w:r>
      <m:oMath>
        <m:r>
          <w:rPr>
            <w:rFonts w:ascii="Cambria Math" w:hAnsi="Book Antiqua"/>
            <w:color w:val="000000"/>
            <w:sz w:val="20"/>
          </w:rPr>
          <m:t>1:5 = 0.2</m:t>
        </m:r>
      </m:oMath>
      <w:r w:rsidRPr="004E2F1C">
        <w:rPr>
          <w:rFonts w:ascii="Book Antiqua" w:hAnsi="Book Antiqua"/>
          <w:color w:val="000000"/>
          <w:sz w:val="20"/>
        </w:rPr>
        <w:t xml:space="preserve"> to </w:t>
      </w:r>
      <m:oMath>
        <m:r>
          <w:rPr>
            <w:rFonts w:ascii="Cambria Math" w:hAnsi="Book Antiqua"/>
            <w:color w:val="000000"/>
            <w:sz w:val="20"/>
          </w:rPr>
          <m:t>1:2.5 = 0.4</m:t>
        </m:r>
      </m:oMath>
      <w:r w:rsidRPr="004E2F1C">
        <w:rPr>
          <w:rFonts w:ascii="Book Antiqua" w:hAnsi="Book Antiqua"/>
          <w:color w:val="000000"/>
          <w:sz w:val="20"/>
        </w:rPr>
        <w:t xml:space="preserve"> with the average </w:t>
      </w:r>
      <w:proofErr w:type="gramStart"/>
      <w:r w:rsidRPr="004E2F1C">
        <w:rPr>
          <w:rFonts w:ascii="Book Antiqua" w:hAnsi="Book Antiqua"/>
          <w:color w:val="000000"/>
          <w:sz w:val="20"/>
        </w:rPr>
        <w:t xml:space="preserve">around </w:t>
      </w:r>
      <m:oMath>
        <w:proofErr w:type="gramEnd"/>
        <m:r>
          <w:rPr>
            <w:rFonts w:ascii="Cambria Math" w:hAnsi="Book Antiqua"/>
            <w:color w:val="000000"/>
            <w:sz w:val="20"/>
          </w:rPr>
          <m:t>1:3.3 = 0.3</m:t>
        </m:r>
      </m:oMath>
      <w:r w:rsidRPr="004E2F1C">
        <w:rPr>
          <w:rFonts w:ascii="Book Antiqua" w:hAnsi="Book Antiqua"/>
          <w:color w:val="000000"/>
          <w:sz w:val="20"/>
        </w:rPr>
        <w:t>. This is strictly in the range of what is achieved on earth with explosion pits and is found to hold generally on the Moon for small craters.</w:t>
      </w:r>
    </w:p>
    <w:p w:rsidR="00CA4909" w:rsidRPr="004E2F1C" w:rsidRDefault="00CA4909" w:rsidP="00CA4909">
      <w:pPr>
        <w:pStyle w:val="NoSpacing"/>
        <w:jc w:val="both"/>
        <w:rPr>
          <w:rFonts w:ascii="Book Antiqua" w:hAnsi="Book Antiqua"/>
          <w:color w:val="000000"/>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color w:val="000000"/>
          <w:sz w:val="20"/>
        </w:rPr>
        <w:t>One article from Feb 2005 said that "</w:t>
      </w:r>
      <w:r w:rsidRPr="00910192">
        <w:rPr>
          <w:rFonts w:ascii="Book Antiqua" w:hAnsi="Book Antiqua"/>
          <w:sz w:val="20"/>
        </w:rPr>
        <w:t xml:space="preserve">The initial product of an impact is ... a bowl-shaped cavity with a depth to diameter ratio between </w:t>
      </w:r>
      <m:oMath>
        <m:r>
          <m:rPr>
            <m:sty m:val="p"/>
          </m:rPr>
          <w:rPr>
            <w:rFonts w:ascii="Cambria Math" w:hAnsi="Book Antiqua"/>
            <w:sz w:val="20"/>
          </w:rPr>
          <m:t>1:4</m:t>
        </m:r>
      </m:oMath>
      <w:r w:rsidRPr="00910192">
        <w:rPr>
          <w:rFonts w:ascii="Book Antiqua" w:hAnsi="Book Antiqua"/>
          <w:sz w:val="20"/>
        </w:rPr>
        <w:t xml:space="preserve"> </w:t>
      </w:r>
      <w:proofErr w:type="gramStart"/>
      <w:r w:rsidRPr="00910192">
        <w:rPr>
          <w:rFonts w:ascii="Book Antiqua" w:hAnsi="Book Antiqua"/>
          <w:sz w:val="20"/>
        </w:rPr>
        <w:t xml:space="preserve">and </w:t>
      </w:r>
      <m:oMath>
        <w:proofErr w:type="gramEnd"/>
        <m:r>
          <m:rPr>
            <m:sty m:val="p"/>
          </m:rPr>
          <w:rPr>
            <w:rFonts w:ascii="Cambria Math" w:hAnsi="Book Antiqua"/>
            <w:sz w:val="20"/>
          </w:rPr>
          <m:t>1:3</m:t>
        </m:r>
      </m:oMath>
      <w:r w:rsidRPr="00910192">
        <w:rPr>
          <w:rFonts w:ascii="Book Antiqua" w:hAnsi="Book Antiqua"/>
          <w:sz w:val="20"/>
        </w:rPr>
        <w:t xml:space="preserve">. ... Complex craters have a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 which varies widely from </w:t>
      </w:r>
      <m:oMath>
        <m:r>
          <m:rPr>
            <m:sty m:val="p"/>
          </m:rPr>
          <w:rPr>
            <w:rFonts w:ascii="Cambria Math" w:hAnsi="Book Antiqua"/>
            <w:sz w:val="20"/>
          </w:rPr>
          <m:t>1:5</m:t>
        </m:r>
      </m:oMath>
      <w:r w:rsidRPr="00910192">
        <w:rPr>
          <w:rFonts w:ascii="Book Antiqua" w:hAnsi="Book Antiqua"/>
          <w:sz w:val="20"/>
        </w:rPr>
        <w:t xml:space="preserve"> for small fresh complex craters up to </w:t>
      </w:r>
      <m:oMath>
        <m:r>
          <m:rPr>
            <m:sty m:val="p"/>
          </m:rPr>
          <w:rPr>
            <w:rFonts w:ascii="Cambria Math" w:hAnsi="Book Antiqua"/>
            <w:sz w:val="20"/>
          </w:rPr>
          <m:t>1:150</m:t>
        </m:r>
      </m:oMath>
      <w:r w:rsidRPr="00910192">
        <w:rPr>
          <w:rFonts w:ascii="Book Antiqua" w:hAnsi="Book Antiqua"/>
          <w:sz w:val="20"/>
        </w:rPr>
        <w:t xml:space="preserve"> for large craters." [3] The ratios from </w:t>
      </w:r>
      <m:oMath>
        <m:r>
          <m:rPr>
            <m:sty m:val="p"/>
          </m:rPr>
          <w:rPr>
            <w:rFonts w:ascii="Cambria Math" w:hAnsi="Book Antiqua"/>
            <w:sz w:val="20"/>
          </w:rPr>
          <m:t>1:3</m:t>
        </m:r>
      </m:oMath>
      <w:r w:rsidRPr="00910192">
        <w:rPr>
          <w:rFonts w:ascii="Book Antiqua" w:hAnsi="Book Antiqua"/>
          <w:sz w:val="20"/>
        </w:rPr>
        <w:t xml:space="preserve"> to </w:t>
      </w:r>
      <m:oMath>
        <m:r>
          <m:rPr>
            <m:sty m:val="p"/>
          </m:rPr>
          <w:rPr>
            <w:rFonts w:ascii="Cambria Math" w:hAnsi="Book Antiqua"/>
            <w:sz w:val="20"/>
          </w:rPr>
          <m:t>1:5</m:t>
        </m:r>
      </m:oMath>
      <w:r w:rsidRPr="00910192">
        <w:rPr>
          <w:rFonts w:ascii="Book Antiqua" w:hAnsi="Book Antiqua"/>
          <w:sz w:val="20"/>
        </w:rPr>
        <w:t xml:space="preserve"> have been achieved in these initial experiments. Craters with less depth for a given diameter now need to be produced.</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It is at this point that a characteristic of complex craters needs discussion. Many actual craters have </w:t>
      </w:r>
      <m:oMath>
        <m:r>
          <w:rPr>
            <w:rFonts w:ascii="Cambria Math" w:hAnsi="Cambria Math"/>
            <w:sz w:val="20"/>
          </w:rPr>
          <m:t>d</m:t>
        </m:r>
        <m:r>
          <m:rPr>
            <m:sty m:val="p"/>
          </m:rPr>
          <w:rPr>
            <w:rFonts w:ascii="Cambria Math" w:hAnsi="Book Antiqua"/>
            <w:sz w:val="20"/>
          </w:rPr>
          <m:t>/</m:t>
        </m:r>
        <m:r>
          <w:rPr>
            <w:rFonts w:ascii="Cambria Math" w:hAnsi="Cambria Math"/>
            <w:sz w:val="20"/>
          </w:rPr>
          <m:t>D</m:t>
        </m:r>
      </m:oMath>
      <w:r w:rsidRPr="00910192">
        <w:rPr>
          <w:rFonts w:ascii="Book Antiqua" w:hAnsi="Book Antiqua"/>
          <w:sz w:val="20"/>
        </w:rPr>
        <w:t xml:space="preserve"> ratios which are lower than 0.2. Thus on the asteroid (4) Vesta, J.-B Vincent et al., have found craters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0.4</m:t>
        </m:r>
      </m:oMath>
      <w:r w:rsidRPr="00910192">
        <w:rPr>
          <w:rFonts w:ascii="Book Antiqua" w:hAnsi="Book Antiqua"/>
          <w:sz w:val="20"/>
        </w:rPr>
        <w:t xml:space="preserve"> down </w:t>
      </w:r>
      <w:proofErr w:type="gramStart"/>
      <w:r w:rsidRPr="00910192">
        <w:rPr>
          <w:rFonts w:ascii="Book Antiqua" w:hAnsi="Book Antiqua"/>
          <w:sz w:val="20"/>
        </w:rPr>
        <w:t xml:space="preserve">to </w:t>
      </w:r>
      <m:oMath>
        <w:proofErr w:type="gramEnd"/>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Similarly, for asteroid (21) Lutetia, the ratios went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0.35</m:t>
        </m:r>
      </m:oMath>
      <w:r w:rsidRPr="00910192">
        <w:rPr>
          <w:rFonts w:ascii="Book Antiqua" w:hAnsi="Book Antiqua"/>
          <w:sz w:val="20"/>
        </w:rPr>
        <w:t xml:space="preserve"> down to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0.05</m:t>
        </m:r>
      </m:oMath>
      <w:r w:rsidRPr="00910192">
        <w:rPr>
          <w:rFonts w:ascii="Book Antiqua" w:hAnsi="Book Antiqua"/>
          <w:sz w:val="20"/>
        </w:rPr>
        <w:t xml:space="preserve"> [4]. Similarly, the craters on Mercury have been found, using the MESSENGER probe, to range from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0.102</m:t>
        </m:r>
      </m:oMath>
      <w:r w:rsidRPr="00910192">
        <w:rPr>
          <w:rFonts w:ascii="Book Antiqua" w:hAnsi="Book Antiqua"/>
          <w:sz w:val="20"/>
        </w:rPr>
        <w:t xml:space="preserve"> down to</w:t>
      </w:r>
      <m:oMath>
        <m:r>
          <m:rPr>
            <m:sty m:val="p"/>
          </m:rPr>
          <w:rPr>
            <w:rFonts w:ascii="Cambria Math" w:hAnsi="Book Antiqua"/>
            <w:sz w:val="20"/>
          </w:rPr>
          <m:t xml:space="preserve"> </m:t>
        </m:r>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0.042</m:t>
        </m:r>
      </m:oMath>
      <w:r w:rsidRPr="00910192">
        <w:rPr>
          <w:rFonts w:ascii="Book Antiqua" w:hAnsi="Book Antiqua"/>
          <w:sz w:val="20"/>
        </w:rPr>
        <w:t xml:space="preserve"> with a mean of </w:t>
      </w:r>
      <m:oMath>
        <m:r>
          <w:rPr>
            <w:rFonts w:ascii="Cambria Math" w:hAnsi="Cambria Math"/>
            <w:sz w:val="20"/>
          </w:rPr>
          <m:t>d</m:t>
        </m:r>
        <m:r>
          <m:rPr>
            <m:sty m:val="p"/>
          </m:rPr>
          <w:rPr>
            <w:rFonts w:ascii="Cambria Math" w:hAnsi="Book Antiqua"/>
            <w:sz w:val="20"/>
          </w:rPr>
          <m:t>/</m:t>
        </m:r>
        <m:r>
          <w:rPr>
            <w:rFonts w:ascii="Cambria Math" w:hAnsi="Cambria Math"/>
            <w:sz w:val="20"/>
          </w:rPr>
          <m:t>D</m:t>
        </m:r>
        <m:r>
          <m:rPr>
            <m:sty m:val="p"/>
          </m:rPr>
          <w:rPr>
            <w:rFonts w:ascii="Cambria Math" w:hAnsi="Book Antiqua"/>
            <w:sz w:val="20"/>
          </w:rPr>
          <m:t xml:space="preserve"> = 0.066</m:t>
        </m:r>
      </m:oMath>
      <w:r w:rsidRPr="00910192">
        <w:rPr>
          <w:rFonts w:ascii="Book Antiqua" w:hAnsi="Book Antiqua"/>
          <w:sz w:val="20"/>
        </w:rPr>
        <w:t xml:space="preserve"> [5]. </w:t>
      </w:r>
    </w:p>
    <w:p w:rsidR="00CA4909" w:rsidRPr="00910192"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other words, these craters with the lower ratios were not as deep for any given diameter as initially expected. As a result, they tended to have flatter floors rather than being bowl-shaped. It has been claimed that these characteristics suggest an electrical machining (EDM) mode of origin. However, Paul De Schutter in reference [3]</w:t>
      </w:r>
      <w:r w:rsidRPr="004E2F1C">
        <w:rPr>
          <w:rFonts w:ascii="Book Antiqua" w:hAnsi="Book Antiqua"/>
          <w:color w:val="000000"/>
          <w:sz w:val="20"/>
        </w:rPr>
        <w:t xml:space="preserve"> states that the lithology of the target area also influences the </w:t>
      </w:r>
      <m:oMath>
        <m:r>
          <w:rPr>
            <w:rFonts w:ascii="Cambria Math" w:hAnsi="Cambria Math"/>
            <w:color w:val="000000"/>
            <w:sz w:val="20"/>
          </w:rPr>
          <m:t>d</m:t>
        </m:r>
        <m:r>
          <w:rPr>
            <w:rFonts w:ascii="Cambria Math" w:hAnsi="Book Antiqua"/>
            <w:color w:val="000000"/>
            <w:sz w:val="20"/>
          </w:rPr>
          <m:t>/</m:t>
        </m:r>
        <m:r>
          <w:rPr>
            <w:rFonts w:ascii="Cambria Math" w:hAnsi="Cambria Math"/>
            <w:color w:val="000000"/>
            <w:sz w:val="20"/>
          </w:rPr>
          <m:t>D</m:t>
        </m:r>
      </m:oMath>
      <w:r w:rsidRPr="004E2F1C">
        <w:rPr>
          <w:rFonts w:ascii="Book Antiqua" w:hAnsi="Book Antiqua"/>
          <w:color w:val="000000"/>
          <w:sz w:val="20"/>
        </w:rPr>
        <w:t xml:space="preserve"> ratio in the case of impact. So, for example, </w:t>
      </w:r>
      <w:r w:rsidRPr="004E2F1C">
        <w:rPr>
          <w:rFonts w:ascii="Book Antiqua" w:hAnsi="Book Antiqua"/>
          <w:i/>
          <w:color w:val="000000"/>
          <w:sz w:val="20"/>
        </w:rPr>
        <w:t xml:space="preserve">“An impact of a given energy will excavate a larger cavity in soft rock, while there is evidence that complex craters develop more </w:t>
      </w:r>
      <w:r w:rsidRPr="004E2F1C">
        <w:rPr>
          <w:rFonts w:ascii="Book Antiqua" w:hAnsi="Book Antiqua"/>
          <w:i/>
          <w:sz w:val="20"/>
        </w:rPr>
        <w:t>readily in stratified rocks.”</w:t>
      </w:r>
      <w:r w:rsidRPr="004E2F1C">
        <w:rPr>
          <w:rFonts w:ascii="Book Antiqua" w:hAnsi="Book Antiqua"/>
          <w:sz w:val="20"/>
        </w:rPr>
        <w:t xml:space="preserve"> [3] </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may be </w:t>
      </w:r>
      <w:r>
        <w:rPr>
          <w:rFonts w:ascii="Book Antiqua" w:hAnsi="Book Antiqua"/>
          <w:sz w:val="20"/>
        </w:rPr>
        <w:t>tested</w:t>
      </w:r>
      <w:r w:rsidRPr="004E2F1C">
        <w:rPr>
          <w:rFonts w:ascii="Book Antiqua" w:hAnsi="Book Antiqua"/>
          <w:sz w:val="20"/>
        </w:rPr>
        <w:t xml:space="preserve">. For example, we have seen that asteroid (4) Vesta has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But it also has a nickel-iron core, olivine mantle and basaltic crust [6]. Therefore its surface is composed of layers of heavy and dense rock, so the low ratios are expected.  Similarly, the Rosetta probe has confirmed that the M class asteroid (21) Lutetia is of high density and composed of metal rich rock [7]. It also has the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ratios. In like manner, the planet Mercury has a very large metal core and surface rock with high metal content. In these cases, it would be expected that, if denser rock produces complex craters with shallower depths, then these objects would also have more of these flat-floored craters. </w:t>
      </w:r>
    </w:p>
    <w:p w:rsidR="00CA4909" w:rsidRPr="004E2F1C"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This is testable in the cement dust experiments. All that is needed is a more solid surface. In order to produce this, the cement dust in the pan was compressed. A large metal plate was placed on the surface of the unconsolidated cement dust and weights placed on it. The plate was then removed and the cement dust meteorite dropped as usual. This procedure did make a difference to the resulting craters. </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4E2F1C">
        <w:rPr>
          <w:rFonts w:ascii="Book Antiqua" w:hAnsi="Book Antiqua"/>
          <w:sz w:val="20"/>
        </w:rPr>
        <w:t xml:space="preserve"> In the case of the two craters in Figure 1</w:t>
      </w:r>
      <w:r w:rsidR="00CE1404">
        <w:rPr>
          <w:rFonts w:ascii="Book Antiqua" w:hAnsi="Book Antiqua"/>
          <w:sz w:val="20"/>
        </w:rPr>
        <w:t>3</w:t>
      </w:r>
      <w:r w:rsidRPr="004E2F1C">
        <w:rPr>
          <w:rFonts w:ascii="Book Antiqua" w:hAnsi="Book Antiqua"/>
          <w:sz w:val="20"/>
        </w:rPr>
        <w:t>, the surface was partly consolidated. The resulting craters can be multi-sided rather than exactly circular. So the top crater in Figure 1</w:t>
      </w:r>
      <w:r w:rsidR="00CE1404">
        <w:rPr>
          <w:rFonts w:ascii="Book Antiqua" w:hAnsi="Book Antiqua"/>
          <w:sz w:val="20"/>
        </w:rPr>
        <w:t>3</w:t>
      </w:r>
      <w:r w:rsidRPr="004E2F1C">
        <w:rPr>
          <w:rFonts w:ascii="Book Antiqua" w:hAnsi="Book Antiqua"/>
          <w:sz w:val="20"/>
        </w:rPr>
        <w:t xml:space="preserve"> is slightly square while the bottom one is somewhat hexagonal. The top had a 5.5” diameter and 0.9” depth </w:t>
      </w:r>
      <w:proofErr w:type="gramStart"/>
      <w:r w:rsidRPr="004E2F1C">
        <w:rPr>
          <w:rFonts w:ascii="Book Antiqua" w:hAnsi="Book Antiqua"/>
          <w:sz w:val="20"/>
        </w:rPr>
        <w:t xml:space="preserve">giving </w:t>
      </w:r>
      <m:oMath>
        <w:proofErr w:type="gramEnd"/>
        <m:f>
          <m:fPr>
            <m:ctrlPr>
              <w:rPr>
                <w:rFonts w:ascii="Cambria Math" w:hAnsi="Book Antiqua"/>
                <w:i/>
                <w:sz w:val="20"/>
              </w:rPr>
            </m:ctrlPr>
          </m:fPr>
          <m:num>
            <m:r>
              <w:rPr>
                <w:rFonts w:ascii="Cambria Math" w:hAnsi="Cambria Math"/>
                <w:sz w:val="20"/>
              </w:rPr>
              <m:t>d</m:t>
            </m:r>
          </m:num>
          <m:den>
            <m:r>
              <w:rPr>
                <w:rFonts w:ascii="Cambria Math" w:hAnsi="Cambria Math"/>
                <w:sz w:val="20"/>
              </w:rPr>
              <m:t>D</m:t>
            </m:r>
          </m:den>
        </m:f>
        <m:r>
          <w:rPr>
            <w:rFonts w:ascii="Cambria Math" w:hAnsi="Book Antiqua"/>
            <w:sz w:val="20"/>
          </w:rPr>
          <m:t>= 0.16</m:t>
        </m:r>
      </m:oMath>
      <w:r w:rsidRPr="004E2F1C">
        <w:rPr>
          <w:rFonts w:ascii="Book Antiqua" w:hAnsi="Book Antiqua"/>
          <w:sz w:val="20"/>
        </w:rPr>
        <w:t xml:space="preserve">. The bottom crater had a 6” diameter with a maximum depth of 0.8”. This </w:t>
      </w:r>
      <w:proofErr w:type="gramStart"/>
      <w:r w:rsidRPr="004E2F1C">
        <w:rPr>
          <w:rFonts w:ascii="Book Antiqua" w:hAnsi="Book Antiqua"/>
          <w:sz w:val="20"/>
        </w:rPr>
        <w:t xml:space="preserve">gives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0.13 = 1/7.7</m:t>
        </m:r>
      </m:oMath>
      <w:r w:rsidRPr="004E2F1C">
        <w:rPr>
          <w:rFonts w:ascii="Book Antiqua" w:hAnsi="Book Antiqua"/>
          <w:sz w:val="20"/>
        </w:rPr>
        <w:t xml:space="preserve">. </w:t>
      </w:r>
    </w:p>
    <w:p w:rsidR="00CA4909"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When the surface is further compressed</w:t>
      </w:r>
      <w:r>
        <w:rPr>
          <w:rFonts w:ascii="Book Antiqua" w:hAnsi="Book Antiqua"/>
          <w:sz w:val="20"/>
        </w:rPr>
        <w:t>,</w:t>
      </w:r>
      <w:r w:rsidRPr="004E2F1C">
        <w:rPr>
          <w:rFonts w:ascii="Book Antiqua" w:hAnsi="Book Antiqua"/>
          <w:sz w:val="20"/>
        </w:rPr>
        <w:t xml:space="preserve"> the crater shown in Figure </w:t>
      </w:r>
      <w:r>
        <w:rPr>
          <w:rFonts w:ascii="Book Antiqua" w:hAnsi="Book Antiqua"/>
          <w:sz w:val="20"/>
        </w:rPr>
        <w:t>1</w:t>
      </w:r>
      <w:r w:rsidR="00CE1404">
        <w:rPr>
          <w:rFonts w:ascii="Book Antiqua" w:hAnsi="Book Antiqua"/>
          <w:sz w:val="20"/>
        </w:rPr>
        <w:t>4</w:t>
      </w:r>
      <w:r w:rsidRPr="004E2F1C">
        <w:rPr>
          <w:rFonts w:ascii="Book Antiqua" w:hAnsi="Book Antiqua"/>
          <w:sz w:val="20"/>
        </w:rPr>
        <w:t xml:space="preserve"> resulted, complete with a collapsed wall. In this case the diameter was 4.5 “, and a maximum depth 0.3”. Thus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0.066 = 1/15.</m:t>
        </m:r>
      </m:oMath>
      <w:r w:rsidRPr="004E2F1C">
        <w:rPr>
          <w:rFonts w:ascii="Book Antiqua" w:hAnsi="Book Antiqua"/>
          <w:sz w:val="20"/>
        </w:rPr>
        <w:t xml:space="preserve"> This is also the mean result for the craters on Mercury [5].</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649524" cy="3438525"/>
            <wp:effectExtent l="19050" t="0" r="0" b="0"/>
            <wp:docPr id="100" name="Picture 7" descr="C:\Users\Barry\Pictures\2012-08-06 Craters session 7\Craters session 7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8-06 Craters session 7\Craters session 7 005.JPG"/>
                    <pic:cNvPicPr>
                      <a:picLocks noChangeAspect="1" noChangeArrowheads="1"/>
                    </pic:cNvPicPr>
                  </pic:nvPicPr>
                  <pic:blipFill>
                    <a:blip r:embed="rId1025" cstate="print">
                      <a:lum contrast="40000"/>
                    </a:blip>
                    <a:srcRect l="15715" t="3512" r="11726" b="24793"/>
                    <a:stretch>
                      <a:fillRect/>
                    </a:stretch>
                  </pic:blipFill>
                  <pic:spPr bwMode="auto">
                    <a:xfrm>
                      <a:off x="0" y="0"/>
                      <a:ext cx="4656883" cy="3443967"/>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rPr>
          <w:rFonts w:ascii="Book Antiqua" w:hAnsi="Book Antiqua"/>
          <w:sz w:val="18"/>
          <w:szCs w:val="18"/>
        </w:rPr>
      </w:pPr>
      <w:r w:rsidRPr="003A64C2">
        <w:rPr>
          <w:rFonts w:ascii="Book Antiqua" w:hAnsi="Book Antiqua"/>
          <w:b/>
          <w:i/>
          <w:sz w:val="18"/>
          <w:szCs w:val="18"/>
        </w:rPr>
        <w:t>Figure 1</w:t>
      </w:r>
      <w:r w:rsidR="00CE1404">
        <w:rPr>
          <w:rFonts w:ascii="Book Antiqua" w:hAnsi="Book Antiqua"/>
          <w:b/>
          <w:i/>
          <w:sz w:val="18"/>
          <w:szCs w:val="18"/>
        </w:rPr>
        <w:t>3</w:t>
      </w:r>
      <w:r w:rsidRPr="003A64C2">
        <w:rPr>
          <w:rFonts w:ascii="Book Antiqua" w:hAnsi="Book Antiqua"/>
          <w:b/>
          <w:i/>
          <w:sz w:val="18"/>
          <w:szCs w:val="18"/>
        </w:rPr>
        <w:t>:</w:t>
      </w:r>
      <w:r w:rsidRPr="003A64C2">
        <w:rPr>
          <w:rFonts w:ascii="Book Antiqua" w:hAnsi="Book Antiqua"/>
          <w:i/>
          <w:sz w:val="18"/>
          <w:szCs w:val="18"/>
        </w:rPr>
        <w:t xml:space="preserve"> </w:t>
      </w:r>
      <w:r w:rsidRPr="003A64C2">
        <w:rPr>
          <w:rFonts w:ascii="Book Antiqua" w:hAnsi="Book Antiqua"/>
          <w:b/>
          <w:i/>
          <w:sz w:val="18"/>
          <w:szCs w:val="18"/>
        </w:rPr>
        <w:t>Top and Bottom</w:t>
      </w:r>
      <w:r w:rsidRPr="003A64C2">
        <w:rPr>
          <w:rFonts w:ascii="Book Antiqua" w:hAnsi="Book Antiqua"/>
          <w:i/>
          <w:sz w:val="18"/>
          <w:szCs w:val="18"/>
        </w:rPr>
        <w:t>.Using a partly consolidated cement dust in the pan with an unchanged meteorite, both crater rims are “sharper” or narrower and drop to the crater floor more steeply. The floors are flatter, but hummocky, with a sign of a central uplift. The top crater is slightly square, while the bottom crater is slightly hexagonal, but 3 and 5 sided craters also formed.  The depth/diameter ratio drops to 0.16 for the top crater and 0.13 for the bottom. In both cases, this indicates a shallower crater results from a denser surface layer. Note splash craters in the upper example, with one directly on the wall</w:t>
      </w:r>
      <w:r w:rsidRPr="004E2F1C">
        <w:rPr>
          <w:rFonts w:ascii="Book Antiqua" w:hAnsi="Book Antiqua"/>
          <w:sz w:val="18"/>
          <w:szCs w:val="18"/>
        </w:rPr>
        <w: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5042961" cy="3181350"/>
            <wp:effectExtent l="19050" t="0" r="5289" b="0"/>
            <wp:docPr id="101" name="Picture 2" descr="C:\Users\Barry\Pictures\2012-08-04 Craters session 6\Craters session 6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04 Craters session 6\Craters session 6 008.JPG"/>
                    <pic:cNvPicPr>
                      <a:picLocks noChangeAspect="1" noChangeArrowheads="1"/>
                    </pic:cNvPicPr>
                  </pic:nvPicPr>
                  <pic:blipFill>
                    <a:blip r:embed="rId1315" cstate="print">
                      <a:lum contrast="40000"/>
                    </a:blip>
                    <a:srcRect t="4808" r="513" b="11476"/>
                    <a:stretch>
                      <a:fillRect/>
                    </a:stretch>
                  </pic:blipFill>
                  <pic:spPr bwMode="auto">
                    <a:xfrm>
                      <a:off x="0" y="0"/>
                      <a:ext cx="5045202" cy="318276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3869690" cy="2366552"/>
            <wp:effectExtent l="19050" t="0" r="0" b="0"/>
            <wp:docPr id="103" name="Picture 4" descr="C:\Users\Barry\Pictures\2012-08-04 Craters session 6\Craters session 6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2012-08-04 Craters session 6\Craters session 6 011.JPG"/>
                    <pic:cNvPicPr>
                      <a:picLocks noChangeAspect="1" noChangeArrowheads="1"/>
                    </pic:cNvPicPr>
                  </pic:nvPicPr>
                  <pic:blipFill>
                    <a:blip r:embed="rId1316" cstate="print">
                      <a:lum contrast="40000"/>
                    </a:blip>
                    <a:srcRect l="3241" t="24450" b="4396"/>
                    <a:stretch>
                      <a:fillRect/>
                    </a:stretch>
                  </pic:blipFill>
                  <pic:spPr bwMode="auto">
                    <a:xfrm>
                      <a:off x="0" y="0"/>
                      <a:ext cx="3893380" cy="2381040"/>
                    </a:xfrm>
                    <a:prstGeom prst="rect">
                      <a:avLst/>
                    </a:prstGeom>
                    <a:noFill/>
                    <a:ln w="9525">
                      <a:noFill/>
                      <a:miter lim="800000"/>
                      <a:headEnd/>
                      <a:tailEnd/>
                    </a:ln>
                  </pic:spPr>
                </pic:pic>
              </a:graphicData>
            </a:graphic>
          </wp:inline>
        </w:drawing>
      </w:r>
    </w:p>
    <w:p w:rsidR="00CA4909" w:rsidRPr="003A64C2" w:rsidRDefault="00CA4909" w:rsidP="00CA4909">
      <w:pPr>
        <w:pStyle w:val="NoSpacing"/>
        <w:jc w:val="both"/>
        <w:rPr>
          <w:rFonts w:ascii="Book Antiqua" w:hAnsi="Book Antiqua"/>
          <w:b/>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4</w:t>
      </w:r>
      <w:r w:rsidRPr="003A64C2">
        <w:rPr>
          <w:rFonts w:ascii="Book Antiqua" w:hAnsi="Book Antiqua"/>
          <w:b/>
          <w:i/>
          <w:sz w:val="18"/>
          <w:szCs w:val="18"/>
        </w:rPr>
        <w:t>:</w:t>
      </w:r>
      <w:r w:rsidRPr="003A64C2">
        <w:rPr>
          <w:rFonts w:ascii="Book Antiqua" w:hAnsi="Book Antiqua"/>
          <w:i/>
          <w:sz w:val="18"/>
          <w:szCs w:val="18"/>
        </w:rPr>
        <w:t xml:space="preserve"> Consolidated surface with meteorite unchanged. A flatter floor, sharper rim, and steeper drop from the rim-top to the crater floor are evident. Part of the wall has collapsed in a landslide-like way across the floor. Rays and splash craters are still apparent, as are splash craters on the crater floor.</w:t>
      </w:r>
    </w:p>
    <w:p w:rsidR="00CA4909" w:rsidRPr="004E2F1C" w:rsidRDefault="00CA4909" w:rsidP="00CA4909">
      <w:pPr>
        <w:pStyle w:val="NoSpacing"/>
        <w:jc w:val="both"/>
        <w:rPr>
          <w:rFonts w:ascii="Book Antiqua" w:hAnsi="Book Antiqua"/>
          <w:i/>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However there are ways in which bolide, or impact, craters and EDM craters can be distinguished from each other.  Electrically machined craters tend to have straight or vertical walls, flat floors and ejecta blankets which may be multiple or overlapping. Some examples of craters from Mars show the multiple ejecta blankets well, such as the Mars crater in Figure 1</w:t>
      </w:r>
      <w:r w:rsidR="00CE1404">
        <w:rPr>
          <w:rFonts w:ascii="Book Antiqua" w:hAnsi="Book Antiqua"/>
          <w:sz w:val="20"/>
        </w:rPr>
        <w:t>5</w:t>
      </w:r>
      <w:r w:rsidRPr="00910192">
        <w:rPr>
          <w:rFonts w:ascii="Book Antiqua" w:hAnsi="Book Antiqua"/>
          <w:sz w:val="20"/>
        </w:rPr>
        <w:t xml:space="preserve">. A single impact event cannot produce this.  However EDM can spread many layers of material while the process of forming the crater is in operation. Ejecta blankets are therefore evidence of electrical machining. </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5189120" cy="2366239"/>
            <wp:effectExtent l="19050" t="0" r="0" b="0"/>
            <wp:docPr id="106" name="Picture 1403" descr="Ma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Mars3"/>
                    <pic:cNvPicPr>
                      <a:picLocks noChangeAspect="1" noChangeArrowheads="1"/>
                    </pic:cNvPicPr>
                  </pic:nvPicPr>
                  <pic:blipFill>
                    <a:blip r:embed="rId1317" cstate="print"/>
                    <a:srcRect b="8800"/>
                    <a:stretch>
                      <a:fillRect/>
                    </a:stretch>
                  </pic:blipFill>
                  <pic:spPr bwMode="auto">
                    <a:xfrm>
                      <a:off x="0" y="0"/>
                      <a:ext cx="5189120" cy="236623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5</w:t>
      </w:r>
      <w:r w:rsidRPr="007F16FF">
        <w:rPr>
          <w:rFonts w:ascii="Book Antiqua" w:hAnsi="Book Antiqua"/>
          <w:b/>
          <w:i/>
          <w:sz w:val="18"/>
          <w:szCs w:val="18"/>
        </w:rPr>
        <w:t>:</w:t>
      </w:r>
      <w:r w:rsidRPr="007F16FF">
        <w:rPr>
          <w:rFonts w:ascii="Book Antiqua" w:hAnsi="Book Antiqua"/>
          <w:i/>
          <w:sz w:val="18"/>
          <w:szCs w:val="18"/>
        </w:rPr>
        <w:t xml:space="preserve"> Un-named crater in Arabia Terra on Mars with multiple ejecta blankets. Ongoing EDM activity that formed the crater easily allows several blankets to form.  This is not possible in an instantaneous explosive impact.</w:t>
      </w:r>
    </w:p>
    <w:p w:rsidR="00F81911" w:rsidRPr="003A64C2" w:rsidRDefault="00F8191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A contrast thus exists between impact and EDM craters: the latter have ejecta blankets – the former have complex ridge and ray systems as an intrinsic feature of impact. If a meteorite of compressed plaster of Paris powder is used, it is possible to discern where the rays and splash craters come from. Figure 1</w:t>
      </w:r>
      <w:r w:rsidR="00CE1404">
        <w:rPr>
          <w:rFonts w:ascii="Book Antiqua" w:hAnsi="Book Antiqua"/>
          <w:sz w:val="20"/>
        </w:rPr>
        <w:t>6</w:t>
      </w:r>
      <w:r w:rsidRPr="00910192">
        <w:rPr>
          <w:rFonts w:ascii="Book Antiqua" w:hAnsi="Book Antiqua"/>
          <w:sz w:val="20"/>
        </w:rPr>
        <w:t xml:space="preserve"> shows the result and allows an understanding of what happens to a meteorite on impact. The remains of the “meteorite” are concentrated under the rim of the crater where the pieces have been exploded into position. </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6543817" cy="3752850"/>
            <wp:effectExtent l="19050" t="0" r="9383" b="0"/>
            <wp:docPr id="107" name="Picture 7" descr="C:\Users\Barry\Pictures\2012-07-27 Craters 4\Craters 4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rry\Pictures\2012-07-27 Craters 4\Craters 4 021.JPG"/>
                    <pic:cNvPicPr>
                      <a:picLocks noChangeAspect="1" noChangeArrowheads="1"/>
                    </pic:cNvPicPr>
                  </pic:nvPicPr>
                  <pic:blipFill>
                    <a:blip r:embed="rId1318" cstate="print">
                      <a:lum contrast="40000"/>
                    </a:blip>
                    <a:srcRect t="7957" r="-31" b="15573"/>
                    <a:stretch>
                      <a:fillRect/>
                    </a:stretch>
                  </pic:blipFill>
                  <pic:spPr bwMode="auto">
                    <a:xfrm>
                      <a:off x="0" y="0"/>
                      <a:ext cx="6557381" cy="3760629"/>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7F16FF" w:rsidRDefault="00CA4909" w:rsidP="007F16FF">
      <w:pPr>
        <w:pStyle w:val="NoSpacing"/>
        <w:rPr>
          <w:rFonts w:ascii="Book Antiqua" w:hAnsi="Book Antiqua"/>
          <w:i/>
          <w:sz w:val="18"/>
          <w:szCs w:val="18"/>
        </w:rPr>
      </w:pPr>
      <w:r w:rsidRPr="007F16FF">
        <w:rPr>
          <w:rFonts w:ascii="Book Antiqua" w:hAnsi="Book Antiqua"/>
          <w:b/>
          <w:i/>
          <w:sz w:val="18"/>
          <w:szCs w:val="18"/>
        </w:rPr>
        <w:t>Figure 1</w:t>
      </w:r>
      <w:r w:rsidR="00CE1404" w:rsidRPr="007F16FF">
        <w:rPr>
          <w:rFonts w:ascii="Book Antiqua" w:hAnsi="Book Antiqua"/>
          <w:b/>
          <w:i/>
          <w:sz w:val="18"/>
          <w:szCs w:val="18"/>
        </w:rPr>
        <w:t>6</w:t>
      </w:r>
      <w:r w:rsidRPr="007F16FF">
        <w:rPr>
          <w:rFonts w:ascii="Book Antiqua" w:hAnsi="Book Antiqua"/>
          <w:b/>
          <w:i/>
          <w:sz w:val="18"/>
          <w:szCs w:val="18"/>
        </w:rPr>
        <w:t>:</w:t>
      </w:r>
      <w:r w:rsidRPr="007F16FF">
        <w:rPr>
          <w:rFonts w:ascii="Book Antiqua" w:hAnsi="Book Antiqua"/>
          <w:i/>
          <w:sz w:val="18"/>
          <w:szCs w:val="18"/>
        </w:rPr>
        <w:t xml:space="preserve"> A white, Plaster of Paris meteorite is used to show the distribution of material. While some fragments of the meteorite are exploded out, the majority is concentrated under the crater rim. Note radiating ridges. </w:t>
      </w:r>
    </w:p>
    <w:p w:rsidR="00F81911" w:rsidRPr="003A64C2" w:rsidRDefault="00F81911"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Therefore, when nickel-iron bodies and an iridium anomaly are found under a crater rim, it is an impact structure. The evidence that comes from the presence of shocked quartz may be ambivalent. It is true that it forms under impact conditions, but EDM or electromagnetic pulses may also have produced the pressure required. In contrast, the presence of iridium or osmiridium and nickel-iron are positively associated with meteorites. </w:t>
      </w:r>
    </w:p>
    <w:p w:rsidR="00CA4909" w:rsidRPr="00910192"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While it is true that an EDM can be accompanied by fusion, experiments have not shown these elements to be consistently formed in the cratering process. The weight of evidence then points to the presence of nickel-iron and an iridium anomaly as implying that the crater involved is an impact structure. The results in Figure 1</w:t>
      </w:r>
      <w:r w:rsidR="00CE1404">
        <w:rPr>
          <w:rFonts w:ascii="Book Antiqua" w:hAnsi="Book Antiqua"/>
          <w:sz w:val="20"/>
        </w:rPr>
        <w:t>6</w:t>
      </w:r>
      <w:r w:rsidRPr="00910192">
        <w:rPr>
          <w:rFonts w:ascii="Book Antiqua" w:hAnsi="Book Antiqua"/>
          <w:sz w:val="20"/>
        </w:rPr>
        <w:t xml:space="preserve"> show that it is the debris from the material at the explosion site that forms rays and splash craters; it is not the meteorite.</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 </w:t>
      </w: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splash craters which formed as a result of the explosion on the impact model only have a small component of meteorite material. This is evident from Figure 1</w:t>
      </w:r>
      <w:r w:rsidR="00CE1404">
        <w:rPr>
          <w:rFonts w:ascii="Book Antiqua" w:hAnsi="Book Antiqua"/>
          <w:sz w:val="20"/>
        </w:rPr>
        <w:t>7</w:t>
      </w:r>
      <w:r w:rsidRPr="00910192">
        <w:rPr>
          <w:rFonts w:ascii="Book Antiqua" w:hAnsi="Book Antiqua"/>
          <w:sz w:val="20"/>
        </w:rPr>
        <w:t xml:space="preserve"> left where a Plaster of Paris meteorite was again used and a close-up of one group of splash craters is given.</w:t>
      </w:r>
    </w:p>
    <w:p w:rsidR="00CA4909" w:rsidRPr="00910192" w:rsidRDefault="00CA4909" w:rsidP="00CA4909">
      <w:pPr>
        <w:pStyle w:val="NoSpacing"/>
        <w:jc w:val="both"/>
        <w:rPr>
          <w:rFonts w:ascii="Book Antiqua" w:hAnsi="Book Antiqua"/>
          <w:sz w:val="20"/>
        </w:rPr>
      </w:pPr>
    </w:p>
    <w:p w:rsidR="00CA4909" w:rsidRPr="00910192" w:rsidRDefault="00CA4909" w:rsidP="00CA4909">
      <w:pPr>
        <w:pStyle w:val="NoSpacing"/>
        <w:jc w:val="both"/>
        <w:rPr>
          <w:rFonts w:ascii="Book Antiqua" w:hAnsi="Book Antiqua"/>
          <w:sz w:val="20"/>
        </w:rPr>
      </w:pPr>
      <w:r w:rsidRPr="00910192">
        <w:rPr>
          <w:rFonts w:ascii="Book Antiqua" w:hAnsi="Book Antiqua"/>
          <w:sz w:val="20"/>
        </w:rPr>
        <w:t xml:space="preserve"> </w:t>
      </w:r>
      <w:r>
        <w:rPr>
          <w:rFonts w:ascii="Book Antiqua" w:hAnsi="Book Antiqua"/>
          <w:sz w:val="20"/>
        </w:rPr>
        <w:tab/>
      </w:r>
      <w:r w:rsidRPr="00910192">
        <w:rPr>
          <w:rFonts w:ascii="Book Antiqua" w:hAnsi="Book Antiqua"/>
          <w:sz w:val="20"/>
        </w:rPr>
        <w:t>Figure 1</w:t>
      </w:r>
      <w:r w:rsidR="00CE1404">
        <w:rPr>
          <w:rFonts w:ascii="Book Antiqua" w:hAnsi="Book Antiqua"/>
          <w:sz w:val="20"/>
        </w:rPr>
        <w:t>7</w:t>
      </w:r>
      <w:r w:rsidRPr="00910192">
        <w:rPr>
          <w:rFonts w:ascii="Book Antiqua" w:hAnsi="Book Antiqua"/>
          <w:sz w:val="20"/>
        </w:rPr>
        <w:t xml:space="preserve"> right is a group of splash craters on a cement-dust surface that had not been smoothed. The formation of splash craters by impact seen in Figure 1</w:t>
      </w:r>
      <w:r w:rsidR="00CE1404">
        <w:rPr>
          <w:rFonts w:ascii="Book Antiqua" w:hAnsi="Book Antiqua"/>
          <w:sz w:val="20"/>
        </w:rPr>
        <w:t>7</w:t>
      </w:r>
      <w:r w:rsidRPr="00910192">
        <w:rPr>
          <w:rFonts w:ascii="Book Antiqua" w:hAnsi="Book Antiqua"/>
          <w:sz w:val="20"/>
        </w:rPr>
        <w:t xml:space="preserve"> is similar to those seen on the Moon and Mercury. This impact feature can be reproduced by EDM methods, the concurrent formation of radiating ridge and ray systems indicates impact;  electric discharge machining tends to form a more uniform ejecta blanket. Let us examine these ray systems for a moment.</w:t>
      </w:r>
    </w:p>
    <w:p w:rsidR="00CA4909" w:rsidRPr="004E2F1C" w:rsidRDefault="00CA4909"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866"/>
        <w:gridCol w:w="4396"/>
      </w:tblGrid>
      <w:tr w:rsidR="00CA4909" w:rsidRPr="004E2F1C" w:rsidTr="00F81911">
        <w:trPr>
          <w:jc w:val="center"/>
        </w:trPr>
        <w:tc>
          <w:tcPr>
            <w:tcW w:w="2830" w:type="dxa"/>
          </w:tcPr>
          <w:p w:rsidR="00CA4909" w:rsidRPr="004E2F1C" w:rsidRDefault="00CA4909" w:rsidP="00DA58EE">
            <w:pPr>
              <w:jc w:val="both"/>
              <w:rPr>
                <w:rFonts w:ascii="Book Antiqua" w:hAnsi="Book Antiqua"/>
                <w:i/>
              </w:rPr>
            </w:pPr>
            <w:r w:rsidRPr="004E2F1C">
              <w:rPr>
                <w:rFonts w:ascii="Book Antiqua" w:hAnsi="Book Antiqua"/>
                <w:i/>
                <w:noProof/>
                <w:lang w:val="en-US"/>
              </w:rPr>
              <w:lastRenderedPageBreak/>
              <w:drawing>
                <wp:inline distT="0" distB="0" distL="0" distR="0">
                  <wp:extent cx="2933700" cy="2864750"/>
                  <wp:effectExtent l="19050" t="0" r="0" b="0"/>
                  <wp:docPr id="111" name="Picture 3" descr="C:\Users\Barry\Pictures\2012-07-27 Craters 4\Craters 4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7-27 Craters 4\Craters 4 012.JPG"/>
                          <pic:cNvPicPr>
                            <a:picLocks noChangeAspect="1" noChangeArrowheads="1"/>
                          </pic:cNvPicPr>
                        </pic:nvPicPr>
                        <pic:blipFill>
                          <a:blip r:embed="rId1319" cstate="print">
                            <a:lum contrast="40000"/>
                          </a:blip>
                          <a:srcRect l="40251" t="38050" r="6891" b="13182"/>
                          <a:stretch>
                            <a:fillRect/>
                          </a:stretch>
                        </pic:blipFill>
                        <pic:spPr bwMode="auto">
                          <a:xfrm>
                            <a:off x="0" y="0"/>
                            <a:ext cx="2936074" cy="2867068"/>
                          </a:xfrm>
                          <a:prstGeom prst="rect">
                            <a:avLst/>
                          </a:prstGeom>
                          <a:noFill/>
                          <a:ln w="9525">
                            <a:noFill/>
                            <a:miter lim="800000"/>
                            <a:headEnd/>
                            <a:tailEnd/>
                          </a:ln>
                        </pic:spPr>
                      </pic:pic>
                    </a:graphicData>
                  </a:graphic>
                </wp:inline>
              </w:drawing>
            </w:r>
          </w:p>
        </w:tc>
        <w:tc>
          <w:tcPr>
            <w:tcW w:w="2426"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635128" cy="2867025"/>
                  <wp:effectExtent l="19050" t="0" r="0" b="0"/>
                  <wp:docPr id="112" name="Picture 8" descr="C:\Users\Barry\Pictures\2012-07-27 Craters 4\Craters 4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rry\Pictures\2012-07-27 Craters 4\Craters 4 023.JPG"/>
                          <pic:cNvPicPr>
                            <a:picLocks noChangeAspect="1" noChangeArrowheads="1"/>
                          </pic:cNvPicPr>
                        </pic:nvPicPr>
                        <pic:blipFill>
                          <a:blip r:embed="rId1320" cstate="print">
                            <a:lum bright="-10000" contrast="40000"/>
                          </a:blip>
                          <a:srcRect t="17110" r="67999" b="17495"/>
                          <a:stretch>
                            <a:fillRect/>
                          </a:stretch>
                        </pic:blipFill>
                        <pic:spPr bwMode="auto">
                          <a:xfrm>
                            <a:off x="0" y="0"/>
                            <a:ext cx="2632702" cy="2864386"/>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b/>
          <w:i/>
          <w:sz w:val="20"/>
        </w:rPr>
      </w:pPr>
    </w:p>
    <w:p w:rsidR="00CA4909" w:rsidRPr="003A64C2" w:rsidRDefault="00CA4909" w:rsidP="00CA4909">
      <w:pPr>
        <w:pStyle w:val="NoSpacing"/>
        <w:rPr>
          <w:rFonts w:ascii="Book Antiqua" w:hAnsi="Book Antiqua"/>
          <w:i/>
          <w:sz w:val="18"/>
          <w:szCs w:val="18"/>
        </w:rPr>
      </w:pPr>
      <w:r w:rsidRPr="003A64C2">
        <w:rPr>
          <w:rFonts w:ascii="Book Antiqua" w:hAnsi="Book Antiqua"/>
          <w:b/>
          <w:i/>
          <w:sz w:val="18"/>
          <w:szCs w:val="18"/>
        </w:rPr>
        <w:t>Figure 1</w:t>
      </w:r>
      <w:r w:rsidR="00CE1404">
        <w:rPr>
          <w:rFonts w:ascii="Book Antiqua" w:hAnsi="Book Antiqua"/>
          <w:b/>
          <w:i/>
          <w:sz w:val="18"/>
          <w:szCs w:val="18"/>
        </w:rPr>
        <w:t>7</w:t>
      </w:r>
      <w:r w:rsidRPr="003A64C2">
        <w:rPr>
          <w:rFonts w:ascii="Book Antiqua" w:hAnsi="Book Antiqua"/>
          <w:b/>
          <w:i/>
          <w:sz w:val="18"/>
          <w:szCs w:val="18"/>
        </w:rPr>
        <w:t>:</w:t>
      </w:r>
      <w:r w:rsidRPr="003A64C2">
        <w:rPr>
          <w:rFonts w:ascii="Book Antiqua" w:hAnsi="Book Antiqua"/>
          <w:i/>
          <w:sz w:val="18"/>
          <w:szCs w:val="18"/>
        </w:rPr>
        <w:t xml:space="preserve"> Splash craters from the impact experiments. On the left, a white Plaster-of-Paris ‘meteorite’ was used. It seems that the meteorite had little to do with the formation of the splash craters which largely resulted from the material expelled from the impact site. On the right, a cement dust meteorite was used on a surface that was not tooled smooth. Both scenes are typical of Lunar and Mercurian formations.</w:t>
      </w:r>
    </w:p>
    <w:p w:rsidR="00CA4909" w:rsidRPr="004E2F1C" w:rsidRDefault="00CA4909" w:rsidP="00CA4909">
      <w:pPr>
        <w:pStyle w:val="NoSpacing"/>
        <w:ind w:firstLine="720"/>
        <w:jc w:val="both"/>
        <w:rPr>
          <w:rFonts w:ascii="Book Antiqua" w:hAnsi="Book Antiqua"/>
          <w:sz w:val="20"/>
        </w:rPr>
      </w:pPr>
    </w:p>
    <w:p w:rsidR="00CA4909" w:rsidRDefault="00CA4909" w:rsidP="00CA4909">
      <w:pPr>
        <w:ind w:firstLine="720"/>
        <w:jc w:val="both"/>
        <w:rPr>
          <w:rFonts w:ascii="Book Antiqua" w:hAnsi="Book Antiqua"/>
          <w:i/>
        </w:rPr>
      </w:pPr>
      <w:r w:rsidRPr="004E2F1C">
        <w:rPr>
          <w:rFonts w:ascii="Book Antiqua" w:hAnsi="Book Antiqua"/>
          <w:i/>
        </w:rPr>
        <w:t>E</w:t>
      </w:r>
      <w:r>
        <w:rPr>
          <w:rFonts w:ascii="Book Antiqua" w:hAnsi="Book Antiqua"/>
          <w:i/>
        </w:rPr>
        <w:t>3</w:t>
      </w:r>
      <w:r w:rsidRPr="004E2F1C">
        <w:rPr>
          <w:rFonts w:ascii="Book Antiqua" w:hAnsi="Book Antiqua"/>
          <w:i/>
        </w:rPr>
        <w:t>.  Crater Ray Systems</w:t>
      </w:r>
    </w:p>
    <w:p w:rsidR="00F81911" w:rsidRPr="004E2F1C" w:rsidRDefault="00F81911" w:rsidP="00CA4909">
      <w:pPr>
        <w:ind w:firstLine="720"/>
        <w:jc w:val="both"/>
        <w:rPr>
          <w:rFonts w:ascii="Book Antiqua" w:hAnsi="Book Antiqua"/>
          <w:i/>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There are many ray systems on the Moon, such as those emanating from the craters Tycho and Copernicus. These ray systems are also present elsewhere in the solar system. (We do not have the ability yet to see if any are visibly present on Venus, as most work has been done with radar which penetrates the clouds.) These ray systems have a bilateral symmetry typical of man-made explosion pits on Earth. The cement dust experiments also exhibit this bilateral symmetry. However, many radiating channels or grooves can also be produced around craters by EDM with bilateral symmetry. Basically they are forms of Lichtenberg figures. These radial channels or grooves are associated with craters on both Mars and Venus, and probably Mercury (Figs. 1</w:t>
      </w:r>
      <w:r w:rsidR="007011BB">
        <w:rPr>
          <w:rFonts w:ascii="Book Antiqua" w:hAnsi="Book Antiqua"/>
          <w:sz w:val="20"/>
        </w:rPr>
        <w:t>8</w:t>
      </w:r>
      <w:r w:rsidRPr="004E2F1C">
        <w:rPr>
          <w:rFonts w:ascii="Book Antiqua" w:hAnsi="Book Antiqua"/>
          <w:sz w:val="20"/>
        </w:rPr>
        <w:t>, 1</w:t>
      </w:r>
      <w:r w:rsidR="007011BB">
        <w:rPr>
          <w:rFonts w:ascii="Book Antiqua" w:hAnsi="Book Antiqua"/>
          <w:sz w:val="20"/>
        </w:rPr>
        <w:t>9</w:t>
      </w:r>
      <w:r w:rsidRPr="004E2F1C">
        <w:rPr>
          <w:rFonts w:ascii="Book Antiqua" w:hAnsi="Book Antiqua"/>
          <w:sz w:val="20"/>
        </w:rPr>
        <w:t>).</w:t>
      </w:r>
    </w:p>
    <w:p w:rsidR="00CA4909" w:rsidRPr="004E2F1C" w:rsidRDefault="00CA4909" w:rsidP="00CA4909">
      <w:pPr>
        <w:pStyle w:val="NoSpacing"/>
        <w:jc w:val="both"/>
        <w:rPr>
          <w:rFonts w:ascii="Book Antiqua" w:hAnsi="Book Antiqua"/>
          <w:sz w:val="20"/>
        </w:rPr>
      </w:pPr>
    </w:p>
    <w:tbl>
      <w:tblPr>
        <w:tblStyle w:val="TableGrid"/>
        <w:tblW w:w="0" w:type="auto"/>
        <w:jc w:val="center"/>
        <w:tblLook w:val="04A0"/>
      </w:tblPr>
      <w:tblGrid>
        <w:gridCol w:w="4149"/>
        <w:gridCol w:w="3736"/>
      </w:tblGrid>
      <w:tr w:rsidR="00CA4909" w:rsidRPr="004E2F1C" w:rsidTr="00F8191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478261" cy="2062920"/>
                  <wp:effectExtent l="19050" t="0" r="0" b="0"/>
                  <wp:docPr id="115" name="il_fi" descr="http://lh4.google.com/mgmirkin/R2HmDd8FUxI/AAAAAAAAC0Q/GLqi_GdCbPE/s288/LichtenbergInAcrylic(SpiderCompa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4.google.com/mgmirkin/R2HmDd8FUxI/AAAAAAAAC0Q/GLqi_GdCbPE/s288/LichtenbergInAcrylic(SpiderComparison).jpg"/>
                          <pic:cNvPicPr>
                            <a:picLocks noChangeAspect="1" noChangeArrowheads="1"/>
                          </pic:cNvPicPr>
                        </pic:nvPicPr>
                        <pic:blipFill>
                          <a:blip r:embed="rId1321" cstate="print"/>
                          <a:srcRect t="18269" r="-124" b="5288"/>
                          <a:stretch>
                            <a:fillRect/>
                          </a:stretch>
                        </pic:blipFill>
                        <pic:spPr bwMode="auto">
                          <a:xfrm>
                            <a:off x="0" y="0"/>
                            <a:ext cx="2481379" cy="2065516"/>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216115" cy="2059321"/>
                  <wp:effectExtent l="19050" t="0" r="0" b="0"/>
                  <wp:docPr id="149" name="Picture 4" descr="http://www.dil.univ-mrs.fr/~gispert/enseignement/astronomie/2eme_partie/planetes/Venus_img/nov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il.univ-mrs.fr/~gispert/enseignement/astronomie/2eme_partie/planetes/Venus_img/nova.gif"/>
                          <pic:cNvPicPr>
                            <a:picLocks noChangeAspect="1" noChangeArrowheads="1"/>
                          </pic:cNvPicPr>
                        </pic:nvPicPr>
                        <pic:blipFill>
                          <a:blip r:embed="rId1322" cstate="print"/>
                          <a:srcRect l="3948" b="23512"/>
                          <a:stretch>
                            <a:fillRect/>
                          </a:stretch>
                        </pic:blipFill>
                        <pic:spPr bwMode="auto">
                          <a:xfrm>
                            <a:off x="0" y="0"/>
                            <a:ext cx="2225871" cy="206838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D27652" w:rsidRDefault="00CA4909" w:rsidP="00D27652">
      <w:pPr>
        <w:pStyle w:val="NoSpacing"/>
        <w:rPr>
          <w:rFonts w:ascii="Book Antiqua" w:hAnsi="Book Antiqua"/>
          <w:i/>
          <w:sz w:val="18"/>
          <w:szCs w:val="18"/>
        </w:rPr>
      </w:pPr>
      <w:r w:rsidRPr="00D27652">
        <w:rPr>
          <w:rFonts w:ascii="Book Antiqua" w:hAnsi="Book Antiqua"/>
          <w:b/>
          <w:i/>
          <w:sz w:val="18"/>
          <w:szCs w:val="18"/>
        </w:rPr>
        <w:t>Figure 1</w:t>
      </w:r>
      <w:r w:rsidR="007011BB" w:rsidRPr="00D27652">
        <w:rPr>
          <w:rFonts w:ascii="Book Antiqua" w:hAnsi="Book Antiqua"/>
          <w:b/>
          <w:i/>
          <w:sz w:val="18"/>
          <w:szCs w:val="18"/>
        </w:rPr>
        <w:t>8</w:t>
      </w:r>
      <w:r w:rsidRPr="00D27652">
        <w:rPr>
          <w:rFonts w:ascii="Book Antiqua" w:hAnsi="Book Antiqua"/>
          <w:b/>
          <w:i/>
          <w:sz w:val="18"/>
          <w:szCs w:val="18"/>
        </w:rPr>
        <w:t>:</w:t>
      </w:r>
      <w:r w:rsidRPr="00D27652">
        <w:rPr>
          <w:rFonts w:ascii="Book Antiqua" w:hAnsi="Book Antiqua"/>
          <w:i/>
          <w:sz w:val="18"/>
          <w:szCs w:val="18"/>
        </w:rPr>
        <w:t xml:space="preserve"> Lichtenberg figures formed by electrical interaction. </w:t>
      </w:r>
      <w:proofErr w:type="gramStart"/>
      <w:r w:rsidRPr="00D27652">
        <w:rPr>
          <w:rFonts w:ascii="Book Antiqua" w:hAnsi="Book Antiqua"/>
          <w:i/>
          <w:sz w:val="18"/>
          <w:szCs w:val="18"/>
        </w:rPr>
        <w:t>Left – Lichtenberg figure in an acrylic sheet.</w:t>
      </w:r>
      <w:proofErr w:type="gramEnd"/>
      <w:r w:rsidRPr="00D27652">
        <w:rPr>
          <w:rFonts w:ascii="Book Antiqua" w:hAnsi="Book Antiqua"/>
          <w:i/>
          <w:sz w:val="18"/>
          <w:szCs w:val="18"/>
        </w:rPr>
        <w:t xml:space="preserve"> Right – A radial Lichtenberg figure on Venus in the form of grooves which originate from a central object initially known as Mokos Nova but which is now called Ts’an Nu Mons.</w:t>
      </w:r>
    </w:p>
    <w:p w:rsidR="00CA4909" w:rsidRPr="004E2F1C" w:rsidRDefault="00CA4909" w:rsidP="00CA4909">
      <w:pPr>
        <w:rPr>
          <w:rFonts w:ascii="Book Antiqua" w:hAnsi="Book Antiqua"/>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lastRenderedPageBreak/>
        <w:t>It is apparent from Figures 1</w:t>
      </w:r>
      <w:r w:rsidR="007011BB">
        <w:rPr>
          <w:rFonts w:ascii="Book Antiqua" w:hAnsi="Book Antiqua"/>
          <w:sz w:val="20"/>
        </w:rPr>
        <w:t>8</w:t>
      </w:r>
      <w:r w:rsidRPr="00910192">
        <w:rPr>
          <w:rFonts w:ascii="Book Antiqua" w:hAnsi="Book Antiqua"/>
          <w:sz w:val="20"/>
        </w:rPr>
        <w:t xml:space="preserve"> and 1</w:t>
      </w:r>
      <w:r w:rsidR="007011BB">
        <w:rPr>
          <w:rFonts w:ascii="Book Antiqua" w:hAnsi="Book Antiqua"/>
          <w:sz w:val="20"/>
        </w:rPr>
        <w:t>9</w:t>
      </w:r>
      <w:r w:rsidRPr="00910192">
        <w:rPr>
          <w:rFonts w:ascii="Book Antiqua" w:hAnsi="Book Antiqua"/>
          <w:sz w:val="20"/>
        </w:rPr>
        <w:t xml:space="preserve"> that radial channels and grooves are made by EDM processes when the craters or other objects at their center are formed. But these radial channels or grooves are different from the fine lines of powdery material thrown out in the</w:t>
      </w:r>
      <w:r w:rsidRPr="00910192">
        <w:rPr>
          <w:rFonts w:ascii="Book Antiqua" w:hAnsi="Book Antiqua"/>
          <w:color w:val="FF0000"/>
          <w:sz w:val="20"/>
        </w:rPr>
        <w:t xml:space="preserve"> </w:t>
      </w:r>
      <w:r w:rsidRPr="00910192">
        <w:rPr>
          <w:rFonts w:ascii="Book Antiqua" w:hAnsi="Book Antiqua"/>
          <w:sz w:val="20"/>
        </w:rPr>
        <w:t xml:space="preserve">narrow trajectories which comprise the ray systems of impact craters. While the system of radial grooves or channels must be caused by the processes associated with electric discharge machining, the ray systems are associated with impacts. Indeed, ray systems are a consistent feature of the cement dust experiments, as well as being very obvious on the Moon, as in the case of the crater Tycho seen in Figure </w:t>
      </w:r>
      <w:r w:rsidR="007011BB">
        <w:rPr>
          <w:rFonts w:ascii="Book Antiqua" w:hAnsi="Book Antiqua"/>
          <w:sz w:val="20"/>
        </w:rPr>
        <w:t>20</w:t>
      </w:r>
      <w:r w:rsidRPr="00910192">
        <w:rPr>
          <w:rFonts w:ascii="Book Antiqua" w:hAnsi="Book Antiqua"/>
          <w:sz w:val="20"/>
        </w:rPr>
        <w:t>.</w:t>
      </w:r>
    </w:p>
    <w:p w:rsidR="00CA4909" w:rsidRPr="004E2F1C" w:rsidRDefault="00CA4909" w:rsidP="00CA4909">
      <w:pPr>
        <w:rPr>
          <w:rFonts w:ascii="Book Antiqua" w:hAnsi="Book Antiqua"/>
          <w:i/>
        </w:rPr>
      </w:pPr>
      <w:r w:rsidRPr="004E2F1C">
        <w:rPr>
          <w:rFonts w:ascii="Book Antiqua" w:hAnsi="Book Antiqua"/>
          <w:i/>
        </w:rPr>
        <w:t xml:space="preserve"> </w:t>
      </w:r>
    </w:p>
    <w:tbl>
      <w:tblPr>
        <w:tblStyle w:val="TableGrid"/>
        <w:tblW w:w="0" w:type="auto"/>
        <w:jc w:val="center"/>
        <w:tblLook w:val="04A0"/>
      </w:tblPr>
      <w:tblGrid>
        <w:gridCol w:w="4386"/>
        <w:gridCol w:w="4326"/>
      </w:tblGrid>
      <w:tr w:rsidR="00CA4909" w:rsidRPr="004E2F1C" w:rsidTr="009B7DE1">
        <w:trPr>
          <w:jc w:val="center"/>
        </w:trPr>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626268" cy="1847850"/>
                  <wp:effectExtent l="19050" t="0" r="2632" b="0"/>
                  <wp:docPr id="167" name="il_fi" descr="http://fti.neep.wisc.edu/neep602/FALL97/LEC15/Fu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ti.neep.wisc.edu/neep602/FALL97/LEC15/Fusion-15.JPG"/>
                          <pic:cNvPicPr>
                            <a:picLocks noChangeAspect="1" noChangeArrowheads="1"/>
                          </pic:cNvPicPr>
                        </pic:nvPicPr>
                        <pic:blipFill>
                          <a:blip r:embed="rId1323" cstate="print"/>
                          <a:srcRect t="36905" r="-188"/>
                          <a:stretch>
                            <a:fillRect/>
                          </a:stretch>
                        </pic:blipFill>
                        <pic:spPr bwMode="auto">
                          <a:xfrm>
                            <a:off x="0" y="0"/>
                            <a:ext cx="2625660" cy="184742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2581275" cy="1848961"/>
                  <wp:effectExtent l="19050" t="0" r="9525" b="0"/>
                  <wp:docPr id="171" name="Picture 13" descr="http://www.thunderbolts.info/tpod/2005/images05/051108rad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underbolts.info/tpod/2005/images05/051108radials.jpg"/>
                          <pic:cNvPicPr>
                            <a:picLocks noChangeAspect="1" noChangeArrowheads="1"/>
                          </pic:cNvPicPr>
                        </pic:nvPicPr>
                        <pic:blipFill>
                          <a:blip r:embed="rId1324" cstate="print"/>
                          <a:srcRect l="888" t="11616" r="-46" b="7576"/>
                          <a:stretch>
                            <a:fillRect/>
                          </a:stretch>
                        </pic:blipFill>
                        <pic:spPr bwMode="auto">
                          <a:xfrm>
                            <a:off x="0" y="0"/>
                            <a:ext cx="2581707" cy="1849270"/>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3A64C2" w:rsidRDefault="00CA4909" w:rsidP="003159BE">
      <w:pPr>
        <w:pStyle w:val="NoSpacing"/>
      </w:pPr>
      <w:r w:rsidRPr="003159BE">
        <w:rPr>
          <w:rFonts w:ascii="Book Antiqua" w:hAnsi="Book Antiqua"/>
          <w:b/>
          <w:i/>
          <w:sz w:val="18"/>
          <w:szCs w:val="18"/>
        </w:rPr>
        <w:t>Figure 1</w:t>
      </w:r>
      <w:r w:rsidR="007011BB" w:rsidRPr="003159BE">
        <w:rPr>
          <w:rFonts w:ascii="Book Antiqua" w:hAnsi="Book Antiqua"/>
          <w:b/>
          <w:i/>
          <w:sz w:val="18"/>
          <w:szCs w:val="18"/>
        </w:rPr>
        <w:t>9</w:t>
      </w:r>
      <w:r w:rsidRPr="003159BE">
        <w:rPr>
          <w:rFonts w:ascii="Book Antiqua" w:hAnsi="Book Antiqua"/>
          <w:b/>
          <w:i/>
          <w:sz w:val="18"/>
          <w:szCs w:val="18"/>
        </w:rPr>
        <w:t>: Left -</w:t>
      </w:r>
      <w:r w:rsidRPr="003159BE">
        <w:rPr>
          <w:rFonts w:ascii="Book Antiqua" w:hAnsi="Book Antiqua"/>
          <w:i/>
          <w:sz w:val="18"/>
          <w:szCs w:val="18"/>
        </w:rPr>
        <w:t xml:space="preserve"> Lichtenberg figure on Mars the Tyrrhena Patera. There are a number of paterae in the Martian highlands. </w:t>
      </w:r>
      <w:r w:rsidRPr="003159BE">
        <w:rPr>
          <w:rFonts w:ascii="Book Antiqua" w:hAnsi="Book Antiqua"/>
          <w:b/>
          <w:i/>
          <w:sz w:val="18"/>
          <w:szCs w:val="18"/>
        </w:rPr>
        <w:t>Right –</w:t>
      </w:r>
      <w:r w:rsidRPr="003159BE">
        <w:rPr>
          <w:rFonts w:ascii="Book Antiqua" w:hAnsi="Book Antiqua"/>
          <w:i/>
          <w:sz w:val="18"/>
          <w:szCs w:val="18"/>
        </w:rPr>
        <w:t xml:space="preserve"> similar figure produced by an electric discharge at the Vemasat Laboratories, Fort Worth, by C.J. Ransom. These are not impact related despite their symmetry</w:t>
      </w:r>
      <w:r w:rsidRPr="003A64C2">
        <w:t>.</w:t>
      </w:r>
    </w:p>
    <w:p w:rsidR="00CA4909" w:rsidRPr="004E2F1C" w:rsidRDefault="00CA4909" w:rsidP="00CA4909">
      <w:pPr>
        <w:ind w:firstLine="720"/>
        <w:jc w:val="both"/>
        <w:rPr>
          <w:rFonts w:ascii="Book Antiqua" w:hAnsi="Book Antiqua"/>
        </w:rPr>
      </w:pPr>
      <w:r w:rsidRPr="004E2F1C">
        <w:rPr>
          <w:rFonts w:ascii="Book Antiqua" w:hAnsi="Book Antiqua"/>
        </w:rPr>
        <w:t xml:space="preserve"> </w:t>
      </w: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128422" cy="3095625"/>
            <wp:effectExtent l="19050" t="0" r="5428" b="0"/>
            <wp:docPr id="173" name="il_fi" descr="http://apod.nasa.gov/apod/image/0108/moon8_man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pod.nasa.gov/apod/image/0108/moon8_mandel.jpg"/>
                    <pic:cNvPicPr>
                      <a:picLocks noChangeAspect="1" noChangeArrowheads="1"/>
                    </pic:cNvPicPr>
                  </pic:nvPicPr>
                  <pic:blipFill>
                    <a:blip r:embed="rId1325" cstate="print">
                      <a:lum contrast="40000"/>
                    </a:blip>
                    <a:srcRect t="8964" r="-99"/>
                    <a:stretch>
                      <a:fillRect/>
                    </a:stretch>
                  </pic:blipFill>
                  <pic:spPr bwMode="auto">
                    <a:xfrm>
                      <a:off x="0" y="0"/>
                      <a:ext cx="4128422" cy="3095625"/>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159BE" w:rsidRDefault="00CA4909" w:rsidP="003159BE">
      <w:pPr>
        <w:pStyle w:val="NoSpacing"/>
        <w:rPr>
          <w:rFonts w:ascii="Book Antiqua" w:hAnsi="Book Antiqua"/>
          <w:i/>
          <w:sz w:val="18"/>
          <w:szCs w:val="18"/>
        </w:rPr>
      </w:pPr>
      <w:r w:rsidRPr="003159BE">
        <w:rPr>
          <w:rFonts w:ascii="Book Antiqua" w:hAnsi="Book Antiqua"/>
          <w:b/>
          <w:i/>
          <w:sz w:val="18"/>
          <w:szCs w:val="18"/>
        </w:rPr>
        <w:t xml:space="preserve">Figure </w:t>
      </w:r>
      <w:r w:rsidR="007011BB" w:rsidRPr="003159BE">
        <w:rPr>
          <w:rFonts w:ascii="Book Antiqua" w:hAnsi="Book Antiqua"/>
          <w:b/>
          <w:i/>
          <w:sz w:val="18"/>
          <w:szCs w:val="18"/>
        </w:rPr>
        <w:t>20</w:t>
      </w:r>
      <w:r w:rsidRPr="003159BE">
        <w:rPr>
          <w:rFonts w:ascii="Book Antiqua" w:hAnsi="Book Antiqua"/>
          <w:b/>
          <w:i/>
          <w:sz w:val="18"/>
          <w:szCs w:val="18"/>
        </w:rPr>
        <w:t>:</w:t>
      </w:r>
      <w:r w:rsidRPr="003159BE">
        <w:rPr>
          <w:rFonts w:ascii="Book Antiqua" w:hAnsi="Book Antiqua"/>
          <w:i/>
          <w:sz w:val="18"/>
          <w:szCs w:val="18"/>
        </w:rPr>
        <w:t xml:space="preserve"> The ray crater Tycho at bottom right with Copernicus at upper left. Tycho has the most prominent ray system on the Moon. Notice the crater itself is bright, but there is a dark, ray-free area circling the crater. This indicates an explosive origin for the rays. The ray material generated by the explosion had to clear the walls of the pit which created a shadow or ray-free area around the outside. If the crater had been electrically machined, the explanation for both the ray-shadow and the rays becomes difficult.</w:t>
      </w:r>
    </w:p>
    <w:p w:rsidR="00CA4909" w:rsidRPr="00910192" w:rsidRDefault="00CA4909" w:rsidP="00CA4909">
      <w:pPr>
        <w:pStyle w:val="NoSpacing"/>
        <w:jc w:val="both"/>
        <w:rPr>
          <w:rFonts w:ascii="Book Antiqua" w:hAnsi="Book Antiqua"/>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 crater Tycho, on our moon, gives evidence that the ray material was explosively expelled, just as in the cement dust experiments. First, there is the ray-free area around Tycho as discussed in the caption for Figure </w:t>
      </w:r>
      <w:r w:rsidR="007011BB">
        <w:rPr>
          <w:rFonts w:ascii="Book Antiqua" w:hAnsi="Book Antiqua"/>
          <w:sz w:val="20"/>
        </w:rPr>
        <w:t>20</w:t>
      </w:r>
      <w:r w:rsidRPr="00910192">
        <w:rPr>
          <w:rFonts w:ascii="Book Antiqua" w:hAnsi="Book Antiqua"/>
          <w:sz w:val="20"/>
        </w:rPr>
        <w:t xml:space="preserve">.  Second, one stream of ejecta appears to have partly gone into orbit, forming a ray which can be traced completely around the </w:t>
      </w:r>
      <w:r w:rsidRPr="00910192">
        <w:rPr>
          <w:rFonts w:ascii="Book Antiqua" w:hAnsi="Book Antiqua"/>
          <w:sz w:val="20"/>
        </w:rPr>
        <w:lastRenderedPageBreak/>
        <w:t>Moon. As it did so, the Moon rotated underneath the sub-orbital spray of ray material. Since the Moon was rotating on its axis during the time the ray was being formed, Tycho was displaced from the orbital plane of the material by 50 miles. This is the precise distance at which we find the end of the ray passing the crater itself.  EDM has not reproduced anything like this.</w:t>
      </w:r>
    </w:p>
    <w:p w:rsidR="00CA4909" w:rsidRPr="00910192" w:rsidRDefault="00CA4909" w:rsidP="00CA4909">
      <w:pPr>
        <w:pStyle w:val="NoSpacing"/>
        <w:ind w:firstLine="720"/>
        <w:jc w:val="both"/>
        <w:rPr>
          <w:rFonts w:ascii="Book Antiqua" w:hAnsi="Book Antiqua"/>
          <w:sz w:val="20"/>
        </w:rPr>
      </w:pPr>
    </w:p>
    <w:p w:rsidR="00CA4909" w:rsidRPr="00910192" w:rsidRDefault="00CA4909" w:rsidP="00CA4909">
      <w:pPr>
        <w:pStyle w:val="NoSpacing"/>
        <w:ind w:firstLine="720"/>
        <w:jc w:val="both"/>
        <w:rPr>
          <w:rFonts w:ascii="Book Antiqua" w:hAnsi="Book Antiqua"/>
          <w:i/>
          <w:sz w:val="20"/>
        </w:rPr>
      </w:pPr>
      <w:r>
        <w:rPr>
          <w:rFonts w:ascii="Book Antiqua" w:hAnsi="Book Antiqua"/>
          <w:i/>
          <w:sz w:val="20"/>
        </w:rPr>
        <w:t xml:space="preserve">E4. </w:t>
      </w:r>
      <w:r w:rsidRPr="00910192">
        <w:rPr>
          <w:rFonts w:ascii="Book Antiqua" w:hAnsi="Book Antiqua"/>
          <w:i/>
          <w:sz w:val="20"/>
        </w:rPr>
        <w:t>Depth to Diameter Ratios</w:t>
      </w:r>
    </w:p>
    <w:p w:rsidR="00CA4909" w:rsidRDefault="00CA4909" w:rsidP="00CA4909">
      <w:pPr>
        <w:pStyle w:val="NoSpacing"/>
        <w:ind w:firstLine="720"/>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Pr>
          <w:rFonts w:ascii="Book Antiqua" w:hAnsi="Book Antiqua"/>
          <w:sz w:val="20"/>
        </w:rPr>
        <w:t xml:space="preserve">As mentioned before the size of the impactor will result in crater type.  Different sizes produce different types.  </w:t>
      </w:r>
    </w:p>
    <w:p w:rsidR="00CA4909" w:rsidRPr="004E2F1C" w:rsidRDefault="00CA4909" w:rsidP="00CA4909">
      <w:pPr>
        <w:pStyle w:val="NoSpacing"/>
        <w:jc w:val="both"/>
        <w:rPr>
          <w:rFonts w:ascii="Book Antiqua" w:hAnsi="Book Antiqua"/>
          <w:sz w:val="20"/>
        </w:rPr>
      </w:pPr>
      <w:r w:rsidRPr="004E2F1C">
        <w:rPr>
          <w:rFonts w:ascii="Book Antiqua" w:hAnsi="Book Antiqua"/>
          <w:sz w:val="20"/>
        </w:rPr>
        <w:t xml:space="preserve">This can be adjusted for in the cement dust experiments. An illustration of this is Figure 21.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drawing>
          <wp:inline distT="0" distB="0" distL="0" distR="0">
            <wp:extent cx="3924343" cy="2943225"/>
            <wp:effectExtent l="19050" t="0" r="0" b="0"/>
            <wp:docPr id="174" name="Picture 3" descr="C:\Users\Barry\Pictures\2012-08-08 Craters session 8\Craters session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2012-08-08 Craters session 8\Craters session 8 004.JPG"/>
                    <pic:cNvPicPr>
                      <a:picLocks noChangeAspect="1" noChangeArrowheads="1"/>
                    </pic:cNvPicPr>
                  </pic:nvPicPr>
                  <pic:blipFill>
                    <a:blip r:embed="rId1326" cstate="print">
                      <a:lum contrast="40000"/>
                    </a:blip>
                    <a:srcRect/>
                    <a:stretch>
                      <a:fillRect/>
                    </a:stretch>
                  </pic:blipFill>
                  <pic:spPr bwMode="auto">
                    <a:xfrm>
                      <a:off x="0" y="0"/>
                      <a:ext cx="3924343" cy="2943225"/>
                    </a:xfrm>
                    <a:prstGeom prst="rect">
                      <a:avLst/>
                    </a:prstGeom>
                    <a:noFill/>
                    <a:ln w="9525">
                      <a:noFill/>
                      <a:miter lim="800000"/>
                      <a:headEnd/>
                      <a:tailEnd/>
                    </a:ln>
                  </pic:spPr>
                </pic:pic>
              </a:graphicData>
            </a:graphic>
          </wp:inline>
        </w:drawing>
      </w:r>
    </w:p>
    <w:p w:rsidR="00CA4909" w:rsidRPr="004E2F1C" w:rsidRDefault="00CA4909" w:rsidP="00CA4909">
      <w:pPr>
        <w:pStyle w:val="NoSpacing"/>
        <w:ind w:firstLine="720"/>
        <w:jc w:val="both"/>
        <w:rPr>
          <w:rFonts w:ascii="Book Antiqua" w:hAnsi="Book Antiqua"/>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21:</w:t>
      </w:r>
      <w:r w:rsidRPr="00302B7A">
        <w:rPr>
          <w:rFonts w:ascii="Book Antiqua" w:hAnsi="Book Antiqua"/>
          <w:i/>
          <w:sz w:val="18"/>
          <w:szCs w:val="18"/>
        </w:rPr>
        <w:t xml:space="preserve"> A larger “impactor” gives a different class of crater. In this case, a narrow ringwall, vertical walls and a flat, hummocky floor plus rays and splash craters have been replicated. These are thus features intrinsic to impact. This crater is intermediate between a complex and peaked ring type.</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In Figure 21, the crater from the large “impactor” is of a different type</w:t>
      </w:r>
      <w:r>
        <w:rPr>
          <w:rFonts w:ascii="Book Antiqua" w:hAnsi="Book Antiqua"/>
          <w:sz w:val="20"/>
        </w:rPr>
        <w:t xml:space="preserve"> than the cement dust craters produced with smaller impactors.</w:t>
      </w:r>
      <w:r w:rsidRPr="004E2F1C">
        <w:rPr>
          <w:rFonts w:ascii="Book Antiqua" w:hAnsi="Book Antiqua"/>
          <w:sz w:val="20"/>
        </w:rPr>
        <w:t xml:space="preserve"> It has narrow, vertical walls and a large, flat, slightly hummocky floor, typical of what are sometimes called a “walled plain.” In this case, it may be a transition form between a complex </w:t>
      </w:r>
      <w:proofErr w:type="gramStart"/>
      <w:r w:rsidRPr="004E2F1C">
        <w:rPr>
          <w:rFonts w:ascii="Book Antiqua" w:hAnsi="Book Antiqua"/>
          <w:sz w:val="20"/>
        </w:rPr>
        <w:t>crater</w:t>
      </w:r>
      <w:proofErr w:type="gramEnd"/>
      <w:r w:rsidRPr="004E2F1C">
        <w:rPr>
          <w:rFonts w:ascii="Book Antiqua" w:hAnsi="Book Antiqua"/>
          <w:sz w:val="20"/>
        </w:rPr>
        <w:t xml:space="preserve"> to a peaked ring type. This can be stated since the outer limit of the hummocky terrain on the floor in Figure 21 is where the outer edge of the peaked ring would occur if the central hummocky area was suppressed. Unfortunately it was not possible to experiment with a</w:t>
      </w:r>
      <w:r>
        <w:rPr>
          <w:rFonts w:ascii="Book Antiqua" w:hAnsi="Book Antiqua"/>
          <w:sz w:val="20"/>
        </w:rPr>
        <w:t>n even</w:t>
      </w:r>
      <w:r w:rsidRPr="004E2F1C">
        <w:rPr>
          <w:rFonts w:ascii="Book Antiqua" w:hAnsi="Book Antiqua"/>
          <w:sz w:val="20"/>
        </w:rPr>
        <w:t xml:space="preserve"> larger impactor for this series, which might have settled the question.</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 Nevertheless, in Figure 21, the crater diameter</w:t>
      </w:r>
      <w:proofErr w:type="gramStart"/>
      <w:r w:rsidRPr="004E2F1C">
        <w:rPr>
          <w:rFonts w:ascii="Book Antiqua" w:hAnsi="Book Antiqua"/>
          <w:sz w:val="20"/>
        </w:rPr>
        <w:t xml:space="preserve">, </w:t>
      </w:r>
      <m:oMath>
        <w:proofErr w:type="gramEnd"/>
        <m:r>
          <w:rPr>
            <w:rFonts w:ascii="Cambria Math" w:hAnsi="Cambria Math"/>
            <w:sz w:val="20"/>
          </w:rPr>
          <m:t>D</m:t>
        </m:r>
      </m:oMath>
      <w:r w:rsidRPr="004E2F1C">
        <w:rPr>
          <w:rFonts w:ascii="Book Antiqua" w:hAnsi="Book Antiqua"/>
          <w:sz w:val="20"/>
        </w:rPr>
        <w:t xml:space="preserve">, is 9.6”, while its depth, </w:t>
      </w:r>
      <m:oMath>
        <m:r>
          <w:rPr>
            <w:rFonts w:ascii="Cambria Math" w:hAnsi="Cambria Math"/>
            <w:sz w:val="20"/>
          </w:rPr>
          <m:t>d</m:t>
        </m:r>
      </m:oMath>
      <w:r w:rsidRPr="004E2F1C">
        <w:rPr>
          <w:rFonts w:ascii="Book Antiqua" w:hAnsi="Book Antiqua"/>
          <w:sz w:val="20"/>
        </w:rPr>
        <w:t xml:space="preserve">, is 0.3”. This gives a depth/diameter ratio </w:t>
      </w:r>
      <w:proofErr w:type="gramStart"/>
      <w:r w:rsidRPr="004E2F1C">
        <w:rPr>
          <w:rFonts w:ascii="Book Antiqua" w:hAnsi="Book Antiqua"/>
          <w:sz w:val="20"/>
        </w:rPr>
        <w:t xml:space="preserve">of </w:t>
      </w:r>
      <m:oMath>
        <w:proofErr w:type="gramEnd"/>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0.03125 = 1/32</m:t>
        </m:r>
      </m:oMath>
      <w:r w:rsidRPr="004E2F1C">
        <w:rPr>
          <w:rFonts w:ascii="Book Antiqua" w:hAnsi="Book Antiqua"/>
          <w:sz w:val="20"/>
        </w:rPr>
        <w:t xml:space="preserve">. This ratio is even more extreme than the craters studied on Mercury.  There, the sample investigated had a limiting ratio of </w:t>
      </w:r>
      <m:oMath>
        <m:r>
          <w:rPr>
            <w:rFonts w:ascii="Cambria Math" w:hAnsi="Cambria Math"/>
            <w:sz w:val="20"/>
          </w:rPr>
          <m:t>d</m:t>
        </m:r>
        <m:r>
          <w:rPr>
            <w:rFonts w:ascii="Cambria Math" w:hAnsi="Book Antiqua"/>
            <w:sz w:val="20"/>
          </w:rPr>
          <m:t>/</m:t>
        </m:r>
        <m:r>
          <w:rPr>
            <w:rFonts w:ascii="Cambria Math" w:hAnsi="Cambria Math"/>
            <w:sz w:val="20"/>
          </w:rPr>
          <m:t>D</m:t>
        </m:r>
        <m:r>
          <w:rPr>
            <w:rFonts w:ascii="Cambria Math" w:hAnsi="Book Antiqua"/>
            <w:sz w:val="20"/>
          </w:rPr>
          <m:t xml:space="preserve"> = 0.042</m:t>
        </m:r>
      </m:oMath>
      <w:r w:rsidRPr="004E2F1C">
        <w:rPr>
          <w:rFonts w:ascii="Book Antiqua" w:hAnsi="Book Antiqua"/>
          <w:sz w:val="20"/>
        </w:rPr>
        <w:t xml:space="preserve"> [5]. As a result of this experiment with a larger impactor, coupled with the earlier results in Figures 11 and 12, it can be stated that a narrow ringwall, vertical walls, a flat floor, and a low </w:t>
      </w:r>
      <m:oMath>
        <m:r>
          <w:rPr>
            <w:rFonts w:ascii="Cambria Math" w:hAnsi="Cambria Math"/>
            <w:sz w:val="20"/>
          </w:rPr>
          <m:t>d</m:t>
        </m:r>
        <m:r>
          <w:rPr>
            <w:rFonts w:ascii="Cambria Math" w:hAnsi="Book Antiqua"/>
            <w:sz w:val="20"/>
          </w:rPr>
          <m:t>/</m:t>
        </m:r>
        <m:r>
          <w:rPr>
            <w:rFonts w:ascii="Cambria Math" w:hAnsi="Cambria Math"/>
            <w:sz w:val="20"/>
          </w:rPr>
          <m:t>D</m:t>
        </m:r>
      </m:oMath>
      <w:r w:rsidRPr="004E2F1C">
        <w:rPr>
          <w:rFonts w:ascii="Book Antiqua" w:hAnsi="Book Antiqua"/>
          <w:sz w:val="20"/>
        </w:rPr>
        <w:t xml:space="preserve"> ratio does not necessarily imply that a crater is of EDM origin. These characteristics are also reproducible by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However, the geometric mean size for the change-over between crater types is not just a function of the size of the impactor as was done in the experiment. It is also influenced by two additional factors: gravity and the lithology of the target rocks. It has been stated that</w:t>
      </w:r>
      <w:r w:rsidRPr="004E2F1C">
        <w:rPr>
          <w:rFonts w:ascii="Book Antiqua" w:hAnsi="Book Antiqua"/>
          <w:i/>
          <w:sz w:val="20"/>
        </w:rPr>
        <w:t xml:space="preserve"> “The transition from one crater form to the next is inversely proportional to a planet's gravity, </w:t>
      </w:r>
      <w:r w:rsidRPr="004E2F1C">
        <w:rPr>
          <w:rFonts w:ascii="Book Antiqua" w:hAnsi="Book Antiqua"/>
          <w:i/>
          <w:sz w:val="20"/>
        </w:rPr>
        <w:lastRenderedPageBreak/>
        <w:t xml:space="preserve">so while only the largest craters on the moon are peak-ring craters, moderate-sized craters on the earth can be. The larger of the Clearwater Lakes craters in Quebec (below) is an example.” </w:t>
      </w:r>
      <w:r w:rsidRPr="004E2F1C">
        <w:rPr>
          <w:rFonts w:ascii="Book Antiqua" w:hAnsi="Book Antiqua"/>
          <w:sz w:val="20"/>
        </w:rPr>
        <w:t xml:space="preserve">[8] </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Figure 22 has the Clearwater Lakes craters on the </w:t>
      </w:r>
      <w:proofErr w:type="gramStart"/>
      <w:r w:rsidRPr="004E2F1C">
        <w:rPr>
          <w:rFonts w:ascii="Book Antiqua" w:hAnsi="Book Antiqua"/>
          <w:sz w:val="20"/>
        </w:rPr>
        <w:t>left,</w:t>
      </w:r>
      <w:proofErr w:type="gramEnd"/>
      <w:r w:rsidRPr="004E2F1C">
        <w:rPr>
          <w:rFonts w:ascii="Book Antiqua" w:hAnsi="Book Antiqua"/>
          <w:sz w:val="20"/>
        </w:rPr>
        <w:t xml:space="preserve"> with the Lunar crater Schrodinger on the right with its peaked-ring. Schrodinger is 195 miles (312 km) across, while the largest Clearwater Lake crater with the peaked-ring is only 22 miles (36 km) across. Since the Moon’s gravity is only 1/6</w:t>
      </w:r>
      <w:r w:rsidRPr="004E2F1C">
        <w:rPr>
          <w:rFonts w:ascii="Book Antiqua" w:hAnsi="Book Antiqua"/>
          <w:sz w:val="20"/>
          <w:vertAlign w:val="superscript"/>
        </w:rPr>
        <w:t>th</w:t>
      </w:r>
      <w:r w:rsidRPr="004E2F1C">
        <w:rPr>
          <w:rFonts w:ascii="Book Antiqua" w:hAnsi="Book Antiqua"/>
          <w:sz w:val="20"/>
        </w:rPr>
        <w:t xml:space="preserve"> of the Earth’s, then the equivalent peaked-ring crater on the Moon would have to be at least </w:t>
      </w:r>
      <m:oMath>
        <m:r>
          <w:rPr>
            <w:rFonts w:ascii="Cambria Math" w:hAnsi="Book Antiqua"/>
            <w:sz w:val="20"/>
          </w:rPr>
          <m:t xml:space="preserve">22 </m:t>
        </m:r>
        <m:r>
          <w:rPr>
            <w:rFonts w:ascii="Cambria Math" w:hAnsi="Cambria Math"/>
            <w:sz w:val="20"/>
          </w:rPr>
          <m:t>x</m:t>
        </m:r>
        <m:r>
          <w:rPr>
            <w:rFonts w:ascii="Cambria Math" w:hAnsi="Book Antiqua"/>
            <w:sz w:val="20"/>
          </w:rPr>
          <m:t xml:space="preserve"> 6 = 132</m:t>
        </m:r>
      </m:oMath>
      <w:r w:rsidRPr="004E2F1C">
        <w:rPr>
          <w:rFonts w:ascii="Book Antiqua" w:hAnsi="Book Antiqua"/>
          <w:sz w:val="20"/>
        </w:rPr>
        <w:t xml:space="preserve"> miles across. Schrodinger is therefore in the right size range for the peaked ring to occur. Obviously, gravity is one factor that cannot be changed in an earth-bound, cement dust experiment.</w:t>
      </w:r>
    </w:p>
    <w:p w:rsidR="00CA4909" w:rsidRPr="004E2F1C" w:rsidRDefault="00CA4909" w:rsidP="00CA4909">
      <w:pPr>
        <w:pStyle w:val="NoSpacing"/>
        <w:ind w:firstLine="720"/>
        <w:jc w:val="both"/>
        <w:rPr>
          <w:rFonts w:ascii="Book Antiqua" w:hAnsi="Book Antiqua"/>
          <w:sz w:val="20"/>
        </w:rPr>
      </w:pPr>
    </w:p>
    <w:p w:rsidR="00CA4909" w:rsidRPr="004E2F1C" w:rsidRDefault="00CA4909" w:rsidP="00CA4909">
      <w:pPr>
        <w:pStyle w:val="NoSpacing"/>
        <w:ind w:firstLine="720"/>
        <w:jc w:val="both"/>
        <w:rPr>
          <w:rFonts w:ascii="Book Antiqua" w:hAnsi="Book Antiqua"/>
          <w:color w:val="FF0000"/>
          <w:sz w:val="20"/>
        </w:rPr>
      </w:pPr>
    </w:p>
    <w:tbl>
      <w:tblPr>
        <w:tblStyle w:val="TableGrid"/>
        <w:tblW w:w="0" w:type="auto"/>
        <w:jc w:val="center"/>
        <w:tblLook w:val="04A0"/>
      </w:tblPr>
      <w:tblGrid>
        <w:gridCol w:w="5526"/>
        <w:gridCol w:w="5166"/>
      </w:tblGrid>
      <w:tr w:rsidR="00CA4909" w:rsidRPr="004E2F1C" w:rsidTr="009B7DE1">
        <w:trPr>
          <w:jc w:val="center"/>
        </w:trPr>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352800" cy="2512507"/>
                  <wp:effectExtent l="19050" t="0" r="0" b="0"/>
                  <wp:docPr id="985" name="Picture 283" descr="http://www.uwgb.edu/dutchs/planets/PLANFOTO/IMPACT/CLWATL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uwgb.edu/dutchs/planets/PLANFOTO/IMPACT/CLWATLKS.JPG"/>
                          <pic:cNvPicPr>
                            <a:picLocks noChangeAspect="1" noChangeArrowheads="1"/>
                          </pic:cNvPicPr>
                        </pic:nvPicPr>
                        <pic:blipFill>
                          <a:blip r:embed="rId1327" cstate="print"/>
                          <a:srcRect/>
                          <a:stretch>
                            <a:fillRect/>
                          </a:stretch>
                        </pic:blipFill>
                        <pic:spPr bwMode="auto">
                          <a:xfrm>
                            <a:off x="0" y="0"/>
                            <a:ext cx="3359119" cy="2517242"/>
                          </a:xfrm>
                          <a:prstGeom prst="rect">
                            <a:avLst/>
                          </a:prstGeom>
                          <a:noFill/>
                          <a:ln w="9525">
                            <a:noFill/>
                            <a:miter lim="800000"/>
                            <a:headEnd/>
                            <a:tailEnd/>
                          </a:ln>
                        </pic:spPr>
                      </pic:pic>
                    </a:graphicData>
                  </a:graphic>
                </wp:inline>
              </w:drawing>
            </w:r>
          </w:p>
        </w:tc>
        <w:tc>
          <w:tcPr>
            <w:tcW w:w="2628" w:type="dxa"/>
          </w:tcPr>
          <w:p w:rsidR="00CA4909" w:rsidRPr="004E2F1C" w:rsidRDefault="00CA4909" w:rsidP="00DA58EE">
            <w:pPr>
              <w:pStyle w:val="NoSpacing"/>
              <w:jc w:val="both"/>
              <w:rPr>
                <w:rFonts w:ascii="Book Antiqua" w:hAnsi="Book Antiqua"/>
                <w:i/>
                <w:sz w:val="20"/>
              </w:rPr>
            </w:pPr>
            <w:r w:rsidRPr="004E2F1C">
              <w:rPr>
                <w:rFonts w:ascii="Book Antiqua" w:hAnsi="Book Antiqua"/>
                <w:noProof/>
                <w:sz w:val="20"/>
              </w:rPr>
              <w:drawing>
                <wp:inline distT="0" distB="0" distL="0" distR="0">
                  <wp:extent cx="3114675" cy="2487313"/>
                  <wp:effectExtent l="19050" t="0" r="9525" b="0"/>
                  <wp:docPr id="987" name="Picture 286" descr="http://www.uwgb.edu/dutchs/planets/planfoto/moon/schrod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uwgb.edu/dutchs/planets/planfoto/moon/schrodinger.jpg"/>
                          <pic:cNvPicPr>
                            <a:picLocks noChangeAspect="1" noChangeArrowheads="1"/>
                          </pic:cNvPicPr>
                        </pic:nvPicPr>
                        <pic:blipFill>
                          <a:blip r:embed="rId1328" cstate="print"/>
                          <a:srcRect/>
                          <a:stretch>
                            <a:fillRect/>
                          </a:stretch>
                        </pic:blipFill>
                        <pic:spPr bwMode="auto">
                          <a:xfrm>
                            <a:off x="0" y="0"/>
                            <a:ext cx="3134278" cy="250296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Fonts w:ascii="Book Antiqua" w:hAnsi="Book Antiqua"/>
          <w:i/>
          <w:sz w:val="20"/>
        </w:rPr>
      </w:pPr>
    </w:p>
    <w:p w:rsidR="00CA4909" w:rsidRPr="00302B7A" w:rsidRDefault="00CA4909" w:rsidP="00CA4909">
      <w:pPr>
        <w:pStyle w:val="NoSpacing"/>
        <w:rPr>
          <w:rFonts w:ascii="Book Antiqua" w:hAnsi="Book Antiqua"/>
          <w:i/>
          <w:sz w:val="18"/>
          <w:szCs w:val="18"/>
        </w:rPr>
      </w:pPr>
      <w:proofErr w:type="gramStart"/>
      <w:r w:rsidRPr="00302B7A">
        <w:rPr>
          <w:rFonts w:ascii="Book Antiqua" w:hAnsi="Book Antiqua"/>
          <w:b/>
          <w:i/>
          <w:sz w:val="18"/>
          <w:szCs w:val="18"/>
        </w:rPr>
        <w:t>Figure 22:</w:t>
      </w:r>
      <w:r w:rsidRPr="00302B7A">
        <w:rPr>
          <w:rFonts w:ascii="Book Antiqua" w:hAnsi="Book Antiqua"/>
          <w:i/>
          <w:sz w:val="18"/>
          <w:szCs w:val="18"/>
        </w:rPr>
        <w:t xml:space="preserve"> The bigger of the Clearwater Lakes craters in Quebec exhibits a peaked ring (Left) as does the much larger Lunar crater Schrodinger (Right).</w:t>
      </w:r>
      <w:proofErr w:type="gramEnd"/>
      <w:r w:rsidRPr="00302B7A">
        <w:rPr>
          <w:rFonts w:ascii="Book Antiqua" w:hAnsi="Book Antiqua"/>
          <w:i/>
          <w:sz w:val="18"/>
          <w:szCs w:val="18"/>
        </w:rPr>
        <w:t xml:space="preserve"> The smaller of the 2 craters in left panel has a central peak covered by water and is 16 miles across. The bigger crater is 22 miles; Schrodinger is 195 miles.</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both"/>
        <w:rPr>
          <w:rFonts w:ascii="Book Antiqua" w:hAnsi="Book Antiqua"/>
          <w:color w:val="FF0000"/>
          <w:sz w:val="20"/>
        </w:rPr>
      </w:pPr>
    </w:p>
    <w:p w:rsidR="00CA4909" w:rsidRPr="004E2F1C" w:rsidRDefault="00CA4909" w:rsidP="00CA4909">
      <w:pPr>
        <w:pStyle w:val="NoSpacing"/>
        <w:ind w:firstLine="720"/>
        <w:jc w:val="both"/>
        <w:rPr>
          <w:rFonts w:ascii="Book Antiqua" w:hAnsi="Book Antiqua"/>
          <w:sz w:val="20"/>
        </w:rPr>
      </w:pPr>
      <w:r w:rsidRPr="004E2F1C">
        <w:rPr>
          <w:rFonts w:ascii="Book Antiqua" w:hAnsi="Book Antiqua"/>
          <w:sz w:val="20"/>
        </w:rPr>
        <w:t xml:space="preserve">However, the other factor involved with the formation of complex and peaked ring craters is lithology or rock types. It is stated that the formation of peaked-ring basins </w:t>
      </w:r>
      <w:r w:rsidRPr="004E2F1C">
        <w:rPr>
          <w:rFonts w:ascii="Book Antiqua" w:hAnsi="Book Antiqua"/>
          <w:i/>
          <w:sz w:val="20"/>
        </w:rPr>
        <w:t>“seems to depend a great deal on the rheological properties near the surface, in particular the presence of a weak subsurface layer which can flow on the timescale of the crater collapse.”</w:t>
      </w:r>
      <w:r w:rsidRPr="004E2F1C">
        <w:rPr>
          <w:rFonts w:ascii="Book Antiqua" w:hAnsi="Book Antiqua"/>
          <w:sz w:val="20"/>
        </w:rPr>
        <w:t xml:space="preserve"> [3] This may be amenable to experimentation. An attempt was made to have a subsurface layer of different characteristics in the cement pan. A spongey-foam layer was incorporated. However, it behaved in a manner very similar to the plastic layer. Afterwards it was realized that the powdered cement dust had trapped the air in the multitude of holes in the sponge. It therefore behaved as a more rigid layer not a more fluid one. One of the results of this arrangement can be seen in Figure 23 where a five-sided crater with terracing and a central peak can be seen. However, the conclusion is that, given a large enough “meteorite” in the cement dust experiment and the right sort of layering within the pan itself, peaked ring craters may form. </w:t>
      </w:r>
    </w:p>
    <w:p w:rsidR="00CA4909" w:rsidRPr="004E2F1C" w:rsidRDefault="00CA4909" w:rsidP="00CA4909">
      <w:pPr>
        <w:pStyle w:val="NoSpacing"/>
        <w:jc w:val="both"/>
        <w:rPr>
          <w:rFonts w:ascii="Book Antiqua" w:hAnsi="Book Antiqua"/>
          <w:sz w:val="20"/>
        </w:rPr>
      </w:pPr>
    </w:p>
    <w:p w:rsidR="00CA4909" w:rsidRPr="00E403B5" w:rsidRDefault="00CA4909" w:rsidP="00CA4909">
      <w:pPr>
        <w:pStyle w:val="NoSpacing"/>
        <w:ind w:firstLine="720"/>
        <w:jc w:val="both"/>
        <w:rPr>
          <w:rFonts w:ascii="Book Antiqua" w:hAnsi="Book Antiqua"/>
          <w:sz w:val="20"/>
        </w:rPr>
      </w:pPr>
      <w:r w:rsidRPr="00E403B5">
        <w:rPr>
          <w:rFonts w:ascii="Book Antiqua" w:hAnsi="Book Antiqua"/>
          <w:sz w:val="20"/>
        </w:rPr>
        <w:t xml:space="preserve">Complex craters have central peaks. However, a study has shown that impact craters on the Moon can only form central peaks when the crater is in </w:t>
      </w:r>
      <w:r>
        <w:rPr>
          <w:rFonts w:ascii="Book Antiqua" w:hAnsi="Book Antiqua"/>
          <w:sz w:val="20"/>
        </w:rPr>
        <w:t>a</w:t>
      </w:r>
      <w:r w:rsidRPr="00E403B5">
        <w:rPr>
          <w:rFonts w:ascii="Book Antiqua" w:hAnsi="Book Antiqua"/>
          <w:sz w:val="20"/>
        </w:rPr>
        <w:t xml:space="preserve"> size range of 15 to 80 miles </w:t>
      </w:r>
      <w:r>
        <w:rPr>
          <w:rFonts w:ascii="Book Antiqua" w:hAnsi="Book Antiqua"/>
          <w:sz w:val="20"/>
        </w:rPr>
        <w:t>diameter</w:t>
      </w:r>
      <w:r w:rsidRPr="00E403B5">
        <w:rPr>
          <w:rFonts w:ascii="Book Antiqua" w:hAnsi="Book Antiqua"/>
          <w:sz w:val="20"/>
        </w:rPr>
        <w:t xml:space="preserve">. In contrast, EDM can form central peaks in craters of any size.  In crater chains on Mars, some tiny craters have central peaks. These crater chains </w:t>
      </w:r>
      <w:r>
        <w:rPr>
          <w:rFonts w:ascii="Book Antiqua" w:hAnsi="Book Antiqua"/>
          <w:sz w:val="20"/>
        </w:rPr>
        <w:t xml:space="preserve">give far more evidence of being from EDM processes than impacts.  </w:t>
      </w:r>
      <w:r w:rsidRPr="00E403B5">
        <w:rPr>
          <w:rFonts w:ascii="Book Antiqua" w:hAnsi="Book Antiqua"/>
          <w:sz w:val="20"/>
        </w:rPr>
        <w:t xml:space="preserve">However if there is a central peak and the crater has a ray system like Tycho or Copernicus, it is </w:t>
      </w:r>
      <w:r>
        <w:rPr>
          <w:rFonts w:ascii="Book Antiqua" w:hAnsi="Book Antiqua"/>
          <w:sz w:val="20"/>
        </w:rPr>
        <w:t xml:space="preserve">probably </w:t>
      </w:r>
      <w:r w:rsidRPr="00E403B5">
        <w:rPr>
          <w:rFonts w:ascii="Book Antiqua" w:hAnsi="Book Antiqua"/>
          <w:sz w:val="20"/>
        </w:rPr>
        <w:t>the result of</w:t>
      </w:r>
      <w:r>
        <w:rPr>
          <w:rFonts w:ascii="Book Antiqua" w:hAnsi="Book Antiqua"/>
          <w:sz w:val="20"/>
        </w:rPr>
        <w:t xml:space="preserve"> an</w:t>
      </w:r>
      <w:r w:rsidRPr="00E403B5">
        <w:rPr>
          <w:rFonts w:ascii="Book Antiqua" w:hAnsi="Book Antiqua"/>
          <w:sz w:val="20"/>
        </w:rPr>
        <w:t xml:space="preserve"> impact.</w:t>
      </w:r>
    </w:p>
    <w:p w:rsidR="00CA4909" w:rsidRPr="004E2F1C" w:rsidRDefault="00CA4909" w:rsidP="00CA4909">
      <w:pPr>
        <w:pStyle w:val="NoSpacing"/>
        <w:jc w:val="both"/>
        <w:rPr>
          <w:rFonts w:ascii="Book Antiqua" w:hAnsi="Book Antiqua"/>
          <w:sz w:val="20"/>
        </w:rPr>
      </w:pPr>
    </w:p>
    <w:p w:rsidR="00CA4909" w:rsidRPr="004E2F1C" w:rsidRDefault="00CA4909" w:rsidP="00CA4909">
      <w:pPr>
        <w:pStyle w:val="NoSpacing"/>
        <w:jc w:val="center"/>
        <w:rPr>
          <w:rFonts w:ascii="Book Antiqua" w:hAnsi="Book Antiqua"/>
          <w:sz w:val="20"/>
        </w:rPr>
      </w:pPr>
      <w:r w:rsidRPr="004E2F1C">
        <w:rPr>
          <w:rFonts w:ascii="Book Antiqua" w:hAnsi="Book Antiqua"/>
          <w:noProof/>
          <w:sz w:val="20"/>
        </w:rPr>
        <w:lastRenderedPageBreak/>
        <w:drawing>
          <wp:inline distT="0" distB="0" distL="0" distR="0">
            <wp:extent cx="4721999" cy="3171069"/>
            <wp:effectExtent l="19050" t="0" r="2401" b="0"/>
            <wp:docPr id="988" name="Picture 2" descr="C:\Users\Barry\Pictures\2012-08-15 craters 8\craters 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2012-08-15 craters 8\craters 8 004.JPG"/>
                    <pic:cNvPicPr>
                      <a:picLocks noChangeAspect="1" noChangeArrowheads="1"/>
                    </pic:cNvPicPr>
                  </pic:nvPicPr>
                  <pic:blipFill>
                    <a:blip r:embed="rId1329" cstate="print">
                      <a:lum contrast="40000"/>
                    </a:blip>
                    <a:srcRect b="10484"/>
                    <a:stretch>
                      <a:fillRect/>
                    </a:stretch>
                  </pic:blipFill>
                  <pic:spPr bwMode="auto">
                    <a:xfrm>
                      <a:off x="0" y="0"/>
                      <a:ext cx="4738253" cy="3181984"/>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Fonts w:ascii="Book Antiqua" w:hAnsi="Book Antiqua"/>
          <w:sz w:val="20"/>
        </w:rPr>
      </w:pPr>
    </w:p>
    <w:p w:rsidR="00CA4909" w:rsidRPr="00302B7A" w:rsidRDefault="00CA4909" w:rsidP="009B7DE1">
      <w:pPr>
        <w:pStyle w:val="NoSpacing"/>
        <w:jc w:val="center"/>
        <w:rPr>
          <w:rFonts w:ascii="Book Antiqua" w:hAnsi="Book Antiqua"/>
          <w:i/>
          <w:sz w:val="18"/>
          <w:szCs w:val="18"/>
        </w:rPr>
      </w:pPr>
      <w:r w:rsidRPr="00302B7A">
        <w:rPr>
          <w:rFonts w:ascii="Book Antiqua" w:hAnsi="Book Antiqua"/>
          <w:b/>
          <w:i/>
          <w:sz w:val="18"/>
          <w:szCs w:val="18"/>
        </w:rPr>
        <w:t>Figure 23:</w:t>
      </w:r>
      <w:r w:rsidRPr="00302B7A">
        <w:rPr>
          <w:rFonts w:ascii="Book Antiqua" w:hAnsi="Book Antiqua"/>
          <w:i/>
          <w:sz w:val="18"/>
          <w:szCs w:val="18"/>
        </w:rPr>
        <w:t xml:space="preserve"> One result with a sponge foam layer under the cement dust: a 5-sided crater, terraces and a central peak.</w:t>
      </w:r>
    </w:p>
    <w:p w:rsidR="00CA4909" w:rsidRPr="004E2F1C" w:rsidRDefault="00CA4909" w:rsidP="00CA4909">
      <w:pPr>
        <w:pStyle w:val="NoSpacing"/>
        <w:rPr>
          <w:rFonts w:ascii="Book Antiqua" w:hAnsi="Book Antiqua"/>
          <w:sz w:val="18"/>
          <w:szCs w:val="18"/>
        </w:rPr>
      </w:pPr>
    </w:p>
    <w:p w:rsidR="00CA4909" w:rsidRPr="004E2F1C" w:rsidRDefault="00CA4909" w:rsidP="00CA4909">
      <w:pPr>
        <w:pStyle w:val="NoSpacing"/>
        <w:ind w:firstLine="720"/>
        <w:jc w:val="both"/>
        <w:rPr>
          <w:rFonts w:ascii="Book Antiqua" w:hAnsi="Book Antiqua"/>
          <w:i/>
          <w:sz w:val="20"/>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5</w:t>
      </w:r>
      <w:r w:rsidRPr="004E2F1C">
        <w:rPr>
          <w:rFonts w:ascii="Book Antiqua" w:hAnsi="Book Antiqua"/>
          <w:i/>
        </w:rPr>
        <w:t>.  Additional Features</w:t>
      </w:r>
    </w:p>
    <w:p w:rsidR="009B7DE1" w:rsidRPr="004E2F1C" w:rsidRDefault="009B7DE1" w:rsidP="00CA4909">
      <w:pPr>
        <w:ind w:firstLine="720"/>
        <w:rPr>
          <w:rFonts w:ascii="Book Antiqua" w:hAnsi="Book Antiqua"/>
          <w:i/>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Our moon appears to have lines of cracks in a number of areas.  However, close examination reveals that some of these rille systems and fissures on both the Moon (Figure 24) and Mars (Figures 25 and 26) turn out to be chains of miniature craters with flat floors.</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16028" cy="2571750"/>
            <wp:effectExtent l="19050" t="0" r="0" b="0"/>
            <wp:docPr id="989" name="Picture 18" descr="http://lh6.ggpht.com/_YoCIFkM3GQ8/S7zyrrqnu3I/AAAAAAAAHjQ/dLsftn-D1w0/M3-mosaic-sinuous-rille-MO-400x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6.ggpht.com/_YoCIFkM3GQ8/S7zyrrqnu3I/AAAAAAAAHjQ/dLsftn-D1w0/M3-mosaic-sinuous-rille-MO-400x266.png"/>
                    <pic:cNvPicPr>
                      <a:picLocks noChangeAspect="1" noChangeArrowheads="1"/>
                    </pic:cNvPicPr>
                  </pic:nvPicPr>
                  <pic:blipFill>
                    <a:blip r:embed="rId13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269" r="1066"/>
                    <a:stretch>
                      <a:fillRect/>
                    </a:stretch>
                  </pic:blipFill>
                  <pic:spPr bwMode="auto">
                    <a:xfrm>
                      <a:off x="0" y="0"/>
                      <a:ext cx="3315036" cy="2570981"/>
                    </a:xfrm>
                    <a:prstGeom prst="rect">
                      <a:avLst/>
                    </a:prstGeom>
                    <a:noFill/>
                    <a:ln>
                      <a:noFill/>
                    </a:ln>
                  </pic:spPr>
                </pic:pic>
              </a:graphicData>
            </a:graphic>
          </wp:inline>
        </w:drawing>
      </w:r>
    </w:p>
    <w:p w:rsidR="00CA4909" w:rsidRPr="004E2F1C" w:rsidRDefault="00CA4909" w:rsidP="00CA4909">
      <w:pPr>
        <w:jc w:val="both"/>
        <w:rPr>
          <w:rFonts w:ascii="Book Antiqua" w:hAnsi="Book Antiqua"/>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24:</w:t>
      </w:r>
      <w:r w:rsidRPr="00302B7A">
        <w:rPr>
          <w:rFonts w:ascii="Book Antiqua" w:hAnsi="Book Antiqua"/>
          <w:i/>
          <w:sz w:val="18"/>
          <w:szCs w:val="18"/>
        </w:rPr>
        <w:t xml:space="preserve"> Rille system on the Moon in Mare Orientalae</w:t>
      </w:r>
      <w:r w:rsidR="009B7DE1">
        <w:rPr>
          <w:rFonts w:ascii="Book Antiqua" w:hAnsi="Book Antiqua"/>
          <w:i/>
          <w:sz w:val="18"/>
          <w:szCs w:val="18"/>
        </w:rPr>
        <w:t xml:space="preserve"> with chains of craters (upper right</w:t>
      </w:r>
      <w:proofErr w:type="gramStart"/>
      <w:r w:rsidR="009B7DE1">
        <w:rPr>
          <w:rFonts w:ascii="Book Antiqua" w:hAnsi="Book Antiqua"/>
          <w:i/>
          <w:sz w:val="18"/>
          <w:szCs w:val="18"/>
        </w:rPr>
        <w:t xml:space="preserve">) </w:t>
      </w:r>
      <w:r w:rsidRPr="00302B7A">
        <w:rPr>
          <w:rFonts w:ascii="Book Antiqua" w:hAnsi="Book Antiqua"/>
          <w:i/>
          <w:sz w:val="18"/>
          <w:szCs w:val="18"/>
        </w:rPr>
        <w:t>.</w:t>
      </w:r>
      <w:proofErr w:type="gramEnd"/>
    </w:p>
    <w:p w:rsidR="00CA4909" w:rsidRPr="004E2F1C" w:rsidRDefault="00CA4909" w:rsidP="00CA4909">
      <w:pPr>
        <w:rPr>
          <w:rFonts w:ascii="Book Antiqua" w:hAnsi="Book Antiqua"/>
          <w:i/>
        </w:rPr>
      </w:pPr>
    </w:p>
    <w:p w:rsidR="00CA4909" w:rsidRPr="004E2F1C" w:rsidRDefault="00CA4909" w:rsidP="00CA4909">
      <w:pPr>
        <w:jc w:val="center"/>
        <w:rPr>
          <w:rFonts w:ascii="Book Antiqua" w:hAnsi="Book Antiqua"/>
          <w:i/>
        </w:rPr>
      </w:pPr>
      <w:r w:rsidRPr="004E2F1C">
        <w:rPr>
          <w:rFonts w:ascii="Book Antiqua" w:hAnsi="Book Antiqua"/>
          <w:i/>
          <w:noProof/>
          <w:lang w:val="en-US"/>
        </w:rPr>
        <w:lastRenderedPageBreak/>
        <w:drawing>
          <wp:inline distT="0" distB="0" distL="0" distR="0">
            <wp:extent cx="3309504" cy="1733550"/>
            <wp:effectExtent l="19050" t="0" r="5196" b="0"/>
            <wp:docPr id="990" name="Picture 1" descr="040818r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818rille.jpg"/>
                    <pic:cNvPicPr>
                      <a:picLocks noChangeAspect="1" noChangeArrowheads="1"/>
                    </pic:cNvPicPr>
                  </pic:nvPicPr>
                  <pic:blipFill>
                    <a:blip r:embed="rId1331" cstate="print">
                      <a:lum contrast="30000"/>
                    </a:blip>
                    <a:srcRect l="2597" t="11184" r="2111" b="11373"/>
                    <a:stretch>
                      <a:fillRect/>
                    </a:stretch>
                  </pic:blipFill>
                  <pic:spPr bwMode="auto">
                    <a:xfrm flipV="1">
                      <a:off x="0" y="0"/>
                      <a:ext cx="3314309" cy="1736067"/>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i/>
        </w:rPr>
      </w:pPr>
    </w:p>
    <w:p w:rsidR="00CA4909" w:rsidRPr="00302B7A" w:rsidRDefault="00CA4909" w:rsidP="009B7DE1">
      <w:pPr>
        <w:jc w:val="center"/>
        <w:rPr>
          <w:rFonts w:ascii="Book Antiqua" w:hAnsi="Book Antiqua"/>
          <w:i/>
          <w:sz w:val="18"/>
          <w:szCs w:val="18"/>
        </w:rPr>
      </w:pPr>
      <w:r w:rsidRPr="00302B7A">
        <w:rPr>
          <w:rFonts w:ascii="Book Antiqua" w:hAnsi="Book Antiqua"/>
          <w:b/>
          <w:i/>
          <w:sz w:val="18"/>
          <w:szCs w:val="18"/>
        </w:rPr>
        <w:t>Figure 25:</w:t>
      </w:r>
      <w:r w:rsidRPr="00302B7A">
        <w:rPr>
          <w:rFonts w:ascii="Book Antiqua" w:hAnsi="Book Antiqua"/>
          <w:i/>
          <w:sz w:val="18"/>
          <w:szCs w:val="18"/>
        </w:rPr>
        <w:t xml:space="preserve"> Rille system on Mars from the Mars Orbiter THEMIS imager.</w:t>
      </w:r>
    </w:p>
    <w:p w:rsidR="00CA4909" w:rsidRPr="004E2F1C" w:rsidRDefault="00CA4909" w:rsidP="00CA4909">
      <w:pPr>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3305175" cy="1630379"/>
            <wp:effectExtent l="19050" t="0" r="9525" b="0"/>
            <wp:docPr id="991" name="Picture 4" descr="http://images.spaceref.com/news/2012/ooTractusCatena_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spaceref.com/news/2012/ooTractusCatena_H1.jpg"/>
                    <pic:cNvPicPr>
                      <a:picLocks noChangeAspect="1" noChangeArrowheads="1"/>
                    </pic:cNvPicPr>
                  </pic:nvPicPr>
                  <pic:blipFill>
                    <a:blip r:embed="rId1332" cstate="print"/>
                    <a:srcRect t="9672" r="1066" b="13955"/>
                    <a:stretch>
                      <a:fillRect/>
                    </a:stretch>
                  </pic:blipFill>
                  <pic:spPr bwMode="auto">
                    <a:xfrm>
                      <a:off x="0" y="0"/>
                      <a:ext cx="3306380" cy="1630973"/>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Default="00CA4909" w:rsidP="009B7DE1">
      <w:pPr>
        <w:jc w:val="center"/>
        <w:rPr>
          <w:rFonts w:ascii="Book Antiqua" w:hAnsi="Book Antiqua"/>
          <w:i/>
          <w:sz w:val="18"/>
          <w:szCs w:val="18"/>
        </w:rPr>
      </w:pPr>
      <w:r w:rsidRPr="009B7DE1">
        <w:rPr>
          <w:rFonts w:ascii="Book Antiqua" w:hAnsi="Book Antiqua"/>
          <w:b/>
          <w:i/>
          <w:sz w:val="18"/>
          <w:szCs w:val="18"/>
        </w:rPr>
        <w:t>Figure 26:</w:t>
      </w:r>
      <w:r w:rsidRPr="00302B7A">
        <w:rPr>
          <w:rFonts w:ascii="Book Antiqua" w:hAnsi="Book Antiqua"/>
          <w:i/>
          <w:sz w:val="18"/>
          <w:szCs w:val="18"/>
        </w:rPr>
        <w:t xml:space="preserve"> Rille system on Mars, sometimes called “pit-chains”. This example is in Tractus Catena, Arcadia, which is part of the Tharsis uplift.</w:t>
      </w:r>
    </w:p>
    <w:p w:rsidR="009B7DE1" w:rsidRPr="00302B7A" w:rsidRDefault="009B7DE1" w:rsidP="00CA4909">
      <w:pPr>
        <w:rPr>
          <w:rFonts w:ascii="Book Antiqua" w:hAnsi="Book Antiqua"/>
          <w:i/>
          <w:sz w:val="18"/>
          <w:szCs w:val="18"/>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The flat floors are a hallmark of EDM, particularly as some of the very small craters in the chains on both the Moon and Mars have central peaks. This is impossible to reproduce by impact in such small craters. Thus it suggests electrical interactions occurred to produce the rilles as in Figures 24, 25 and 26.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sz w:val="27"/>
          <w:szCs w:val="27"/>
          <w:lang w:val="en-US"/>
        </w:rPr>
        <w:drawing>
          <wp:inline distT="0" distB="0" distL="0" distR="0">
            <wp:extent cx="3418317" cy="2393821"/>
            <wp:effectExtent l="19050" t="0" r="0" b="0"/>
            <wp:docPr id="257" name="Picture 1406" descr="Archimedes c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Archimedes crater"/>
                    <pic:cNvPicPr>
                      <a:picLocks noChangeAspect="1" noChangeArrowheads="1"/>
                    </pic:cNvPicPr>
                  </pic:nvPicPr>
                  <pic:blipFill>
                    <a:blip r:embed="rId1333" cstate="print"/>
                    <a:srcRect l="2629" r="12271"/>
                    <a:stretch>
                      <a:fillRect/>
                    </a:stretch>
                  </pic:blipFill>
                  <pic:spPr bwMode="auto">
                    <a:xfrm>
                      <a:off x="0" y="0"/>
                      <a:ext cx="3428711" cy="2401100"/>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27:</w:t>
      </w:r>
      <w:r w:rsidRPr="00433E2D">
        <w:rPr>
          <w:rFonts w:ascii="Book Antiqua" w:hAnsi="Book Antiqua"/>
          <w:i/>
          <w:sz w:val="18"/>
          <w:szCs w:val="18"/>
        </w:rPr>
        <w:t xml:space="preserve"> The crater Archimedes on the edge of Mare Imbrium. The molten rock forming the Mare also flooded this craters’ floor. Craters like this, which also include Ptolemaeus and Plato are therefore not in the EDM ‘flat bottomed crater’ category but have a category of their own due to flooding of their floors by Mare basalt.</w:t>
      </w:r>
    </w:p>
    <w:p w:rsidR="008D6043" w:rsidRDefault="008D6043" w:rsidP="00CA4909">
      <w:pPr>
        <w:rPr>
          <w:rFonts w:ascii="Book Antiqua" w:hAnsi="Book Antiqua"/>
          <w:i/>
          <w:sz w:val="18"/>
          <w:szCs w:val="18"/>
        </w:rPr>
      </w:pPr>
    </w:p>
    <w:p w:rsidR="008D6043" w:rsidRDefault="008D6043" w:rsidP="008D6043">
      <w:pPr>
        <w:ind w:firstLine="720"/>
        <w:jc w:val="both"/>
        <w:rPr>
          <w:rFonts w:ascii="Book Antiqua" w:hAnsi="Book Antiqua"/>
        </w:rPr>
      </w:pPr>
      <w:r w:rsidRPr="00910192">
        <w:rPr>
          <w:rFonts w:ascii="Book Antiqua" w:hAnsi="Book Antiqua"/>
        </w:rPr>
        <w:lastRenderedPageBreak/>
        <w:t>It should be noted that some large craters, such as Ptolemaeus, Archimedes or Plato on the Moon, have flat floors.  This is because the magma from the Lunar interior has flooded the bottoms of the craters. The floors of these craters have the same color as the nearby Mare plain, as shown for Archimedes in Figure 27. Grooves in the walls of some of these craters, carved by the flying debris on a pattern radial to the center of the Mare, indicate that these craters were formed before the molten rock forming the Mare surface was extruded. The molten rock then flooded the floor of these craters</w:t>
      </w:r>
    </w:p>
    <w:p w:rsidR="008D6043" w:rsidRPr="00302B7A" w:rsidRDefault="008D6043" w:rsidP="00CA4909">
      <w:pPr>
        <w:rPr>
          <w:rFonts w:ascii="Book Antiqua" w:hAnsi="Book Antiqua"/>
          <w:i/>
          <w:sz w:val="18"/>
          <w:szCs w:val="18"/>
        </w:rPr>
      </w:pPr>
    </w:p>
    <w:p w:rsidR="00CA4909" w:rsidRDefault="00CA4909" w:rsidP="00CA4909">
      <w:pPr>
        <w:pStyle w:val="NoSpacing"/>
        <w:ind w:firstLine="720"/>
        <w:jc w:val="both"/>
        <w:rPr>
          <w:rFonts w:ascii="Book Antiqua" w:hAnsi="Book Antiqua"/>
          <w:sz w:val="20"/>
        </w:rPr>
      </w:pPr>
      <w:r w:rsidRPr="00910192">
        <w:rPr>
          <w:rFonts w:ascii="Book Antiqua" w:hAnsi="Book Antiqua"/>
          <w:sz w:val="20"/>
        </w:rPr>
        <w:t xml:space="preserve">There is one key feature which should unequivocally attest to the different crater origins. Impacts result in explosions deep below the surface.  These explosions then force the rock layers in the rim at the surface to be upturned and tilted back on </w:t>
      </w:r>
      <w:proofErr w:type="gramStart"/>
      <w:r w:rsidRPr="00910192">
        <w:rPr>
          <w:rFonts w:ascii="Book Antiqua" w:hAnsi="Book Antiqua"/>
          <w:sz w:val="20"/>
        </w:rPr>
        <w:t>themselves</w:t>
      </w:r>
      <w:proofErr w:type="gramEnd"/>
      <w:r w:rsidRPr="00910192">
        <w:rPr>
          <w:rFonts w:ascii="Book Antiqua" w:hAnsi="Book Antiqua"/>
          <w:sz w:val="20"/>
        </w:rPr>
        <w:t>.  The sequence of events is displayed in Figure 28.</w:t>
      </w:r>
    </w:p>
    <w:p w:rsidR="00CA4909" w:rsidRPr="00910192" w:rsidRDefault="00CA4909" w:rsidP="00CA4909">
      <w:pPr>
        <w:pStyle w:val="NoSpacing"/>
        <w:jc w:val="both"/>
        <w:rPr>
          <w:rFonts w:ascii="Book Antiqua" w:hAnsi="Book Antiqua"/>
          <w:sz w:val="20"/>
        </w:rPr>
      </w:pPr>
    </w:p>
    <w:p w:rsidR="00CA4909" w:rsidRDefault="00CA4909" w:rsidP="00CA4909">
      <w:pPr>
        <w:pStyle w:val="NoSpacing"/>
        <w:jc w:val="both"/>
        <w:rPr>
          <w:rFonts w:ascii="Book Antiqua" w:hAnsi="Book Antiqua"/>
          <w:sz w:val="20"/>
        </w:rPr>
      </w:pPr>
      <w:r w:rsidRPr="00910192">
        <w:rPr>
          <w:rFonts w:ascii="Book Antiqua" w:hAnsi="Book Antiqua"/>
          <w:i/>
          <w:sz w:val="20"/>
        </w:rPr>
        <w:t xml:space="preserve"> </w:t>
      </w:r>
      <w:r w:rsidRPr="00910192">
        <w:rPr>
          <w:rFonts w:ascii="Book Antiqua" w:hAnsi="Book Antiqua"/>
          <w:i/>
          <w:sz w:val="20"/>
        </w:rPr>
        <w:tab/>
      </w:r>
      <w:r w:rsidRPr="00910192">
        <w:rPr>
          <w:rFonts w:ascii="Book Antiqua" w:hAnsi="Book Antiqua"/>
          <w:sz w:val="20"/>
        </w:rPr>
        <w:t>Since the rock strata are turned back on themselves, the strata at the exposed rim will be vertical, not horizontal. In contrast, electrical machining will carve down through the strata, leaving the exposing the horizontal strata. In this way, a close-up examination of any crater rim should allow us to tell which method formed the crater</w:t>
      </w:r>
    </w:p>
    <w:p w:rsidR="00157DB2" w:rsidRPr="00910192" w:rsidRDefault="00157DB2" w:rsidP="00CA4909">
      <w:pPr>
        <w:pStyle w:val="NoSpacing"/>
        <w:jc w:val="both"/>
        <w:rPr>
          <w:rFonts w:ascii="Book Antiqua" w:hAnsi="Book Antiqua"/>
          <w:i/>
          <w:sz w:val="20"/>
        </w:rPr>
      </w:pPr>
    </w:p>
    <w:p w:rsidR="00CA4909" w:rsidRPr="00FD5EB1" w:rsidRDefault="00CA4909" w:rsidP="00CA4909">
      <w:pPr>
        <w:rPr>
          <w:rFonts w:ascii="Book Antiqua" w:hAnsi="Book Antiqua"/>
          <w:i/>
        </w:rPr>
      </w:pPr>
    </w:p>
    <w:tbl>
      <w:tblPr>
        <w:tblStyle w:val="TableGrid"/>
        <w:tblW w:w="0" w:type="auto"/>
        <w:jc w:val="center"/>
        <w:tblLook w:val="04A0"/>
      </w:tblPr>
      <w:tblGrid>
        <w:gridCol w:w="5646"/>
        <w:gridCol w:w="5076"/>
      </w:tblGrid>
      <w:tr w:rsidR="00CA4909" w:rsidRPr="004E2F1C" w:rsidTr="008D6043">
        <w:trPr>
          <w:jc w:val="center"/>
        </w:trPr>
        <w:tc>
          <w:tcPr>
            <w:tcW w:w="4482"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425225" cy="2843092"/>
                  <wp:effectExtent l="19050" t="0" r="3775" b="0"/>
                  <wp:docPr id="262" name="il_fi" descr="http://explanet.info/images/Ch04/04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explanet.info/images/Ch04/04_03.jpg"/>
                          <pic:cNvPicPr>
                            <a:picLocks noChangeAspect="1" noChangeArrowheads="1"/>
                          </pic:cNvPicPr>
                        </pic:nvPicPr>
                        <pic:blipFill>
                          <a:blip r:embed="rId1334" cstate="print"/>
                          <a:srcRect l="48250" t="16016" r="2298" b="7380"/>
                          <a:stretch>
                            <a:fillRect/>
                          </a:stretch>
                        </pic:blipFill>
                        <pic:spPr bwMode="auto">
                          <a:xfrm>
                            <a:off x="0" y="0"/>
                            <a:ext cx="3430624" cy="2847574"/>
                          </a:xfrm>
                          <a:prstGeom prst="rect">
                            <a:avLst/>
                          </a:prstGeom>
                          <a:noFill/>
                          <a:ln w="9525">
                            <a:noFill/>
                            <a:miter lim="800000"/>
                            <a:headEnd/>
                            <a:tailEnd/>
                          </a:ln>
                        </pic:spPr>
                      </pic:pic>
                    </a:graphicData>
                  </a:graphic>
                </wp:inline>
              </w:drawing>
            </w:r>
          </w:p>
        </w:tc>
        <w:tc>
          <w:tcPr>
            <w:tcW w:w="4446" w:type="dxa"/>
          </w:tcPr>
          <w:p w:rsidR="00CA4909" w:rsidRPr="004E2F1C" w:rsidRDefault="00CA4909" w:rsidP="00DA58EE">
            <w:pPr>
              <w:jc w:val="both"/>
              <w:rPr>
                <w:rFonts w:ascii="Book Antiqua" w:hAnsi="Book Antiqua"/>
              </w:rPr>
            </w:pPr>
            <w:r w:rsidRPr="004E2F1C">
              <w:rPr>
                <w:rFonts w:ascii="Book Antiqua" w:hAnsi="Book Antiqua"/>
                <w:noProof/>
                <w:lang w:val="en-US"/>
              </w:rPr>
              <w:drawing>
                <wp:inline distT="0" distB="0" distL="0" distR="0">
                  <wp:extent cx="3061295" cy="2804672"/>
                  <wp:effectExtent l="19050" t="0" r="5755" b="0"/>
                  <wp:docPr id="263" name="il_fi" descr="http://cmex.ihmc.us/data/catalog/GusevCrater/GiantI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mex.ihmc.us/data/catalog/GusevCrater/GiantImpact.jpg"/>
                          <pic:cNvPicPr>
                            <a:picLocks noChangeAspect="1" noChangeArrowheads="1"/>
                          </pic:cNvPicPr>
                        </pic:nvPicPr>
                        <pic:blipFill>
                          <a:blip r:embed="rId1335" cstate="print"/>
                          <a:srcRect l="40301" t="21149" r="11722" b="16115"/>
                          <a:stretch>
                            <a:fillRect/>
                          </a:stretch>
                        </pic:blipFill>
                        <pic:spPr bwMode="auto">
                          <a:xfrm>
                            <a:off x="0" y="0"/>
                            <a:ext cx="3069694" cy="2812367"/>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rPr>
          <w:rFonts w:ascii="Book Antiqua" w:hAnsi="Book Antiqua"/>
          <w:sz w:val="20"/>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28:</w:t>
      </w:r>
      <w:r w:rsidRPr="00433E2D">
        <w:rPr>
          <w:rFonts w:ascii="Book Antiqua" w:hAnsi="Book Antiqua"/>
          <w:i/>
          <w:sz w:val="18"/>
          <w:szCs w:val="18"/>
        </w:rPr>
        <w:t xml:space="preserve"> The explosive formation of craters by impact overturns the strata on the crater rim as shown at left. The right diagram enlarges what happens. It can be seen that the rock layers on the rim are overturned and the rock sequence inverted a little distance from the crater.</w:t>
      </w:r>
      <w:r w:rsidR="00627992" w:rsidRPr="00433E2D">
        <w:rPr>
          <w:rFonts w:ascii="Book Antiqua" w:hAnsi="Book Antiqua"/>
          <w:i/>
          <w:sz w:val="18"/>
          <w:szCs w:val="18"/>
        </w:rPr>
        <w:t xml:space="preserve"> This inverted sequence may appear if the crater wall is eroded</w:t>
      </w:r>
      <w:r w:rsidR="00C150D6" w:rsidRPr="00433E2D">
        <w:rPr>
          <w:rFonts w:ascii="Book Antiqua" w:hAnsi="Book Antiqua"/>
          <w:i/>
          <w:sz w:val="18"/>
          <w:szCs w:val="18"/>
        </w:rPr>
        <w:t xml:space="preserve"> or becomes terraced</w:t>
      </w:r>
      <w:r w:rsidR="00627992" w:rsidRPr="00433E2D">
        <w:rPr>
          <w:rFonts w:ascii="Book Antiqua" w:hAnsi="Book Antiqua"/>
          <w:i/>
          <w:sz w:val="18"/>
          <w:szCs w:val="18"/>
        </w:rPr>
        <w:t>.</w:t>
      </w:r>
    </w:p>
    <w:p w:rsidR="008D6043" w:rsidRPr="00302B7A" w:rsidRDefault="008D6043" w:rsidP="00CA4909">
      <w:pPr>
        <w:rPr>
          <w:rFonts w:ascii="Book Antiqua" w:hAnsi="Book Antiqua"/>
          <w:i/>
          <w:sz w:val="18"/>
          <w:szCs w:val="18"/>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 The two photos in Figures 29 and 30 taken by NASA’s Mars Exploration Rover, Opportunity, are both of the Victoria crater on Mars.  The first image shows that the rim strata are horizontal right around the crater. The second photo, showing Cape St. Vincent, reveals that not only are the strata horizontal, but the small-scale layering in that strata is also horizontal. That is strong evidence that this particular crater originated from electric machining which cut down vertically through the strata and distributed the debris around the rim.</w:t>
      </w:r>
    </w:p>
    <w:p w:rsidR="00CA4909" w:rsidRPr="00063498" w:rsidRDefault="00CA4909" w:rsidP="00CA4909">
      <w:pPr>
        <w:pStyle w:val="NoSpacing"/>
        <w:jc w:val="both"/>
        <w:rPr>
          <w:rFonts w:ascii="Book Antiqua" w:hAnsi="Book Antiqua"/>
          <w:sz w:val="20"/>
        </w:rPr>
      </w:pPr>
    </w:p>
    <w:p w:rsidR="00CA4909" w:rsidRDefault="00CA4909" w:rsidP="00CA4909">
      <w:pPr>
        <w:pStyle w:val="NoSpacing"/>
        <w:ind w:firstLine="720"/>
        <w:jc w:val="both"/>
        <w:rPr>
          <w:rFonts w:ascii="Book Antiqua" w:hAnsi="Book Antiqua"/>
          <w:sz w:val="20"/>
        </w:rPr>
      </w:pPr>
      <w:r w:rsidRPr="00063498">
        <w:rPr>
          <w:rFonts w:ascii="Book Antiqua" w:hAnsi="Book Antiqua"/>
          <w:sz w:val="20"/>
        </w:rPr>
        <w:t xml:space="preserve">Further evidence that the Victoria crater was electrically machined can be seen in Figure 31. Again the horizontal rim strata are in evidence. However, there is another feature which is important to consider:  the scalloped edges to the crater rim.  This is entirely consistent with the action of electric machining, and cannot be produced by an impact.  Because of all this evidence, it </w:t>
      </w:r>
      <w:r>
        <w:rPr>
          <w:rFonts w:ascii="Book Antiqua" w:hAnsi="Book Antiqua"/>
          <w:sz w:val="20"/>
        </w:rPr>
        <w:t>may</w:t>
      </w:r>
      <w:r w:rsidRPr="00063498">
        <w:rPr>
          <w:rFonts w:ascii="Book Antiqua" w:hAnsi="Book Antiqua"/>
          <w:sz w:val="20"/>
        </w:rPr>
        <w:t xml:space="preserve"> be concluded that the Victoria crater on Mars was probably formed by electrical machining processes, not impact.</w:t>
      </w:r>
    </w:p>
    <w:p w:rsidR="00157DB2" w:rsidRPr="004E2F1C" w:rsidRDefault="00157DB2" w:rsidP="00CA4909">
      <w:pPr>
        <w:pStyle w:val="NoSpacing"/>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5146755" cy="2820040"/>
            <wp:effectExtent l="19050" t="0" r="0" b="0"/>
            <wp:docPr id="264" name="Picture 285" descr="070628_duck_bay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70628_duck_bay_02"/>
                    <pic:cNvPicPr>
                      <a:picLocks noChangeAspect="1" noChangeArrowheads="1"/>
                    </pic:cNvPicPr>
                  </pic:nvPicPr>
                  <pic:blipFill>
                    <a:blip r:embed="rId1336" cstate="print"/>
                    <a:srcRect t="12981" r="-411" b="11661"/>
                    <a:stretch>
                      <a:fillRect/>
                    </a:stretch>
                  </pic:blipFill>
                  <pic:spPr bwMode="auto">
                    <a:xfrm>
                      <a:off x="0" y="0"/>
                      <a:ext cx="5154154" cy="2824094"/>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29:</w:t>
      </w:r>
      <w:r w:rsidRPr="00433E2D">
        <w:rPr>
          <w:rFonts w:ascii="Book Antiqua" w:hAnsi="Book Antiqua"/>
          <w:i/>
          <w:sz w:val="18"/>
          <w:szCs w:val="18"/>
        </w:rPr>
        <w:t xml:space="preserve"> A sweep of Victoria crater, Mars, showing the horizontal rim strata on a large scale in Duck Bay. These strata are not overturned as they would be if the crater was formed by impact. This suggests the crater was probably formed by EDM. </w:t>
      </w:r>
      <w:proofErr w:type="gramStart"/>
      <w:r w:rsidRPr="00433E2D">
        <w:rPr>
          <w:rFonts w:ascii="Book Antiqua" w:hAnsi="Book Antiqua"/>
          <w:i/>
          <w:sz w:val="18"/>
          <w:szCs w:val="18"/>
        </w:rPr>
        <w:t>Photo taken by the Mars Rover, Opportunity.</w:t>
      </w:r>
      <w:proofErr w:type="gramEnd"/>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651957" cy="3926541"/>
            <wp:effectExtent l="19050" t="0" r="5893" b="0"/>
            <wp:docPr id="270" name="Picture 33" descr="070628_victoria_fals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70628_victoria_false_02"/>
                    <pic:cNvPicPr>
                      <a:picLocks noChangeAspect="1" noChangeArrowheads="1"/>
                    </pic:cNvPicPr>
                  </pic:nvPicPr>
                  <pic:blipFill>
                    <a:blip r:embed="rId1337" cstate="print"/>
                    <a:srcRect l="13471" t="12493" r="8073" b="17110"/>
                    <a:stretch>
                      <a:fillRect/>
                    </a:stretch>
                  </pic:blipFill>
                  <pic:spPr bwMode="auto">
                    <a:xfrm>
                      <a:off x="0" y="0"/>
                      <a:ext cx="5659881" cy="3932046"/>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i/>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30:</w:t>
      </w:r>
      <w:r w:rsidRPr="00302B7A">
        <w:rPr>
          <w:rFonts w:ascii="Book Antiqua" w:hAnsi="Book Antiqua"/>
          <w:i/>
          <w:sz w:val="18"/>
          <w:szCs w:val="18"/>
        </w:rPr>
        <w:t xml:space="preserve"> Victoria crater, Mars. The rim strata are horizontal even in the detail of the individual layers at Cape St. Vincent shown here. Thus the crater was probably formed by electric discharge machining, </w:t>
      </w:r>
      <w:r w:rsidR="00380261">
        <w:rPr>
          <w:rFonts w:ascii="Book Antiqua" w:hAnsi="Book Antiqua"/>
          <w:i/>
          <w:sz w:val="18"/>
          <w:szCs w:val="18"/>
        </w:rPr>
        <w:t>rather than</w:t>
      </w:r>
      <w:r w:rsidRPr="00302B7A">
        <w:rPr>
          <w:rFonts w:ascii="Book Antiqua" w:hAnsi="Book Antiqua"/>
          <w:i/>
          <w:sz w:val="18"/>
          <w:szCs w:val="18"/>
        </w:rPr>
        <w:t xml:space="preserve"> by impact. </w:t>
      </w:r>
    </w:p>
    <w:p w:rsidR="00CA4909" w:rsidRPr="004E2F1C" w:rsidRDefault="00CA4909" w:rsidP="00CA4909">
      <w:pPr>
        <w:pStyle w:val="NoSpacing"/>
        <w:rPr>
          <w:rFonts w:ascii="Book Antiqua" w:hAnsi="Book Antiqua"/>
          <w:i/>
          <w:sz w:val="20"/>
        </w:rPr>
      </w:pPr>
    </w:p>
    <w:p w:rsidR="00CA4909" w:rsidRPr="004E2F1C" w:rsidRDefault="00CA4909" w:rsidP="00CA4909">
      <w:pPr>
        <w:pStyle w:val="NoSpacing"/>
        <w:jc w:val="center"/>
        <w:rPr>
          <w:rFonts w:ascii="Book Antiqua" w:hAnsi="Book Antiqua"/>
          <w:i/>
          <w:sz w:val="20"/>
        </w:rPr>
      </w:pPr>
      <w:r w:rsidRPr="004E2F1C">
        <w:rPr>
          <w:rFonts w:ascii="Book Antiqua" w:hAnsi="Book Antiqua"/>
          <w:noProof/>
          <w:sz w:val="20"/>
        </w:rPr>
        <w:lastRenderedPageBreak/>
        <w:drawing>
          <wp:inline distT="0" distB="0" distL="0" distR="0">
            <wp:extent cx="4743450" cy="3524250"/>
            <wp:effectExtent l="19050" t="0" r="0" b="0"/>
            <wp:docPr id="276" name="Picture 288" descr="070628_opp_rimpa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70628_opp_rimpath_02"/>
                    <pic:cNvPicPr>
                      <a:picLocks noChangeAspect="1" noChangeArrowheads="1"/>
                    </pic:cNvPicPr>
                  </pic:nvPicPr>
                  <pic:blipFill>
                    <a:blip r:embed="rId1338" cstate="print"/>
                    <a:srcRect t="8557"/>
                    <a:stretch>
                      <a:fillRect/>
                    </a:stretch>
                  </pic:blipFill>
                  <pic:spPr bwMode="auto">
                    <a:xfrm>
                      <a:off x="0" y="0"/>
                      <a:ext cx="4745560" cy="3525818"/>
                    </a:xfrm>
                    <a:prstGeom prst="rect">
                      <a:avLst/>
                    </a:prstGeom>
                    <a:noFill/>
                    <a:ln w="9525">
                      <a:noFill/>
                      <a:miter lim="800000"/>
                      <a:headEnd/>
                      <a:tailEnd/>
                    </a:ln>
                  </pic:spPr>
                </pic:pic>
              </a:graphicData>
            </a:graphic>
          </wp:inline>
        </w:drawing>
      </w:r>
    </w:p>
    <w:p w:rsidR="00CA4909" w:rsidRPr="004E2F1C" w:rsidRDefault="00CA4909" w:rsidP="00CA4909">
      <w:pPr>
        <w:pStyle w:val="NoSpacing"/>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31:</w:t>
      </w:r>
      <w:r w:rsidRPr="00433E2D">
        <w:rPr>
          <w:rFonts w:ascii="Book Antiqua" w:hAnsi="Book Antiqua"/>
          <w:i/>
          <w:sz w:val="18"/>
          <w:szCs w:val="18"/>
        </w:rPr>
        <w:t xml:space="preserve"> Victoria crater from the HiRise satellite in Martian orbit. The path of Opportunity is traced along the crater rim. Note the scalloped edges of the crater which is typical of EDM, but is rarely achieved by impact. The yellow bar gives the crater’s scale. </w:t>
      </w:r>
    </w:p>
    <w:p w:rsidR="00CA4909" w:rsidRPr="004E2F1C" w:rsidRDefault="00CA4909" w:rsidP="00CA4909">
      <w:pPr>
        <w:ind w:firstLine="720"/>
        <w:jc w:val="both"/>
        <w:rPr>
          <w:rFonts w:ascii="Book Antiqua" w:hAnsi="Book Antiqua"/>
        </w:rPr>
      </w:pPr>
    </w:p>
    <w:p w:rsidR="00CA4909" w:rsidRDefault="00CA4909" w:rsidP="00CA4909">
      <w:pPr>
        <w:ind w:firstLine="720"/>
        <w:rPr>
          <w:rFonts w:ascii="Book Antiqua" w:hAnsi="Book Antiqua"/>
          <w:i/>
        </w:rPr>
      </w:pPr>
      <w:r w:rsidRPr="004E2F1C">
        <w:rPr>
          <w:rFonts w:ascii="Book Antiqua" w:hAnsi="Book Antiqua"/>
          <w:i/>
        </w:rPr>
        <w:t>E</w:t>
      </w:r>
      <w:r>
        <w:rPr>
          <w:rFonts w:ascii="Book Antiqua" w:hAnsi="Book Antiqua"/>
          <w:i/>
        </w:rPr>
        <w:t>6</w:t>
      </w:r>
      <w:r w:rsidRPr="004E2F1C">
        <w:rPr>
          <w:rFonts w:ascii="Book Antiqua" w:hAnsi="Book Antiqua"/>
          <w:i/>
        </w:rPr>
        <w:t>.  Large Basins and Circular Structures</w:t>
      </w:r>
    </w:p>
    <w:p w:rsidR="00157DB2" w:rsidRPr="004E2F1C" w:rsidRDefault="00157DB2" w:rsidP="00CA4909">
      <w:pPr>
        <w:ind w:firstLine="720"/>
        <w:rPr>
          <w:rFonts w:ascii="Book Antiqua" w:hAnsi="Book Antiqua"/>
          <w:i/>
        </w:rPr>
      </w:pPr>
    </w:p>
    <w:p w:rsidR="00CA4909" w:rsidRPr="00063498" w:rsidRDefault="00CA4909" w:rsidP="00CA4909">
      <w:pPr>
        <w:pStyle w:val="NoSpacing"/>
        <w:ind w:firstLine="720"/>
        <w:rPr>
          <w:rFonts w:ascii="Book Antiqua" w:hAnsi="Book Antiqua"/>
          <w:sz w:val="20"/>
        </w:rPr>
      </w:pPr>
      <w:r w:rsidRPr="00063498">
        <w:rPr>
          <w:rFonts w:ascii="Book Antiqua" w:hAnsi="Book Antiqua"/>
          <w:sz w:val="20"/>
        </w:rPr>
        <w:t>On a very large scale, there are huge circular structures like Mare Imbrium on the Moon, the Caloris Basin on Mercury, or the Hellas basin on Mars.  Mare Imbrium is outlined in Figure 32 and shown in detail in Figure 33</w:t>
      </w:r>
    </w:p>
    <w:p w:rsidR="00CA4909" w:rsidRPr="004E2F1C" w:rsidRDefault="00CA4909" w:rsidP="00CA4909">
      <w:pPr>
        <w:ind w:firstLine="720"/>
        <w:jc w:val="both"/>
        <w:rPr>
          <w:rFonts w:ascii="Book Antiqua" w:hAnsi="Book Antiqua"/>
        </w:rPr>
      </w:pPr>
    </w:p>
    <w:tbl>
      <w:tblPr>
        <w:tblStyle w:val="TableGrid"/>
        <w:tblW w:w="0" w:type="auto"/>
        <w:jc w:val="center"/>
        <w:tblLook w:val="04A0"/>
      </w:tblPr>
      <w:tblGrid>
        <w:gridCol w:w="4121"/>
        <w:gridCol w:w="3996"/>
      </w:tblGrid>
      <w:tr w:rsidR="00CA4909" w:rsidRPr="004E2F1C" w:rsidTr="00157DB2">
        <w:trPr>
          <w:jc w:val="center"/>
        </w:trPr>
        <w:tc>
          <w:tcPr>
            <w:tcW w:w="2734" w:type="dxa"/>
          </w:tcPr>
          <w:p w:rsidR="00CA4909" w:rsidRPr="004E2F1C" w:rsidRDefault="00CA4909" w:rsidP="00DA58EE">
            <w:pPr>
              <w:jc w:val="both"/>
              <w:rPr>
                <w:rFonts w:ascii="Book Antiqua" w:hAnsi="Book Antiqua"/>
                <w:i/>
              </w:rPr>
            </w:pPr>
            <w:r w:rsidRPr="004E2F1C">
              <w:rPr>
                <w:rFonts w:ascii="Book Antiqua" w:hAnsi="Book Antiqua"/>
                <w:i/>
                <w:noProof/>
                <w:lang w:val="en-US"/>
              </w:rPr>
              <w:drawing>
                <wp:inline distT="0" distB="0" distL="0" distR="0">
                  <wp:extent cx="2460471" cy="2382050"/>
                  <wp:effectExtent l="19050" t="0" r="0" b="0"/>
                  <wp:docPr id="277" name="Picture 37" descr="http://upload.wikimedia.org/wikipedia/commons/thumb/f/f3/Imbrium_location.jpg/200px-Imbrium_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f/f3/Imbrium_location.jpg/200px-Imbrium_location.jpg"/>
                          <pic:cNvPicPr>
                            <a:picLocks noChangeAspect="1" noChangeArrowheads="1"/>
                          </pic:cNvPicPr>
                        </pic:nvPicPr>
                        <pic:blipFill>
                          <a:blip r:embed="rId133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5421" cy="2396524"/>
                          </a:xfrm>
                          <a:prstGeom prst="rect">
                            <a:avLst/>
                          </a:prstGeom>
                          <a:noFill/>
                          <a:ln>
                            <a:noFill/>
                          </a:ln>
                        </pic:spPr>
                      </pic:pic>
                    </a:graphicData>
                  </a:graphic>
                </wp:inline>
              </w:drawing>
            </w:r>
          </w:p>
        </w:tc>
        <w:tc>
          <w:tcPr>
            <w:tcW w:w="2522" w:type="dxa"/>
          </w:tcPr>
          <w:p w:rsidR="00CA4909" w:rsidRPr="004E2F1C" w:rsidRDefault="00CA4909" w:rsidP="00DA58EE">
            <w:pPr>
              <w:jc w:val="both"/>
              <w:rPr>
                <w:rFonts w:ascii="Book Antiqua" w:hAnsi="Book Antiqua"/>
                <w:i/>
              </w:rPr>
            </w:pPr>
            <w:r w:rsidRPr="000574FB">
              <w:rPr>
                <w:rFonts w:ascii="Book Antiqua" w:hAnsi="Book Antiqua"/>
                <w:i/>
                <w:noProof/>
                <w:lang w:val="en-US"/>
              </w:rPr>
              <w:drawing>
                <wp:inline distT="0" distB="0" distL="0" distR="0">
                  <wp:extent cx="2378368" cy="2428154"/>
                  <wp:effectExtent l="19050" t="0" r="2882" b="0"/>
                  <wp:docPr id="278" name="Picture 1" descr="File:Imbrium map.png"/>
                  <wp:cNvGraphicFramePr/>
                  <a:graphic xmlns:a="http://schemas.openxmlformats.org/drawingml/2006/main">
                    <a:graphicData uri="http://schemas.openxmlformats.org/drawingml/2006/picture">
                      <pic:pic xmlns:pic="http://schemas.openxmlformats.org/drawingml/2006/picture">
                        <pic:nvPicPr>
                          <pic:cNvPr id="4" name="Picture 3" descr="File:Imbrium map.png"/>
                          <pic:cNvPicPr/>
                        </pic:nvPicPr>
                        <pic:blipFill>
                          <a:blip r:embed="rId1340" cstate="print"/>
                          <a:srcRect/>
                          <a:stretch>
                            <a:fillRect/>
                          </a:stretch>
                        </pic:blipFill>
                        <pic:spPr bwMode="auto">
                          <a:xfrm>
                            <a:off x="0" y="0"/>
                            <a:ext cx="2380839" cy="2430677"/>
                          </a:xfrm>
                          <a:prstGeom prst="rect">
                            <a:avLst/>
                          </a:prstGeom>
                          <a:noFill/>
                          <a:ln w="9525">
                            <a:noFill/>
                            <a:miter lim="800000"/>
                            <a:headEnd/>
                            <a:tailEnd/>
                          </a:ln>
                        </pic:spPr>
                      </pic:pic>
                    </a:graphicData>
                  </a:graphic>
                </wp:inline>
              </w:drawing>
            </w:r>
          </w:p>
        </w:tc>
      </w:tr>
    </w:tbl>
    <w:p w:rsidR="00CA4909" w:rsidRPr="004E2F1C" w:rsidRDefault="00CA4909" w:rsidP="00157DB2">
      <w:pPr>
        <w:pStyle w:val="NoSpacing"/>
        <w:jc w:val="center"/>
        <w:rPr>
          <w:rFonts w:ascii="Book Antiqua" w:hAnsi="Book Antiqua"/>
          <w:sz w:val="20"/>
        </w:rPr>
      </w:pPr>
    </w:p>
    <w:p w:rsidR="00CA4909" w:rsidRPr="00302B7A" w:rsidRDefault="00CA4909" w:rsidP="00157DB2">
      <w:pPr>
        <w:pStyle w:val="NoSpacing"/>
        <w:jc w:val="center"/>
        <w:rPr>
          <w:rFonts w:ascii="Book Antiqua" w:hAnsi="Book Antiqua"/>
          <w:i/>
          <w:sz w:val="18"/>
          <w:szCs w:val="18"/>
        </w:rPr>
      </w:pPr>
      <w:r w:rsidRPr="00302B7A">
        <w:rPr>
          <w:rFonts w:ascii="Book Antiqua" w:hAnsi="Book Antiqua"/>
          <w:b/>
          <w:i/>
          <w:sz w:val="18"/>
          <w:szCs w:val="18"/>
        </w:rPr>
        <w:t>Figure 32:</w:t>
      </w:r>
      <w:r w:rsidRPr="00302B7A">
        <w:rPr>
          <w:rFonts w:ascii="Book Antiqua" w:hAnsi="Book Antiqua"/>
          <w:i/>
          <w:sz w:val="18"/>
          <w:szCs w:val="18"/>
        </w:rPr>
        <w:t xml:space="preserve"> Mare Imbrium – Left: outlined on an image of the Moon. Right: enlarged showing position of a mass-concentration or ‘mascon.’</w:t>
      </w:r>
    </w:p>
    <w:p w:rsidR="00CA4909" w:rsidRPr="004E2F1C" w:rsidRDefault="00CA4909" w:rsidP="00157DB2">
      <w:pPr>
        <w:pStyle w:val="NoSpacing"/>
        <w:jc w:val="center"/>
        <w:rPr>
          <w:rFonts w:ascii="Book Antiqua" w:hAnsi="Book Antiqua"/>
          <w:sz w:val="20"/>
        </w:rPr>
      </w:pPr>
    </w:p>
    <w:p w:rsidR="00CA4909" w:rsidRPr="004E2F1C" w:rsidRDefault="00CA4909" w:rsidP="00CA4909">
      <w:pPr>
        <w:jc w:val="center"/>
        <w:rPr>
          <w:rFonts w:ascii="Book Antiqua" w:hAnsi="Book Antiqua"/>
          <w:i/>
        </w:rPr>
      </w:pPr>
      <w:r w:rsidRPr="004E2F1C">
        <w:rPr>
          <w:rFonts w:ascii="Book Antiqua" w:hAnsi="Book Antiqua"/>
          <w:noProof/>
          <w:lang w:val="en-US"/>
        </w:rPr>
        <w:lastRenderedPageBreak/>
        <w:drawing>
          <wp:inline distT="0" distB="0" distL="0" distR="0">
            <wp:extent cx="3723075" cy="3337647"/>
            <wp:effectExtent l="19050" t="0" r="0" b="0"/>
            <wp:docPr id="279" name="il_fi" descr="http://www.imbrium.de/img/mare_imbrium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mbrium.de/img/mare_imbrium_text.jpg"/>
                    <pic:cNvPicPr>
                      <a:picLocks noChangeAspect="1" noChangeArrowheads="1"/>
                    </pic:cNvPicPr>
                  </pic:nvPicPr>
                  <pic:blipFill>
                    <a:blip r:embed="rId1341" cstate="print"/>
                    <a:srcRect/>
                    <a:stretch>
                      <a:fillRect/>
                    </a:stretch>
                  </pic:blipFill>
                  <pic:spPr bwMode="auto">
                    <a:xfrm>
                      <a:off x="0" y="0"/>
                      <a:ext cx="3732813" cy="3346377"/>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33:</w:t>
      </w:r>
      <w:r w:rsidRPr="00433E2D">
        <w:rPr>
          <w:rFonts w:ascii="Book Antiqua" w:hAnsi="Book Antiqua"/>
          <w:i/>
          <w:sz w:val="18"/>
          <w:szCs w:val="18"/>
        </w:rPr>
        <w:t xml:space="preserve"> Mare Imbrium detail. This photo is inverted from Fig. 32. The mascon is located under the surface just above the Sinus Iridum bay, which some have speculated may be the entry point of the impactor or bolide.</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These vast circular plains, which have been covered with magma from the interior of the planetary body, have been shown to have some kind of massive body, referred to as a mass concentration or ‘mascon’ underneath the structure. The position of mascons on the Moon is shown in Figure34.  (The right hand half of the image is the part of the Moon visible from the earth and the left hand side of the picture is the hidden side of the moon).  In this illustration it can be seen that the major Lunar Maria -- Imbrium, Serenetatis, Crisium, Smythii, Humboltianum, Humorum, and Nectaris -- all have positive mass concentrations. Mare Orientalae on the far side also has a small mascon associated with it. The other far-side basins have a mass deficit, with no massive body underneath.  Mercury’s mascons are in Fig. 35 with Mars in Fig. 36.</w:t>
      </w:r>
    </w:p>
    <w:p w:rsidR="00CA4909" w:rsidRPr="004E2F1C" w:rsidRDefault="00CA4909" w:rsidP="00CA4909">
      <w:pPr>
        <w:ind w:firstLine="720"/>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4629790" cy="2328868"/>
            <wp:effectExtent l="19050" t="0" r="0" b="0"/>
            <wp:docPr id="287" name="Picture 42" descr="LPOD-Sept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POD-Sept6-09.jpg"/>
                    <pic:cNvPicPr>
                      <a:picLocks noChangeAspect="1" noChangeArrowheads="1"/>
                    </pic:cNvPicPr>
                  </pic:nvPicPr>
                  <pic:blipFill>
                    <a:blip r:embed="rId1342" cstate="print">
                      <a:lum contrast="30000"/>
                    </a:blip>
                    <a:srcRect b="18852"/>
                    <a:stretch>
                      <a:fillRect/>
                    </a:stretch>
                  </pic:blipFill>
                  <pic:spPr bwMode="auto">
                    <a:xfrm>
                      <a:off x="0" y="0"/>
                      <a:ext cx="4639217" cy="2333610"/>
                    </a:xfrm>
                    <a:prstGeom prst="rect">
                      <a:avLst/>
                    </a:prstGeom>
                    <a:noFill/>
                    <a:ln w="9525">
                      <a:noFill/>
                      <a:miter lim="800000"/>
                      <a:headEnd/>
                      <a:tailEnd/>
                    </a:ln>
                  </pic:spPr>
                </pic:pic>
              </a:graphicData>
            </a:graphic>
          </wp:inline>
        </w:drawing>
      </w:r>
    </w:p>
    <w:p w:rsidR="00CA4909" w:rsidRPr="00302B7A"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34:</w:t>
      </w:r>
      <w:r w:rsidRPr="00302B7A">
        <w:rPr>
          <w:rFonts w:ascii="Book Antiqua" w:hAnsi="Book Antiqua"/>
          <w:i/>
          <w:sz w:val="18"/>
          <w:szCs w:val="18"/>
        </w:rPr>
        <w:t xml:space="preserve"> Lunar mass concentrations (mascons, yellow) are associated with the basins forming the </w:t>
      </w:r>
      <w:proofErr w:type="gramStart"/>
      <w:r w:rsidRPr="00302B7A">
        <w:rPr>
          <w:rFonts w:ascii="Book Antiqua" w:hAnsi="Book Antiqua"/>
          <w:i/>
          <w:sz w:val="18"/>
          <w:szCs w:val="18"/>
        </w:rPr>
        <w:t>great plains</w:t>
      </w:r>
      <w:proofErr w:type="gramEnd"/>
      <w:r w:rsidRPr="00302B7A">
        <w:rPr>
          <w:rFonts w:ascii="Book Antiqua" w:hAnsi="Book Antiqua"/>
          <w:i/>
          <w:sz w:val="18"/>
          <w:szCs w:val="18"/>
        </w:rPr>
        <w:t>, mainly on the visible side (right).</w:t>
      </w:r>
    </w:p>
    <w:p w:rsidR="00CA4909" w:rsidRPr="004E2F1C" w:rsidRDefault="00CA4909" w:rsidP="00CA4909">
      <w:pPr>
        <w:rPr>
          <w:rFonts w:ascii="Book Antiqua" w:hAnsi="Book Antiqua"/>
          <w:sz w:val="18"/>
          <w:szCs w:val="18"/>
        </w:rPr>
      </w:pPr>
    </w:p>
    <w:p w:rsidR="00CA4909" w:rsidRPr="004E2F1C" w:rsidRDefault="00CA4909" w:rsidP="00CA4909">
      <w:pPr>
        <w:jc w:val="center"/>
        <w:rPr>
          <w:rFonts w:ascii="Book Antiqua" w:hAnsi="Book Antiqua"/>
        </w:rPr>
      </w:pPr>
      <w:r w:rsidRPr="004E2F1C">
        <w:rPr>
          <w:rFonts w:ascii="Book Antiqua" w:hAnsi="Book Antiqua"/>
          <w:noProof/>
          <w:lang w:val="en-US"/>
        </w:rPr>
        <w:lastRenderedPageBreak/>
        <w:drawing>
          <wp:inline distT="0" distB="0" distL="0" distR="0">
            <wp:extent cx="3600450" cy="3238500"/>
            <wp:effectExtent l="19050" t="0" r="0" b="0"/>
            <wp:docPr id="289" name="Picture 45" descr="http://www.davidreneke.com/wp-content/uploads/2012/04/mercury-rou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avidreneke.com/wp-content/uploads/2012/04/mercury-round-map.jpg"/>
                    <pic:cNvPicPr>
                      <a:picLocks noChangeAspect="1" noChangeArrowheads="1"/>
                    </pic:cNvPicPr>
                  </pic:nvPicPr>
                  <pic:blipFill>
                    <a:blip r:embed="rId1343" cstate="print">
                      <a:lum contrast="40000"/>
                    </a:blip>
                    <a:srcRect/>
                    <a:stretch>
                      <a:fillRect/>
                    </a:stretch>
                  </pic:blipFill>
                  <pic:spPr bwMode="auto">
                    <a:xfrm>
                      <a:off x="0" y="0"/>
                      <a:ext cx="3610601" cy="3247631"/>
                    </a:xfrm>
                    <a:prstGeom prst="rect">
                      <a:avLst/>
                    </a:prstGeom>
                    <a:noFill/>
                    <a:ln w="9525">
                      <a:noFill/>
                      <a:miter lim="800000"/>
                      <a:headEnd/>
                      <a:tailEnd/>
                    </a:ln>
                  </pic:spPr>
                </pic:pic>
              </a:graphicData>
            </a:graphic>
          </wp:inline>
        </w:drawing>
      </w:r>
    </w:p>
    <w:p w:rsidR="00CA4909" w:rsidRPr="00302B7A" w:rsidRDefault="00CA4909" w:rsidP="00CA4909">
      <w:pPr>
        <w:rPr>
          <w:rFonts w:ascii="Book Antiqua" w:hAnsi="Book Antiqua"/>
          <w:b/>
          <w:sz w:val="18"/>
          <w:szCs w:val="18"/>
        </w:rPr>
      </w:pPr>
    </w:p>
    <w:p w:rsidR="00CA4909" w:rsidRPr="00433E2D" w:rsidRDefault="00CA4909" w:rsidP="00433E2D">
      <w:pPr>
        <w:pStyle w:val="NoSpacing"/>
        <w:rPr>
          <w:rFonts w:ascii="Book Antiqua" w:hAnsi="Book Antiqua"/>
          <w:i/>
          <w:sz w:val="18"/>
          <w:szCs w:val="18"/>
        </w:rPr>
      </w:pPr>
      <w:r w:rsidRPr="00433E2D">
        <w:rPr>
          <w:rFonts w:ascii="Book Antiqua" w:hAnsi="Book Antiqua"/>
          <w:b/>
          <w:i/>
          <w:sz w:val="18"/>
          <w:szCs w:val="18"/>
        </w:rPr>
        <w:t>Figure 35:</w:t>
      </w:r>
      <w:r w:rsidRPr="00433E2D">
        <w:rPr>
          <w:rFonts w:ascii="Book Antiqua" w:hAnsi="Book Antiqua"/>
          <w:i/>
          <w:sz w:val="18"/>
          <w:szCs w:val="18"/>
        </w:rPr>
        <w:t xml:space="preserve"> Mascons (circled) under basins on Mercury’s northern hemisphere. These basins are Caloris, Sobkou, Budh, Rodin, Tir, Mozart etc. This map comes from gravity studies by the Messenger spacecraft. The gravity anomalies emerge after the data are corrected for a regional high.</w:t>
      </w:r>
    </w:p>
    <w:p w:rsidR="00CA4909" w:rsidRPr="004E2F1C" w:rsidRDefault="00CA4909" w:rsidP="00CA4909">
      <w:pPr>
        <w:jc w:val="both"/>
        <w:rPr>
          <w:rFonts w:ascii="Book Antiqua" w:hAnsi="Book Antiqua"/>
        </w:rPr>
      </w:pPr>
    </w:p>
    <w:p w:rsidR="00CA4909" w:rsidRPr="004E2F1C" w:rsidRDefault="00CA4909" w:rsidP="00CA4909">
      <w:pPr>
        <w:jc w:val="center"/>
        <w:rPr>
          <w:rFonts w:ascii="Book Antiqua" w:hAnsi="Book Antiqua"/>
        </w:rPr>
      </w:pPr>
      <w:r w:rsidRPr="004E2F1C">
        <w:rPr>
          <w:rFonts w:ascii="Book Antiqua" w:hAnsi="Book Antiqua"/>
          <w:noProof/>
          <w:lang w:val="en-US"/>
        </w:rPr>
        <w:drawing>
          <wp:inline distT="0" distB="0" distL="0" distR="0">
            <wp:extent cx="5000607" cy="3495675"/>
            <wp:effectExtent l="19050" t="0" r="0" b="0"/>
            <wp:docPr id="294" name="il_fi" descr="http://www.psrd.hawaii.edu/WebImg/Frey.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srd.hawaii.edu/WebImg/Frey.Fig.2.jpg"/>
                    <pic:cNvPicPr>
                      <a:picLocks noChangeAspect="1" noChangeArrowheads="1"/>
                    </pic:cNvPicPr>
                  </pic:nvPicPr>
                  <pic:blipFill>
                    <a:blip r:embed="rId320" cstate="print"/>
                    <a:srcRect t="5249" b="4144"/>
                    <a:stretch>
                      <a:fillRect/>
                    </a:stretch>
                  </pic:blipFill>
                  <pic:spPr bwMode="auto">
                    <a:xfrm>
                      <a:off x="0" y="0"/>
                      <a:ext cx="5003687" cy="3497828"/>
                    </a:xfrm>
                    <a:prstGeom prst="rect">
                      <a:avLst/>
                    </a:prstGeom>
                    <a:noFill/>
                    <a:ln w="9525">
                      <a:noFill/>
                      <a:miter lim="800000"/>
                      <a:headEnd/>
                      <a:tailEnd/>
                    </a:ln>
                  </pic:spPr>
                </pic:pic>
              </a:graphicData>
            </a:graphic>
          </wp:inline>
        </w:drawing>
      </w:r>
    </w:p>
    <w:p w:rsidR="00CA4909" w:rsidRPr="004E2F1C" w:rsidRDefault="00CA4909" w:rsidP="00CA4909">
      <w:pPr>
        <w:jc w:val="both"/>
        <w:rPr>
          <w:rFonts w:ascii="Book Antiqua" w:hAnsi="Book Antiqua"/>
          <w:b/>
          <w:i/>
        </w:rPr>
      </w:pPr>
    </w:p>
    <w:p w:rsidR="00CA4909" w:rsidRPr="00302B7A" w:rsidRDefault="00CA4909" w:rsidP="00CA4909">
      <w:pPr>
        <w:rPr>
          <w:rFonts w:ascii="Book Antiqua" w:hAnsi="Book Antiqua"/>
          <w:i/>
          <w:sz w:val="18"/>
          <w:szCs w:val="18"/>
        </w:rPr>
      </w:pPr>
      <w:r w:rsidRPr="00302B7A">
        <w:rPr>
          <w:rFonts w:ascii="Book Antiqua" w:hAnsi="Book Antiqua"/>
          <w:b/>
          <w:i/>
          <w:sz w:val="18"/>
          <w:szCs w:val="18"/>
        </w:rPr>
        <w:t>Figure 36:</w:t>
      </w:r>
      <w:r w:rsidRPr="00302B7A">
        <w:rPr>
          <w:rFonts w:ascii="Book Antiqua" w:hAnsi="Book Antiqua"/>
          <w:i/>
          <w:sz w:val="18"/>
          <w:szCs w:val="18"/>
        </w:rPr>
        <w:t xml:space="preserve"> The mascons on Mars are related to the Quasi Circular Depressions (QCD). Most make up the northern hemisphere lowlands (blue) [12]. </w:t>
      </w:r>
    </w:p>
    <w:p w:rsidR="00CA4909" w:rsidRPr="00063498" w:rsidRDefault="00CA4909" w:rsidP="00CA4909">
      <w:pPr>
        <w:pStyle w:val="NoSpacing"/>
        <w:rPr>
          <w:rFonts w:ascii="Book Antiqua" w:hAnsi="Book Antiqua"/>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lastRenderedPageBreak/>
        <w:t>Mascons are impossible to form by any EDM process reproducible in the lab, but testify to the fact that a significant portion of the impacting body (probably iron-rich) remains there. This idea is reinforced by the magnetic anomalies associated with the mascons. In addition, a concentration of heavy basaltic magma that rose in response to the immense pressure pulse might be expected. The basin then dropped by about two miles on the tangential fault system. In the case of the Moon, this can be seen by the Appenines fault scarp left of the crater Archimedes in Figure 33. This sinking basin then displaced about 800,000 cubic miles of magma which flowed out onto the surface and formed the circular plain. Under these circumstances, it is safe to say that, generally, the large circular basins are the result of impact rather than EDM.</w:t>
      </w:r>
    </w:p>
    <w:p w:rsidR="00CA4909" w:rsidRPr="00063498" w:rsidRDefault="00CA4909" w:rsidP="00CA4909">
      <w:pPr>
        <w:pStyle w:val="NoSpacing"/>
        <w:rPr>
          <w:rFonts w:ascii="Book Antiqua" w:hAnsi="Book Antiqua"/>
          <w:sz w:val="20"/>
        </w:rPr>
      </w:pPr>
      <w:r w:rsidRPr="00063498">
        <w:rPr>
          <w:rFonts w:ascii="Book Antiqua" w:hAnsi="Book Antiqua"/>
          <w:sz w:val="20"/>
        </w:rPr>
        <w:t xml:space="preserve">  </w:t>
      </w: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These circular basins on the Moon were all formed in the Nectarian period of Lunar Geology approximately 3.92-3.85 billion atomic years ago. This corresponds to the time of the </w:t>
      </w:r>
      <w:proofErr w:type="gramStart"/>
      <w:r w:rsidRPr="00063498">
        <w:rPr>
          <w:rFonts w:ascii="Book Antiqua" w:hAnsi="Book Antiqua"/>
          <w:sz w:val="20"/>
        </w:rPr>
        <w:t>Late</w:t>
      </w:r>
      <w:proofErr w:type="gramEnd"/>
      <w:r w:rsidRPr="00063498">
        <w:rPr>
          <w:rFonts w:ascii="Book Antiqua" w:hAnsi="Book Antiqua"/>
          <w:sz w:val="20"/>
        </w:rPr>
        <w:t xml:space="preserve"> heavy Bombardment event in the inner Solar System. The following Imbrium Period, from 3.85 to 3.2 billion atomic years, corresponds with the time of the sinking of the Imbrium basin and the resultant flooding of what is now the Maria with the molten basaltic rock.  The following Eratosthenian Period, from 3.2 down to 1.1 billion atomic years ago, was the period of solidification of the Mare basalts. It includes the readjustments and secondary lave flows which occurred as the Maria settled down. The final Copernican Period, which extends from 1.1 billion atomic years down to the present, covers the period of the two-fold break-up of the asteroidal planet and then its moon. Cosmic ray exposure ages on meteorites indicate that these three break-up events, which brought about the asteroid belt as we know it today, occurred 800, 255 and 70 million atomic years ago. They sent debris to the inner Solar System and supplied the rest of the </w:t>
      </w:r>
      <w:proofErr w:type="gramStart"/>
      <w:r w:rsidRPr="00063498">
        <w:rPr>
          <w:rFonts w:ascii="Book Antiqua" w:hAnsi="Book Antiqua"/>
          <w:sz w:val="20"/>
        </w:rPr>
        <w:t>Lunar</w:t>
      </w:r>
      <w:proofErr w:type="gramEnd"/>
      <w:r w:rsidRPr="00063498">
        <w:rPr>
          <w:rFonts w:ascii="Book Antiqua" w:hAnsi="Book Antiqua"/>
          <w:sz w:val="20"/>
        </w:rPr>
        <w:t xml:space="preserve"> craters. The crater Copernicus dates from about 800 million atomic years ago, while Tycho dates from about 70 million atomic years ago. It can be shown that Mercury, Venus and Mars all have a similar cratering history. So the four break-up events -- the one in what is now the Kuiper Belt (which caused the Late Heavy Bombardment) and the three which gave rise to the asteroid belt -- are catastrophes which have affected the whole solar system.</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There is a terrestrial geological significance regarding the three break-up dates of the meteorite parent bodies. In the geological column, there are 4 main Eras separated by 3 catastrophic events which ended each Era. The first Era, the Archaeozoic (sometimes called the Precambrian), which started about 4.5 billion atomic years ago, was effectively ended with what has often been termed the “Snowball Earth” catastrophe. This event occurred during the Neoproterozoic in what has come to be termed the Cryogenian Period. This period extends from 850 to 635 million atomic years ago. This closely corresponds to the 810 to 650 million atomic years we have noted in Chapter 7 given by the Cosmic Ray Exposure (CRE) age of the break-up of the parent body for the iron meteorites. The MAPCIS structure in Australia formed at this time (see Figure 37).</w:t>
      </w:r>
    </w:p>
    <w:p w:rsidR="00CA4909" w:rsidRPr="004E2F1C" w:rsidRDefault="00CA4909" w:rsidP="00CA4909">
      <w:pPr>
        <w:pStyle w:val="NoSpacing"/>
        <w:ind w:firstLine="720"/>
        <w:jc w:val="both"/>
        <w:rPr>
          <w:rStyle w:val="Strong"/>
          <w:rFonts w:ascii="Book Antiqua" w:hAnsi="Book Antiqua"/>
          <w:b w:val="0"/>
          <w:bCs w:val="0"/>
          <w:sz w:val="20"/>
        </w:rPr>
      </w:pPr>
      <w:r w:rsidRPr="004E2F1C">
        <w:rPr>
          <w:rStyle w:val="Strong"/>
          <w:rFonts w:ascii="Book Antiqua" w:hAnsi="Book Antiqua"/>
          <w:sz w:val="20"/>
        </w:rPr>
        <w:t xml:space="preserve"> </w:t>
      </w:r>
    </w:p>
    <w:p w:rsidR="00CA4909" w:rsidRPr="004E2F1C" w:rsidRDefault="00CA4909" w:rsidP="00CA4909">
      <w:pPr>
        <w:pStyle w:val="NoSpacing"/>
        <w:jc w:val="center"/>
        <w:rPr>
          <w:rStyle w:val="Strong"/>
          <w:rFonts w:ascii="Book Antiqua" w:hAnsi="Book Antiqua"/>
          <w:b w:val="0"/>
          <w:bCs w:val="0"/>
          <w:sz w:val="20"/>
        </w:rPr>
      </w:pPr>
      <w:r w:rsidRPr="004E2F1C">
        <w:rPr>
          <w:rFonts w:ascii="Book Antiqua" w:hAnsi="Book Antiqua"/>
          <w:noProof/>
          <w:sz w:val="20"/>
        </w:rPr>
        <w:drawing>
          <wp:inline distT="0" distB="0" distL="0" distR="0">
            <wp:extent cx="2570470" cy="2354884"/>
            <wp:effectExtent l="19050" t="0" r="1280" b="0"/>
            <wp:docPr id="309" name="il_fi" descr="http://mapcis.net/img/craters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apcis.net/img/cratersgoogle.jpg"/>
                    <pic:cNvPicPr>
                      <a:picLocks noChangeAspect="1" noChangeArrowheads="1"/>
                    </pic:cNvPicPr>
                  </pic:nvPicPr>
                  <pic:blipFill>
                    <a:blip r:embed="rId1012" cstate="print"/>
                    <a:srcRect r="199" b="4027"/>
                    <a:stretch>
                      <a:fillRect/>
                    </a:stretch>
                  </pic:blipFill>
                  <pic:spPr bwMode="auto">
                    <a:xfrm>
                      <a:off x="0" y="0"/>
                      <a:ext cx="2579884" cy="2363508"/>
                    </a:xfrm>
                    <a:prstGeom prst="rect">
                      <a:avLst/>
                    </a:prstGeom>
                    <a:noFill/>
                    <a:ln w="9525">
                      <a:noFill/>
                      <a:miter lim="800000"/>
                      <a:headEnd/>
                      <a:tailEnd/>
                    </a:ln>
                  </pic:spPr>
                </pic:pic>
              </a:graphicData>
            </a:graphic>
          </wp:inline>
        </w:drawing>
      </w:r>
    </w:p>
    <w:p w:rsidR="00CA4909" w:rsidRPr="004E2F1C" w:rsidRDefault="00CA4909" w:rsidP="00CA4909">
      <w:pPr>
        <w:pStyle w:val="NoSpacing"/>
        <w:jc w:val="both"/>
        <w:rPr>
          <w:rStyle w:val="Strong"/>
          <w:rFonts w:ascii="Book Antiqua" w:hAnsi="Book Antiqua"/>
          <w:bCs w:val="0"/>
          <w:i/>
          <w:sz w:val="20"/>
        </w:rPr>
      </w:pPr>
    </w:p>
    <w:p w:rsidR="00CA4909" w:rsidRPr="00BC6DF8" w:rsidRDefault="00CA4909" w:rsidP="00BC6DF8">
      <w:pPr>
        <w:pStyle w:val="NoSpacing"/>
        <w:jc w:val="center"/>
        <w:rPr>
          <w:rStyle w:val="Strong"/>
          <w:rFonts w:ascii="Book Antiqua" w:hAnsi="Book Antiqua"/>
          <w:b w:val="0"/>
          <w:bCs w:val="0"/>
          <w:i/>
          <w:sz w:val="18"/>
          <w:szCs w:val="18"/>
        </w:rPr>
      </w:pPr>
      <w:r w:rsidRPr="00302B7A">
        <w:rPr>
          <w:rStyle w:val="Strong"/>
          <w:rFonts w:ascii="Book Antiqua" w:hAnsi="Book Antiqua"/>
          <w:i/>
          <w:sz w:val="18"/>
          <w:szCs w:val="18"/>
        </w:rPr>
        <w:t xml:space="preserve">Figure 37: </w:t>
      </w:r>
      <w:r w:rsidRPr="00BC6DF8">
        <w:rPr>
          <w:rStyle w:val="Strong"/>
          <w:rFonts w:ascii="Book Antiqua" w:hAnsi="Book Antiqua"/>
          <w:b w:val="0"/>
          <w:i/>
          <w:sz w:val="18"/>
          <w:szCs w:val="18"/>
        </w:rPr>
        <w:t>The MAPCIS structure in Australia from satellite images [9].</w:t>
      </w:r>
    </w:p>
    <w:p w:rsidR="00CA4909" w:rsidRPr="004E2F1C"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lastRenderedPageBreak/>
        <w:t xml:space="preserve">In earth geology, the Paleozoic Era followed the Archaeozoic and ended with the Permian extinction event which occurred about 251 million atomic years ago. This closely corresponds with the CRE date for the break-up of the stony-iron parent body at 258 million atomic years. The Mesozoic Era, which followed the Paleozoic, ended with the Cretaceous/Tertiary extinction event at 65 million atomic years. This is closely mirrored in the data for the stony meteorites which gives a CRE break-up age of 65.8 million atomic years for the parent planet or asteroid. The Cenozoic Era which followed was punctuated by the last Ice-age. The implication is that these solar system events had their counterparts in the catastrophes which are recorded in the geological column. Whatever caused the break-up of the parent bodies for these three types of </w:t>
      </w:r>
      <w:proofErr w:type="gramStart"/>
      <w:r w:rsidRPr="00063498">
        <w:rPr>
          <w:rStyle w:val="Strong"/>
          <w:rFonts w:ascii="Book Antiqua" w:hAnsi="Book Antiqua"/>
          <w:b w:val="0"/>
          <w:sz w:val="20"/>
        </w:rPr>
        <w:t>meteorite,</w:t>
      </w:r>
      <w:proofErr w:type="gramEnd"/>
      <w:r w:rsidRPr="00063498">
        <w:rPr>
          <w:rStyle w:val="Strong"/>
          <w:rFonts w:ascii="Book Antiqua" w:hAnsi="Book Antiqua"/>
          <w:b w:val="0"/>
          <w:sz w:val="20"/>
        </w:rPr>
        <w:t xml:space="preserve"> appears to have been, either directly or indirectly, the cause of the main catastrophes recorded in the Earth’s geological column.</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Coincidently, we note that there are massive craters of the appropriate atomic age at the end of each of the geological Eras. The first of these is in the Neoproterozoic in Australia and is called MAPCIS standing for Massive Australian Precambrian/Cambrian Impact Structure. The structure has multiple rings with the outermost visible ring being about 2000 km (1,200 miles) in diameter. The innermost ring is 500 km (310 miles) in diameter. The mass concentration (mascon) and gravitational anomaly at the structure center is 640 km (400 miles) across while the magnetic anomaly is 700 km (440 miles) across (see Figure 37) [9]. </w:t>
      </w:r>
    </w:p>
    <w:p w:rsidR="00CA4909" w:rsidRPr="00063498"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 xml:space="preserve">In this case, pseudotachylite, a rare rock that is formed by intense friction, has been found in arcing deposits up to 161 km long and many kilometers wide ringing the central zone. A web of ground faults radiates from this zone. Whatever caused the structure, penetrated 45 km into the crust exposing eclogite, a form of rock only found at that </w:t>
      </w:r>
      <w:proofErr w:type="gramStart"/>
      <w:r w:rsidRPr="00063498">
        <w:rPr>
          <w:rStyle w:val="Strong"/>
          <w:rFonts w:ascii="Book Antiqua" w:hAnsi="Book Antiqua"/>
          <w:b w:val="0"/>
          <w:sz w:val="20"/>
        </w:rPr>
        <w:t>depth.</w:t>
      </w:r>
      <w:proofErr w:type="gramEnd"/>
      <w:r w:rsidRPr="00063498">
        <w:rPr>
          <w:rStyle w:val="Strong"/>
          <w:rFonts w:ascii="Book Antiqua" w:hAnsi="Book Antiqua"/>
          <w:b w:val="0"/>
          <w:sz w:val="20"/>
        </w:rPr>
        <w:t xml:space="preserve"> A rare alloy concentrated in iron meteorites is osmiridium. It is found in Neoproterozoic strata in this central zone and in a radiating pattern in the same strata across eastern Australia, Tasmania, New Zealand and New Caledonia. This suggests that the structure was caused by an impact rather than by electrical means. In addition, the mascon and associated magnetic anomaly indicates that a large body of nickel-iron remains under the crust at that point. This, too, strongly implicates an impact rather than an EDM process.  </w:t>
      </w:r>
    </w:p>
    <w:p w:rsidR="00CA4909" w:rsidRPr="00063498" w:rsidRDefault="00CA4909" w:rsidP="00CA4909">
      <w:pPr>
        <w:pStyle w:val="NoSpacing"/>
        <w:ind w:firstLine="720"/>
        <w:jc w:val="both"/>
        <w:rPr>
          <w:rStyle w:val="Strong"/>
          <w:rFonts w:ascii="Book Antiqua" w:hAnsi="Book Antiqua"/>
          <w:b w:val="0"/>
          <w:bCs w:val="0"/>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The second Catastrophe, the Permian extinction, dates at 250 million atomic years. There is a crater 380 km wide in Wilkes Land, Antarctica, as well as the Bedout crater off Australia’s northwest coast, which is 250 km in diameter.  The Antarctic structure is shown in detail in Figure 38 [10].</w:t>
      </w:r>
    </w:p>
    <w:p w:rsidR="00CA4909" w:rsidRPr="00063498" w:rsidRDefault="00CA4909" w:rsidP="00CA4909">
      <w:pPr>
        <w:pStyle w:val="NoSpacing"/>
        <w:jc w:val="both"/>
        <w:rPr>
          <w:rStyle w:val="Strong"/>
          <w:rFonts w:ascii="Book Antiqua" w:hAnsi="Book Antiqua"/>
          <w:b w:val="0"/>
          <w:bCs w:val="0"/>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6"/>
        <w:gridCol w:w="3786"/>
      </w:tblGrid>
      <w:tr w:rsidR="00CA4909" w:rsidRPr="004E2F1C" w:rsidTr="004D1BB3">
        <w:trPr>
          <w:jc w:val="center"/>
        </w:trPr>
        <w:tc>
          <w:tcPr>
            <w:tcW w:w="262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0" distR="0" simplePos="0" relativeHeight="251671552" behindDoc="0" locked="0" layoutInCell="1" allowOverlap="0">
                  <wp:simplePos x="0" y="0"/>
                  <wp:positionH relativeFrom="column">
                    <wp:posOffset>-34290</wp:posOffset>
                  </wp:positionH>
                  <wp:positionV relativeFrom="line">
                    <wp:posOffset>635</wp:posOffset>
                  </wp:positionV>
                  <wp:extent cx="2754630" cy="2375535"/>
                  <wp:effectExtent l="19050" t="0" r="7620" b="0"/>
                  <wp:wrapSquare wrapText="bothSides"/>
                  <wp:docPr id="310" name="Picture 25" descr="Largest Ever Killer Crater Found Under Ice in Antarc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rgest Ever Killer Crater Found Under Ice in Antarctica"/>
                          <pic:cNvPicPr>
                            <a:picLocks noChangeAspect="1" noChangeArrowheads="1"/>
                          </pic:cNvPicPr>
                        </pic:nvPicPr>
                        <pic:blipFill>
                          <a:blip r:embed="rId1013" cstate="print"/>
                          <a:srcRect l="16983" t="3311"/>
                          <a:stretch>
                            <a:fillRect/>
                          </a:stretch>
                        </pic:blipFill>
                        <pic:spPr bwMode="auto">
                          <a:xfrm>
                            <a:off x="0" y="0"/>
                            <a:ext cx="2754630" cy="2375535"/>
                          </a:xfrm>
                          <a:prstGeom prst="rect">
                            <a:avLst/>
                          </a:prstGeom>
                          <a:noFill/>
                          <a:ln w="9525">
                            <a:noFill/>
                            <a:miter lim="800000"/>
                            <a:headEnd/>
                            <a:tailEnd/>
                          </a:ln>
                        </pic:spPr>
                      </pic:pic>
                    </a:graphicData>
                  </a:graphic>
                </wp:anchor>
              </w:drawing>
            </w:r>
          </w:p>
        </w:tc>
        <w:tc>
          <w:tcPr>
            <w:tcW w:w="2628" w:type="dxa"/>
          </w:tcPr>
          <w:p w:rsidR="00CA4909" w:rsidRPr="004E2F1C" w:rsidRDefault="00CA4909" w:rsidP="00DA58EE">
            <w:pPr>
              <w:pStyle w:val="NoSpacing"/>
              <w:jc w:val="both"/>
              <w:rPr>
                <w:rFonts w:ascii="Book Antiqua" w:hAnsi="Book Antiqua"/>
                <w:noProof/>
                <w:sz w:val="20"/>
              </w:rPr>
            </w:pPr>
          </w:p>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inline distT="0" distB="0" distL="0" distR="0">
                  <wp:extent cx="2240056" cy="2222599"/>
                  <wp:effectExtent l="19050" t="0" r="7844" b="0"/>
                  <wp:docPr id="311" name="il_fi" descr="http://thetruthbehindthescenes.files.wordpress.com/2010/09/241.jpg?w=468&amp;h=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hetruthbehindthescenes.files.wordpress.com/2010/09/241.jpg?w=468&amp;h=569"/>
                          <pic:cNvPicPr>
                            <a:picLocks noChangeAspect="1" noChangeArrowheads="1"/>
                          </pic:cNvPicPr>
                        </pic:nvPicPr>
                        <pic:blipFill>
                          <a:blip r:embed="rId1014" cstate="print"/>
                          <a:srcRect l="42735" t="55009"/>
                          <a:stretch>
                            <a:fillRect/>
                          </a:stretch>
                        </pic:blipFill>
                        <pic:spPr bwMode="auto">
                          <a:xfrm>
                            <a:off x="0" y="0"/>
                            <a:ext cx="2244050" cy="2226562"/>
                          </a:xfrm>
                          <a:prstGeom prst="rect">
                            <a:avLst/>
                          </a:prstGeom>
                          <a:noFill/>
                          <a:ln w="9525">
                            <a:noFill/>
                            <a:miter lim="800000"/>
                            <a:headEnd/>
                            <a:tailEnd/>
                          </a:ln>
                        </pic:spPr>
                      </pic:pic>
                    </a:graphicData>
                  </a:graphic>
                </wp:inline>
              </w:drawing>
            </w:r>
          </w:p>
        </w:tc>
      </w:tr>
    </w:tbl>
    <w:p w:rsidR="00CA4909" w:rsidRPr="004E2F1C" w:rsidRDefault="00CA4909" w:rsidP="00CA4909">
      <w:pPr>
        <w:pStyle w:val="NoSpacing"/>
        <w:jc w:val="both"/>
        <w:rPr>
          <w:rStyle w:val="Strong"/>
          <w:rFonts w:ascii="Book Antiqua" w:hAnsi="Book Antiqua"/>
          <w:b w:val="0"/>
          <w:bCs w:val="0"/>
          <w:sz w:val="20"/>
        </w:rPr>
      </w:pPr>
    </w:p>
    <w:p w:rsidR="00CA4909" w:rsidRPr="00302B7A" w:rsidRDefault="00CA4909" w:rsidP="00CA4909">
      <w:pPr>
        <w:pStyle w:val="NoSpacing"/>
        <w:rPr>
          <w:rFonts w:ascii="Book Antiqua" w:hAnsi="Book Antiqua"/>
          <w:i/>
          <w:sz w:val="18"/>
          <w:szCs w:val="18"/>
        </w:rPr>
      </w:pPr>
      <w:r w:rsidRPr="00302B7A">
        <w:rPr>
          <w:rFonts w:ascii="Book Antiqua" w:hAnsi="Book Antiqua"/>
          <w:b/>
          <w:i/>
          <w:sz w:val="18"/>
          <w:szCs w:val="18"/>
        </w:rPr>
        <w:t>Figure 38:</w:t>
      </w:r>
      <w:r w:rsidRPr="00302B7A">
        <w:rPr>
          <w:rFonts w:ascii="Book Antiqua" w:hAnsi="Book Antiqua"/>
          <w:i/>
          <w:sz w:val="18"/>
          <w:szCs w:val="18"/>
        </w:rPr>
        <w:t xml:space="preserve"> On left, a combined image of gravity fluctuations and airborne radar in the Wilkes Land region of East </w:t>
      </w:r>
      <w:r w:rsidRPr="003E2C34">
        <w:rPr>
          <w:rFonts w:ascii="Book Antiqua" w:hAnsi="Book Antiqua"/>
          <w:i/>
          <w:sz w:val="18"/>
          <w:szCs w:val="18"/>
        </w:rPr>
        <w:t>Antarctica [10].</w:t>
      </w:r>
      <w:r w:rsidRPr="00302B7A">
        <w:rPr>
          <w:rFonts w:ascii="Book Antiqua" w:hAnsi="Book Antiqua"/>
          <w:i/>
          <w:sz w:val="18"/>
          <w:szCs w:val="18"/>
        </w:rPr>
        <w:t xml:space="preserve"> On the right the mascon associated with the structure is outlined in white.</w:t>
      </w:r>
    </w:p>
    <w:p w:rsidR="00CA4909" w:rsidRPr="004E2F1C" w:rsidRDefault="00CA4909" w:rsidP="00CA4909">
      <w:pPr>
        <w:pStyle w:val="NoSpacing"/>
        <w:jc w:val="both"/>
        <w:rPr>
          <w:rFonts w:ascii="Book Antiqua" w:hAnsi="Book Antiqua"/>
          <w:i/>
          <w:sz w:val="20"/>
        </w:rPr>
      </w:pPr>
    </w:p>
    <w:p w:rsidR="00CA4909" w:rsidRPr="004E2F1C" w:rsidRDefault="00CA4909" w:rsidP="00CA4909">
      <w:pPr>
        <w:pStyle w:val="NoSpacing"/>
        <w:jc w:val="both"/>
        <w:rPr>
          <w:rFonts w:ascii="Book Antiqua" w:hAnsi="Book Antiqua"/>
          <w:sz w:val="20"/>
        </w:rPr>
      </w:pPr>
      <w:r w:rsidRPr="004E2F1C">
        <w:rPr>
          <w:rFonts w:ascii="Book Antiqua" w:hAnsi="Book Antiqua"/>
          <w:sz w:val="20"/>
        </w:rPr>
        <w:t>In that figure,</w:t>
      </w:r>
      <w:r w:rsidRPr="004E2F1C">
        <w:rPr>
          <w:rFonts w:ascii="Book Antiqua" w:hAnsi="Book Antiqua"/>
          <w:i/>
          <w:sz w:val="20"/>
        </w:rPr>
        <w:t xml:space="preserve"> t</w:t>
      </w:r>
      <w:r w:rsidRPr="004E2F1C">
        <w:rPr>
          <w:rFonts w:ascii="Book Antiqua" w:hAnsi="Book Antiqua"/>
          <w:sz w:val="20"/>
        </w:rPr>
        <w:t>he edges of the crater are colored red and blue; a concentration of mantle material is colored orange (center). On right, an outline of East Antarctica with the mascon circled. This two-ringed crater with a mascon again suggests that impact rather than electrical means formed it.</w:t>
      </w:r>
    </w:p>
    <w:p w:rsidR="00CA4909" w:rsidRPr="004E2F1C" w:rsidRDefault="00CA4909" w:rsidP="00CA4909">
      <w:pPr>
        <w:pStyle w:val="NoSpacing"/>
        <w:jc w:val="both"/>
        <w:rPr>
          <w:rFonts w:ascii="Book Antiqua" w:hAnsi="Book Antiqua"/>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A similar event is linked to the Cretaceous Tertiary extinction episode, 65 million atomic years ago. The Chicxulub crater in the Yucatan dates from that time and is accompanied by a handful of other craters of approximately the same age around the world. The Yucatan crater was initially assessed as being 180 km wide. However, more recent work suggests that this is only the inner ring of a complex crater which is over 300 km wide. Images of the structure and the gravity anomaly are shown in Figure 39 [11].</w:t>
      </w:r>
      <w:r w:rsidRPr="00063498">
        <w:rPr>
          <w:rStyle w:val="Strong"/>
          <w:rFonts w:ascii="Book Antiqua" w:hAnsi="Book Antiqua"/>
          <w:b w:val="0"/>
          <w:color w:val="FF0000"/>
          <w:sz w:val="20"/>
        </w:rPr>
        <w:t xml:space="preserve"> </w:t>
      </w:r>
      <w:r w:rsidRPr="00063498">
        <w:rPr>
          <w:rStyle w:val="Strong"/>
          <w:rFonts w:ascii="Book Antiqua" w:hAnsi="Book Antiqua"/>
          <w:b w:val="0"/>
          <w:sz w:val="20"/>
        </w:rPr>
        <w:t xml:space="preserve">The swarm of white sinkholes on the right of the structure formed on the surface long after the limestone covering the crater was deposited. That means these sinkholes are not directly associated with the cratering process. </w:t>
      </w:r>
    </w:p>
    <w:p w:rsidR="00CA4909" w:rsidRPr="004E2F1C" w:rsidRDefault="00CA4909" w:rsidP="00CA4909">
      <w:pPr>
        <w:pStyle w:val="NoSpacing"/>
        <w:ind w:firstLine="720"/>
        <w:jc w:val="both"/>
        <w:rPr>
          <w:rStyle w:val="Strong"/>
          <w:rFonts w:ascii="Book Antiqua" w:hAnsi="Book Antiqua"/>
          <w:b w:val="0"/>
          <w:bCs w:val="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88"/>
        <w:gridCol w:w="5226"/>
      </w:tblGrid>
      <w:tr w:rsidR="00CA4909" w:rsidRPr="004E2F1C" w:rsidTr="00DA58EE">
        <w:tc>
          <w:tcPr>
            <w:tcW w:w="27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2576" behindDoc="0" locked="0" layoutInCell="1" allowOverlap="0">
                  <wp:simplePos x="0" y="0"/>
                  <wp:positionH relativeFrom="column">
                    <wp:align>left</wp:align>
                  </wp:positionH>
                  <wp:positionV relativeFrom="line">
                    <wp:posOffset>109220</wp:posOffset>
                  </wp:positionV>
                  <wp:extent cx="3392170" cy="2771775"/>
                  <wp:effectExtent l="19050" t="0" r="0" b="0"/>
                  <wp:wrapSquare wrapText="bothSides"/>
                  <wp:docPr id="315" name="Picture 2" descr="http://miac.uqac.ca/MIAC/gr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ac.uqac.ca/MIAC/grav-3.jpg"/>
                          <pic:cNvPicPr>
                            <a:picLocks noChangeAspect="1" noChangeArrowheads="1"/>
                          </pic:cNvPicPr>
                        </pic:nvPicPr>
                        <pic:blipFill>
                          <a:blip r:embed="rId1015" cstate="print"/>
                          <a:srcRect l="7655" t="10701" b="26015"/>
                          <a:stretch>
                            <a:fillRect/>
                          </a:stretch>
                        </pic:blipFill>
                        <pic:spPr bwMode="auto">
                          <a:xfrm>
                            <a:off x="0" y="0"/>
                            <a:ext cx="3392170" cy="2771775"/>
                          </a:xfrm>
                          <a:prstGeom prst="rect">
                            <a:avLst/>
                          </a:prstGeom>
                          <a:noFill/>
                          <a:ln w="9525">
                            <a:noFill/>
                            <a:miter lim="800000"/>
                            <a:headEnd/>
                            <a:tailEnd/>
                          </a:ln>
                        </pic:spPr>
                      </pic:pic>
                    </a:graphicData>
                  </a:graphic>
                </wp:anchor>
              </w:drawing>
            </w:r>
          </w:p>
        </w:tc>
        <w:tc>
          <w:tcPr>
            <w:tcW w:w="2568" w:type="dxa"/>
          </w:tcPr>
          <w:p w:rsidR="00CA4909" w:rsidRPr="004E2F1C" w:rsidRDefault="00CA4909" w:rsidP="00DA58EE">
            <w:pPr>
              <w:pStyle w:val="NoSpacing"/>
              <w:jc w:val="both"/>
              <w:rPr>
                <w:rStyle w:val="Strong"/>
                <w:rFonts w:ascii="Book Antiqua" w:hAnsi="Book Antiqua"/>
                <w:b w:val="0"/>
                <w:bCs w:val="0"/>
                <w:sz w:val="20"/>
              </w:rPr>
            </w:pPr>
            <w:r w:rsidRPr="004E2F1C">
              <w:rPr>
                <w:rFonts w:ascii="Book Antiqua" w:hAnsi="Book Antiqua"/>
                <w:noProof/>
                <w:sz w:val="20"/>
              </w:rPr>
              <w:drawing>
                <wp:anchor distT="0" distB="0" distL="95250" distR="95250" simplePos="0" relativeHeight="251673600" behindDoc="0" locked="0" layoutInCell="1" allowOverlap="0">
                  <wp:simplePos x="0" y="0"/>
                  <wp:positionH relativeFrom="column">
                    <wp:align>left</wp:align>
                  </wp:positionH>
                  <wp:positionV relativeFrom="line">
                    <wp:posOffset>137795</wp:posOffset>
                  </wp:positionV>
                  <wp:extent cx="3154680" cy="2743200"/>
                  <wp:effectExtent l="19050" t="0" r="7620" b="0"/>
                  <wp:wrapSquare wrapText="bothSides"/>
                  <wp:docPr id="316" name="Picture 3" descr="http://miac.uqac.ca/MIAC/gr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ac.uqac.ca/MIAC/grav-1.jpg"/>
                          <pic:cNvPicPr>
                            <a:picLocks noChangeAspect="1" noChangeArrowheads="1"/>
                          </pic:cNvPicPr>
                        </pic:nvPicPr>
                        <pic:blipFill>
                          <a:blip r:embed="rId1016" cstate="print"/>
                          <a:srcRect/>
                          <a:stretch>
                            <a:fillRect/>
                          </a:stretch>
                        </pic:blipFill>
                        <pic:spPr bwMode="auto">
                          <a:xfrm>
                            <a:off x="0" y="0"/>
                            <a:ext cx="3154680" cy="2743200"/>
                          </a:xfrm>
                          <a:prstGeom prst="rect">
                            <a:avLst/>
                          </a:prstGeom>
                          <a:noFill/>
                          <a:ln w="9525">
                            <a:noFill/>
                            <a:miter lim="800000"/>
                            <a:headEnd/>
                            <a:tailEnd/>
                          </a:ln>
                        </pic:spPr>
                      </pic:pic>
                    </a:graphicData>
                  </a:graphic>
                </wp:anchor>
              </w:drawing>
            </w:r>
          </w:p>
        </w:tc>
      </w:tr>
    </w:tbl>
    <w:p w:rsidR="00CA4909" w:rsidRPr="004E2F1C" w:rsidRDefault="00CA4909" w:rsidP="00CA4909">
      <w:pPr>
        <w:pStyle w:val="NoSpacing"/>
        <w:jc w:val="both"/>
        <w:rPr>
          <w:rStyle w:val="Strong"/>
          <w:rFonts w:ascii="Book Antiqua" w:hAnsi="Book Antiqua"/>
          <w:b w:val="0"/>
          <w:bCs w:val="0"/>
          <w:i/>
          <w:sz w:val="20"/>
        </w:rPr>
      </w:pPr>
    </w:p>
    <w:p w:rsidR="00CA4909" w:rsidRPr="00DA58EE" w:rsidRDefault="00CA4909" w:rsidP="00DA58EE">
      <w:pPr>
        <w:pStyle w:val="NoSpacing"/>
        <w:rPr>
          <w:rStyle w:val="Strong"/>
          <w:rFonts w:ascii="Book Antiqua" w:hAnsi="Book Antiqua"/>
          <w:b w:val="0"/>
          <w:bCs w:val="0"/>
          <w:i/>
          <w:sz w:val="18"/>
          <w:szCs w:val="18"/>
        </w:rPr>
      </w:pPr>
      <w:r w:rsidRPr="00DA58EE">
        <w:rPr>
          <w:rStyle w:val="Strong"/>
          <w:rFonts w:ascii="Book Antiqua" w:hAnsi="Book Antiqua"/>
          <w:b w:val="0"/>
          <w:bCs w:val="0"/>
          <w:i/>
          <w:sz w:val="18"/>
          <w:szCs w:val="18"/>
        </w:rPr>
        <w:t>Figure 39: Left - Chicxulub structure showing 2 inner rings; Yucatan coast in white. Right - vertical plot of gravity anomaly shows outer rim bottom right in red. Complete structure shows a central peak with three main rings [11]. An Iridium anomaly is strongly present suggesting impact.</w:t>
      </w:r>
    </w:p>
    <w:p w:rsidR="00CA4909" w:rsidRDefault="00CA4909" w:rsidP="00CA4909">
      <w:pPr>
        <w:pStyle w:val="NoSpacing"/>
        <w:jc w:val="both"/>
        <w:rPr>
          <w:rStyle w:val="Strong"/>
          <w:rFonts w:ascii="Book Antiqua" w:hAnsi="Book Antiqua"/>
          <w:b w:val="0"/>
          <w:bCs w:val="0"/>
          <w:i/>
          <w:sz w:val="20"/>
        </w:rPr>
      </w:pPr>
    </w:p>
    <w:p w:rsidR="00CA4909" w:rsidRPr="00063498" w:rsidRDefault="00CA4909" w:rsidP="00CA4909">
      <w:pPr>
        <w:pStyle w:val="NoSpacing"/>
        <w:ind w:firstLine="720"/>
        <w:jc w:val="both"/>
        <w:rPr>
          <w:rStyle w:val="Strong"/>
          <w:rFonts w:ascii="Book Antiqua" w:hAnsi="Book Antiqua"/>
          <w:b w:val="0"/>
          <w:bCs w:val="0"/>
          <w:sz w:val="20"/>
        </w:rPr>
      </w:pPr>
      <w:r w:rsidRPr="00063498">
        <w:rPr>
          <w:rStyle w:val="Strong"/>
          <w:rFonts w:ascii="Book Antiqua" w:hAnsi="Book Antiqua"/>
          <w:b w:val="0"/>
          <w:sz w:val="20"/>
        </w:rPr>
        <w:t>Thus in all 3 cases of catastrophes ending geological Eras on earth, we see associated massive craters. In all 3 cases, the break-up times of planetary bodies in our solar system preceded these geological catastrophes by a very short amount of astronomical time.</w:t>
      </w:r>
    </w:p>
    <w:p w:rsidR="00CA4909" w:rsidRPr="00063498" w:rsidRDefault="00CA4909" w:rsidP="00CA4909">
      <w:pPr>
        <w:pStyle w:val="NoSpacing"/>
        <w:jc w:val="both"/>
        <w:rPr>
          <w:rStyle w:val="Strong"/>
          <w:rFonts w:ascii="Book Antiqua" w:hAnsi="Book Antiqua"/>
          <w:b w:val="0"/>
          <w:bCs w:val="0"/>
          <w:sz w:val="20"/>
        </w:rPr>
      </w:pPr>
    </w:p>
    <w:p w:rsidR="00CA4909" w:rsidRPr="00063498" w:rsidRDefault="00CA4909" w:rsidP="00CA4909">
      <w:pPr>
        <w:pStyle w:val="NoSpacing"/>
        <w:ind w:firstLine="720"/>
        <w:jc w:val="both"/>
        <w:rPr>
          <w:rFonts w:ascii="Book Antiqua" w:hAnsi="Book Antiqua"/>
          <w:sz w:val="20"/>
        </w:rPr>
      </w:pPr>
      <w:r w:rsidRPr="00063498">
        <w:rPr>
          <w:rFonts w:ascii="Book Antiqua" w:hAnsi="Book Antiqua"/>
          <w:sz w:val="20"/>
        </w:rPr>
        <w:t xml:space="preserve">Could impact craters and EDM craters have occurred at the same time?  Yes, certainly. That should be expected.  The outer part of our solar system is at a greater negative potential than the inner part.  This is evidenced by the fact that the positive particles of the solar wind gain in speed as they approach to outer reaches of our solar system.  The breaking up of objects further out than the four inner planets would therefore carry a more negative charge than those planets.  This would have triggered massive electrical disturbances as the impacting objects approached other planets and moons closer to the sun. </w:t>
      </w:r>
    </w:p>
    <w:p w:rsidR="00CA4909" w:rsidRPr="00063498" w:rsidRDefault="00CA4909" w:rsidP="00CA4909">
      <w:pPr>
        <w:pStyle w:val="NoSpacing"/>
        <w:jc w:val="both"/>
        <w:rPr>
          <w:rFonts w:ascii="Book Antiqua" w:hAnsi="Book Antiqua"/>
          <w:sz w:val="20"/>
        </w:rPr>
      </w:pPr>
    </w:p>
    <w:p w:rsidR="00CA4909" w:rsidRPr="00063498" w:rsidRDefault="00CA4909" w:rsidP="00CA4909">
      <w:pPr>
        <w:pStyle w:val="NoSpacing"/>
        <w:jc w:val="both"/>
        <w:rPr>
          <w:rFonts w:ascii="Book Antiqua" w:hAnsi="Book Antiqua"/>
          <w:sz w:val="20"/>
        </w:rPr>
      </w:pPr>
      <w:r w:rsidRPr="00063498">
        <w:rPr>
          <w:rFonts w:ascii="Book Antiqua" w:hAnsi="Book Antiqua"/>
          <w:sz w:val="20"/>
        </w:rPr>
        <w:t xml:space="preserve"> </w:t>
      </w:r>
      <w:r>
        <w:rPr>
          <w:rFonts w:ascii="Book Antiqua" w:hAnsi="Book Antiqua"/>
          <w:sz w:val="20"/>
        </w:rPr>
        <w:tab/>
      </w:r>
      <w:r w:rsidRPr="00063498">
        <w:rPr>
          <w:rFonts w:ascii="Book Antiqua" w:hAnsi="Book Antiqua"/>
          <w:sz w:val="20"/>
        </w:rPr>
        <w:t>The evidence therefore suggests that the key times for electromagnetic effects would also be the times when showers of debris occurred from both the Late Heavy Bombardment and the three break-ups that gave us the asteroid belt.</w:t>
      </w:r>
    </w:p>
    <w:p w:rsidR="00CA4909" w:rsidRPr="00063498" w:rsidRDefault="00CA4909" w:rsidP="00CA4909">
      <w:pPr>
        <w:pStyle w:val="NoSpacing"/>
        <w:jc w:val="both"/>
        <w:rPr>
          <w:rFonts w:ascii="Book Antiqua" w:hAnsi="Book Antiqua"/>
          <w:sz w:val="20"/>
        </w:rPr>
      </w:pPr>
    </w:p>
    <w:p w:rsidR="00CA4909" w:rsidRPr="00910192" w:rsidRDefault="00CA4909" w:rsidP="00CA4909">
      <w:pPr>
        <w:ind w:firstLine="720"/>
        <w:jc w:val="both"/>
        <w:rPr>
          <w:rFonts w:ascii="Book Antiqua" w:hAnsi="Book Antiqua"/>
          <w:i/>
        </w:rPr>
      </w:pPr>
      <w:r w:rsidRPr="00910192">
        <w:rPr>
          <w:rFonts w:ascii="Book Antiqua" w:hAnsi="Book Antiqua"/>
          <w:i/>
        </w:rPr>
        <w:lastRenderedPageBreak/>
        <w:t>E</w:t>
      </w:r>
      <w:r>
        <w:rPr>
          <w:rFonts w:ascii="Book Antiqua" w:hAnsi="Book Antiqua"/>
          <w:i/>
        </w:rPr>
        <w:t>7</w:t>
      </w:r>
      <w:r w:rsidRPr="00910192">
        <w:rPr>
          <w:rFonts w:ascii="Book Antiqua" w:hAnsi="Book Antiqua"/>
          <w:i/>
        </w:rPr>
        <w:t>.   Features of Craters and Their Origins</w:t>
      </w:r>
    </w:p>
    <w:p w:rsidR="004D1BB3" w:rsidRDefault="004D1BB3" w:rsidP="00CA4909">
      <w:pPr>
        <w:ind w:firstLine="720"/>
        <w:jc w:val="both"/>
        <w:rPr>
          <w:rFonts w:ascii="Book Antiqua" w:hAnsi="Book Antiqua"/>
        </w:rPr>
      </w:pPr>
    </w:p>
    <w:p w:rsidR="00CA4909" w:rsidRDefault="00CA4909" w:rsidP="00CA4909">
      <w:pPr>
        <w:ind w:firstLine="720"/>
        <w:jc w:val="both"/>
        <w:rPr>
          <w:rFonts w:ascii="Book Antiqua" w:hAnsi="Book Antiqua"/>
        </w:rPr>
      </w:pPr>
      <w:r w:rsidRPr="004E2F1C">
        <w:rPr>
          <w:rFonts w:ascii="Book Antiqua" w:hAnsi="Book Antiqua"/>
        </w:rPr>
        <w:t>By way of summary, the differences and similarities from the two methods of crater formation appear in Table 1</w:t>
      </w:r>
    </w:p>
    <w:p w:rsidR="00CA4909" w:rsidRDefault="00CA4909" w:rsidP="00CA4909">
      <w:pPr>
        <w:ind w:firstLine="720"/>
        <w:jc w:val="both"/>
        <w:rPr>
          <w:rFonts w:ascii="Book Antiqua" w:hAnsi="Book Antiqua"/>
        </w:rPr>
      </w:pPr>
    </w:p>
    <w:p w:rsidR="00CA4909" w:rsidRPr="001A1CD6" w:rsidRDefault="00CA4909" w:rsidP="004D1BB3">
      <w:pPr>
        <w:jc w:val="center"/>
        <w:rPr>
          <w:rFonts w:ascii="Book Antiqua" w:hAnsi="Book Antiqua"/>
          <w:b/>
          <w:i/>
          <w:sz w:val="18"/>
          <w:szCs w:val="18"/>
        </w:rPr>
      </w:pPr>
      <w:r w:rsidRPr="001A1CD6">
        <w:rPr>
          <w:rFonts w:ascii="Book Antiqua" w:hAnsi="Book Antiqua"/>
          <w:b/>
          <w:sz w:val="18"/>
          <w:szCs w:val="18"/>
        </w:rPr>
        <w:t>Table 1:</w:t>
      </w:r>
      <w:r w:rsidRPr="001A1CD6">
        <w:rPr>
          <w:rFonts w:ascii="Book Antiqua" w:hAnsi="Book Antiqua"/>
          <w:b/>
          <w:i/>
          <w:sz w:val="18"/>
          <w:szCs w:val="18"/>
        </w:rPr>
        <w:t xml:space="preserve"> Features of Craters and Their Origins</w:t>
      </w:r>
    </w:p>
    <w:p w:rsidR="00CA4909" w:rsidRPr="004E2F1C" w:rsidRDefault="00CA4909" w:rsidP="00CA4909">
      <w:pPr>
        <w:jc w:val="center"/>
        <w:rPr>
          <w:rFonts w:ascii="Book Antiqua" w:hAnsi="Book Antiqua"/>
          <w:b/>
        </w:rPr>
      </w:pPr>
    </w:p>
    <w:tbl>
      <w:tblPr>
        <w:tblStyle w:val="TableGrid"/>
        <w:tblW w:w="0" w:type="auto"/>
        <w:jc w:val="center"/>
        <w:tblLook w:val="04A0"/>
      </w:tblPr>
      <w:tblGrid>
        <w:gridCol w:w="544"/>
        <w:gridCol w:w="4135"/>
        <w:gridCol w:w="705"/>
        <w:gridCol w:w="850"/>
      </w:tblGrid>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Feature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 xml:space="preserve">EDM </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Impact</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Simple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Complex crater</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Circular and polygonal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often present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51"/>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 dependent on crater size</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Central peak ring or multi-ringed crater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Central peaks on very small craters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Flat floors for craters of all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Vertical walls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10</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Terraces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No rim or ringwall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2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Scalloping of crater rim</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craters from one event</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Splash craters of various sizes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0"/>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Discolored ground from EDM processes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as part of crater formation</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Crater chains forming rilles or fissures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17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19</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groove system fr. various objects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8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 xml:space="preserve">20 </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Radial ridge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21</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Ray system usually forms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197"/>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22</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Multiple ejecta blankets instead of rays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23</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Horizontal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yes</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no</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24</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Overturned rim layers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 xml:space="preserve"> yes</w:t>
            </w:r>
          </w:p>
        </w:tc>
      </w:tr>
      <w:tr w:rsidR="00CA4909" w:rsidRPr="001A1CD6" w:rsidTr="00004681">
        <w:trPr>
          <w:trHeight w:val="242"/>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25</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Nickel-iron bodies in the crater wall</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69"/>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26</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iridium/osmiridium anomaly </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235"/>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27</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 xml:space="preserve">Associated shocked quartz </w:t>
            </w:r>
          </w:p>
        </w:tc>
        <w:tc>
          <w:tcPr>
            <w:tcW w:w="408" w:type="dxa"/>
          </w:tcPr>
          <w:p w:rsidR="00CA4909" w:rsidRPr="001A1CD6" w:rsidRDefault="00CA4909" w:rsidP="00DA58EE">
            <w:pPr>
              <w:jc w:val="both"/>
              <w:rPr>
                <w:rFonts w:ascii="Book Antiqua" w:hAnsi="Book Antiqua"/>
                <w:b/>
              </w:rPr>
            </w:pPr>
            <w:proofErr w:type="gramStart"/>
            <w:r w:rsidRPr="001A1CD6">
              <w:rPr>
                <w:rFonts w:ascii="Book Antiqua" w:hAnsi="Book Antiqua"/>
                <w:b/>
              </w:rPr>
              <w:t>yes</w:t>
            </w:r>
            <w:proofErr w:type="gramEnd"/>
            <w:r w:rsidRPr="001A1CD6">
              <w:rPr>
                <w:rFonts w:ascii="Book Antiqua" w:hAnsi="Book Antiqua"/>
                <w:b/>
              </w:rPr>
              <w:t>?</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r w:rsidR="00CA4909" w:rsidRPr="001A1CD6" w:rsidTr="00004681">
        <w:trPr>
          <w:trHeight w:val="484"/>
          <w:jc w:val="center"/>
        </w:trPr>
        <w:tc>
          <w:tcPr>
            <w:tcW w:w="544" w:type="dxa"/>
          </w:tcPr>
          <w:p w:rsidR="00CA4909" w:rsidRPr="001A1CD6" w:rsidRDefault="00CA4909" w:rsidP="00DA58EE">
            <w:pPr>
              <w:jc w:val="both"/>
              <w:rPr>
                <w:rFonts w:ascii="Book Antiqua" w:hAnsi="Book Antiqua"/>
                <w:b/>
              </w:rPr>
            </w:pPr>
            <w:r w:rsidRPr="001A1CD6">
              <w:rPr>
                <w:rFonts w:ascii="Book Antiqua" w:hAnsi="Book Antiqua"/>
                <w:b/>
              </w:rPr>
              <w:t>28</w:t>
            </w:r>
          </w:p>
        </w:tc>
        <w:tc>
          <w:tcPr>
            <w:tcW w:w="4135" w:type="dxa"/>
          </w:tcPr>
          <w:p w:rsidR="00CA4909" w:rsidRPr="001A1CD6" w:rsidRDefault="00CA4909" w:rsidP="00DA58EE">
            <w:pPr>
              <w:jc w:val="both"/>
              <w:rPr>
                <w:rFonts w:ascii="Book Antiqua" w:hAnsi="Book Antiqua"/>
                <w:b/>
              </w:rPr>
            </w:pPr>
            <w:r w:rsidRPr="001A1CD6">
              <w:rPr>
                <w:rFonts w:ascii="Book Antiqua" w:hAnsi="Book Antiqua"/>
                <w:b/>
              </w:rPr>
              <w:t>Mascons associated with basins.</w:t>
            </w:r>
          </w:p>
        </w:tc>
        <w:tc>
          <w:tcPr>
            <w:tcW w:w="408" w:type="dxa"/>
          </w:tcPr>
          <w:p w:rsidR="00CA4909" w:rsidRPr="001A1CD6" w:rsidRDefault="00CA4909" w:rsidP="00DA58EE">
            <w:pPr>
              <w:jc w:val="both"/>
              <w:rPr>
                <w:rFonts w:ascii="Book Antiqua" w:hAnsi="Book Antiqua"/>
                <w:b/>
              </w:rPr>
            </w:pPr>
            <w:r w:rsidRPr="001A1CD6">
              <w:rPr>
                <w:rFonts w:ascii="Book Antiqua" w:hAnsi="Book Antiqua"/>
                <w:b/>
              </w:rPr>
              <w:t>no</w:t>
            </w:r>
          </w:p>
        </w:tc>
        <w:tc>
          <w:tcPr>
            <w:tcW w:w="850" w:type="dxa"/>
          </w:tcPr>
          <w:p w:rsidR="00CA4909" w:rsidRPr="001A1CD6" w:rsidRDefault="00CA4909" w:rsidP="00DA58EE">
            <w:pPr>
              <w:jc w:val="both"/>
              <w:rPr>
                <w:rFonts w:ascii="Book Antiqua" w:hAnsi="Book Antiqua"/>
                <w:b/>
              </w:rPr>
            </w:pPr>
            <w:r w:rsidRPr="001A1CD6">
              <w:rPr>
                <w:rFonts w:ascii="Book Antiqua" w:hAnsi="Book Antiqua"/>
                <w:b/>
              </w:rPr>
              <w:t>yes</w:t>
            </w:r>
          </w:p>
        </w:tc>
      </w:tr>
    </w:tbl>
    <w:p w:rsidR="00CA4909" w:rsidRPr="004E2F1C" w:rsidRDefault="00CA4909" w:rsidP="00CA4909">
      <w:pPr>
        <w:ind w:firstLine="720"/>
        <w:jc w:val="both"/>
        <w:rPr>
          <w:rFonts w:ascii="Book Antiqua" w:hAnsi="Book Antiqua"/>
          <w:sz w:val="18"/>
          <w:szCs w:val="18"/>
        </w:rPr>
      </w:pPr>
    </w:p>
    <w:p w:rsidR="0075277A" w:rsidRDefault="0075277A" w:rsidP="00CA4909">
      <w:pPr>
        <w:ind w:firstLine="720"/>
        <w:jc w:val="both"/>
        <w:rPr>
          <w:rFonts w:ascii="Book Antiqua" w:hAnsi="Book Antiqua"/>
        </w:rPr>
      </w:pPr>
    </w:p>
    <w:p w:rsidR="00CA4909" w:rsidRPr="004E2F1C" w:rsidRDefault="00CA4909" w:rsidP="00CA4909">
      <w:pPr>
        <w:ind w:firstLine="720"/>
        <w:jc w:val="both"/>
        <w:rPr>
          <w:rFonts w:ascii="Book Antiqua" w:hAnsi="Book Antiqua"/>
        </w:rPr>
      </w:pPr>
      <w:r>
        <w:rPr>
          <w:rFonts w:ascii="Book Antiqua" w:hAnsi="Book Antiqua"/>
        </w:rPr>
        <w:t>If</w:t>
      </w:r>
      <w:r w:rsidRPr="004E2F1C">
        <w:rPr>
          <w:rFonts w:ascii="Book Antiqua" w:hAnsi="Book Antiqua"/>
        </w:rPr>
        <w:t xml:space="preserve"> a crater has any or all of these following characteristics, it was formed by impact: </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overturned rim layers</w:t>
      </w:r>
      <w:r w:rsidR="000C3ED7">
        <w:rPr>
          <w:rFonts w:ascii="Book Antiqua" w:hAnsi="Book Antiqua"/>
          <w:sz w:val="20"/>
        </w:rPr>
        <w:t xml:space="preserve"> or inverted strata layers on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 ray system, and/or radiating ridges</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nickel-iron bodies embedded under the rim</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r w:rsidRPr="004E2F1C">
        <w:rPr>
          <w:rFonts w:ascii="Book Antiqua" w:hAnsi="Book Antiqua"/>
          <w:sz w:val="20"/>
        </w:rPr>
        <w:t>an associated iridium/osmiridium anomaly</w:t>
      </w:r>
    </w:p>
    <w:p w:rsidR="00CA4909" w:rsidRPr="004E2F1C" w:rsidRDefault="00CA4909" w:rsidP="00CA4909">
      <w:pPr>
        <w:pStyle w:val="ListParagraph"/>
        <w:numPr>
          <w:ilvl w:val="0"/>
          <w:numId w:val="41"/>
        </w:numPr>
        <w:spacing w:after="200" w:line="276" w:lineRule="auto"/>
        <w:jc w:val="both"/>
        <w:rPr>
          <w:rFonts w:ascii="Book Antiqua" w:hAnsi="Book Antiqua"/>
          <w:sz w:val="20"/>
        </w:rPr>
      </w:pPr>
      <w:proofErr w:type="gramStart"/>
      <w:r w:rsidRPr="004E2F1C">
        <w:rPr>
          <w:rFonts w:ascii="Book Antiqua" w:hAnsi="Book Antiqua"/>
          <w:sz w:val="20"/>
        </w:rPr>
        <w:t>a</w:t>
      </w:r>
      <w:proofErr w:type="gramEnd"/>
      <w:r w:rsidRPr="004E2F1C">
        <w:rPr>
          <w:rFonts w:ascii="Book Antiqua" w:hAnsi="Book Antiqua"/>
          <w:sz w:val="20"/>
        </w:rPr>
        <w:t xml:space="preserve"> mascon associated with it.</w:t>
      </w:r>
    </w:p>
    <w:p w:rsidR="00CA4909" w:rsidRPr="004E2F1C" w:rsidRDefault="00CA4909" w:rsidP="00CA4909">
      <w:pPr>
        <w:ind w:firstLine="720"/>
        <w:jc w:val="both"/>
        <w:rPr>
          <w:rFonts w:ascii="Book Antiqua" w:hAnsi="Book Antiqua"/>
        </w:rPr>
      </w:pPr>
      <w:r w:rsidRPr="004E2F1C">
        <w:rPr>
          <w:rFonts w:ascii="Book Antiqua" w:hAnsi="Book Antiqua"/>
        </w:rPr>
        <w:t xml:space="preserve">If </w:t>
      </w:r>
      <w:r>
        <w:rPr>
          <w:rFonts w:ascii="Book Antiqua" w:hAnsi="Book Antiqua"/>
        </w:rPr>
        <w:t>a crater</w:t>
      </w:r>
      <w:r w:rsidRPr="004E2F1C">
        <w:rPr>
          <w:rFonts w:ascii="Book Antiqua" w:hAnsi="Book Antiqua"/>
        </w:rPr>
        <w:t xml:space="preserve"> has any or all of the following characteristics, it was formed by Electric Discharge Machining: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horizontal rim strata</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a</w:t>
      </w:r>
      <w:r w:rsidR="00C9390B">
        <w:rPr>
          <w:rFonts w:ascii="Book Antiqua" w:hAnsi="Book Antiqua"/>
          <w:sz w:val="20"/>
        </w:rPr>
        <w:t>n</w:t>
      </w:r>
      <w:r w:rsidRPr="004E2F1C">
        <w:rPr>
          <w:rFonts w:ascii="Book Antiqua" w:hAnsi="Book Antiqua"/>
          <w:sz w:val="20"/>
        </w:rPr>
        <w:t xml:space="preserve"> ejecta blanket system</w:t>
      </w:r>
      <w:r w:rsidR="00C9390B">
        <w:rPr>
          <w:rFonts w:ascii="Book Antiqua" w:hAnsi="Book Antiqua"/>
          <w:sz w:val="20"/>
        </w:rPr>
        <w:t xml:space="preserve"> of multiple layers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lastRenderedPageBreak/>
        <w:t>a system of radiating grooves (not ridges)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 xml:space="preserve">central peak outside the accepted crater size range (either smaller or larger than expected) </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Small craters with completely flat floors and vertical walls</w:t>
      </w:r>
    </w:p>
    <w:p w:rsidR="00CA4909" w:rsidRPr="004E2F1C" w:rsidRDefault="00CA4909" w:rsidP="00CA4909">
      <w:pPr>
        <w:pStyle w:val="ListParagraph"/>
        <w:numPr>
          <w:ilvl w:val="0"/>
          <w:numId w:val="42"/>
        </w:numPr>
        <w:spacing w:after="200" w:line="276" w:lineRule="auto"/>
        <w:jc w:val="both"/>
        <w:rPr>
          <w:rFonts w:ascii="Book Antiqua" w:hAnsi="Book Antiqua"/>
          <w:sz w:val="20"/>
        </w:rPr>
      </w:pPr>
      <w:r w:rsidRPr="004E2F1C">
        <w:rPr>
          <w:rFonts w:ascii="Book Antiqua" w:hAnsi="Book Antiqua"/>
          <w:sz w:val="20"/>
        </w:rPr>
        <w:t>Scalloping of crater walls.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These properties should allow the crater origin to be determined. Obviously, on any one astronomical body, craters of both origins can exist. The data </w:t>
      </w:r>
      <w:r>
        <w:rPr>
          <w:rFonts w:ascii="Book Antiqua" w:hAnsi="Book Antiqua"/>
          <w:sz w:val="20"/>
        </w:rPr>
        <w:t>can indicate</w:t>
      </w:r>
      <w:r w:rsidRPr="00910192">
        <w:rPr>
          <w:rFonts w:ascii="Book Antiqua" w:hAnsi="Book Antiqua"/>
          <w:sz w:val="20"/>
        </w:rPr>
        <w:t xml:space="preserve"> that they were formed about the same time, and not as separate events. As Chapter 9 points out, the Cosmic Ray Exposure ages of meteorites points to the two-fold break-up of the original asteroid planet and then its moon giving three events that formed the asteroid belt as we have it now. In addition, there was the earlier break-up of the original Kuiper Belt body that sent debris into the Solar System causing the Late Heavy Bombardment. This makes a total of four occasions when impactors and their concurrent electrical discharges have formed craters and affected the geology of planets and moons.</w:t>
      </w:r>
    </w:p>
    <w:p w:rsidR="00CA4909" w:rsidRPr="00910192" w:rsidRDefault="00CA4909" w:rsidP="00CA4909">
      <w:pPr>
        <w:pStyle w:val="NoSpacing"/>
        <w:rPr>
          <w:rFonts w:ascii="Book Antiqua" w:hAnsi="Book Antiqua"/>
          <w:sz w:val="20"/>
        </w:rPr>
      </w:pPr>
    </w:p>
    <w:p w:rsidR="00CA4909" w:rsidRPr="00910192" w:rsidRDefault="00CA4909" w:rsidP="00CA4909">
      <w:pPr>
        <w:pStyle w:val="NoSpacing"/>
        <w:ind w:firstLine="720"/>
        <w:jc w:val="both"/>
        <w:rPr>
          <w:rFonts w:ascii="Book Antiqua" w:hAnsi="Book Antiqua"/>
          <w:sz w:val="20"/>
        </w:rPr>
      </w:pPr>
      <w:r w:rsidRPr="00910192">
        <w:rPr>
          <w:rFonts w:ascii="Book Antiqua" w:hAnsi="Book Antiqua"/>
          <w:sz w:val="20"/>
        </w:rPr>
        <w:t xml:space="preserve">This also includes the Earth, as these break-up times are </w:t>
      </w:r>
      <w:r>
        <w:rPr>
          <w:rFonts w:ascii="Book Antiqua" w:hAnsi="Book Antiqua"/>
          <w:sz w:val="20"/>
        </w:rPr>
        <w:t xml:space="preserve">close, </w:t>
      </w:r>
      <w:r w:rsidRPr="00910192">
        <w:rPr>
          <w:rFonts w:ascii="Book Antiqua" w:hAnsi="Book Antiqua"/>
          <w:sz w:val="20"/>
        </w:rPr>
        <w:t>astronomically</w:t>
      </w:r>
      <w:r>
        <w:rPr>
          <w:rFonts w:ascii="Book Antiqua" w:hAnsi="Book Antiqua"/>
          <w:sz w:val="20"/>
        </w:rPr>
        <w:t>,</w:t>
      </w:r>
      <w:r w:rsidRPr="00910192">
        <w:rPr>
          <w:rFonts w:ascii="Book Antiqua" w:hAnsi="Book Antiqua"/>
          <w:sz w:val="20"/>
        </w:rPr>
        <w:t xml:space="preserve"> to the time of the formation of the cratons around 3.5 billion atomic years ago, the ‘Snowball Earth’ catastrophe about 750 million atomic years ago, the Permian Extinction some 250 million atomic years ago, and the Cretaceous-Tertiary extinction about 65 million atomic years ago. These years, measured by atomic processes and the atomic clock, can be corrected to actual years measured by our orbital clock on the basis of the known behavior of the Zero Point Energy as outlined in Chapters 4, 5, 8 and 9. It would therefore be at these times when the electrical effects would also be prominent throughout the Solar System because of high potential differences between the incoming impactors and the planet and/or moon being impacted. This is </w:t>
      </w:r>
      <w:r>
        <w:rPr>
          <w:rFonts w:ascii="Book Antiqua" w:hAnsi="Book Antiqua"/>
          <w:sz w:val="20"/>
        </w:rPr>
        <w:t>in addition to</w:t>
      </w:r>
      <w:r w:rsidRPr="00910192">
        <w:rPr>
          <w:rFonts w:ascii="Book Antiqua" w:hAnsi="Book Antiqua"/>
          <w:sz w:val="20"/>
        </w:rPr>
        <w:t xml:space="preserve"> the action of the impactors forming craters by the usual mechanical means.</w:t>
      </w:r>
    </w:p>
    <w:p w:rsidR="00CA4909" w:rsidRPr="004E2F1C" w:rsidRDefault="00CA4909" w:rsidP="00CA4909">
      <w:pPr>
        <w:ind w:firstLine="720"/>
        <w:jc w:val="both"/>
        <w:rPr>
          <w:rFonts w:ascii="Book Antiqua" w:hAnsi="Book Antiqua"/>
          <w:sz w:val="18"/>
          <w:szCs w:val="18"/>
        </w:rPr>
      </w:pPr>
      <w:r w:rsidRPr="004E2F1C">
        <w:rPr>
          <w:rFonts w:ascii="Book Antiqua" w:hAnsi="Book Antiqua"/>
          <w:sz w:val="18"/>
          <w:szCs w:val="18"/>
        </w:rPr>
        <w:t xml:space="preserve"> </w:t>
      </w:r>
    </w:p>
    <w:p w:rsidR="00CA4909" w:rsidRPr="004E2F1C" w:rsidRDefault="00CA4909" w:rsidP="00CA4909">
      <w:pPr>
        <w:rPr>
          <w:rFonts w:ascii="Book Antiqua" w:hAnsi="Book Antiqua"/>
          <w:i/>
          <w:sz w:val="16"/>
          <w:szCs w:val="16"/>
        </w:rPr>
      </w:pPr>
      <w:r w:rsidRPr="004E2F1C">
        <w:rPr>
          <w:rFonts w:ascii="Book Antiqua" w:hAnsi="Book Antiqua"/>
          <w:b/>
        </w:rPr>
        <w:t xml:space="preserve">References </w:t>
      </w:r>
      <w:r w:rsidRPr="004E2F1C">
        <w:rPr>
          <w:rFonts w:ascii="Book Antiqua" w:hAnsi="Book Antiqua"/>
          <w:i/>
          <w:sz w:val="16"/>
          <w:szCs w:val="16"/>
        </w:rPr>
        <w:t>– All URL’s retrieved 20</w:t>
      </w:r>
      <w:r w:rsidRPr="004E2F1C">
        <w:rPr>
          <w:rFonts w:ascii="Book Antiqua" w:hAnsi="Book Antiqua"/>
          <w:i/>
          <w:sz w:val="16"/>
          <w:szCs w:val="16"/>
          <w:vertAlign w:val="superscript"/>
        </w:rPr>
        <w:t>th</w:t>
      </w:r>
      <w:r w:rsidRPr="004E2F1C">
        <w:rPr>
          <w:rFonts w:ascii="Book Antiqua" w:hAnsi="Book Antiqua"/>
          <w:i/>
          <w:sz w:val="16"/>
          <w:szCs w:val="16"/>
        </w:rPr>
        <w:t xml:space="preserve"> September, 2012.</w:t>
      </w:r>
    </w:p>
    <w:p w:rsidR="00CA4909" w:rsidRPr="004E2F1C" w:rsidRDefault="00CA4909" w:rsidP="00CA4909">
      <w:pPr>
        <w:rPr>
          <w:rFonts w:ascii="Book Antiqua" w:hAnsi="Book Antiqua"/>
          <w:b/>
        </w:rPr>
      </w:pPr>
    </w:p>
    <w:p w:rsidR="00CA4909" w:rsidRPr="004E2F1C" w:rsidRDefault="00CA4909" w:rsidP="00CA4909">
      <w:pPr>
        <w:pStyle w:val="NoSpacing"/>
        <w:rPr>
          <w:rFonts w:ascii="Book Antiqua" w:hAnsi="Book Antiqua"/>
          <w:sz w:val="16"/>
          <w:szCs w:val="16"/>
        </w:rPr>
      </w:pPr>
      <w:proofErr w:type="gramStart"/>
      <w:r w:rsidRPr="004E2F1C">
        <w:rPr>
          <w:rFonts w:ascii="Book Antiqua" w:hAnsi="Book Antiqua"/>
          <w:sz w:val="16"/>
          <w:szCs w:val="16"/>
        </w:rPr>
        <w:t xml:space="preserve">[1] C. J. Ransom, “Laboratory Modeling of Meteorite Impact Craters by Z-pinch Plasma,” </w:t>
      </w:r>
      <w:r w:rsidRPr="004E2F1C">
        <w:rPr>
          <w:rFonts w:ascii="Book Antiqua" w:hAnsi="Book Antiqua"/>
          <w:i/>
          <w:sz w:val="16"/>
          <w:szCs w:val="16"/>
        </w:rPr>
        <w:t>The Open Astronomy Journal</w:t>
      </w:r>
      <w:r w:rsidRPr="004E2F1C">
        <w:rPr>
          <w:rFonts w:ascii="Book Antiqua" w:hAnsi="Book Antiqua"/>
          <w:sz w:val="16"/>
          <w:szCs w:val="16"/>
        </w:rPr>
        <w:t xml:space="preserve">, </w:t>
      </w:r>
      <w:r w:rsidRPr="004E2F1C">
        <w:rPr>
          <w:rFonts w:ascii="Book Antiqua" w:hAnsi="Book Antiqua"/>
          <w:b/>
          <w:sz w:val="16"/>
          <w:szCs w:val="16"/>
        </w:rPr>
        <w:t>2011</w:t>
      </w:r>
      <w:r w:rsidRPr="004E2F1C">
        <w:rPr>
          <w:rFonts w:ascii="Book Antiqua" w:hAnsi="Book Antiqua"/>
          <w:sz w:val="16"/>
          <w:szCs w:val="16"/>
        </w:rPr>
        <w:t xml:space="preserve"> (</w:t>
      </w:r>
      <w:r w:rsidRPr="004E2F1C">
        <w:rPr>
          <w:rFonts w:ascii="Book Antiqua" w:hAnsi="Book Antiqua"/>
          <w:i/>
          <w:sz w:val="16"/>
          <w:szCs w:val="16"/>
        </w:rPr>
        <w:t>4</w:t>
      </w:r>
      <w:r w:rsidRPr="004E2F1C">
        <w:rPr>
          <w:rFonts w:ascii="Book Antiqua" w:hAnsi="Book Antiqua"/>
          <w:sz w:val="16"/>
          <w:szCs w:val="16"/>
        </w:rPr>
        <w:t>), Suppl. 2-M4, pp. 185-190.</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[2] B. J. </w:t>
      </w:r>
      <w:r w:rsidRPr="00910192">
        <w:rPr>
          <w:rFonts w:ascii="Book Antiqua" w:hAnsi="Book Antiqua"/>
          <w:sz w:val="16"/>
          <w:szCs w:val="16"/>
        </w:rPr>
        <w:t>Setterfield, extensive experiments done with cement dust. The cement dust photographs in this paper were taken on July 25-27, 2012</w:t>
      </w:r>
      <w:r w:rsidRPr="00BF218B">
        <w:rPr>
          <w:rFonts w:ascii="Book Antiqua" w:hAnsi="Book Antiqua"/>
          <w:sz w:val="16"/>
          <w:szCs w:val="16"/>
          <w:highlight w:val="yellow"/>
        </w:rPr>
        <w:t>.</w:t>
      </w:r>
      <w:r w:rsidRPr="004E2F1C">
        <w:rPr>
          <w:rFonts w:ascii="Book Antiqua" w:hAnsi="Book Antiqua"/>
          <w:sz w:val="16"/>
          <w:szCs w:val="16"/>
        </w:rPr>
        <w:t xml:space="preserve"> </w:t>
      </w:r>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[3] P. De Schutter, ‘Impact Craters,’ </w:t>
      </w:r>
      <w:proofErr w:type="gramStart"/>
      <w:r w:rsidRPr="004E2F1C">
        <w:rPr>
          <w:rFonts w:ascii="Book Antiqua" w:hAnsi="Book Antiqua"/>
          <w:sz w:val="16"/>
          <w:szCs w:val="16"/>
        </w:rPr>
        <w:t>EU(</w:t>
      </w:r>
      <w:proofErr w:type="gramEnd"/>
      <w:r w:rsidRPr="004E2F1C">
        <w:rPr>
          <w:rFonts w:ascii="Book Antiqua" w:hAnsi="Book Antiqua"/>
          <w:sz w:val="16"/>
          <w:szCs w:val="16"/>
        </w:rPr>
        <w:t xml:space="preserve">RO)CK, February 2005, at: </w:t>
      </w:r>
      <w:hyperlink r:id="rId1344" w:history="1">
        <w:r w:rsidRPr="004E2F1C">
          <w:rPr>
            <w:rStyle w:val="Hyperlink"/>
            <w:rFonts w:ascii="Book Antiqua" w:hAnsi="Book Antiqua"/>
            <w:i/>
            <w:szCs w:val="16"/>
          </w:rPr>
          <w:t>http://ougseurope.org/rockon/surface/impactcraters.asp</w:t>
        </w:r>
      </w:hyperlink>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[4] J.-B. </w:t>
      </w:r>
      <w:proofErr w:type="gramStart"/>
      <w:r w:rsidRPr="004E2F1C">
        <w:rPr>
          <w:rFonts w:ascii="Book Antiqua" w:hAnsi="Book Antiqua"/>
          <w:sz w:val="16"/>
          <w:szCs w:val="16"/>
        </w:rPr>
        <w:t xml:space="preserve">Vincent et al., “Crater depth-to-diameter ratio and surface properties of (4) Vesta,” </w:t>
      </w:r>
      <w:r w:rsidRPr="004E2F1C">
        <w:rPr>
          <w:rFonts w:ascii="Book Antiqua" w:hAnsi="Book Antiqua"/>
          <w:i/>
          <w:sz w:val="16"/>
          <w:szCs w:val="16"/>
        </w:rPr>
        <w:t>43</w:t>
      </w:r>
      <w:r w:rsidRPr="004E2F1C">
        <w:rPr>
          <w:rFonts w:ascii="Book Antiqua" w:hAnsi="Book Antiqua"/>
          <w:i/>
          <w:sz w:val="16"/>
          <w:szCs w:val="16"/>
          <w:vertAlign w:val="superscript"/>
        </w:rPr>
        <w:t>rd</w:t>
      </w:r>
      <w:r w:rsidRPr="004E2F1C">
        <w:rPr>
          <w:rFonts w:ascii="Book Antiqua" w:hAnsi="Book Antiqua"/>
          <w:i/>
          <w:sz w:val="16"/>
          <w:szCs w:val="16"/>
        </w:rPr>
        <w:t xml:space="preserve"> Lunar and Planetary Science Conference</w:t>
      </w:r>
      <w:r w:rsidRPr="004E2F1C">
        <w:rPr>
          <w:rFonts w:ascii="Book Antiqua" w:hAnsi="Book Antiqua"/>
          <w:sz w:val="16"/>
          <w:szCs w:val="16"/>
        </w:rPr>
        <w:t xml:space="preserve"> (2012), #1415.pdf.</w:t>
      </w:r>
      <w:proofErr w:type="gramEnd"/>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[5] M. Talpe et al., “Ratios of impact crater depth to diameter in Mercury’s North polar region from MESSENGER laser altimeter observations,”</w:t>
      </w:r>
      <w:r w:rsidRPr="004E2F1C">
        <w:rPr>
          <w:rFonts w:ascii="Book Antiqua" w:hAnsi="Book Antiqua"/>
          <w:i/>
          <w:sz w:val="16"/>
          <w:szCs w:val="16"/>
        </w:rPr>
        <w:t>American Geophysical Union Fall Meeting</w:t>
      </w:r>
      <w:r w:rsidRPr="004E2F1C">
        <w:rPr>
          <w:rFonts w:ascii="Book Antiqua" w:hAnsi="Book Antiqua"/>
          <w:sz w:val="16"/>
          <w:szCs w:val="16"/>
        </w:rPr>
        <w:t>, 2011, Abstract #P41A-1578, available at:</w:t>
      </w:r>
      <w:r>
        <w:rPr>
          <w:rFonts w:ascii="Book Antiqua" w:hAnsi="Book Antiqua"/>
          <w:sz w:val="16"/>
          <w:szCs w:val="16"/>
        </w:rPr>
        <w:t xml:space="preserve"> </w:t>
      </w:r>
      <w:hyperlink r:id="rId1345" w:history="1">
        <w:r w:rsidRPr="004E2F1C">
          <w:rPr>
            <w:rStyle w:val="Hyperlink"/>
            <w:rFonts w:ascii="Book Antiqua" w:hAnsi="Book Antiqua"/>
            <w:i/>
            <w:szCs w:val="16"/>
          </w:rPr>
          <w:t>http://adsabs.harvard.edu/abs/2011AGUFM.P41A1578T</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[6] </w:t>
      </w:r>
      <w:hyperlink r:id="rId1346" w:history="1">
        <w:r w:rsidRPr="004E2F1C">
          <w:rPr>
            <w:rStyle w:val="Hyperlink"/>
            <w:rFonts w:ascii="Book Antiqua" w:hAnsi="Book Antiqua"/>
            <w:i/>
            <w:szCs w:val="16"/>
          </w:rPr>
          <w:t>http://en.wikipedia.org/wiki/4_Vesta</w:t>
        </w:r>
      </w:hyperlink>
      <w:r w:rsidRPr="004E2F1C">
        <w:rPr>
          <w:rFonts w:ascii="Book Antiqua" w:hAnsi="Book Antiqua"/>
          <w:sz w:val="16"/>
          <w:szCs w:val="16"/>
        </w:rPr>
        <w:t xml:space="preserve">. Also, P. Spotts, “NASA mission confirms: Ex-asteroid Vesta is a planet that almost was,” </w:t>
      </w:r>
      <w:r w:rsidRPr="004E2F1C">
        <w:rPr>
          <w:rFonts w:ascii="Book Antiqua" w:hAnsi="Book Antiqua"/>
          <w:i/>
          <w:sz w:val="16"/>
          <w:szCs w:val="16"/>
        </w:rPr>
        <w:t>The Christian Science Monitor</w:t>
      </w:r>
      <w:r w:rsidRPr="004E2F1C">
        <w:rPr>
          <w:rFonts w:ascii="Book Antiqua" w:hAnsi="Book Antiqua"/>
          <w:sz w:val="16"/>
          <w:szCs w:val="16"/>
        </w:rPr>
        <w:t xml:space="preserve">, 10 May, 2012. Available at: </w:t>
      </w:r>
      <w:hyperlink r:id="rId1347" w:history="1">
        <w:r w:rsidRPr="004E2F1C">
          <w:rPr>
            <w:rStyle w:val="Hyperlink"/>
            <w:rFonts w:ascii="Book Antiqua" w:hAnsi="Book Antiqua"/>
            <w:i/>
            <w:szCs w:val="16"/>
          </w:rPr>
          <w:t>http://www.csmonitor.com/layout/set/print/content/view/print/509389</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[7] </w:t>
      </w:r>
      <w:hyperlink r:id="rId1348" w:history="1">
        <w:r w:rsidRPr="004E2F1C">
          <w:rPr>
            <w:rStyle w:val="Hyperlink"/>
            <w:rFonts w:ascii="Book Antiqua" w:hAnsi="Book Antiqua"/>
            <w:bCs/>
            <w:i/>
            <w:iCs/>
            <w:szCs w:val="16"/>
          </w:rPr>
          <w:t>http://en.wikipedia.org/wiki/21_Lutetia</w:t>
        </w:r>
      </w:hyperlink>
      <w:r w:rsidRPr="004E2F1C">
        <w:rPr>
          <w:rFonts w:ascii="Book Antiqua" w:hAnsi="Book Antiqua"/>
          <w:bCs/>
          <w:i/>
          <w:iCs/>
          <w:sz w:val="16"/>
          <w:szCs w:val="16"/>
        </w:rPr>
        <w:t xml:space="preserve"> </w:t>
      </w:r>
      <w:r w:rsidRPr="004E2F1C">
        <w:rPr>
          <w:rFonts w:ascii="Book Antiqua" w:hAnsi="Book Antiqua"/>
          <w:bCs/>
          <w:iCs/>
          <w:sz w:val="16"/>
          <w:szCs w:val="16"/>
        </w:rPr>
        <w:t xml:space="preserve">. Also H. Sierks et al., “Images of asteroid 21 Lutetia: a remnant planetesimal from the early solar system,” </w:t>
      </w:r>
      <w:r w:rsidRPr="004E2F1C">
        <w:rPr>
          <w:rFonts w:ascii="Book Antiqua" w:hAnsi="Book Antiqua"/>
          <w:bCs/>
          <w:i/>
          <w:iCs/>
          <w:sz w:val="16"/>
          <w:szCs w:val="16"/>
        </w:rPr>
        <w:t>Science</w:t>
      </w:r>
      <w:r w:rsidRPr="004E2F1C">
        <w:rPr>
          <w:rFonts w:ascii="Book Antiqua" w:hAnsi="Book Antiqua"/>
          <w:bCs/>
          <w:iCs/>
          <w:sz w:val="16"/>
          <w:szCs w:val="16"/>
        </w:rPr>
        <w:t xml:space="preserve">, </w:t>
      </w:r>
      <w:r w:rsidRPr="004E2F1C">
        <w:rPr>
          <w:rFonts w:ascii="Book Antiqua" w:hAnsi="Book Antiqua"/>
          <w:b/>
          <w:bCs/>
          <w:iCs/>
          <w:sz w:val="16"/>
          <w:szCs w:val="16"/>
        </w:rPr>
        <w:t>334</w:t>
      </w:r>
      <w:r w:rsidRPr="004E2F1C">
        <w:rPr>
          <w:rFonts w:ascii="Book Antiqua" w:hAnsi="Book Antiqua"/>
          <w:bCs/>
          <w:iCs/>
          <w:sz w:val="16"/>
          <w:szCs w:val="16"/>
        </w:rPr>
        <w:t xml:space="preserve"> (No. 6055), pp. 487-490, (28 October 2011).</w:t>
      </w:r>
    </w:p>
    <w:p w:rsidR="00CA4909" w:rsidRPr="004E2F1C" w:rsidRDefault="00CA4909" w:rsidP="00CA4909">
      <w:pPr>
        <w:pStyle w:val="NoSpacing"/>
        <w:rPr>
          <w:rFonts w:ascii="Book Antiqua" w:hAnsi="Book Antiqua"/>
          <w:bCs/>
          <w:i/>
          <w:iCs/>
          <w:sz w:val="16"/>
          <w:szCs w:val="16"/>
        </w:rPr>
      </w:pPr>
      <w:r w:rsidRPr="004E2F1C">
        <w:rPr>
          <w:rFonts w:ascii="Book Antiqua" w:hAnsi="Book Antiqua"/>
          <w:bCs/>
          <w:iCs/>
          <w:sz w:val="16"/>
          <w:szCs w:val="16"/>
        </w:rPr>
        <w:t xml:space="preserve">[8] See for example: </w:t>
      </w:r>
      <w:hyperlink r:id="rId1349" w:history="1">
        <w:r w:rsidRPr="004E2F1C">
          <w:rPr>
            <w:rStyle w:val="Hyperlink"/>
            <w:rFonts w:ascii="Book Antiqua" w:hAnsi="Book Antiqua"/>
            <w:bCs/>
            <w:i/>
            <w:iCs/>
            <w:szCs w:val="16"/>
          </w:rPr>
          <w:t>http://www.uwgb.edu/dutchs/planets/cratform.htm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 xml:space="preserve">[9] </w:t>
      </w:r>
      <w:r w:rsidRPr="004E2F1C">
        <w:rPr>
          <w:rFonts w:ascii="Book Antiqua" w:hAnsi="Book Antiqua"/>
          <w:sz w:val="16"/>
          <w:szCs w:val="16"/>
        </w:rPr>
        <w:t xml:space="preserve">MAPCIS research: </w:t>
      </w:r>
      <w:hyperlink r:id="rId1350" w:history="1">
        <w:r w:rsidRPr="004E2F1C">
          <w:rPr>
            <w:rStyle w:val="Hyperlink"/>
            <w:rFonts w:ascii="Book Antiqua" w:hAnsi="Book Antiqua"/>
            <w:i/>
            <w:szCs w:val="16"/>
          </w:rPr>
          <w:t>http://www.mapcis.net/mapcis_research.html</w:t>
        </w:r>
      </w:hyperlink>
      <w:r>
        <w:t xml:space="preserve"> </w:t>
      </w:r>
      <w:r w:rsidRPr="00FC5E5A">
        <w:rPr>
          <w:rFonts w:ascii="Book Antiqua" w:hAnsi="Book Antiqua"/>
          <w:sz w:val="16"/>
          <w:szCs w:val="16"/>
        </w:rPr>
        <w:t xml:space="preserve"> It is also h</w:t>
      </w:r>
      <w:r w:rsidRPr="004E2F1C">
        <w:rPr>
          <w:rFonts w:ascii="Book Antiqua" w:hAnsi="Book Antiqua"/>
          <w:sz w:val="16"/>
          <w:szCs w:val="16"/>
        </w:rPr>
        <w:t xml:space="preserve">ere: </w:t>
      </w:r>
      <w:hyperlink r:id="rId1351" w:history="1">
        <w:r w:rsidRPr="004E2F1C">
          <w:rPr>
            <w:rStyle w:val="Hyperlink"/>
            <w:rFonts w:ascii="Book Antiqua" w:hAnsi="Book Antiqua"/>
            <w:i/>
            <w:szCs w:val="16"/>
          </w:rPr>
          <w:t>http://www.mapcis.net/mapcis_case.html</w:t>
        </w:r>
      </w:hyperlink>
      <w:r>
        <w:rPr>
          <w:rFonts w:ascii="Book Antiqua" w:hAnsi="Book Antiqua"/>
          <w:sz w:val="16"/>
          <w:szCs w:val="16"/>
        </w:rPr>
        <w:t>, with more found</w:t>
      </w:r>
      <w:r w:rsidRPr="004E2F1C">
        <w:rPr>
          <w:rFonts w:ascii="Book Antiqua" w:hAnsi="Book Antiqua"/>
          <w:sz w:val="16"/>
          <w:szCs w:val="16"/>
        </w:rPr>
        <w:t xml:space="preserve"> here: </w:t>
      </w:r>
      <w:hyperlink r:id="rId1352" w:history="1">
        <w:r w:rsidRPr="004E2F1C">
          <w:rPr>
            <w:rStyle w:val="Hyperlink"/>
            <w:rFonts w:ascii="Book Antiqua" w:hAnsi="Book Antiqua"/>
            <w:i/>
            <w:szCs w:val="16"/>
          </w:rPr>
          <w:t>http://www.austhrutime.com/mapcis.htm</w:t>
        </w:r>
      </w:hyperlink>
    </w:p>
    <w:p w:rsidR="00CA4909" w:rsidRPr="004E2F1C" w:rsidRDefault="00CA4909" w:rsidP="00CA4909">
      <w:pPr>
        <w:pStyle w:val="NoSpacing"/>
        <w:rPr>
          <w:rFonts w:ascii="Book Antiqua" w:hAnsi="Book Antiqua"/>
          <w:i/>
          <w:sz w:val="16"/>
          <w:szCs w:val="16"/>
        </w:rPr>
      </w:pPr>
      <w:r w:rsidRPr="004E2F1C">
        <w:rPr>
          <w:rFonts w:ascii="Book Antiqua" w:hAnsi="Book Antiqua"/>
          <w:bCs/>
          <w:iCs/>
          <w:sz w:val="16"/>
          <w:szCs w:val="16"/>
        </w:rPr>
        <w:t>[10</w:t>
      </w:r>
      <w:proofErr w:type="gramStart"/>
      <w:r w:rsidRPr="004E2F1C">
        <w:rPr>
          <w:rFonts w:ascii="Book Antiqua" w:hAnsi="Book Antiqua"/>
          <w:bCs/>
          <w:iCs/>
          <w:sz w:val="16"/>
          <w:szCs w:val="16"/>
        </w:rPr>
        <w:t xml:space="preserve">] </w:t>
      </w:r>
      <w:r w:rsidRPr="004E2F1C">
        <w:rPr>
          <w:rFonts w:ascii="Book Antiqua" w:hAnsi="Book Antiqua"/>
          <w:sz w:val="16"/>
          <w:szCs w:val="16"/>
        </w:rPr>
        <w:t xml:space="preserve"> Wilkes</w:t>
      </w:r>
      <w:proofErr w:type="gramEnd"/>
      <w:r w:rsidRPr="004E2F1C">
        <w:rPr>
          <w:rFonts w:ascii="Book Antiqua" w:hAnsi="Book Antiqua"/>
          <w:sz w:val="16"/>
          <w:szCs w:val="16"/>
        </w:rPr>
        <w:t xml:space="preserve"> Land structure, Antarctica.Left: </w:t>
      </w:r>
      <w:hyperlink r:id="rId1353" w:history="1">
        <w:r w:rsidRPr="004E2F1C">
          <w:rPr>
            <w:rStyle w:val="Hyperlink"/>
            <w:rFonts w:ascii="Book Antiqua" w:hAnsi="Book Antiqua"/>
            <w:i/>
            <w:szCs w:val="16"/>
          </w:rPr>
          <w:t>http://www.thunderbolts.info/forum/phpBB3/viewtopic.php?p=38601</w:t>
        </w:r>
      </w:hyperlink>
    </w:p>
    <w:p w:rsidR="00CA4909" w:rsidRPr="004E2F1C" w:rsidRDefault="00CA4909" w:rsidP="00CA4909">
      <w:pPr>
        <w:pStyle w:val="NoSpacing"/>
        <w:rPr>
          <w:rFonts w:ascii="Book Antiqua" w:hAnsi="Book Antiqua"/>
          <w:i/>
          <w:sz w:val="16"/>
          <w:szCs w:val="16"/>
        </w:rPr>
      </w:pPr>
      <w:r w:rsidRPr="004E2F1C">
        <w:rPr>
          <w:rFonts w:ascii="Book Antiqua" w:hAnsi="Book Antiqua"/>
          <w:sz w:val="16"/>
          <w:szCs w:val="16"/>
        </w:rPr>
        <w:t xml:space="preserve">Right: </w:t>
      </w:r>
      <w:hyperlink r:id="rId1354" w:history="1">
        <w:r w:rsidRPr="004E2F1C">
          <w:rPr>
            <w:rStyle w:val="Hyperlink"/>
            <w:rFonts w:ascii="Book Antiqua" w:hAnsi="Book Antiqua"/>
            <w:i/>
            <w:szCs w:val="16"/>
          </w:rPr>
          <w:t>http://www.msnbc.msn.com/id/13089686/ns/technology_and_science-space/t/antarctic-crater-linked-ancient-die-off/</w:t>
        </w:r>
      </w:hyperlink>
    </w:p>
    <w:p w:rsidR="00CA4909" w:rsidRPr="004E2F1C" w:rsidRDefault="00CA4909" w:rsidP="00CA4909">
      <w:pPr>
        <w:pStyle w:val="NoSpacing"/>
        <w:rPr>
          <w:rFonts w:ascii="Book Antiqua" w:hAnsi="Book Antiqua"/>
          <w:bCs/>
          <w:iCs/>
          <w:sz w:val="16"/>
          <w:szCs w:val="16"/>
        </w:rPr>
      </w:pPr>
      <w:r w:rsidRPr="004E2F1C">
        <w:rPr>
          <w:rFonts w:ascii="Book Antiqua" w:hAnsi="Book Antiqua"/>
          <w:bCs/>
          <w:iCs/>
          <w:sz w:val="16"/>
          <w:szCs w:val="16"/>
        </w:rPr>
        <w:t xml:space="preserve"> [11]</w:t>
      </w:r>
      <w:r w:rsidRPr="004E2F1C">
        <w:rPr>
          <w:rFonts w:ascii="Book Antiqua" w:hAnsi="Book Antiqua"/>
          <w:sz w:val="16"/>
          <w:szCs w:val="16"/>
        </w:rPr>
        <w:t xml:space="preserve"> Chicxulub structure, Yucatan. Left: </w:t>
      </w:r>
      <w:hyperlink r:id="rId1355" w:history="1">
        <w:r w:rsidRPr="004E2F1C">
          <w:rPr>
            <w:rStyle w:val="Hyperlink"/>
            <w:rFonts w:ascii="Book Antiqua" w:hAnsi="Book Antiqua"/>
            <w:i/>
            <w:szCs w:val="16"/>
          </w:rPr>
          <w:t>http://en.wikipedia.org/wiki/Chicxulub_crater</w:t>
        </w:r>
      </w:hyperlink>
      <w:r>
        <w:t xml:space="preserve"> </w:t>
      </w:r>
      <w:r w:rsidRPr="004E2F1C">
        <w:rPr>
          <w:rFonts w:ascii="Book Antiqua" w:hAnsi="Book Antiqua"/>
          <w:sz w:val="16"/>
          <w:szCs w:val="16"/>
        </w:rPr>
        <w:t xml:space="preserve">Right: </w:t>
      </w:r>
      <w:hyperlink r:id="rId1356" w:history="1">
        <w:r w:rsidRPr="004E2F1C">
          <w:rPr>
            <w:rStyle w:val="Hyperlink"/>
            <w:rFonts w:ascii="Book Antiqua" w:hAnsi="Book Antiqua"/>
            <w:i/>
            <w:szCs w:val="16"/>
          </w:rPr>
          <w:t>http://palaeo.gly.bris.ac.uk/communication/hanks/eff.html</w:t>
        </w:r>
      </w:hyperlink>
    </w:p>
    <w:p w:rsidR="00CA4909" w:rsidRPr="004E2F1C" w:rsidRDefault="00CA4909" w:rsidP="00CA4909">
      <w:pPr>
        <w:pStyle w:val="NoSpacing"/>
        <w:rPr>
          <w:rFonts w:ascii="Book Antiqua" w:hAnsi="Book Antiqua"/>
          <w:sz w:val="16"/>
          <w:szCs w:val="16"/>
        </w:rPr>
      </w:pPr>
      <w:r w:rsidRPr="004E2F1C">
        <w:rPr>
          <w:rFonts w:ascii="Book Antiqua" w:hAnsi="Book Antiqua" w:cs="Arial"/>
          <w:bCs/>
          <w:iCs/>
          <w:sz w:val="16"/>
          <w:szCs w:val="16"/>
        </w:rPr>
        <w:t xml:space="preserve">[12] </w:t>
      </w:r>
      <w:r w:rsidRPr="004E2F1C">
        <w:rPr>
          <w:rFonts w:ascii="Book Antiqua" w:hAnsi="Book Antiqua"/>
          <w:sz w:val="16"/>
          <w:szCs w:val="16"/>
        </w:rPr>
        <w:t xml:space="preserve">Major impact basins on Mars. </w:t>
      </w:r>
      <w:hyperlink r:id="rId1357" w:history="1">
        <w:r w:rsidRPr="004E2F1C">
          <w:rPr>
            <w:rStyle w:val="Hyperlink"/>
            <w:rFonts w:ascii="Book Antiqua" w:hAnsi="Book Antiqua"/>
            <w:i/>
            <w:szCs w:val="16"/>
          </w:rPr>
          <w:t>http://www.psrd.hawaii.edu/May10/YoungerALH84001.html</w:t>
        </w:r>
      </w:hyperlink>
    </w:p>
    <w:p w:rsidR="00CA4909" w:rsidRPr="004E2F1C" w:rsidRDefault="00CA4909" w:rsidP="00CA4909">
      <w:pPr>
        <w:pStyle w:val="NoSpacing"/>
        <w:rPr>
          <w:rFonts w:ascii="Book Antiqua" w:hAnsi="Book Antiqua"/>
          <w:sz w:val="16"/>
          <w:szCs w:val="16"/>
        </w:rPr>
      </w:pPr>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 xml:space="preserve">Figures in this Appendix: Most EDM images from [1]. </w:t>
      </w:r>
      <w:proofErr w:type="gramStart"/>
      <w:r w:rsidRPr="004E2F1C">
        <w:rPr>
          <w:rFonts w:ascii="Book Antiqua" w:hAnsi="Book Antiqua"/>
          <w:sz w:val="16"/>
          <w:szCs w:val="16"/>
        </w:rPr>
        <w:t>Most other images by BJ Setterfield</w:t>
      </w:r>
      <w:r w:rsidR="00C66EB5">
        <w:rPr>
          <w:rFonts w:ascii="Book Antiqua" w:hAnsi="Book Antiqua"/>
          <w:sz w:val="16"/>
          <w:szCs w:val="16"/>
        </w:rPr>
        <w:t xml:space="preserve"> </w:t>
      </w:r>
      <w:r w:rsidRPr="004E2F1C">
        <w:rPr>
          <w:rFonts w:ascii="Book Antiqua" w:hAnsi="Book Antiqua"/>
          <w:sz w:val="16"/>
          <w:szCs w:val="16"/>
        </w:rPr>
        <w:t xml:space="preserve">or found on </w:t>
      </w:r>
      <w:hyperlink r:id="rId1358" w:history="1">
        <w:r w:rsidRPr="004E2F1C">
          <w:rPr>
            <w:rStyle w:val="Hyperlink"/>
            <w:rFonts w:ascii="Book Antiqua" w:hAnsi="Book Antiqua"/>
            <w:szCs w:val="16"/>
          </w:rPr>
          <w:t>www.setterfield.org</w:t>
        </w:r>
      </w:hyperlink>
      <w:r w:rsidRPr="004E2F1C">
        <w:rPr>
          <w:rFonts w:ascii="Book Antiqua" w:hAnsi="Book Antiqua"/>
          <w:sz w:val="16"/>
          <w:szCs w:val="16"/>
        </w:rPr>
        <w:t>.</w:t>
      </w:r>
      <w:proofErr w:type="gramEnd"/>
    </w:p>
    <w:p w:rsidR="00CA4909" w:rsidRPr="004E2F1C" w:rsidRDefault="00CA4909" w:rsidP="00CA4909">
      <w:pPr>
        <w:pStyle w:val="NoSpacing"/>
        <w:rPr>
          <w:rFonts w:ascii="Book Antiqua" w:hAnsi="Book Antiqua"/>
          <w:sz w:val="16"/>
          <w:szCs w:val="16"/>
        </w:rPr>
      </w:pPr>
      <w:r w:rsidRPr="004E2F1C">
        <w:rPr>
          <w:rFonts w:ascii="Book Antiqua" w:hAnsi="Book Antiqua"/>
          <w:sz w:val="16"/>
          <w:szCs w:val="16"/>
        </w:rPr>
        <w:t>Figure 2: Typical craters on Mars: http://academic.pgcc.edu/~bgage/Activity2.htm</w:t>
      </w:r>
    </w:p>
    <w:p w:rsidR="00CA4909" w:rsidRPr="004E2F1C" w:rsidRDefault="00CA4909" w:rsidP="00CA4909">
      <w:pPr>
        <w:pStyle w:val="NoSpacing"/>
        <w:jc w:val="center"/>
        <w:rPr>
          <w:rFonts w:ascii="Book Antiqua" w:hAnsi="Book Antiqua" w:cs="Arial"/>
          <w:bCs/>
          <w:iCs/>
          <w:color w:val="000000"/>
          <w:szCs w:val="24"/>
        </w:rPr>
      </w:pPr>
    </w:p>
    <w:p w:rsidR="00CA4909" w:rsidRDefault="00CA4909" w:rsidP="00CA4909">
      <w:pPr>
        <w:pStyle w:val="NoSpacing"/>
        <w:jc w:val="center"/>
        <w:rPr>
          <w:rFonts w:ascii="Book Antiqua" w:hAnsi="Book Antiqua" w:cs="Arial"/>
          <w:b/>
          <w:bCs/>
          <w:iCs/>
          <w:color w:val="000000"/>
          <w:sz w:val="28"/>
          <w:szCs w:val="28"/>
        </w:rPr>
      </w:pPr>
      <w:r w:rsidRPr="006D37FD">
        <w:rPr>
          <w:rFonts w:ascii="Book Antiqua" w:hAnsi="Book Antiqua" w:cs="Arial"/>
          <w:b/>
          <w:bCs/>
          <w:iCs/>
          <w:color w:val="000000"/>
          <w:sz w:val="28"/>
          <w:szCs w:val="28"/>
        </w:rPr>
        <w:t>*  *  *  *  *  *  *</w:t>
      </w:r>
    </w:p>
    <w:p w:rsidR="00C764EF" w:rsidRDefault="00C764EF">
      <w:pPr>
        <w:widowControl/>
        <w:spacing w:after="200" w:line="276" w:lineRule="auto"/>
        <w:rPr>
          <w:rFonts w:ascii="Book Antiqua" w:eastAsia="Times New Roman" w:hAnsi="Book Antiqua" w:cs="Arial"/>
          <w:b/>
          <w:bCs/>
          <w:iCs/>
          <w:color w:val="000000"/>
          <w:sz w:val="28"/>
          <w:szCs w:val="28"/>
          <w:lang w:val="en-US"/>
        </w:rPr>
      </w:pPr>
      <w:r>
        <w:rPr>
          <w:rFonts w:ascii="Book Antiqua" w:hAnsi="Book Antiqua" w:cs="Arial"/>
          <w:b/>
          <w:bCs/>
          <w:iCs/>
          <w:color w:val="000000"/>
          <w:sz w:val="28"/>
          <w:szCs w:val="28"/>
        </w:rPr>
        <w:br w:type="page"/>
      </w:r>
    </w:p>
    <w:p w:rsidR="004C63DA" w:rsidRPr="00AB49F0" w:rsidRDefault="004C63DA" w:rsidP="004C63DA">
      <w:pPr>
        <w:pStyle w:val="NoSpacing"/>
        <w:jc w:val="center"/>
        <w:rPr>
          <w:rFonts w:ascii="Book Antiqua" w:hAnsi="Book Antiqua"/>
          <w:szCs w:val="24"/>
        </w:rPr>
      </w:pPr>
      <w:r w:rsidRPr="00AB49F0">
        <w:rPr>
          <w:rFonts w:ascii="Book Antiqua" w:hAnsi="Book Antiqua"/>
          <w:b/>
          <w:bCs/>
          <w:iCs/>
          <w:color w:val="000000"/>
          <w:szCs w:val="24"/>
        </w:rPr>
        <w:lastRenderedPageBreak/>
        <w:t xml:space="preserve">Appendix F: </w:t>
      </w:r>
      <w:r w:rsidRPr="00AB49F0">
        <w:rPr>
          <w:rFonts w:ascii="Book Antiqua" w:hAnsi="Book Antiqua"/>
          <w:b/>
          <w:bCs/>
          <w:i/>
          <w:iCs/>
          <w:color w:val="000000"/>
          <w:szCs w:val="24"/>
        </w:rPr>
        <w:t>Practical matters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F1.  The Reality of the ZPE</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On 6th January 2010, the science journal Nature published experimental evidence</w:t>
      </w:r>
      <w:r>
        <w:rPr>
          <w:rFonts w:ascii="Book Antiqua" w:hAnsi="Book Antiqua"/>
          <w:sz w:val="20"/>
        </w:rPr>
        <w:t>,</w:t>
      </w:r>
      <w:r w:rsidRPr="00AD0DF3">
        <w:rPr>
          <w:rFonts w:ascii="Book Antiqua" w:hAnsi="Book Antiqua"/>
          <w:sz w:val="20"/>
        </w:rPr>
        <w:t xml:space="preserve"> using calcium ions</w:t>
      </w:r>
      <w:r>
        <w:rPr>
          <w:rFonts w:ascii="Book Antiqua" w:hAnsi="Book Antiqua"/>
          <w:sz w:val="20"/>
        </w:rPr>
        <w:t>,</w:t>
      </w:r>
      <w:r w:rsidRPr="00AD0DF3">
        <w:rPr>
          <w:rFonts w:ascii="Book Antiqua" w:hAnsi="Book Antiqua"/>
          <w:sz w:val="20"/>
        </w:rPr>
        <w:t xml:space="preserve"> to demonstrate that a real vacuum Zero Point Energy (ZPE) existed. Their evidence indicated that the electromagnetic waves of the ZPE impacting on all subatomic particles were responsible for </w:t>
      </w:r>
      <w:r>
        <w:rPr>
          <w:rFonts w:ascii="Book Antiqua" w:hAnsi="Book Antiqua"/>
          <w:sz w:val="20"/>
        </w:rPr>
        <w:t>t</w:t>
      </w:r>
      <w:r w:rsidRPr="00AD0DF3">
        <w:rPr>
          <w:rFonts w:ascii="Book Antiqua" w:hAnsi="Book Antiqua"/>
          <w:sz w:val="20"/>
        </w:rPr>
        <w:t xml:space="preserve">he "jitter-motion" or </w:t>
      </w:r>
      <w:r w:rsidRPr="00AD0DF3">
        <w:rPr>
          <w:rFonts w:ascii="Book Antiqua" w:hAnsi="Book Antiqua"/>
          <w:i/>
          <w:sz w:val="20"/>
        </w:rPr>
        <w:t>Zitterbewegung</w:t>
      </w:r>
      <w:r w:rsidRPr="00AD0DF3">
        <w:rPr>
          <w:rFonts w:ascii="Book Antiqua" w:hAnsi="Book Antiqua"/>
          <w:sz w:val="20"/>
        </w:rPr>
        <w:t xml:space="preserve"> which all these particles undergo. This jitter motion gives rise to the quantum uncertainty in position and momentum of these particles. These experiments confirm that the Stochastic Electro-Dynamic (SED) approach to physics is correct and that the Quantum Electro-Dynamic (QED) approach is the less desirable alternative, even though it is currently the majority position.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basic difference between these two approaches to physics is that SED physics accepts a real physical ZPE whereas the QED approach accepts the ZPE as only a virtual, not an actual, entity, and one only to be used in mathematical equations. According to SED physics, the Compton frequency of any subatomic particle is the number of resonant hits per second that the particle receives from the impacting waves of the ZPE causing it to "jitter" at that frequency. Thus the Compton frequency for an electron is </w:t>
      </w:r>
      <m:oMath>
        <m:r>
          <w:rPr>
            <w:rFonts w:ascii="Cambria Math" w:hAnsi="Book Antiqua"/>
            <w:sz w:val="20"/>
          </w:rPr>
          <m:t xml:space="preserve">1.2355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while for a proton it </w:t>
      </w:r>
      <w:proofErr w:type="gramStart"/>
      <w:r w:rsidRPr="00AD0DF3">
        <w:rPr>
          <w:rFonts w:ascii="Book Antiqua" w:hAnsi="Book Antiqua"/>
          <w:sz w:val="20"/>
        </w:rPr>
        <w:t xml:space="preserve">is </w:t>
      </w:r>
      <m:oMath>
        <w:proofErr w:type="gramEnd"/>
        <m:r>
          <w:rPr>
            <w:rFonts w:ascii="Cambria Math" w:hAnsi="Book Antiqua"/>
            <w:sz w:val="20"/>
          </w:rPr>
          <m:t xml:space="preserve">2.27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23</m:t>
            </m:r>
          </m:sup>
        </m:sSup>
      </m:oMath>
      <w:r w:rsidRPr="00AD0DF3">
        <w:rPr>
          <w:rFonts w:ascii="Book Antiqua" w:hAnsi="Book Antiqua"/>
          <w:sz w:val="20"/>
        </w:rPr>
        <w:t>. This gives some idea of the number of resonant ZPE waves (that is, those whose wavelengths are about the same size as the subatomic particles) that we are dealing with per second in volumes the size of an electron and proton respectively.</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The ZPE has a frequency cubed distribution of waves or photons. Thus if there were only one ZPE wave (or photon) at a given frequency, then at double the frequency there would be </w:t>
      </w:r>
      <m:oMath>
        <m:sSup>
          <m:sSupPr>
            <m:ctrlPr>
              <w:rPr>
                <w:rFonts w:ascii="Cambria Math" w:hAnsi="Book Antiqua"/>
                <w:i/>
                <w:sz w:val="20"/>
              </w:rPr>
            </m:ctrlPr>
          </m:sSupPr>
          <m:e>
            <m:r>
              <w:rPr>
                <w:rFonts w:ascii="Cambria Math" w:hAnsi="Book Antiqua"/>
                <w:sz w:val="20"/>
              </w:rPr>
              <m:t>2</m:t>
            </m:r>
          </m:e>
          <m:sup>
            <m:r>
              <w:rPr>
                <w:rFonts w:ascii="Cambria Math" w:hAnsi="Book Antiqua"/>
                <w:sz w:val="20"/>
              </w:rPr>
              <m:t>3</m:t>
            </m:r>
          </m:sup>
        </m:sSup>
      </m:oMath>
      <w:r w:rsidRPr="00AD0DF3">
        <w:rPr>
          <w:rFonts w:ascii="Book Antiqua" w:hAnsi="Book Antiqua"/>
          <w:sz w:val="20"/>
        </w:rPr>
        <w:t xml:space="preserve">, that is 8 waves (or photons). If that frequency is then doubled, there would be </w:t>
      </w:r>
      <m:oMath>
        <m:sSup>
          <m:sSupPr>
            <m:ctrlPr>
              <w:rPr>
                <w:rFonts w:ascii="Cambria Math" w:hAnsi="Book Antiqua"/>
                <w:i/>
                <w:sz w:val="20"/>
              </w:rPr>
            </m:ctrlPr>
          </m:sSupPr>
          <m:e>
            <m:r>
              <w:rPr>
                <w:rFonts w:ascii="Cambria Math" w:hAnsi="Book Antiqua"/>
                <w:sz w:val="20"/>
              </w:rPr>
              <m:t>8</m:t>
            </m:r>
          </m:e>
          <m:sup>
            <m:r>
              <w:rPr>
                <w:rFonts w:ascii="Cambria Math" w:hAnsi="Book Antiqua"/>
                <w:sz w:val="20"/>
              </w:rPr>
              <m:t>2</m:t>
            </m:r>
          </m:sup>
        </m:sSup>
      </m:oMath>
      <w:r w:rsidRPr="00AD0DF3">
        <w:rPr>
          <w:rFonts w:ascii="Book Antiqua" w:hAnsi="Book Antiqua"/>
          <w:sz w:val="20"/>
        </w:rPr>
        <w:t xml:space="preserve"> or 512 waves (or</w:t>
      </w:r>
      <w:r>
        <w:rPr>
          <w:rFonts w:ascii="Book Antiqua" w:hAnsi="Book Antiqua"/>
          <w:sz w:val="20"/>
        </w:rPr>
        <w:t>, as some prefer,</w:t>
      </w:r>
      <w:r w:rsidRPr="00AD0DF3">
        <w:rPr>
          <w:rFonts w:ascii="Book Antiqua" w:hAnsi="Book Antiqua"/>
          <w:sz w:val="20"/>
        </w:rPr>
        <w:t xml:space="preserve"> photons), and so on. Therefore, the shorter the wavelength of the ZPE that we are dealing with, the more </w:t>
      </w:r>
      <w:proofErr w:type="gramStart"/>
      <w:r w:rsidRPr="00AD0DF3">
        <w:rPr>
          <w:rFonts w:ascii="Book Antiqua" w:hAnsi="Book Antiqua"/>
          <w:sz w:val="20"/>
        </w:rPr>
        <w:t>waves,</w:t>
      </w:r>
      <w:proofErr w:type="gramEnd"/>
      <w:r w:rsidRPr="00AD0DF3">
        <w:rPr>
          <w:rFonts w:ascii="Book Antiqua" w:hAnsi="Book Antiqua"/>
          <w:sz w:val="20"/>
        </w:rPr>
        <w:t xml:space="preserve"> </w:t>
      </w:r>
      <w:r w:rsidRPr="00D33F28">
        <w:rPr>
          <w:rFonts w:ascii="Book Antiqua" w:hAnsi="Book Antiqua"/>
          <w:sz w:val="20"/>
        </w:rPr>
        <w:t>or photons</w:t>
      </w:r>
      <w:r w:rsidRPr="00AD0DF3">
        <w:rPr>
          <w:rFonts w:ascii="Book Antiqua" w:hAnsi="Book Antiqua"/>
          <w:sz w:val="20"/>
        </w:rPr>
        <w:t xml:space="preserve"> </w:t>
      </w:r>
      <w:r>
        <w:rPr>
          <w:rFonts w:ascii="Book Antiqua" w:hAnsi="Book Antiqua"/>
          <w:sz w:val="20"/>
        </w:rPr>
        <w:t>exist</w:t>
      </w:r>
      <w:r w:rsidRPr="00AD0DF3">
        <w:rPr>
          <w:rFonts w:ascii="Book Antiqua" w:hAnsi="Book Antiqua"/>
          <w:sz w:val="20"/>
        </w:rPr>
        <w:t xml:space="preserve"> up to the high frequency cutoff. This cutoff approaches the Planck frequency of </w:t>
      </w:r>
      <m:oMath>
        <m:r>
          <w:rPr>
            <w:rFonts w:ascii="Cambria Math" w:hAnsi="Book Antiqua"/>
            <w:sz w:val="20"/>
          </w:rPr>
          <m:t xml:space="preserve">1.85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43</m:t>
            </m:r>
          </m:sup>
        </m:sSup>
      </m:oMath>
      <w:r w:rsidRPr="00AD0DF3">
        <w:rPr>
          <w:rFonts w:ascii="Book Antiqua" w:hAnsi="Book Antiqua"/>
          <w:sz w:val="20"/>
        </w:rPr>
        <w:t xml:space="preserve"> hertz. This is a natural cutoff because of the structure of the vacuum; higher frequencies simply become absorbed by the vacuum itself.    Whether we consider using the wave description or the photon description is a matter of personal choice since both approaches are valid scientifically and give the same results in calculations.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F2.  Can the ZPE be </w:t>
      </w:r>
      <w:proofErr w:type="gramStart"/>
      <w:r w:rsidRPr="00AD0DF3">
        <w:rPr>
          <w:rFonts w:ascii="Book Antiqua" w:hAnsi="Book Antiqua"/>
          <w:i/>
          <w:sz w:val="20"/>
        </w:rPr>
        <w:t>Harnessed</w:t>
      </w:r>
      <w:proofErr w:type="gramEnd"/>
      <w:r w:rsidRPr="00AD0DF3">
        <w:rPr>
          <w:rFonts w:ascii="Book Antiqua" w:hAnsi="Book Antiqua"/>
          <w:i/>
          <w:sz w:val="20"/>
        </w:rPr>
        <w:t>?</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Is there a way </w:t>
      </w:r>
      <w:r>
        <w:rPr>
          <w:rFonts w:ascii="Book Antiqua" w:hAnsi="Book Antiqua"/>
          <w:sz w:val="20"/>
        </w:rPr>
        <w:t>in which</w:t>
      </w:r>
      <w:r w:rsidRPr="00AD0DF3">
        <w:rPr>
          <w:rFonts w:ascii="Book Antiqua" w:hAnsi="Book Antiqua"/>
          <w:sz w:val="20"/>
        </w:rPr>
        <w:t xml:space="preserve"> we can tap the ZPE energy?  There is a possibility.  When an electromagnetic wave or photon is reflected off a surface such as a mirror, it exerts twice as much momentum as it would if it were completely absorbed. Thus a set of vanes on a spindle or shaft in a good vacuum can be made to spin around the shaft by the pressure of light. The proviso is that one side of each vane is polished and the other side dark and absorbent in a consistent pattern arranged around the shaft. There is an exact analogy of this with the Nichols radiometer and something similar with Crookes radiometer. With Nichols radiometer, the dark side of the vanes will lead and the polished side follow as that is the side where the extra momentum is coming from. The Crookes radiometer does things in reverse. This occurs because the radiometer is not in a complete vacuum</w:t>
      </w:r>
      <w:r>
        <w:rPr>
          <w:rFonts w:ascii="Book Antiqua" w:hAnsi="Book Antiqua"/>
          <w:sz w:val="20"/>
        </w:rPr>
        <w:t>,</w:t>
      </w:r>
      <w:r w:rsidRPr="00AD0DF3">
        <w:rPr>
          <w:rFonts w:ascii="Book Antiqua" w:hAnsi="Book Antiqua"/>
          <w:sz w:val="20"/>
        </w:rPr>
        <w:t xml:space="preserve"> and more complicated physics is at work in this particular case, some of which relates to the behavior of air molecules.</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concept that emerges </w:t>
      </w:r>
      <w:r>
        <w:rPr>
          <w:rFonts w:ascii="Book Antiqua" w:hAnsi="Book Antiqua"/>
          <w:sz w:val="20"/>
        </w:rPr>
        <w:t>is simply an</w:t>
      </w:r>
      <w:r w:rsidRPr="00AD0DF3">
        <w:rPr>
          <w:rFonts w:ascii="Book Antiqua" w:hAnsi="Book Antiqua"/>
          <w:sz w:val="20"/>
        </w:rPr>
        <w:t xml:space="preserve"> arrangement of vanes, with the leading face an absorber, and the trailing face a reflector. They would be mounted on a shaft or spindle which would be spun by the preferential impulse imparted by the ZPE photons on the reflecting surfaces. The rotating shaft can then generate an electric current if it is attached to a metal disk, or alternatively to windings or coils on a form, which it rotates in the field of a strong permanent magnet. This is the same principle of operation as an alternator, or DC generator, or, more generally, as a homopolar generator/motor. The output would depend on the size of the vanes and the rate of their rotation, the strength of the permanent magnet, the weight of the coils or metal disk and the efficiency of the system. Depending on the number and size of units </w:t>
      </w:r>
      <w:r w:rsidRPr="00AD0DF3">
        <w:rPr>
          <w:rFonts w:ascii="Book Antiqua" w:hAnsi="Book Antiqua"/>
          <w:sz w:val="20"/>
        </w:rPr>
        <w:lastRenderedPageBreak/>
        <w:t>employed, the electricity generated could be used to power computers and electronics, home appliances, electric cars, and even stand alone generators to power homes. More ambitious would be its development for commercial power generation.</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Because the ZPE has a frequency cubed distribution of waves or photons, the shorter the wavelengths employed, the larger the number of photons and hence the greater the number of reflections per unit area on the vanes. In turn this means that more momentum will be transferred, causing the pressure exerted on the vanes to be greater. This will make the device more efficient. Thus the vanes should be made so that they can reflect the shorter wavelengths of the ZPE. The shortest wavelengths are gamma rays then the next shortest are X-rays, while Ultra Violet wavelengths are the longest of the trio. While gamma ray reflection is currently proving to be a difficult problem, the technology for X-ray mirrors or reflectors are slowly becoming more available. At the same time, UV reflectors are now in more common use and thereby easily obtained.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What needs to be ascertained is the pressure that is exerted by the impacting, reflected, photons of the ZPE. This pressure must be significantly greater than atmospheric pressure in order to turn the vanes of the device efficiently. The ZPE pressure is expected to be of the same order of magnitude as the Casimir pressure, </w:t>
      </w:r>
      <w:r w:rsidRPr="00AD0DF3">
        <w:rPr>
          <w:rFonts w:ascii="Book Antiqua" w:hAnsi="Book Antiqua"/>
          <w:i/>
          <w:sz w:val="20"/>
        </w:rPr>
        <w:t>P</w:t>
      </w:r>
      <w:r w:rsidRPr="00AD0DF3">
        <w:rPr>
          <w:rFonts w:ascii="Book Antiqua" w:hAnsi="Book Antiqua"/>
          <w:sz w:val="20"/>
        </w:rPr>
        <w:t xml:space="preserve"> which is exerted by specific wavelengths of the ZPE as they reflect from the Casimir plates. This pressure is given by the formula</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right"/>
        <w:rPr>
          <w:rFonts w:ascii="Book Antiqua" w:hAnsi="Book Antiqua"/>
          <w:i/>
          <w:sz w:val="20"/>
        </w:rPr>
      </w:pPr>
      <m:oMath>
        <m:r>
          <w:rPr>
            <w:rFonts w:ascii="Cambria Math" w:hAnsi="Cambria Math"/>
            <w:sz w:val="20"/>
          </w:rPr>
          <m:t>P</m:t>
        </m:r>
        <m:r>
          <w:rPr>
            <w:rFonts w:ascii="Cambria Math" w:hAnsi="Book Antiqua"/>
            <w:sz w:val="20"/>
          </w:rPr>
          <m:t xml:space="preserve"> = [(</m:t>
        </m:r>
        <m:sSup>
          <m:sSupPr>
            <m:ctrlPr>
              <w:rPr>
                <w:rFonts w:ascii="Cambria Math" w:hAnsi="Book Antiqua"/>
                <w:i/>
                <w:sz w:val="20"/>
              </w:rPr>
            </m:ctrlPr>
          </m:sSupPr>
          <m:e>
            <m:r>
              <w:rPr>
                <w:rFonts w:ascii="Cambria Math" w:hAnsi="Cambria Math"/>
                <w:sz w:val="20"/>
              </w:rPr>
              <m:t>π</m:t>
            </m:r>
          </m:e>
          <m:sup>
            <m:r>
              <w:rPr>
                <w:rFonts w:ascii="Cambria Math" w:hAnsi="Book Antiqua"/>
                <w:sz w:val="20"/>
              </w:rPr>
              <m:t>2</m:t>
            </m:r>
          </m:sup>
        </m:sSup>
        <m:r>
          <w:rPr>
            <w:rFonts w:ascii="Book Antiqua" w:hAnsi="Cambria Math"/>
            <w:sz w:val="20"/>
          </w:rPr>
          <m:t>h</m:t>
        </m:r>
        <m:r>
          <w:rPr>
            <w:rFonts w:ascii="Cambria Math" w:hAnsi="Cambria Math"/>
            <w:sz w:val="20"/>
          </w:rPr>
          <m:t>c</m:t>
        </m:r>
        <m:r>
          <w:rPr>
            <w:rFonts w:ascii="Cambria Math" w:hAnsi="Book Antiqua"/>
            <w:sz w:val="20"/>
          </w:rPr>
          <m:t>)/(2</m:t>
        </m:r>
        <m:r>
          <w:rPr>
            <w:rFonts w:ascii="Cambria Math" w:hAnsi="Cambria Math"/>
            <w:sz w:val="20"/>
          </w:rPr>
          <m:t>π</m:t>
        </m:r>
        <m:r>
          <w:rPr>
            <w:rFonts w:ascii="Cambria Math" w:hAnsi="Book Antiqua"/>
            <w:sz w:val="20"/>
          </w:rPr>
          <m:t>)]/(240</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m:t>
        </m:r>
      </m:oMath>
      <w:r w:rsidRPr="00AD0DF3">
        <w:rPr>
          <w:rFonts w:ascii="Book Antiqua" w:hAnsi="Book Antiqua"/>
          <w:sz w:val="20"/>
        </w:rPr>
        <w:tab/>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 xml:space="preserve">         (1)</w:t>
      </w:r>
    </w:p>
    <w:p w:rsidR="004C63DA" w:rsidRPr="00AD0DF3" w:rsidRDefault="004C63DA" w:rsidP="004C63DA">
      <w:pPr>
        <w:pStyle w:val="NoSpacing"/>
        <w:jc w:val="right"/>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roofErr w:type="gramStart"/>
      <w:r w:rsidRPr="00AD0DF3">
        <w:rPr>
          <w:rFonts w:ascii="Book Antiqua" w:hAnsi="Book Antiqua"/>
          <w:sz w:val="20"/>
        </w:rPr>
        <w:t>where</w:t>
      </w:r>
      <w:proofErr w:type="gramEnd"/>
      <w:r w:rsidRPr="00AD0DF3">
        <w:rPr>
          <w:rFonts w:ascii="Book Antiqua" w:hAnsi="Book Antiqua"/>
          <w:sz w:val="20"/>
        </w:rPr>
        <w:t xml:space="preserve"> pressure, </w:t>
      </w:r>
      <m:oMath>
        <m:r>
          <w:rPr>
            <w:rFonts w:ascii="Cambria Math" w:hAnsi="Cambria Math"/>
            <w:sz w:val="20"/>
          </w:rPr>
          <m:t>P</m:t>
        </m:r>
      </m:oMath>
      <w:r w:rsidRPr="00AD0DF3">
        <w:rPr>
          <w:rFonts w:ascii="Book Antiqua" w:hAnsi="Book Antiqua"/>
          <w:sz w:val="20"/>
        </w:rPr>
        <w:t xml:space="preserve">, is in Pascals, and </w:t>
      </w:r>
      <m:oMath>
        <m:r>
          <w:rPr>
            <w:rFonts w:ascii="Cambria Math" w:hAnsi="Cambria Math"/>
            <w:sz w:val="20"/>
          </w:rPr>
          <m:t>λ</m:t>
        </m:r>
      </m:oMath>
      <w:r w:rsidRPr="00AD0DF3">
        <w:rPr>
          <w:rFonts w:ascii="Book Antiqua" w:hAnsi="Book Antiqua"/>
          <w:sz w:val="20"/>
        </w:rPr>
        <w:t xml:space="preserve"> is the wavelength of the reflected photons in meters. We need our definition to be in comparison to atmospheric pressure to gauge how well the vanes will work in air. The average atmospheric pressure at sea level is 101,325 Pascals, which equals 1.01325 Bars, even though for physics and chemistry the standard atmospheric pressure is accepted as being 1.000 Bar. For our purposes here we therefore re-write (1) as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right"/>
        <w:rPr>
          <w:rFonts w:ascii="Book Antiqua" w:hAnsi="Book Antiqua"/>
          <w:sz w:val="20"/>
        </w:rPr>
      </w:pPr>
      <m:oMath>
        <m:r>
          <w:rPr>
            <w:rFonts w:ascii="Cambria Math" w:hAnsi="Cambria Math"/>
            <w:sz w:val="20"/>
          </w:rPr>
          <m:t>P</m:t>
        </m:r>
        <m:r>
          <w:rPr>
            <w:rFonts w:ascii="Cambria Math" w:hAnsi="Book Antiqua"/>
            <w:sz w:val="20"/>
          </w:rPr>
          <m:t xml:space="preserve"> = (1.300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m:t>
        </m:r>
        <m:sSup>
          <m:sSupPr>
            <m:ctrlPr>
              <w:rPr>
                <w:rFonts w:ascii="Cambria Math" w:hAnsi="Book Antiqua"/>
                <w:i/>
                <w:sz w:val="20"/>
              </w:rPr>
            </m:ctrlPr>
          </m:sSupPr>
          <m:e>
            <m:r>
              <w:rPr>
                <w:rFonts w:ascii="Cambria Math" w:hAnsi="Cambria Math"/>
                <w:sz w:val="20"/>
              </w:rPr>
              <m:t>λ</m:t>
            </m:r>
          </m:e>
          <m:sup>
            <m:r>
              <w:rPr>
                <w:rFonts w:ascii="Cambria Math" w:hAnsi="Book Antiqua"/>
                <w:sz w:val="20"/>
              </w:rPr>
              <m:t>4</m:t>
            </m:r>
          </m:sup>
        </m:sSup>
        <m:r>
          <w:rPr>
            <w:rFonts w:ascii="Cambria Math" w:hAnsi="Book Antiqua"/>
            <w:sz w:val="20"/>
          </w:rPr>
          <m:t xml:space="preserve">)(101325)] </m:t>
        </m:r>
        <m:r>
          <w:rPr>
            <w:rFonts w:ascii="Cambria Math" w:hAnsi="Cambria Math"/>
            <w:sz w:val="20"/>
          </w:rPr>
          <m:t>Bars</m:t>
        </m:r>
      </m:oMath>
      <w:r w:rsidRPr="00AD0DF3">
        <w:rPr>
          <w:rFonts w:ascii="Book Antiqua" w:hAnsi="Book Antiqua"/>
          <w:sz w:val="20"/>
        </w:rPr>
        <w:t xml:space="preserve"> .</w:t>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sz w:val="20"/>
        </w:rPr>
        <w:tab/>
      </w:r>
      <w:r w:rsidRPr="00AD0DF3">
        <w:rPr>
          <w:rFonts w:ascii="Book Antiqua" w:hAnsi="Book Antiqua"/>
          <w:i/>
          <w:sz w:val="20"/>
        </w:rPr>
        <w:t>(2)</w:t>
      </w:r>
      <w:r w:rsidRPr="00AD0DF3">
        <w:rPr>
          <w:rFonts w:ascii="Book Antiqua" w:hAnsi="Book Antiqua"/>
          <w:sz w:val="20"/>
        </w:rPr>
        <w:t xml:space="preserve"> </w:t>
      </w:r>
    </w:p>
    <w:p w:rsidR="004C63DA" w:rsidRPr="00AD0DF3" w:rsidRDefault="004C63DA" w:rsidP="004C63DA">
      <w:pPr>
        <w:pStyle w:val="NoSpacing"/>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Calculation then reveals that the pressure exerted on unit area by ultra-violet wavelengths of </w:t>
      </w:r>
      <m:oMath>
        <m:r>
          <w:rPr>
            <w:rFonts w:ascii="Cambria Math" w:hAnsi="Book Antiqua"/>
            <w:sz w:val="20"/>
          </w:rPr>
          <m:t xml:space="preserve">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meters is only around </w:t>
      </w:r>
      <m:oMath>
        <m:r>
          <w:rPr>
            <w:rFonts w:ascii="Cambria Math" w:hAnsi="Book Antiqua"/>
            <w:sz w:val="20"/>
          </w:rPr>
          <m:t xml:space="preserve">5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Pr>
          <w:rFonts w:ascii="Book Antiqua" w:hAnsi="Book Antiqua"/>
          <w:sz w:val="20"/>
        </w:rPr>
        <w:t xml:space="preserve"> </w:t>
      </w:r>
      <w:r w:rsidRPr="00AD0DF3">
        <w:rPr>
          <w:rFonts w:ascii="Book Antiqua" w:hAnsi="Book Antiqua"/>
          <w:sz w:val="20"/>
        </w:rPr>
        <w:t xml:space="preserve">Bars. Clearly, this will not work. At wavelengths around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meters, the pressure exerted on unit area by ZPE photons is close to 1.3 Bars. This then, is the minimum wavelength that is useful for our purposes. Soft X-rays have a mid-range of wavelengths of the order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 xml:space="preserve">meters. When this figure is substituted for </w:t>
      </w:r>
      <m:oMath>
        <m:r>
          <w:rPr>
            <w:rFonts w:ascii="Cambria Math" w:hAnsi="Cambria Math"/>
            <w:sz w:val="20"/>
          </w:rPr>
          <m:t>λ</m:t>
        </m:r>
      </m:oMath>
      <w:r w:rsidRPr="00AD0DF3">
        <w:rPr>
          <w:rFonts w:ascii="Book Antiqua" w:hAnsi="Book Antiqua"/>
          <w:sz w:val="20"/>
        </w:rPr>
        <w:t xml:space="preserve"> in (2) we obtain a pressure from the ZPE photons of 12,830 Bars. </w:t>
      </w: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it becomes apparent that the best range of wavelengths for our purposes should go from about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 xml:space="preserve">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that is from 10 nanometers down to one nanometer, or even shorter. These wavelengths correspond to frequencies of about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16</m:t>
            </m:r>
          </m:sup>
        </m:sSup>
      </m:oMath>
      <w:r w:rsidRPr="00AD0DF3">
        <w:rPr>
          <w:rFonts w:ascii="Book Antiqua" w:hAnsi="Book Antiqua"/>
          <w:sz w:val="20"/>
        </w:rPr>
        <w:t xml:space="preserve"> hertz and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respectively. This is usually designated as “soft” X-rays with the longest (and less desirable) wavelengths bordering on the extreme ultraviolet (XUV). The alternate way of expressing these figures is in terms of their energies in electron-volts (eV) or kilo electron Volts (keV). An electron volt is the energy required to move an electron through a potential difference of 1 volt. For the case we are dealing with here, the range of interest extends from the least desirable 0.12 keV for wavelengths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8</m:t>
            </m:r>
          </m:sup>
        </m:sSup>
        <m:r>
          <w:rPr>
            <w:rFonts w:ascii="Cambria Math" w:hAnsi="Book Antiqua"/>
            <w:sz w:val="20"/>
          </w:rPr>
          <m:t xml:space="preserve"> </m:t>
        </m:r>
      </m:oMath>
      <w:r w:rsidRPr="00AD0DF3">
        <w:rPr>
          <w:rFonts w:ascii="Book Antiqua" w:hAnsi="Book Antiqua"/>
          <w:sz w:val="20"/>
        </w:rPr>
        <w:t>meters, up to at least 1.2 keV for the best wavelengths of</w:t>
      </w:r>
      <m:oMath>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r>
          <w:rPr>
            <w:rFonts w:ascii="Cambria Math" w:hAnsi="Book Antiqua"/>
            <w:sz w:val="20"/>
          </w:rPr>
          <m:t xml:space="preserve">  </m:t>
        </m:r>
      </m:oMath>
      <w:r w:rsidRPr="00AD0DF3">
        <w:rPr>
          <w:rFonts w:ascii="Book Antiqua" w:hAnsi="Book Antiqua"/>
          <w:sz w:val="20"/>
        </w:rPr>
        <w:t>meters or more.</w:t>
      </w:r>
    </w:p>
    <w:p w:rsidR="004C63DA" w:rsidRPr="00AD0DF3"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r w:rsidRPr="00AD0DF3">
        <w:rPr>
          <w:rFonts w:ascii="Book Antiqua" w:hAnsi="Book Antiqua"/>
          <w:sz w:val="20"/>
        </w:rPr>
        <w:t xml:space="preserve">In the proposed device, the opposite side of the vanes should be as perfect an absorber of X-rays as possible. Again, recent technology has the concepts necessary to achieve this. Currently, absorption is achieved by depositing thin films of gold, wolfram, tantalum or tungsten on a substrate. In the applications for which they were designed, the thickness of these absorbing deposits usually ranged from 25 to 40 micro-meters or microns. Such technology is used in the etching of electronic components and the like. If these current technologies were extended to apply to the case in hand here, it should be possible to achieve an excellent soft X-ray absorber on one side of the vanes. A discussion on the heat sink that might be needed in this case will occur a little later. </w:t>
      </w: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i/>
          <w:sz w:val="20"/>
        </w:rPr>
        <w:t>F3.  Cross-Check Calculations</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We need to get an independent cross-check, or at least some separate comparison, of our calculation that the pressure exerted by the soft X-ray photons of the ZPE will be well in excess of atmospheric prerssure. In order to do this comparison, we recall that an electron jitters from the impacting waves (or photons) of the ZPE at the Compton frequency. In other words, the Compton frequency is the number of resonant hits that the electron receives from ZPE photons; that number is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hits per second. As Haisch and others have pointed out, only those impacting photons of the ZPE whose wavelengths are close to the size of the electron will cause the resonant "jitter." The other photons have little effect. So there are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wavelengths are about the size of the electron, impacting on it per second. M.H. Mac Gregor in </w:t>
      </w:r>
      <w:r w:rsidRPr="00AD0DF3">
        <w:rPr>
          <w:rFonts w:ascii="Book Antiqua" w:hAnsi="Book Antiqua"/>
          <w:i/>
          <w:sz w:val="20"/>
        </w:rPr>
        <w:t xml:space="preserve">The Enigmatic </w:t>
      </w:r>
      <w:proofErr w:type="gramStart"/>
      <w:r w:rsidRPr="00AD0DF3">
        <w:rPr>
          <w:rFonts w:ascii="Book Antiqua" w:hAnsi="Book Antiqua"/>
          <w:i/>
          <w:sz w:val="20"/>
        </w:rPr>
        <w:t>Electron</w:t>
      </w:r>
      <w:r w:rsidRPr="00AD0DF3">
        <w:rPr>
          <w:rFonts w:ascii="Book Antiqua" w:hAnsi="Book Antiqua"/>
          <w:sz w:val="20"/>
        </w:rPr>
        <w:t>,</w:t>
      </w:r>
      <w:proofErr w:type="gramEnd"/>
      <w:r w:rsidRPr="00AD0DF3">
        <w:rPr>
          <w:rFonts w:ascii="Book Antiqua" w:hAnsi="Book Antiqua"/>
          <w:sz w:val="20"/>
        </w:rPr>
        <w:t xml:space="preserve"> has pointed out that there are at least 7 differing electron radii that can be used for purposes of calculation. One which is frequently used is the Classical Electron Radius which results when the electron mass is taken as coming from the classical self-energy of its electric field, as we have done elsewhere in this monograph. This radius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taken as our standard, then the wavelengths of the ZPE that are jiggling the electron are of the order of the electron’s diameter or about </w:t>
      </w:r>
      <m:oMath>
        <m:r>
          <w:rPr>
            <w:rFonts w:ascii="Cambria Math" w:hAnsi="Book Antiqua"/>
            <w:sz w:val="20"/>
          </w:rPr>
          <m:t xml:space="preserve">5.64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If this is the wavelength of the impacting photons causing the jiggle, then their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hertz.</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There are thus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oMath>
      <w:r w:rsidRPr="00AD0DF3">
        <w:rPr>
          <w:rFonts w:ascii="Book Antiqua" w:hAnsi="Book Antiqua"/>
          <w:sz w:val="20"/>
        </w:rPr>
        <w:t xml:space="preserve"> ZPE photons whose frequency is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that impact on the area of the spherical electron each second. Given the fact that the area of a sphere is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Cambria Math"/>
                <w:sz w:val="20"/>
              </w:rPr>
              <m:t>r</m:t>
            </m:r>
          </m:e>
          <m:sup>
            <m:r>
              <w:rPr>
                <w:rFonts w:ascii="Cambria Math" w:hAnsi="Book Antiqua"/>
                <w:sz w:val="20"/>
              </w:rPr>
              <m:t>2</m:t>
            </m:r>
          </m:sup>
        </m:sSup>
      </m:oMath>
      <w:r w:rsidRPr="00AD0DF3">
        <w:rPr>
          <w:rFonts w:ascii="Book Antiqua" w:hAnsi="Book Antiqua"/>
          <w:sz w:val="20"/>
        </w:rPr>
        <w:t xml:space="preserve">, and that the Classical Radius, </w:t>
      </w:r>
      <m:oMath>
        <m:r>
          <w:rPr>
            <w:rFonts w:ascii="Cambria Math" w:hAnsi="Cambria Math"/>
            <w:sz w:val="20"/>
          </w:rPr>
          <m:t>r</m:t>
        </m:r>
      </m:oMath>
      <w:r w:rsidRPr="00AD0DF3">
        <w:rPr>
          <w:rFonts w:ascii="Book Antiqua" w:hAnsi="Book Antiqua"/>
          <w:sz w:val="20"/>
        </w:rPr>
        <w:t xml:space="preserve">, of an electron is </w:t>
      </w:r>
      <m:oMath>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oMath>
      <w:r w:rsidRPr="00AD0DF3">
        <w:rPr>
          <w:rFonts w:ascii="Book Antiqua" w:hAnsi="Book Antiqua"/>
          <w:sz w:val="20"/>
        </w:rPr>
        <w:t xml:space="preserve"> cm, then the surface area being impacted per second by these waves is given by  </w:t>
      </w:r>
      <m:oMath>
        <m:r>
          <w:rPr>
            <w:rFonts w:ascii="Cambria Math" w:hAnsi="Book Antiqua"/>
            <w:sz w:val="20"/>
          </w:rPr>
          <m:t xml:space="preserve">4 </m:t>
        </m:r>
        <m:r>
          <w:rPr>
            <w:rFonts w:ascii="Cambria Math" w:hAnsi="Cambria Math"/>
            <w:sz w:val="20"/>
          </w:rPr>
          <m:t>π</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 xml:space="preserve">(2.82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13</m:t>
                </m:r>
              </m:sup>
            </m:sSup>
            <m:r>
              <w:rPr>
                <w:rFonts w:ascii="Cambria Math" w:hAnsi="Book Antiqua"/>
                <w:sz w:val="20"/>
              </w:rPr>
              <m:t>)</m:t>
            </m:r>
          </m:e>
          <m:sup>
            <m:r>
              <w:rPr>
                <w:rFonts w:ascii="Cambria Math" w:hAnsi="Book Antiqua"/>
                <w:sz w:val="20"/>
              </w:rPr>
              <m:t>2</m:t>
            </m:r>
          </m:sup>
        </m:sSup>
      </m:oMath>
      <w:r w:rsidRPr="00AD0DF3">
        <w:rPr>
          <w:rFonts w:ascii="Book Antiqua" w:hAnsi="Book Antiqua"/>
          <w:sz w:val="20"/>
        </w:rPr>
        <w:t xml:space="preserve"> sq cm., or very close to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 xml:space="preserve">24 </m:t>
            </m:r>
          </m:sup>
        </m:sSup>
      </m:oMath>
      <w:r w:rsidRPr="00AD0DF3">
        <w:rPr>
          <w:rFonts w:ascii="Book Antiqua" w:hAnsi="Book Antiqua"/>
          <w:sz w:val="20"/>
        </w:rPr>
        <w:t xml:space="preserve">square cm. This means that there must be about </w:t>
      </w:r>
      <m:oMath>
        <m:r>
          <w:rPr>
            <w:rFonts w:ascii="Cambria Math" w:hAnsi="Book Antiqua"/>
            <w:sz w:val="20"/>
          </w:rPr>
          <m:t xml:space="preserve">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20</m:t>
            </m:r>
          </m:sup>
        </m:sSup>
        <m:r>
          <w:rPr>
            <w:rFonts w:ascii="Cambria Math" w:hAnsi="Book Antiqua"/>
            <w:sz w:val="20"/>
            <w:vertAlign w:val="superscript"/>
          </w:rPr>
          <m:t xml:space="preserve"> </m:t>
        </m:r>
        <m:r>
          <w:rPr>
            <w:rFonts w:ascii="Cambria Math" w:hAnsi="Book Antiqua"/>
            <w:sz w:val="20"/>
          </w:rPr>
          <m:t>/(</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24</m:t>
            </m:r>
          </m:sup>
        </m:sSup>
        <m:r>
          <w:rPr>
            <w:rFonts w:ascii="Cambria Math" w:hAnsi="Book Antiqua"/>
            <w:sz w:val="20"/>
          </w:rPr>
          <m:t xml:space="preserve">) =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oMath>
      <w:r w:rsidRPr="00AD0DF3">
        <w:rPr>
          <w:rFonts w:ascii="Book Antiqua" w:hAnsi="Book Antiqua"/>
          <w:sz w:val="20"/>
        </w:rPr>
        <w:t xml:space="preserve"> hits per second per square centimeter by photons which have a frequency of </w:t>
      </w:r>
      <m:oMath>
        <m:r>
          <w:rPr>
            <w:rFonts w:ascii="Cambria Math" w:hAnsi="Book Antiqua"/>
            <w:sz w:val="20"/>
          </w:rPr>
          <m:t xml:space="preserve">5.31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oMath>
      <w:r w:rsidRPr="00AD0DF3">
        <w:rPr>
          <w:rFonts w:ascii="Book Antiqua" w:hAnsi="Book Antiqua"/>
          <w:sz w:val="20"/>
        </w:rPr>
        <w:t xml:space="preserve"> </w:t>
      </w:r>
      <w:proofErr w:type="gramStart"/>
      <w:r w:rsidRPr="00AD0DF3">
        <w:rPr>
          <w:rFonts w:ascii="Book Antiqua" w:hAnsi="Book Antiqua"/>
          <w:sz w:val="20"/>
        </w:rPr>
        <w:t>hz</w:t>
      </w:r>
      <w:proofErr w:type="gramEnd"/>
      <w:r w:rsidRPr="00AD0DF3">
        <w:rPr>
          <w:rFonts w:ascii="Book Antiqua" w:hAnsi="Book Antiqua"/>
          <w:sz w:val="20"/>
        </w:rPr>
        <w:t xml:space="preserve"> for the electron to jiggle at the Compton frequency.</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 xml:space="preserve">Having established our ZPE "baseline" frequency and the number of photons involved, we now need to calculate the number of ZPE photons of soft X-ray frequencies on the basis of the known frequency cubed distribution of the ZPE.Then we can work out the pressure that would be exerted. Let us take the mid-range frequency of soft X-rays. This wavelength of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7</m:t>
            </m:r>
          </m:sup>
        </m:sSup>
      </m:oMath>
      <w:r w:rsidRPr="00AD0DF3">
        <w:rPr>
          <w:rFonts w:ascii="Book Antiqua" w:hAnsi="Book Antiqua"/>
          <w:sz w:val="20"/>
        </w:rPr>
        <w:t xml:space="preserve"> centimeters (or </w:t>
      </w:r>
      <m:oMath>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9</m:t>
            </m:r>
          </m:sup>
        </m:sSup>
      </m:oMath>
      <w:r w:rsidRPr="00AD0DF3">
        <w:rPr>
          <w:rFonts w:ascii="Book Antiqua" w:hAnsi="Book Antiqua"/>
          <w:sz w:val="20"/>
        </w:rPr>
        <w:t xml:space="preserve"> meters) corresponds to a frequency of </w:t>
      </w:r>
      <m:oMath>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oMath>
      <w:r w:rsidRPr="00AD0DF3">
        <w:rPr>
          <w:rFonts w:ascii="Book Antiqua" w:hAnsi="Book Antiqua"/>
          <w:sz w:val="20"/>
        </w:rPr>
        <w:t xml:space="preserve"> hertz.</w:t>
      </w:r>
    </w:p>
    <w:p w:rsidR="004C63DA" w:rsidRPr="00AD0DF3" w:rsidRDefault="004C63DA" w:rsidP="004C63DA">
      <w:pPr>
        <w:pStyle w:val="NoSpacing"/>
        <w:ind w:firstLine="360"/>
        <w:jc w:val="both"/>
        <w:rPr>
          <w:rFonts w:ascii="Book Antiqua" w:hAnsi="Book Antiqua"/>
          <w:sz w:val="20"/>
        </w:rPr>
      </w:pPr>
    </w:p>
    <w:p w:rsidR="004C63DA" w:rsidRPr="00AD0DF3" w:rsidRDefault="004C63DA" w:rsidP="004C63DA">
      <w:pPr>
        <w:pStyle w:val="NoSpacing"/>
        <w:ind w:firstLine="360"/>
        <w:jc w:val="both"/>
        <w:rPr>
          <w:rFonts w:ascii="Book Antiqua" w:hAnsi="Book Antiqua"/>
          <w:sz w:val="20"/>
        </w:rPr>
      </w:pPr>
      <w:r w:rsidRPr="00AD0DF3">
        <w:rPr>
          <w:rFonts w:ascii="Book Antiqua" w:hAnsi="Book Antiqua"/>
          <w:sz w:val="20"/>
        </w:rPr>
        <w:t>From there, we calculate the number of soft X-ray photons hitting per second on one square centimeter. This will be given by the cube of the ratio of frequencies multiplied by the number of hits per second per square centimeter for an electron. Doing this we get:</w:t>
      </w:r>
    </w:p>
    <w:p w:rsidR="004C63DA" w:rsidRPr="00AD0DF3" w:rsidRDefault="004C63DA" w:rsidP="004C63DA">
      <w:pPr>
        <w:pStyle w:val="NoSpacing"/>
        <w:ind w:firstLine="360"/>
        <w:jc w:val="both"/>
        <w:rPr>
          <w:rFonts w:ascii="Book Antiqua" w:hAnsi="Book Antiqua"/>
          <w:sz w:val="20"/>
        </w:rPr>
      </w:pPr>
    </w:p>
    <w:p w:rsidR="004C63DA" w:rsidRPr="00AD0DF3" w:rsidRDefault="007B3EBC" w:rsidP="004C63DA">
      <w:pPr>
        <w:pStyle w:val="NoSpacing"/>
        <w:ind w:firstLine="360"/>
        <w:jc w:val="right"/>
        <w:rPr>
          <w:rFonts w:ascii="Book Antiqua" w:hAnsi="Book Antiqua"/>
          <w:sz w:val="20"/>
        </w:rPr>
      </w:pPr>
      <m:oMath>
        <m:sSup>
          <m:sSupPr>
            <m:ctrlPr>
              <w:rPr>
                <w:rFonts w:ascii="Cambria Math" w:hAnsi="Book Antiqua"/>
                <w:i/>
                <w:sz w:val="20"/>
              </w:rPr>
            </m:ctrlPr>
          </m:sSupPr>
          <m:e>
            <m:r>
              <w:rPr>
                <w:rFonts w:ascii="Cambria Math" w:hAnsi="Book Antiqua"/>
                <w:sz w:val="20"/>
              </w:rPr>
              <m:t>[(3</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(5.31 </m:t>
            </m:r>
            <m:r>
              <w:rPr>
                <w:rFonts w:ascii="Cambria Math" w:hAnsi="Cambria Math"/>
                <w:sz w:val="20"/>
              </w:rPr>
              <m:t>x</m:t>
            </m:r>
            <m:sSup>
              <m:sSupPr>
                <m:ctrlPr>
                  <w:rPr>
                    <w:rFonts w:ascii="Cambria Math" w:hAnsi="Book Antiqua"/>
                    <w:i/>
                    <w:sz w:val="20"/>
                  </w:rPr>
                </m:ctrlPr>
              </m:sSupPr>
              <m:e>
                <m:r>
                  <w:rPr>
                    <w:rFonts w:ascii="Cambria Math" w:hAnsi="Book Antiqua"/>
                    <w:sz w:val="20"/>
                  </w:rPr>
                  <m:t>10</m:t>
                </m:r>
              </m:e>
              <m:sup>
                <m:r>
                  <w:rPr>
                    <w:rFonts w:ascii="Cambria Math" w:hAnsi="Book Antiqua"/>
                    <w:sz w:val="20"/>
                  </w:rPr>
                  <m:t>22</m:t>
                </m:r>
              </m:sup>
            </m:sSup>
            <m:r>
              <w:rPr>
                <w:rFonts w:ascii="Cambria Math" w:hAnsi="Book Antiqua"/>
                <w:sz w:val="20"/>
              </w:rPr>
              <m:t>)]</m:t>
            </m:r>
          </m:e>
          <m:sup>
            <m:r>
              <w:rPr>
                <w:rFonts w:ascii="Cambria Math" w:hAnsi="Book Antiqua"/>
                <w:sz w:val="20"/>
              </w:rPr>
              <m:t>3</m:t>
            </m:r>
          </m:sup>
        </m:sSup>
        <m:r>
          <w:rPr>
            <w:rFonts w:ascii="Cambria Math" w:hAnsi="Book Antiqua"/>
            <w:sz w:val="20"/>
          </w:rPr>
          <m:t xml:space="preserve"> </m:t>
        </m:r>
        <m:r>
          <w:rPr>
            <w:rFonts w:ascii="Cambria Math" w:hAnsi="Cambria Math"/>
            <w:sz w:val="20"/>
          </w:rPr>
          <m:t>x</m:t>
        </m:r>
        <m:r>
          <w:rPr>
            <w:rFonts w:ascii="Cambria Math" w:hAnsi="Book Antiqua"/>
            <w:sz w:val="20"/>
          </w:rPr>
          <m:t xml:space="preserve"> (1.23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44</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m:t>
        </m:r>
      </m:oMath>
      <w:r w:rsidR="004C63DA" w:rsidRPr="00AD0DF3">
        <w:rPr>
          <w:rFonts w:ascii="Book Antiqua" w:hAnsi="Book Antiqua"/>
          <w:sz w:val="20"/>
        </w:rPr>
        <w:t xml:space="preserve">  </w:t>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sz w:val="20"/>
        </w:rPr>
        <w:tab/>
      </w:r>
      <w:r w:rsidR="004C63DA" w:rsidRPr="00AD0DF3">
        <w:rPr>
          <w:rFonts w:ascii="Book Antiqua" w:hAnsi="Book Antiqua"/>
          <w:i/>
          <w:sz w:val="20"/>
        </w:rPr>
        <w:t>(3)</w:t>
      </w:r>
      <w:r w:rsidR="004C63DA" w:rsidRPr="00AD0DF3">
        <w:rPr>
          <w:rFonts w:ascii="Book Antiqua" w:hAnsi="Book Antiqua"/>
          <w:sz w:val="20"/>
        </w:rPr>
        <w:tab/>
      </w:r>
      <w:r w:rsidR="004C63DA"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Thus there will be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hits per second by these soft X-ray photons on an area of one square centimeter.</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 xml:space="preserve"> </w:t>
      </w:r>
      <w:r w:rsidRPr="00AD0DF3">
        <w:rPr>
          <w:rFonts w:ascii="Book Antiqua" w:hAnsi="Book Antiqua"/>
          <w:sz w:val="20"/>
        </w:rPr>
        <w:tab/>
        <w:t xml:space="preserve">The pressure exerted by these impacting photons is given by the force per unit area in dynes per square centimeter, or the momentum imparted per square cm. per second. The units of the two are equivalent (See A.P. French, Principles of Modern Physics, p.41, Wiley). The momentum of a photon can be obtained by the formula Energy </w:t>
      </w:r>
      <m:oMath>
        <m:r>
          <w:rPr>
            <w:rFonts w:ascii="Cambria Math" w:hAnsi="Cambria Math"/>
            <w:sz w:val="20"/>
          </w:rPr>
          <m:t>E</m:t>
        </m:r>
        <m:r>
          <w:rPr>
            <w:rFonts w:ascii="Cambria Math" w:hAnsi="Book Antiqua"/>
            <w:sz w:val="20"/>
          </w:rPr>
          <m:t xml:space="preserve"> = </m:t>
        </m:r>
        <m:r>
          <w:rPr>
            <w:rFonts w:ascii="Cambria Math" w:hAnsi="Cambria Math"/>
            <w:sz w:val="20"/>
          </w:rPr>
          <m:t>m</m:t>
        </m:r>
        <m:sSup>
          <m:sSupPr>
            <m:ctrlPr>
              <w:rPr>
                <w:rFonts w:ascii="Cambria Math" w:hAnsi="Book Antiqua"/>
                <w:i/>
                <w:sz w:val="20"/>
              </w:rPr>
            </m:ctrlPr>
          </m:sSupPr>
          <m:e>
            <m:r>
              <w:rPr>
                <w:rFonts w:ascii="Cambria Math" w:hAnsi="Cambria Math"/>
                <w:sz w:val="20"/>
              </w:rPr>
              <m:t>c</m:t>
            </m:r>
          </m:e>
          <m:sup>
            <m:r>
              <w:rPr>
                <w:rFonts w:ascii="Cambria Math" w:hAnsi="Book Antiqua"/>
                <w:sz w:val="20"/>
              </w:rPr>
              <m:t>2</m:t>
            </m:r>
          </m:sup>
        </m:sSup>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 xml:space="preserve"> </m:t>
        </m:r>
      </m:oMath>
      <w:r w:rsidRPr="00AD0DF3">
        <w:rPr>
          <w:rFonts w:ascii="Book Antiqua" w:hAnsi="Book Antiqua"/>
          <w:sz w:val="20"/>
        </w:rPr>
        <w:t xml:space="preserve">where </w:t>
      </w:r>
      <m:oMath>
        <m:r>
          <w:rPr>
            <w:rFonts w:ascii="Book Antiqua" w:hAnsi="Cambria Math"/>
            <w:sz w:val="20"/>
          </w:rPr>
          <m:t>h</m:t>
        </m:r>
      </m:oMath>
      <w:proofErr w:type="gramStart"/>
      <w:r w:rsidRPr="00AD0DF3">
        <w:rPr>
          <w:rFonts w:ascii="Book Antiqua" w:hAnsi="Book Antiqua"/>
          <w:sz w:val="20"/>
        </w:rPr>
        <w:t xml:space="preserve"> is Planck's constant</w:t>
      </w:r>
      <w:proofErr w:type="gramEnd"/>
      <w:r w:rsidRPr="00AD0DF3">
        <w:rPr>
          <w:rFonts w:ascii="Book Antiqua" w:hAnsi="Book Antiqua"/>
          <w:sz w:val="20"/>
        </w:rPr>
        <w:t xml:space="preserve"> and</w:t>
      </w:r>
      <m:oMath>
        <m:r>
          <w:rPr>
            <w:rFonts w:ascii="Cambria Math" w:hAnsi="Book Antiqua"/>
            <w:sz w:val="20"/>
          </w:rPr>
          <m:t xml:space="preserve"> </m:t>
        </m:r>
        <m:r>
          <w:rPr>
            <w:rFonts w:ascii="Cambria Math" w:hAnsi="Cambria Math"/>
            <w:sz w:val="20"/>
          </w:rPr>
          <m:t>f</m:t>
        </m:r>
      </m:oMath>
      <w:r w:rsidRPr="00AD0DF3">
        <w:rPr>
          <w:rFonts w:ascii="Book Antiqua" w:hAnsi="Book Antiqua"/>
          <w:sz w:val="20"/>
        </w:rPr>
        <w:t xml:space="preserve"> is frequency and </w:t>
      </w:r>
      <m:oMath>
        <m:r>
          <w:rPr>
            <w:rFonts w:ascii="Cambria Math" w:hAnsi="Cambria Math"/>
            <w:sz w:val="20"/>
          </w:rPr>
          <m:t>c</m:t>
        </m:r>
      </m:oMath>
      <w:r w:rsidRPr="00AD0DF3">
        <w:rPr>
          <w:rFonts w:ascii="Book Antiqua" w:hAnsi="Book Antiqua"/>
          <w:sz w:val="20"/>
        </w:rPr>
        <w:t xml:space="preserve"> is the speed of light.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From this we obtain the photon momentum from the formula </w:t>
      </w:r>
      <m:oMath>
        <m:r>
          <w:rPr>
            <w:rFonts w:ascii="Cambria Math" w:hAnsi="Cambria Math"/>
            <w:sz w:val="20"/>
          </w:rPr>
          <m:t>mc</m:t>
        </m:r>
        <m:r>
          <w:rPr>
            <w:rFonts w:ascii="Cambria Math" w:hAnsi="Book Antiqua"/>
            <w:sz w:val="20"/>
          </w:rPr>
          <m:t xml:space="preserve"> = </m:t>
        </m:r>
        <m:r>
          <w:rPr>
            <w:rFonts w:ascii="Book Antiqua" w:hAnsi="Cambria Math"/>
            <w:sz w:val="20"/>
          </w:rPr>
          <m:t>h</m:t>
        </m:r>
        <m:r>
          <w:rPr>
            <w:rFonts w:ascii="Cambria Math" w:hAnsi="Cambria Math"/>
            <w:sz w:val="20"/>
          </w:rPr>
          <m:t>f</m:t>
        </m:r>
        <m:r>
          <w:rPr>
            <w:rFonts w:ascii="Cambria Math" w:hAnsi="Book Antiqua"/>
            <w:sz w:val="20"/>
          </w:rPr>
          <m:t>/</m:t>
        </m:r>
        <m:r>
          <w:rPr>
            <w:rFonts w:ascii="Cambria Math" w:hAnsi="Cambria Math"/>
            <w:sz w:val="20"/>
          </w:rPr>
          <m:t>c</m:t>
        </m:r>
      </m:oMath>
      <w:r w:rsidRPr="00AD0DF3">
        <w:rPr>
          <w:rFonts w:ascii="Book Antiqua" w:hAnsi="Book Antiqua"/>
          <w:sz w:val="20"/>
        </w:rPr>
        <w:t xml:space="preserve"> dynes per square centimeter. Here </w:t>
      </w:r>
      <m:oMath>
        <m:r>
          <w:rPr>
            <w:rFonts w:ascii="Book Antiqua" w:hAnsi="Cambria Math"/>
            <w:sz w:val="20"/>
          </w:rPr>
          <m:t>h</m:t>
        </m:r>
      </m:oMath>
      <w:r w:rsidRPr="00AD0DF3">
        <w:rPr>
          <w:rFonts w:ascii="Book Antiqua" w:hAnsi="Book Antiqua"/>
          <w:sz w:val="20"/>
        </w:rPr>
        <w:t xml:space="preserve"> is in units of erg-sec, </w:t>
      </w:r>
      <m:oMath>
        <m:r>
          <w:rPr>
            <w:rFonts w:ascii="Cambria Math" w:hAnsi="Cambria Math"/>
            <w:sz w:val="20"/>
          </w:rPr>
          <m:t>f</m:t>
        </m:r>
      </m:oMath>
      <w:r w:rsidRPr="00AD0DF3">
        <w:rPr>
          <w:rFonts w:ascii="Book Antiqua" w:hAnsi="Book Antiqua"/>
          <w:sz w:val="20"/>
        </w:rPr>
        <w:t xml:space="preserve"> is in hertz and </w:t>
      </w:r>
      <m:oMath>
        <m:r>
          <w:rPr>
            <w:rFonts w:ascii="Cambria Math" w:hAnsi="Cambria Math"/>
            <w:sz w:val="20"/>
          </w:rPr>
          <m:t>c</m:t>
        </m:r>
      </m:oMath>
      <w:r w:rsidRPr="00AD0DF3">
        <w:rPr>
          <w:rFonts w:ascii="Book Antiqua" w:hAnsi="Book Antiqua"/>
          <w:sz w:val="20"/>
        </w:rPr>
        <w:t xml:space="preserve"> is in centimeters per second. The momentum of one soft X-ray photon is then given by the expression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27</m:t>
            </m:r>
          </m:sup>
        </m:sSup>
        <m:r>
          <w:rPr>
            <w:rFonts w:ascii="Cambria Math" w:hAnsi="Book Antiqua"/>
            <w:sz w:val="20"/>
          </w:rPr>
          <m:t xml:space="preserve">)(3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17</m:t>
            </m:r>
          </m:sup>
        </m:sSup>
        <m:r>
          <w:rPr>
            <w:rFonts w:ascii="Cambria Math" w:hAnsi="Book Antiqua"/>
            <w:sz w:val="20"/>
          </w:rPr>
          <m:t xml:space="preserve">) / (3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10</m:t>
            </m:r>
          </m:sup>
        </m:sSup>
        <m:r>
          <w:rPr>
            <w:rFonts w:ascii="Cambria Math" w:hAnsi="Book Antiqua"/>
            <w:sz w:val="20"/>
          </w:rPr>
          <m:t xml:space="preserve">) = 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oMath>
      <w:r w:rsidRPr="00AD0DF3">
        <w:rPr>
          <w:rFonts w:ascii="Book Antiqua" w:hAnsi="Book Antiqua"/>
          <w:sz w:val="20"/>
        </w:rPr>
        <w:t xml:space="preserve"> dynes per square cm. Therefore, since there are </w:t>
      </w:r>
      <m:oMath>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oMath>
      <w:r w:rsidRPr="00AD0DF3">
        <w:rPr>
          <w:rFonts w:ascii="Book Antiqua" w:hAnsi="Book Antiqua"/>
          <w:sz w:val="20"/>
        </w:rPr>
        <w:t xml:space="preserve"> photons hitting per second, the pressure will be </w:t>
      </w:r>
      <m:oMath>
        <m:r>
          <w:rPr>
            <w:rFonts w:ascii="Cambria Math" w:hAnsi="Book Antiqua"/>
            <w:sz w:val="20"/>
          </w:rPr>
          <m:t xml:space="preserve">(6.62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Book Antiqua" w:hAnsi="Book Antiqua"/>
                <w:sz w:val="20"/>
              </w:rPr>
              <m:t>-</m:t>
            </m:r>
            <m:r>
              <w:rPr>
                <w:rFonts w:ascii="Cambria Math" w:hAnsi="Book Antiqua"/>
                <w:sz w:val="20"/>
              </w:rPr>
              <m:t>20</m:t>
            </m:r>
          </m:sup>
        </m:sSup>
        <m:r>
          <w:rPr>
            <w:rFonts w:ascii="Cambria Math" w:hAnsi="Book Antiqua"/>
            <w:sz w:val="20"/>
          </w:rPr>
          <m:t xml:space="preserve">)(2.22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28</m:t>
            </m:r>
          </m:sup>
        </m:sSup>
        <m:r>
          <w:rPr>
            <w:rFonts w:ascii="Cambria Math" w:hAnsi="Book Antiqua"/>
            <w:sz w:val="20"/>
          </w:rPr>
          <m:t xml:space="preserve">) = 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9</m:t>
            </m:r>
          </m:sup>
        </m:sSup>
      </m:oMath>
      <w:r w:rsidRPr="00AD0DF3">
        <w:rPr>
          <w:rFonts w:ascii="Book Antiqua" w:hAnsi="Book Antiqua"/>
          <w:sz w:val="20"/>
        </w:rPr>
        <w:t xml:space="preserve"> dynes per square cm. from soft X-rays of 1.2 keV. This is the same as </w:t>
      </w:r>
      <m:oMath>
        <m:r>
          <w:rPr>
            <w:rFonts w:ascii="Cambria Math" w:hAnsi="Book Antiqua"/>
            <w:sz w:val="20"/>
          </w:rPr>
          <m:t xml:space="preserve">1.46 </m:t>
        </m:r>
        <m:r>
          <w:rPr>
            <w:rFonts w:ascii="Cambria Math" w:hAnsi="Cambria Math"/>
            <w:sz w:val="20"/>
          </w:rPr>
          <m:t>x</m:t>
        </m:r>
        <m:r>
          <w:rPr>
            <w:rFonts w:ascii="Cambria Math" w:hAnsi="Book Antiqua"/>
            <w:sz w:val="20"/>
          </w:rPr>
          <m:t xml:space="preserve"> </m:t>
        </m:r>
        <m:sSup>
          <m:sSupPr>
            <m:ctrlPr>
              <w:rPr>
                <w:rFonts w:ascii="Cambria Math" w:hAnsi="Book Antiqua"/>
                <w:i/>
                <w:sz w:val="20"/>
              </w:rPr>
            </m:ctrlPr>
          </m:sSupPr>
          <m:e>
            <m:r>
              <w:rPr>
                <w:rFonts w:ascii="Cambria Math" w:hAnsi="Book Antiqua"/>
                <w:sz w:val="20"/>
              </w:rPr>
              <m:t>10</m:t>
            </m:r>
          </m:e>
          <m:sup>
            <m:r>
              <w:rPr>
                <w:rFonts w:ascii="Cambria Math" w:hAnsi="Book Antiqua"/>
                <w:sz w:val="20"/>
              </w:rPr>
              <m:t>8</m:t>
            </m:r>
          </m:sup>
        </m:sSup>
      </m:oMath>
      <w:r w:rsidRPr="00AD0DF3">
        <w:rPr>
          <w:rFonts w:ascii="Book Antiqua" w:hAnsi="Book Antiqua"/>
          <w:sz w:val="20"/>
        </w:rPr>
        <w:t xml:space="preserve"> Pascals, which, when using the conversion in (2) gives us 1460 Bars pressure. This is an order of magnitude less than the 12,830 Bars from the earlier calculation. As a result, this should be considered to be a conservative estimate. Indeed, if the full quota of ZPE photons is not reflected, but only, say, </w:t>
      </w:r>
      <w:r w:rsidRPr="00AD0DF3">
        <w:rPr>
          <w:rFonts w:ascii="Book Antiqua" w:hAnsi="Book Antiqua"/>
          <w:sz w:val="20"/>
        </w:rPr>
        <w:lastRenderedPageBreak/>
        <w:t>2/3</w:t>
      </w:r>
      <w:r w:rsidRPr="00AD0DF3">
        <w:rPr>
          <w:rFonts w:ascii="Book Antiqua" w:hAnsi="Book Antiqua"/>
          <w:sz w:val="20"/>
          <w:vertAlign w:val="superscript"/>
        </w:rPr>
        <w:t>rd</w:t>
      </w:r>
      <w:r w:rsidRPr="00AD0DF3">
        <w:rPr>
          <w:rFonts w:ascii="Book Antiqua" w:hAnsi="Book Antiqua"/>
          <w:sz w:val="20"/>
        </w:rPr>
        <w:t xml:space="preserve"> then we still have a pressure of 1000 Bars to work with. This suggests that the machine will work well using soft X-ray technology.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r w:rsidRPr="00AD0DF3">
        <w:rPr>
          <w:rFonts w:ascii="Book Antiqua" w:hAnsi="Book Antiqua"/>
          <w:sz w:val="20"/>
        </w:rPr>
        <w:tab/>
      </w:r>
    </w:p>
    <w:p w:rsidR="004C63DA" w:rsidRPr="00AD0DF3" w:rsidRDefault="004C63DA" w:rsidP="004C63DA">
      <w:pPr>
        <w:pStyle w:val="NoSpacing"/>
        <w:jc w:val="both"/>
        <w:rPr>
          <w:rFonts w:ascii="Book Antiqua" w:hAnsi="Book Antiqua"/>
          <w:sz w:val="20"/>
        </w:rPr>
      </w:pPr>
      <w:r w:rsidRPr="00AD0DF3">
        <w:rPr>
          <w:rFonts w:ascii="Book Antiqua" w:hAnsi="Book Antiqua"/>
          <w:b/>
          <w:i/>
          <w:sz w:val="20"/>
        </w:rPr>
        <w:tab/>
      </w:r>
      <w:r w:rsidRPr="00AD0DF3">
        <w:rPr>
          <w:rFonts w:ascii="Book Antiqua" w:hAnsi="Book Antiqua"/>
          <w:sz w:val="20"/>
        </w:rPr>
        <w:t xml:space="preserve">Current technology allows "soft" X-rays to be reflected from angles </w:t>
      </w:r>
      <w:r>
        <w:rPr>
          <w:rFonts w:ascii="Book Antiqua" w:hAnsi="Book Antiqua"/>
          <w:sz w:val="20"/>
        </w:rPr>
        <w:t>up to almost</w:t>
      </w:r>
      <w:r w:rsidRPr="00AD0DF3">
        <w:rPr>
          <w:rFonts w:ascii="Book Antiqua" w:hAnsi="Book Antiqua"/>
          <w:sz w:val="20"/>
        </w:rPr>
        <w:t xml:space="preserve"> 90 degrees to the surface (normal incidence) with efficiencies up to 80%. Certain crystals can do this naturally, but a similar result can be obtained artificially. A</w:t>
      </w:r>
      <w:r w:rsidRPr="00AD0DF3">
        <w:rPr>
          <w:rFonts w:ascii="Book Antiqua" w:hAnsi="Book Antiqua"/>
          <w:snapToGrid w:val="0"/>
          <w:sz w:val="20"/>
        </w:rPr>
        <w:t xml:space="preserve">rtificial X-ray reflectors were developed in the 1990's and consist of a stack of typically 100-200 alternating nanometer-thick layers made from two different chemical elements. They are produced by coating each layer to a precise thickness, with accuracies in the order of picometers. The technology is known as X-Ray Reflectometry (XRR). In 1997, NASA technicians at the Goddard Space Flight Center also developed a technique, </w:t>
      </w:r>
      <w:r w:rsidRPr="00AD0DF3">
        <w:rPr>
          <w:rFonts w:ascii="Book Antiqua" w:hAnsi="Book Antiqua"/>
          <w:sz w:val="20"/>
        </w:rPr>
        <w:t xml:space="preserve">which utilizes a new multilayer coating over foil </w:t>
      </w:r>
      <w:proofErr w:type="gramStart"/>
      <w:r w:rsidRPr="00AD0DF3">
        <w:rPr>
          <w:rFonts w:ascii="Book Antiqua" w:hAnsi="Book Antiqua"/>
          <w:sz w:val="20"/>
        </w:rPr>
        <w:t>reflectors, that</w:t>
      </w:r>
      <w:proofErr w:type="gramEnd"/>
      <w:r w:rsidRPr="00AD0DF3">
        <w:rPr>
          <w:rFonts w:ascii="Book Antiqua" w:hAnsi="Book Antiqua"/>
          <w:sz w:val="20"/>
        </w:rPr>
        <w:t xml:space="preserve"> reflected X-rays with energies ranging up to 35 keV.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More recently, technology has been developing which will allow "hard" X-rays up to 79 keV to be reflected from depth-graded multi-layers of chemical elements that have been given a high polish. However, the commercially available technology will only allow reflection of these X-rays from a relatively shallow angle. While the technology to reflect hard X-rays from higher angles may be in the process of being investigated and perfected, it does not seem to be readily available at this point in time. In any case, it should not prove necessary to try to reflect photons of such high energies as there seem to be sufficient lower energy ZPE photons to work efficiently with fewer problems.</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Given the probability that any potential problems in reflecting “soft” X-rays can be overcome, the concept that vanes coated with a highly polished X-ray reflector on one side and a good absorber on the other will rotate on a spindle or shaft should certainly work from basic physics. These calculations seem to indicate that even an inefficient device would then be able to perform well. Note that larger vanes would seem to intuitively allow greater X-ray reflection which would result in a greater angular momentum for the rotating vanes and hence greater efficiency.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rmalWeb"/>
        <w:spacing w:before="0" w:beforeAutospacing="0" w:after="240" w:afterAutospacing="0" w:line="210" w:lineRule="atLeast"/>
        <w:jc w:val="both"/>
        <w:rPr>
          <w:rStyle w:val="Strong"/>
          <w:rFonts w:ascii="Book Antiqua" w:hAnsi="Book Antiqua"/>
          <w:b w:val="0"/>
          <w:i/>
          <w:sz w:val="20"/>
          <w:szCs w:val="20"/>
        </w:rPr>
      </w:pPr>
      <w:r w:rsidRPr="00AD0DF3">
        <w:rPr>
          <w:rStyle w:val="Strong"/>
          <w:rFonts w:ascii="Book Antiqua" w:hAnsi="Book Antiqua"/>
          <w:i/>
          <w:sz w:val="20"/>
          <w:szCs w:val="20"/>
        </w:rPr>
        <w:t>F4.  Useful Power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next matter needing examination is the generation of electric current. This can come from either a system of metal coils wrapped on some sort of form, or, alternatively, a metal disk which would be attached to the shaft with the rotating vanes. These coils or the disk must turn in the field of a strong magnet with the resultant electric current being produced by the same principles as an alternator, DC generator or homopolar generator/motor. The homopolar motor is the most efficient of the three systems and can operate from a smaller size for any given power level. A homopolar motor also lacks the inherent time-varying forces that are a source of noise in alternating current generation. Finally, it also has simplicity of control compared with its rivals.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In 1831, Michael Faraday was the first to use this mechanism as a way to generate an electric current. He did this by rotating a metal disk in the magnetic field of a fixed, permanent magnet. As the metal rotated through the magnetic field, an electric current was generated in the disk and flowed out through the brushes which were acting as a sliding contact on the edge of the disk. The circuit was completed by connecting a wire from the brushes through a resistance to the rotating shaft.  In this configuration, the system acts as a generator. In contrast, when an electric current is supplied to the disk (instead of being drawn from it as proposed here) a mechanical torque is produced, and the system acts as an electric motor. Thus Faraday's mechanism can be used as either a generator of electric current, or as an electric motor. It is the first application that we </w:t>
      </w:r>
      <w:r>
        <w:rPr>
          <w:rFonts w:ascii="Book Antiqua" w:hAnsi="Book Antiqua"/>
          <w:sz w:val="20"/>
        </w:rPr>
        <w:t>might consider in this</w:t>
      </w:r>
      <w:r w:rsidRPr="00AD0DF3">
        <w:rPr>
          <w:rFonts w:ascii="Book Antiqua" w:hAnsi="Book Antiqua"/>
          <w:sz w:val="20"/>
        </w:rPr>
        <w:t xml:space="preserve"> case.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Homopolar generators produce high current but low voltage. If this is disadvantageous, the situation can now be at least partly overcome by several methods. Instead of a copper disk, multiple turns of wire in a coil, or coils, or armature are found to produce higher voltages. Experimenters have found that voltage is proportional to the number of turns in the coil. In another development, advanced solid state current converters can be used to increase the voltage from the generator and reduce the current</w:t>
      </w:r>
      <w:proofErr w:type="gramStart"/>
      <w:r w:rsidRPr="00AD0DF3">
        <w:rPr>
          <w:rFonts w:ascii="Book Antiqua" w:hAnsi="Book Antiqua"/>
          <w:sz w:val="20"/>
        </w:rPr>
        <w:t>.</w:t>
      </w:r>
      <w:r w:rsidRPr="00AD0DF3">
        <w:rPr>
          <w:rFonts w:ascii="Book Antiqua" w:hAnsi="Book Antiqua"/>
          <w:b/>
          <w:sz w:val="20"/>
        </w:rPr>
        <w:t>.</w:t>
      </w:r>
      <w:proofErr w:type="gramEnd"/>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The efficiency of the homopolar generator itself is dependent upon the strength of the fixed magnet. The stronger, or more intense, the magnetic field the greater the current that can be generated for a given rotation rate of the spinning </w:t>
      </w:r>
      <w:r w:rsidRPr="00AD0DF3">
        <w:rPr>
          <w:rFonts w:ascii="Book Antiqua" w:hAnsi="Book Antiqua"/>
          <w:sz w:val="20"/>
        </w:rPr>
        <w:lastRenderedPageBreak/>
        <w:t xml:space="preserve">disk or coils. In practical applications, it has been found that the intensity of the magnetic field can be effectively increased through the use of superconducting magnets because they generate an intense magnetic field very efficiently. This strong magnetic field allows these generators to produce higher current with smaller sizes. The most recent developments here are the use of cryo-coolers instead of liquid helium, and copper fiber brushes to harvest the current. This arrangement has been used in some ship systems. </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Thus, the technology for superconductive homopolar generators is already established. This suggests that minimal research and development should be needed for any necessary miniaturization. However, there are two problems. First, power must be supplied, at least initially to the superconductive magnet. Second, the cryogenic material boils away so continual replacement is required. These factors tend to </w:t>
      </w:r>
      <w:proofErr w:type="gramStart"/>
      <w:r w:rsidRPr="00AD0DF3">
        <w:rPr>
          <w:rFonts w:ascii="Book Antiqua" w:hAnsi="Book Antiqua"/>
          <w:sz w:val="20"/>
        </w:rPr>
        <w:t>mitigate</w:t>
      </w:r>
      <w:proofErr w:type="gramEnd"/>
      <w:r w:rsidRPr="00AD0DF3">
        <w:rPr>
          <w:rFonts w:ascii="Book Antiqua" w:hAnsi="Book Antiqua"/>
          <w:sz w:val="20"/>
        </w:rPr>
        <w:t xml:space="preserve"> against the use of superconductive magnets in the case of the smaller applications. There is also the cost factor to consider.</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If superconducting magnets prove a problem for these reasons, the alternative types of magnet that should be considered are the Neodymium variety. These magnets are an alloy of Neodymium, Iron and Boron in a tetragonal crystal structure</w:t>
      </w:r>
      <w:proofErr w:type="gramStart"/>
      <w:r>
        <w:rPr>
          <w:rFonts w:ascii="Book Antiqua" w:hAnsi="Book Antiqua"/>
          <w:sz w:val="20"/>
        </w:rPr>
        <w:t>,</w:t>
      </w:r>
      <w:r w:rsidRPr="00AD0DF3">
        <w:rPr>
          <w:rFonts w:ascii="Book Antiqua" w:hAnsi="Book Antiqua"/>
          <w:sz w:val="20"/>
        </w:rPr>
        <w:t xml:space="preserve"> </w:t>
      </w:r>
      <m:oMath>
        <w:proofErr w:type="gramEnd"/>
        <m:sSub>
          <m:sSubPr>
            <m:ctrlPr>
              <w:rPr>
                <w:rFonts w:ascii="Cambria Math" w:hAnsi="Book Antiqua"/>
                <w:i/>
                <w:sz w:val="20"/>
              </w:rPr>
            </m:ctrlPr>
          </m:sSubPr>
          <m:e>
            <m:r>
              <w:rPr>
                <w:rFonts w:ascii="Cambria Math" w:hAnsi="Cambria Math"/>
                <w:sz w:val="20"/>
              </w:rPr>
              <m:t>Nd</m:t>
            </m:r>
          </m:e>
          <m:sub>
            <m:r>
              <w:rPr>
                <w:rFonts w:ascii="Cambria Math" w:hAnsi="Book Antiqua"/>
                <w:sz w:val="20"/>
              </w:rPr>
              <m:t>2</m:t>
            </m:r>
          </m:sub>
        </m:sSub>
        <m:sSub>
          <m:sSubPr>
            <m:ctrlPr>
              <w:rPr>
                <w:rFonts w:ascii="Cambria Math" w:hAnsi="Book Antiqua"/>
                <w:i/>
                <w:sz w:val="20"/>
              </w:rPr>
            </m:ctrlPr>
          </m:sSubPr>
          <m:e>
            <m:r>
              <w:rPr>
                <w:rFonts w:ascii="Cambria Math" w:hAnsi="Cambria Math"/>
                <w:sz w:val="20"/>
              </w:rPr>
              <m:t>Fe</m:t>
            </m:r>
          </m:e>
          <m:sub>
            <m:r>
              <w:rPr>
                <w:rFonts w:ascii="Cambria Math" w:hAnsi="Book Antiqua"/>
                <w:sz w:val="20"/>
              </w:rPr>
              <m:t>14</m:t>
            </m:r>
          </m:sub>
        </m:sSub>
        <m:r>
          <w:rPr>
            <w:rFonts w:ascii="Cambria Math" w:hAnsi="Cambria Math"/>
            <w:sz w:val="20"/>
          </w:rPr>
          <m:t>B</m:t>
        </m:r>
      </m:oMath>
      <w:r w:rsidRPr="00AD0DF3">
        <w:rPr>
          <w:rFonts w:ascii="Book Antiqua" w:hAnsi="Book Antiqua"/>
          <w:sz w:val="20"/>
        </w:rPr>
        <w:t>. This type of magnet has the highest density of magnetic energy of all permanent magnets, around 200 to 440 kilo-Joules per cubic meter. They also have a high remanence, or strength of magnetic field, which is typically around 1.0 to 1.4 Tesla. In addition, they possess a much higher coercivity, or resistance to becoming demagnetized, than any other permanent magnet. The material can also be shaped and formed appropriately. This technology is also currently available without any major research or development being required.</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 xml:space="preserve">One of the disadvantages of the classical homopolar generator is the low output voltage due to the single current path on the disk through the magnetic flux. It was also found to be important to have a disk that was thick enough to allow good current generation. If the disk was too thin, the current was low. However, in the case under discussion here, it would be more difficult to rotate a thick copper disk, rather than a thin one, by the momentum supplied to the vanes by the ZPE photons. Furthermore, electric eddy currents form in the disk which wastes a good percentage of the energy of the system. </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As a result of these problems, it appears desirable to replace the original metal disk used by Faraday with a system of multiple coils that can be rotated more easily by the shaft.  The exact configuration of these coils will depend on the application that they are being designed for, since a computer or home appliance will have different design constraints to that of a car or a stand-alone generator for a house.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A recent development for situations where wires sweep through magnetic fields is also appropriate here. Because such a system has its efficiency reduced by swirling magnetic vortices in the wires, research has shown that wires made of magnesium diboride (an easy exercise) can have this problem largely eliminated if 5 nanometer-wide particles of barium zirconate were added to the wire. This acts to “pin” the magnetic flux lines in place as the wires sweep through the field and prevents the formation of the magnetic vortices [Paul Marks, “Supercool wind power”, </w:t>
      </w:r>
      <w:r w:rsidRPr="00AD0DF3">
        <w:rPr>
          <w:rFonts w:ascii="Book Antiqua" w:hAnsi="Book Antiqua"/>
          <w:i/>
          <w:sz w:val="20"/>
        </w:rPr>
        <w:t>New Scientist</w:t>
      </w:r>
      <w:r w:rsidRPr="00AD0DF3">
        <w:rPr>
          <w:rFonts w:ascii="Book Antiqua" w:hAnsi="Book Antiqua"/>
          <w:sz w:val="20"/>
        </w:rPr>
        <w:t xml:space="preserve"> 19 Jan, 2013, p.19]. Such an arrangement would noticeably increase efficiency.</w:t>
      </w:r>
    </w:p>
    <w:p w:rsidR="004C63DA" w:rsidRPr="00AD0DF3" w:rsidRDefault="004C63DA" w:rsidP="004C63DA">
      <w:pPr>
        <w:pStyle w:val="NoSpacing"/>
        <w:jc w:val="both"/>
        <w:rPr>
          <w:rFonts w:ascii="Book Antiqua" w:hAnsi="Book Antiqua"/>
          <w:b/>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 xml:space="preserve">F5.   Questions </w:t>
      </w:r>
      <w:proofErr w:type="gramStart"/>
      <w:r w:rsidRPr="00AD0DF3">
        <w:rPr>
          <w:rFonts w:ascii="Book Antiqua" w:hAnsi="Book Antiqua"/>
          <w:i/>
          <w:sz w:val="20"/>
        </w:rPr>
        <w:t>Of</w:t>
      </w:r>
      <w:proofErr w:type="gramEnd"/>
      <w:r w:rsidRPr="00AD0DF3">
        <w:rPr>
          <w:rFonts w:ascii="Book Antiqua" w:hAnsi="Book Antiqua"/>
          <w:i/>
          <w:sz w:val="20"/>
        </w:rPr>
        <w:t xml:space="preserve"> Heat.</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sz w:val="20"/>
        </w:rPr>
      </w:pPr>
      <w:r w:rsidRPr="00AD0DF3">
        <w:rPr>
          <w:rFonts w:ascii="Book Antiqua" w:hAnsi="Book Antiqua"/>
          <w:sz w:val="20"/>
        </w:rPr>
        <w:tab/>
        <w:t>Inevitably, when X-rays are absorbed, there will be some heat produced in the process. Obviously, much depends on how efficient the device actually is, and since there are no precedents to go by, experimentation would be necessary to determine this. Nevertheless, it seems wise to provide some kind of heat sink in the device. There already exist a number of arrangements for dealing with heat from X-rays. When X-rays are produced for research or commercially for medical work, some parts of the system reach very high temperatures. It is yet to be seen whether or not the device under consideration here becomes heated to these temperatures with soft X-rays. However, as a precaution, it may be wise to apply the technology used in these research and commercial instruments. In that case, it might be appropriate to construct the substrate for the vanes of molybdenum since this is used as the heat conductor from the commercial X-ray targets.</w:t>
      </w:r>
    </w:p>
    <w:p w:rsidR="004C63DA" w:rsidRPr="00AD0DF3" w:rsidRDefault="004C63DA" w:rsidP="004C63DA">
      <w:pPr>
        <w:pStyle w:val="NoSpacing"/>
        <w:jc w:val="both"/>
        <w:rPr>
          <w:rFonts w:ascii="Book Antiqua" w:hAnsi="Book Antiqua"/>
          <w:sz w:val="20"/>
        </w:rPr>
      </w:pPr>
      <w:r w:rsidRPr="00AD0DF3">
        <w:rPr>
          <w:rFonts w:ascii="Book Antiqua" w:hAnsi="Book Antiqua"/>
          <w:sz w:val="20"/>
        </w:rPr>
        <w:lastRenderedPageBreak/>
        <w:tab/>
      </w: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In order to conduct the heat away from the vanes, the radial arms connecting the vanes to the rotating shaft should also be of molybdenum, as should the rotating shaft itself. The greater the length of the radial arms, the more torque will be supplied by the impacts on the vanes. However, if heating really does become a problem, the length of the radial arms may have to be shortened so that heat conduction is more efficient. This will obviously cause some loss of efficiency, but just how much can again only be determined by experiment. In the worst case scenario, the vanes might have to be attached directly to the shaft. This would allow heat to be conducted directly to the shaft without having to be transmitted along the radial arms. The disadvantage is that the torque supplied by the impacting photons will be much lower if the vanes are attached directly to the shaft. The longer the radial arms, the more torque will be achieved from the impacting photons. </w:t>
      </w:r>
    </w:p>
    <w:p w:rsidR="004C63DA" w:rsidRPr="00AD0DF3" w:rsidRDefault="004C63DA" w:rsidP="004C63DA">
      <w:pPr>
        <w:pStyle w:val="NoSpacing"/>
        <w:ind w:firstLine="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The molybdenum shaft would then exit the area with the vanes and go on to connect to the homopolar generator. Between the vanes area and the generator connection, there would be a heat sink. This heat sink would consist of a system of (fluid) dynamic bearings around the shaft lubricated by liquid gallium, which can withstand very high temperatures. A large bearing contact surface would be associated with the shaft in the center, and a metal-block heat sink radiator surrounding it with the liquid gallium lubricant in between. The heat sink radiator would then radiate into the air surrounding the device. This is the same basic technology used in conduction of heat from X-ray devices today. So no really new technology is needed here. It will be important to appropriately seal the shaft at its entry and exit points to the heat sink area to prevent the escape of liquid gallium.</w:t>
      </w:r>
    </w:p>
    <w:p w:rsidR="004C63DA" w:rsidRPr="00AD0DF3" w:rsidRDefault="004C63DA" w:rsidP="004C63DA">
      <w:pPr>
        <w:pStyle w:val="NoSpacing"/>
        <w:jc w:val="both"/>
        <w:rPr>
          <w:rFonts w:ascii="Book Antiqua" w:hAnsi="Book Antiqua"/>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F6.  Conclusion</w:t>
      </w:r>
    </w:p>
    <w:p w:rsidR="004C63DA" w:rsidRPr="00AD0DF3" w:rsidRDefault="004C63DA" w:rsidP="004C63DA">
      <w:pPr>
        <w:pStyle w:val="NoSpacing"/>
        <w:ind w:left="720"/>
        <w:jc w:val="both"/>
        <w:rPr>
          <w:rFonts w:ascii="Book Antiqua" w:hAnsi="Book Antiqua"/>
          <w:sz w:val="20"/>
        </w:rPr>
      </w:pPr>
    </w:p>
    <w:p w:rsidR="004C63DA" w:rsidRPr="00AD0DF3" w:rsidRDefault="004C63DA" w:rsidP="004C63DA">
      <w:pPr>
        <w:pStyle w:val="NoSpacing"/>
        <w:ind w:firstLine="720"/>
        <w:jc w:val="both"/>
        <w:rPr>
          <w:rFonts w:ascii="Book Antiqua" w:hAnsi="Book Antiqua"/>
          <w:sz w:val="20"/>
        </w:rPr>
      </w:pPr>
      <w:r w:rsidRPr="00AD0DF3">
        <w:rPr>
          <w:rFonts w:ascii="Book Antiqua" w:hAnsi="Book Antiqua"/>
          <w:sz w:val="20"/>
        </w:rPr>
        <w:t xml:space="preserve">This means of generating electricity from the ZPE via extreme ultraviolet and soft X-rays is based on scientific principles. Apart from the fact that further development in the technology to fully and efficiently reflect soft X-rays in the 0.12 keV  to 1.2 keV range may be needed, the concepts do not demand any other new technology. What is required is experimentation to find the exact efficiency of the concept. Linked with this is the rate at which vanes of various sizes will spin the shaft and the attached coils in the homopolar generator. The larger the vanes the more reflections of ZPE X-rays will occur and so the more momentum is transferred to the system. Furthermore, the longer the arms holding the vanes, the more torque will be applied to the shaft.  However, the exact behavior of the system can only be found experimentally. In the process, it will have to be determined if there is a size limit for which this can effectively work, or whether the whole concept can be scaled up to any reasonable size. The concept is hereby submitted for consideration.  </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both"/>
        <w:rPr>
          <w:rFonts w:ascii="Book Antiqua" w:hAnsi="Book Antiqua"/>
          <w:i/>
          <w:sz w:val="20"/>
        </w:rPr>
      </w:pPr>
      <w:r w:rsidRPr="00AD0DF3">
        <w:rPr>
          <w:rFonts w:ascii="Book Antiqua" w:hAnsi="Book Antiqua"/>
          <w:i/>
          <w:sz w:val="20"/>
        </w:rPr>
        <w:t>The basis of this appendix was notarized 7</w:t>
      </w:r>
      <w:r w:rsidRPr="00AD0DF3">
        <w:rPr>
          <w:rFonts w:ascii="Book Antiqua" w:hAnsi="Book Antiqua"/>
          <w:i/>
          <w:sz w:val="20"/>
          <w:vertAlign w:val="superscript"/>
        </w:rPr>
        <w:t>th</w:t>
      </w:r>
      <w:r w:rsidRPr="00AD0DF3">
        <w:rPr>
          <w:rFonts w:ascii="Book Antiqua" w:hAnsi="Book Antiqua"/>
          <w:i/>
          <w:sz w:val="20"/>
        </w:rPr>
        <w:t xml:space="preserve"> January, 2011.</w:t>
      </w:r>
    </w:p>
    <w:p w:rsidR="004C63DA" w:rsidRPr="00AD0DF3" w:rsidRDefault="004C63DA" w:rsidP="004C63DA">
      <w:pPr>
        <w:pStyle w:val="NoSpacing"/>
        <w:jc w:val="both"/>
        <w:rPr>
          <w:rFonts w:ascii="Book Antiqua" w:hAnsi="Book Antiqua"/>
          <w:i/>
          <w:sz w:val="20"/>
        </w:rPr>
      </w:pPr>
    </w:p>
    <w:p w:rsidR="004C63DA" w:rsidRPr="00AD0DF3" w:rsidRDefault="004C63DA" w:rsidP="004C63DA">
      <w:pPr>
        <w:pStyle w:val="NoSpacing"/>
        <w:jc w:val="center"/>
        <w:rPr>
          <w:rFonts w:ascii="Book Antiqua" w:hAnsi="Book Antiqua"/>
          <w:b/>
          <w:sz w:val="28"/>
          <w:szCs w:val="28"/>
        </w:rPr>
      </w:pPr>
      <w:r w:rsidRPr="00AD0DF3">
        <w:rPr>
          <w:rFonts w:ascii="Book Antiqua" w:hAnsi="Book Antiqua"/>
          <w:b/>
          <w:sz w:val="28"/>
          <w:szCs w:val="28"/>
        </w:rPr>
        <w:t>*  *  *  *  *  *  *</w:t>
      </w:r>
    </w:p>
    <w:p w:rsidR="00762FD0" w:rsidRPr="00AD0DF3" w:rsidRDefault="00762FD0" w:rsidP="00762FD0">
      <w:pPr>
        <w:pStyle w:val="NoSpacing"/>
        <w:jc w:val="center"/>
        <w:rPr>
          <w:rFonts w:ascii="Book Antiqua" w:hAnsi="Book Antiqua"/>
          <w:b/>
          <w:i/>
          <w:sz w:val="28"/>
          <w:szCs w:val="28"/>
        </w:rPr>
      </w:pPr>
    </w:p>
    <w:sectPr w:rsidR="00762FD0" w:rsidRPr="00AD0DF3" w:rsidSect="00D27B94">
      <w:headerReference w:type="even" r:id="rId1359"/>
      <w:headerReference w:type="default" r:id="rId1360"/>
      <w:footerReference w:type="even" r:id="rId1361"/>
      <w:footerReference w:type="default" r:id="rId1362"/>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41C0" w:rsidRDefault="006641C0" w:rsidP="00EE535C">
      <w:r>
        <w:separator/>
      </w:r>
    </w:p>
  </w:endnote>
  <w:endnote w:type="continuationSeparator" w:id="0">
    <w:p w:rsidR="006641C0" w:rsidRDefault="006641C0" w:rsidP="00EE535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BookAntiqua">
    <w:altName w:val="Times New Roman"/>
    <w:panose1 w:val="00000000000000000000"/>
    <w:charset w:val="00"/>
    <w:family w:val="roman"/>
    <w:notTrueType/>
    <w:pitch w:val="default"/>
    <w:sig w:usb0="00000083" w:usb1="08070000" w:usb2="00000010" w:usb3="00000000" w:csb0="00020009"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BADFD+TimesNewRoman,Italic">
    <w:altName w:val="Times New Roman"/>
    <w:panose1 w:val="00000000000000000000"/>
    <w:charset w:val="00"/>
    <w:family w:val="roman"/>
    <w:notTrueType/>
    <w:pitch w:val="default"/>
    <w:sig w:usb0="00000003" w:usb1="00000000" w:usb2="00000000" w:usb3="00000000" w:csb0="00000001" w:csb1="00000000"/>
  </w:font>
  <w:font w:name="PBADEC+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37"/>
      <w:docPartObj>
        <w:docPartGallery w:val="Page Numbers (Bottom of Page)"/>
        <w:docPartUnique/>
      </w:docPartObj>
    </w:sdtPr>
    <w:sdtContent>
      <w:p w:rsidR="00DA58EE" w:rsidRDefault="007B3EBC">
        <w:pPr>
          <w:pStyle w:val="Footer"/>
          <w:jc w:val="center"/>
        </w:pPr>
        <w:fldSimple w:instr=" PAGE   \* MERGEFORMAT ">
          <w:r w:rsidR="00C77CC0">
            <w:rPr>
              <w:noProof/>
            </w:rPr>
            <w:t>310</w:t>
          </w:r>
        </w:fldSimple>
      </w:p>
    </w:sdtContent>
  </w:sdt>
  <w:p w:rsidR="00DA58EE" w:rsidRDefault="00DA58E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5158628"/>
      <w:docPartObj>
        <w:docPartGallery w:val="Page Numbers (Bottom of Page)"/>
        <w:docPartUnique/>
      </w:docPartObj>
    </w:sdtPr>
    <w:sdtContent>
      <w:p w:rsidR="00DA58EE" w:rsidRDefault="007B3EBC">
        <w:pPr>
          <w:pStyle w:val="Footer"/>
          <w:jc w:val="center"/>
        </w:pPr>
        <w:fldSimple w:instr=" PAGE   \* MERGEFORMAT ">
          <w:r w:rsidR="00C77CC0">
            <w:rPr>
              <w:noProof/>
            </w:rPr>
            <w:t>311</w:t>
          </w:r>
        </w:fldSimple>
      </w:p>
    </w:sdtContent>
  </w:sdt>
  <w:p w:rsidR="00DA58EE" w:rsidRDefault="00DA58E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41C0" w:rsidRDefault="006641C0" w:rsidP="00EE535C">
      <w:r>
        <w:separator/>
      </w:r>
    </w:p>
  </w:footnote>
  <w:footnote w:type="continuationSeparator" w:id="0">
    <w:p w:rsidR="006641C0" w:rsidRDefault="006641C0" w:rsidP="00EE535C">
      <w:r>
        <w:continuationSeparator/>
      </w:r>
    </w:p>
  </w:footnote>
  <w:footnote w:id="1">
    <w:p w:rsidR="00DA58EE" w:rsidRPr="00FF164A" w:rsidRDefault="00DA58EE" w:rsidP="00B817A8">
      <w:pPr>
        <w:pStyle w:val="FootnoteText"/>
        <w:jc w:val="both"/>
        <w:rPr>
          <w:sz w:val="16"/>
          <w:szCs w:val="16"/>
        </w:rPr>
      </w:pPr>
      <w:r w:rsidRPr="00FF164A">
        <w:rPr>
          <w:rStyle w:val="FootnoteReference"/>
          <w:sz w:val="16"/>
          <w:szCs w:val="16"/>
        </w:rPr>
        <w:footnoteRef/>
      </w:r>
      <w:r w:rsidRPr="00FF164A">
        <w:rPr>
          <w:sz w:val="16"/>
          <w:szCs w:val="16"/>
        </w:rPr>
        <w:t xml:space="preserve"> </w:t>
      </w:r>
      <w:r w:rsidRPr="00FF164A">
        <w:rPr>
          <w:rFonts w:ascii="Book Antiqua" w:hAnsi="Book Antiqua"/>
          <w:sz w:val="16"/>
          <w:szCs w:val="16"/>
        </w:rPr>
        <w:t xml:space="preserve">Arago is mainly remembered today for his work on the interference of polarized light, which he investigated in 1811, and electromagnetism in which he worked with Ampere (1775-1836) </w:t>
      </w:r>
      <w:r w:rsidRPr="00CF6C20">
        <w:rPr>
          <w:rFonts w:ascii="Book Antiqua" w:hAnsi="Book Antiqua"/>
          <w:sz w:val="16"/>
          <w:szCs w:val="16"/>
        </w:rPr>
        <w:t>[103].</w:t>
      </w:r>
      <w:r w:rsidRPr="00FF164A">
        <w:rPr>
          <w:rFonts w:ascii="Book Antiqua" w:hAnsi="Book Antiqua"/>
          <w:sz w:val="16"/>
          <w:szCs w:val="16"/>
        </w:rPr>
        <w:t xml:space="preserve"> He also conducted experiments confirming diffraction that resulted from Fresnel’s development of the wave theory of light </w:t>
      </w:r>
      <w:r w:rsidRPr="00CF6C20">
        <w:rPr>
          <w:rFonts w:ascii="Book Antiqua" w:hAnsi="Book Antiqua"/>
          <w:sz w:val="16"/>
          <w:szCs w:val="16"/>
        </w:rPr>
        <w:t>[104].</w:t>
      </w:r>
    </w:p>
  </w:footnote>
  <w:footnote w:id="2">
    <w:p w:rsidR="00DA58EE" w:rsidRDefault="00DA58EE" w:rsidP="00821A88">
      <w:pPr>
        <w:pStyle w:val="FootnoteText"/>
        <w:jc w:val="both"/>
      </w:pPr>
      <w:r w:rsidRPr="00D15928">
        <w:rPr>
          <w:rStyle w:val="FootnoteReference"/>
          <w:rFonts w:ascii="Book Antiqua" w:hAnsi="Book Antiqua"/>
        </w:rPr>
        <w:footnoteRef/>
      </w:r>
      <w:r w:rsidRPr="00D15928">
        <w:rPr>
          <w:rFonts w:ascii="Book Antiqua" w:hAnsi="Book Antiqua"/>
        </w:rPr>
        <w:t xml:space="preserve"> </w:t>
      </w:r>
      <w:r w:rsidRPr="00D15928">
        <w:rPr>
          <w:rFonts w:ascii="Book Antiqua" w:hAnsi="Book Antiqua"/>
          <w:sz w:val="16"/>
          <w:szCs w:val="16"/>
        </w:rPr>
        <w:t>Professor Harkness</w:t>
      </w:r>
      <w:r w:rsidRPr="00F773DF">
        <w:rPr>
          <w:sz w:val="16"/>
          <w:szCs w:val="16"/>
        </w:rPr>
        <w:t xml:space="preserve"> </w:t>
      </w:r>
      <w:r w:rsidRPr="00F773DF">
        <w:rPr>
          <w:rFonts w:ascii="Book Antiqua" w:hAnsi="Book Antiqua"/>
          <w:sz w:val="16"/>
          <w:szCs w:val="16"/>
        </w:rPr>
        <w:t xml:space="preserve">would later become the astronomical director of the Naval Observatory in Washington, director of the </w:t>
      </w:r>
      <w:r w:rsidRPr="00F773DF">
        <w:rPr>
          <w:rFonts w:ascii="Book Antiqua" w:hAnsi="Book Antiqua"/>
          <w:i/>
          <w:sz w:val="16"/>
          <w:szCs w:val="16"/>
        </w:rPr>
        <w:t>Nautical Almanac</w:t>
      </w:r>
      <w:r w:rsidRPr="00F773DF">
        <w:rPr>
          <w:rFonts w:ascii="Book Antiqua" w:hAnsi="Book Antiqua"/>
          <w:sz w:val="16"/>
          <w:szCs w:val="16"/>
        </w:rPr>
        <w:t xml:space="preserve"> and then president of the American Association for the Advancement of Science.</w:t>
      </w:r>
    </w:p>
  </w:footnote>
  <w:footnote w:id="3">
    <w:p w:rsidR="00DA58EE" w:rsidRDefault="00DA58EE" w:rsidP="00821A88">
      <w:pPr>
        <w:pStyle w:val="FootnoteText"/>
        <w:jc w:val="both"/>
      </w:pPr>
      <w:r>
        <w:rPr>
          <w:rStyle w:val="FootnoteReference"/>
        </w:rPr>
        <w:footnoteRef/>
      </w:r>
      <w:r>
        <w:t xml:space="preserve"> </w:t>
      </w:r>
      <w:r w:rsidRPr="00B62D3D">
        <w:rPr>
          <w:rFonts w:ascii="Book Antiqua" w:hAnsi="Book Antiqua"/>
          <w:sz w:val="16"/>
          <w:szCs w:val="16"/>
        </w:rPr>
        <w:t xml:space="preserve">However, more recent investigations by the late </w:t>
      </w:r>
      <w:r>
        <w:rPr>
          <w:rFonts w:ascii="Book Antiqua" w:hAnsi="Book Antiqua"/>
          <w:sz w:val="16"/>
          <w:szCs w:val="16"/>
        </w:rPr>
        <w:t>G</w:t>
      </w:r>
      <w:r w:rsidRPr="00B62D3D">
        <w:rPr>
          <w:rFonts w:ascii="Book Antiqua" w:hAnsi="Book Antiqua"/>
          <w:sz w:val="16"/>
          <w:szCs w:val="16"/>
        </w:rPr>
        <w:t xml:space="preserve">overnment </w:t>
      </w:r>
      <w:r>
        <w:rPr>
          <w:rFonts w:ascii="Book Antiqua" w:hAnsi="Book Antiqua"/>
          <w:sz w:val="16"/>
          <w:szCs w:val="16"/>
        </w:rPr>
        <w:t>A</w:t>
      </w:r>
      <w:r w:rsidRPr="00B62D3D">
        <w:rPr>
          <w:rFonts w:ascii="Book Antiqua" w:hAnsi="Book Antiqua"/>
          <w:sz w:val="16"/>
          <w:szCs w:val="16"/>
        </w:rPr>
        <w:t xml:space="preserve">stronomer from South Australia, George Dodwell, indicate an important observational anomaly </w:t>
      </w:r>
      <w:r>
        <w:rPr>
          <w:rFonts w:ascii="Book Antiqua" w:hAnsi="Book Antiqua"/>
          <w:sz w:val="16"/>
          <w:szCs w:val="16"/>
        </w:rPr>
        <w:t>related to</w:t>
      </w:r>
      <w:r w:rsidRPr="00B62D3D">
        <w:rPr>
          <w:rFonts w:ascii="Book Antiqua" w:hAnsi="Book Antiqua"/>
          <w:sz w:val="16"/>
          <w:szCs w:val="16"/>
        </w:rPr>
        <w:t xml:space="preserve"> that </w:t>
      </w:r>
      <w:r w:rsidRPr="00FC53C3">
        <w:rPr>
          <w:rFonts w:ascii="Book Antiqua" w:hAnsi="Book Antiqua"/>
          <w:sz w:val="16"/>
          <w:szCs w:val="16"/>
        </w:rPr>
        <w:t>formula [116].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8EE" w:rsidRDefault="00DA58EE">
    <w:pPr>
      <w:pStyle w:val="Header"/>
      <w:rPr>
        <w:sz w:val="32"/>
        <w:szCs w:val="32"/>
      </w:rPr>
    </w:pPr>
    <w:r>
      <w:rPr>
        <w:sz w:val="32"/>
        <w:szCs w:val="32"/>
      </w:rPr>
      <w:t xml:space="preserve">                             </w:t>
    </w:r>
  </w:p>
  <w:p w:rsidR="00DA58EE" w:rsidRDefault="00DA58EE">
    <w:pPr>
      <w:pStyle w:val="Header"/>
      <w:rPr>
        <w:rFonts w:ascii="Book Antiqua" w:hAnsi="Book Antiqua"/>
        <w:sz w:val="32"/>
        <w:szCs w:val="32"/>
      </w:rPr>
    </w:pPr>
    <w:r>
      <w:rPr>
        <w:sz w:val="32"/>
        <w:szCs w:val="32"/>
      </w:rPr>
      <w:t xml:space="preserve">                                </w:t>
    </w:r>
    <w:r w:rsidRPr="00F06132">
      <w:rPr>
        <w:rFonts w:ascii="Book Antiqua" w:hAnsi="Book Antiqua"/>
        <w:sz w:val="32"/>
        <w:szCs w:val="32"/>
      </w:rPr>
      <w:t>Barry J</w:t>
    </w:r>
    <w:r>
      <w:rPr>
        <w:rFonts w:ascii="Book Antiqua" w:hAnsi="Book Antiqua"/>
        <w:sz w:val="32"/>
        <w:szCs w:val="32"/>
      </w:rPr>
      <w:t>.</w:t>
    </w:r>
    <w:r w:rsidRPr="00F06132">
      <w:rPr>
        <w:rFonts w:ascii="Book Antiqua" w:hAnsi="Book Antiqua"/>
        <w:sz w:val="32"/>
        <w:szCs w:val="32"/>
      </w:rPr>
      <w:t xml:space="preserve"> Setterfield: Cosmology and the Zero Point Energy</w:t>
    </w:r>
  </w:p>
  <w:p w:rsidR="00DA58EE" w:rsidRDefault="00DA58EE">
    <w:pPr>
      <w:pStyle w:val="Header"/>
      <w:rPr>
        <w:rFonts w:ascii="Book Antiqua" w:hAnsi="Book Antiqua"/>
        <w:sz w:val="32"/>
        <w:szCs w:val="32"/>
      </w:rPr>
    </w:pPr>
  </w:p>
  <w:p w:rsidR="00DA58EE" w:rsidRPr="00F06132" w:rsidRDefault="00DA58EE">
    <w:pPr>
      <w:pStyle w:val="Header"/>
      <w:rPr>
        <w:rFonts w:ascii="Book Antiqua" w:hAnsi="Book Antiqua"/>
        <w:sz w:val="32"/>
        <w:szCs w:val="3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58EE" w:rsidRPr="00F06132" w:rsidRDefault="00DA58EE">
    <w:pPr>
      <w:pStyle w:val="Header"/>
      <w:rPr>
        <w:rFonts w:ascii="Book Antiqua" w:hAnsi="Book Antiqua"/>
        <w:sz w:val="32"/>
        <w:szCs w:val="32"/>
      </w:rPr>
    </w:pPr>
    <w:r w:rsidRPr="00F06132">
      <w:rPr>
        <w:rFonts w:ascii="Book Antiqua" w:hAnsi="Book Antiqua"/>
        <w:sz w:val="32"/>
        <w:szCs w:val="32"/>
      </w:rPr>
      <w:t>Natural Philosophy Alliance Monograph Series, No.1, 2013.</w:t>
    </w:r>
  </w:p>
  <w:p w:rsidR="00DA58EE" w:rsidRDefault="00DA58EE">
    <w:pPr>
      <w:pStyle w:val="Header"/>
      <w:rPr>
        <w:sz w:val="32"/>
        <w:szCs w:val="32"/>
      </w:rPr>
    </w:pPr>
  </w:p>
  <w:p w:rsidR="00DA58EE" w:rsidRDefault="00DA58EE">
    <w:pPr>
      <w:pStyle w:val="Header"/>
      <w:rPr>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92A1D18"/>
    <w:lvl w:ilvl="0">
      <w:start w:val="1"/>
      <w:numFmt w:val="decimal"/>
      <w:pStyle w:val="ListNumber5"/>
      <w:lvlText w:val="%1."/>
      <w:lvlJc w:val="left"/>
      <w:pPr>
        <w:tabs>
          <w:tab w:val="num" w:pos="1800"/>
        </w:tabs>
        <w:ind w:left="1800" w:hanging="360"/>
      </w:pPr>
      <w:rPr>
        <w:rFonts w:cs="Times New Roman"/>
      </w:rPr>
    </w:lvl>
  </w:abstractNum>
  <w:abstractNum w:abstractNumId="1">
    <w:nsid w:val="FFFFFF7D"/>
    <w:multiLevelType w:val="singleLevel"/>
    <w:tmpl w:val="389633B6"/>
    <w:lvl w:ilvl="0">
      <w:start w:val="1"/>
      <w:numFmt w:val="decimal"/>
      <w:pStyle w:val="ListNumber4"/>
      <w:lvlText w:val="%1."/>
      <w:lvlJc w:val="left"/>
      <w:pPr>
        <w:tabs>
          <w:tab w:val="num" w:pos="1440"/>
        </w:tabs>
        <w:ind w:left="1440" w:hanging="360"/>
      </w:pPr>
      <w:rPr>
        <w:rFonts w:cs="Times New Roman"/>
      </w:rPr>
    </w:lvl>
  </w:abstractNum>
  <w:abstractNum w:abstractNumId="2">
    <w:nsid w:val="FFFFFF7E"/>
    <w:multiLevelType w:val="singleLevel"/>
    <w:tmpl w:val="6F347DD4"/>
    <w:lvl w:ilvl="0">
      <w:start w:val="1"/>
      <w:numFmt w:val="decimal"/>
      <w:pStyle w:val="ListNumber3"/>
      <w:lvlText w:val="%1."/>
      <w:lvlJc w:val="left"/>
      <w:pPr>
        <w:tabs>
          <w:tab w:val="num" w:pos="1080"/>
        </w:tabs>
        <w:ind w:left="1080" w:hanging="360"/>
      </w:pPr>
      <w:rPr>
        <w:rFonts w:cs="Times New Roman"/>
      </w:rPr>
    </w:lvl>
  </w:abstractNum>
  <w:abstractNum w:abstractNumId="3">
    <w:nsid w:val="FFFFFF7F"/>
    <w:multiLevelType w:val="singleLevel"/>
    <w:tmpl w:val="7CCC3042"/>
    <w:lvl w:ilvl="0">
      <w:start w:val="1"/>
      <w:numFmt w:val="decimal"/>
      <w:pStyle w:val="ListNumber2"/>
      <w:lvlText w:val="%1."/>
      <w:lvlJc w:val="left"/>
      <w:pPr>
        <w:tabs>
          <w:tab w:val="num" w:pos="720"/>
        </w:tabs>
        <w:ind w:left="720" w:hanging="360"/>
      </w:pPr>
      <w:rPr>
        <w:rFonts w:cs="Times New Roman"/>
      </w:rPr>
    </w:lvl>
  </w:abstractNum>
  <w:abstractNum w:abstractNumId="4">
    <w:nsid w:val="03144F94"/>
    <w:multiLevelType w:val="multilevel"/>
    <w:tmpl w:val="C85E71DA"/>
    <w:lvl w:ilvl="0">
      <w:start w:val="1"/>
      <w:numFmt w:val="decimal"/>
      <w:lvlText w:val="%1."/>
      <w:lvlJc w:val="left"/>
      <w:pPr>
        <w:ind w:left="36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03D7735E"/>
    <w:multiLevelType w:val="hybridMultilevel"/>
    <w:tmpl w:val="382ECD50"/>
    <w:lvl w:ilvl="0" w:tplc="DC4E4A3C">
      <w:start w:val="2"/>
      <w:numFmt w:val="bullet"/>
      <w:lvlText w:val=""/>
      <w:lvlJc w:val="left"/>
      <w:pPr>
        <w:ind w:left="720" w:hanging="360"/>
      </w:pPr>
      <w:rPr>
        <w:rFonts w:ascii="Symbol" w:eastAsia="SimSu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B83A9A"/>
    <w:multiLevelType w:val="hybridMultilevel"/>
    <w:tmpl w:val="E8F47738"/>
    <w:lvl w:ilvl="0" w:tplc="2348E756">
      <w:start w:val="1"/>
      <w:numFmt w:val="decimal"/>
      <w:lvlText w:val="%1."/>
      <w:lvlJc w:val="left"/>
      <w:pPr>
        <w:ind w:left="720" w:hanging="360"/>
      </w:pPr>
      <w:rPr>
        <w:rFonts w:cs="Times New Roman" w:hint="default"/>
        <w:b/>
        <w:color w:val="auto"/>
        <w:sz w:val="20"/>
        <w:szCs w:val="20"/>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60A56D7"/>
    <w:multiLevelType w:val="hybridMultilevel"/>
    <w:tmpl w:val="EC7CE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7A1E55"/>
    <w:multiLevelType w:val="multilevel"/>
    <w:tmpl w:val="D2AEE3D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C80314D"/>
    <w:multiLevelType w:val="multilevel"/>
    <w:tmpl w:val="0D446DCC"/>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0E923C54"/>
    <w:multiLevelType w:val="hybridMultilevel"/>
    <w:tmpl w:val="D98423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F555F95"/>
    <w:multiLevelType w:val="multilevel"/>
    <w:tmpl w:val="225A2A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10FE18CA"/>
    <w:multiLevelType w:val="hybridMultilevel"/>
    <w:tmpl w:val="CDFAA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36D64C6"/>
    <w:multiLevelType w:val="multilevel"/>
    <w:tmpl w:val="BB8A1768"/>
    <w:lvl w:ilvl="0">
      <w:start w:val="2"/>
      <w:numFmt w:val="decimal"/>
      <w:lvlText w:val="%1"/>
      <w:lvlJc w:val="left"/>
      <w:pPr>
        <w:ind w:left="360" w:hanging="360"/>
      </w:pPr>
      <w:rPr>
        <w:rFonts w:hint="default"/>
        <w:b/>
      </w:rPr>
    </w:lvl>
    <w:lvl w:ilvl="1">
      <w:start w:val="9"/>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4">
    <w:nsid w:val="14A93EBF"/>
    <w:multiLevelType w:val="multilevel"/>
    <w:tmpl w:val="9EBC30A4"/>
    <w:lvl w:ilvl="0">
      <w:start w:val="1"/>
      <w:numFmt w:val="decimal"/>
      <w:lvlText w:val="%1."/>
      <w:lvlJc w:val="left"/>
      <w:pPr>
        <w:ind w:left="405" w:hanging="360"/>
      </w:pPr>
      <w:rPr>
        <w:rFonts w:hint="default"/>
      </w:rPr>
    </w:lvl>
    <w:lvl w:ilvl="1">
      <w:start w:val="4"/>
      <w:numFmt w:val="decimal"/>
      <w:isLgl/>
      <w:lvlText w:val="%1.%2."/>
      <w:lvlJc w:val="left"/>
      <w:pPr>
        <w:ind w:left="405" w:hanging="360"/>
      </w:pPr>
      <w:rPr>
        <w:rFonts w:hint="default"/>
      </w:rPr>
    </w:lvl>
    <w:lvl w:ilvl="2">
      <w:start w:val="1"/>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15">
    <w:nsid w:val="197E208E"/>
    <w:multiLevelType w:val="hybridMultilevel"/>
    <w:tmpl w:val="DC88CE9A"/>
    <w:lvl w:ilvl="0" w:tplc="92BE31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17">
    <w:nsid w:val="1A5724A3"/>
    <w:multiLevelType w:val="hybridMultilevel"/>
    <w:tmpl w:val="EFA058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CA53BF"/>
    <w:multiLevelType w:val="hybridMultilevel"/>
    <w:tmpl w:val="0D8E6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10B5D99"/>
    <w:multiLevelType w:val="multilevel"/>
    <w:tmpl w:val="E242C09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24157056"/>
    <w:multiLevelType w:val="hybridMultilevel"/>
    <w:tmpl w:val="E4448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53A621A"/>
    <w:multiLevelType w:val="multilevel"/>
    <w:tmpl w:val="7EFC08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84B7646"/>
    <w:multiLevelType w:val="multilevel"/>
    <w:tmpl w:val="3C46CC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29223132"/>
    <w:multiLevelType w:val="multilevel"/>
    <w:tmpl w:val="30688668"/>
    <w:lvl w:ilvl="0">
      <w:start w:val="4"/>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24">
    <w:nsid w:val="29322B9F"/>
    <w:multiLevelType w:val="multilevel"/>
    <w:tmpl w:val="1E642A78"/>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5">
    <w:nsid w:val="2C5B5868"/>
    <w:multiLevelType w:val="hybridMultilevel"/>
    <w:tmpl w:val="AEC0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E5956B0"/>
    <w:multiLevelType w:val="multilevel"/>
    <w:tmpl w:val="E934F9C8"/>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nsid w:val="2E8E3732"/>
    <w:multiLevelType w:val="hybridMultilevel"/>
    <w:tmpl w:val="6F600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11C4DBF"/>
    <w:multiLevelType w:val="hybridMultilevel"/>
    <w:tmpl w:val="B79438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25F240C"/>
    <w:multiLevelType w:val="hybridMultilevel"/>
    <w:tmpl w:val="3FC24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2605C4"/>
    <w:multiLevelType w:val="hybridMultilevel"/>
    <w:tmpl w:val="5D9242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D2428E"/>
    <w:multiLevelType w:val="hybridMultilevel"/>
    <w:tmpl w:val="F9FCE46C"/>
    <w:lvl w:ilvl="0" w:tplc="26B8C746">
      <w:start w:val="1"/>
      <w:numFmt w:val="decimal"/>
      <w:lvlText w:val="%1."/>
      <w:lvlJc w:val="left"/>
      <w:pPr>
        <w:ind w:left="1612" w:hanging="360"/>
      </w:pPr>
      <w:rPr>
        <w:rFonts w:hint="default"/>
        <w:color w:val="000000"/>
      </w:rPr>
    </w:lvl>
    <w:lvl w:ilvl="1" w:tplc="04090019">
      <w:start w:val="1"/>
      <w:numFmt w:val="lowerLetter"/>
      <w:lvlText w:val="%2."/>
      <w:lvlJc w:val="left"/>
      <w:pPr>
        <w:ind w:left="2332" w:hanging="360"/>
      </w:pPr>
    </w:lvl>
    <w:lvl w:ilvl="2" w:tplc="0409001B" w:tentative="1">
      <w:start w:val="1"/>
      <w:numFmt w:val="lowerRoman"/>
      <w:lvlText w:val="%3."/>
      <w:lvlJc w:val="right"/>
      <w:pPr>
        <w:ind w:left="3052" w:hanging="180"/>
      </w:pPr>
    </w:lvl>
    <w:lvl w:ilvl="3" w:tplc="0409000F" w:tentative="1">
      <w:start w:val="1"/>
      <w:numFmt w:val="decimal"/>
      <w:lvlText w:val="%4."/>
      <w:lvlJc w:val="left"/>
      <w:pPr>
        <w:ind w:left="3772" w:hanging="360"/>
      </w:pPr>
    </w:lvl>
    <w:lvl w:ilvl="4" w:tplc="04090019" w:tentative="1">
      <w:start w:val="1"/>
      <w:numFmt w:val="lowerLetter"/>
      <w:lvlText w:val="%5."/>
      <w:lvlJc w:val="left"/>
      <w:pPr>
        <w:ind w:left="4492" w:hanging="360"/>
      </w:pPr>
    </w:lvl>
    <w:lvl w:ilvl="5" w:tplc="0409001B" w:tentative="1">
      <w:start w:val="1"/>
      <w:numFmt w:val="lowerRoman"/>
      <w:lvlText w:val="%6."/>
      <w:lvlJc w:val="right"/>
      <w:pPr>
        <w:ind w:left="5212" w:hanging="180"/>
      </w:pPr>
    </w:lvl>
    <w:lvl w:ilvl="6" w:tplc="0409000F" w:tentative="1">
      <w:start w:val="1"/>
      <w:numFmt w:val="decimal"/>
      <w:lvlText w:val="%7."/>
      <w:lvlJc w:val="left"/>
      <w:pPr>
        <w:ind w:left="5932" w:hanging="360"/>
      </w:pPr>
    </w:lvl>
    <w:lvl w:ilvl="7" w:tplc="04090019" w:tentative="1">
      <w:start w:val="1"/>
      <w:numFmt w:val="lowerLetter"/>
      <w:lvlText w:val="%8."/>
      <w:lvlJc w:val="left"/>
      <w:pPr>
        <w:ind w:left="6652" w:hanging="360"/>
      </w:pPr>
    </w:lvl>
    <w:lvl w:ilvl="8" w:tplc="0409001B" w:tentative="1">
      <w:start w:val="1"/>
      <w:numFmt w:val="lowerRoman"/>
      <w:lvlText w:val="%9."/>
      <w:lvlJc w:val="right"/>
      <w:pPr>
        <w:ind w:left="7372" w:hanging="180"/>
      </w:pPr>
    </w:lvl>
  </w:abstractNum>
  <w:abstractNum w:abstractNumId="32">
    <w:nsid w:val="36D4340B"/>
    <w:multiLevelType w:val="hybridMultilevel"/>
    <w:tmpl w:val="DF160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7557BA6"/>
    <w:multiLevelType w:val="hybridMultilevel"/>
    <w:tmpl w:val="55E0CA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9FB2128"/>
    <w:multiLevelType w:val="multilevel"/>
    <w:tmpl w:val="655E1D60"/>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3BF97568"/>
    <w:multiLevelType w:val="multilevel"/>
    <w:tmpl w:val="E1342468"/>
    <w:lvl w:ilvl="0">
      <w:start w:val="1"/>
      <w:numFmt w:val="decimal"/>
      <w:lvlText w:val="%1"/>
      <w:lvlJc w:val="left"/>
      <w:pPr>
        <w:ind w:left="360" w:hanging="360"/>
      </w:pPr>
      <w:rPr>
        <w:rFonts w:ascii="Times New Roman" w:hAnsi="Times New Roman" w:cs="Times New Roman" w:hint="default"/>
        <w:b w:val="0"/>
        <w:i/>
      </w:rPr>
    </w:lvl>
    <w:lvl w:ilvl="1">
      <w:start w:val="1"/>
      <w:numFmt w:val="decimal"/>
      <w:lvlText w:val="%1.%2"/>
      <w:lvlJc w:val="left"/>
      <w:pPr>
        <w:ind w:left="360" w:hanging="360"/>
      </w:pPr>
      <w:rPr>
        <w:rFonts w:ascii="Times New Roman" w:hAnsi="Times New Roman" w:cs="Times New Roman" w:hint="default"/>
        <w:b w:val="0"/>
        <w:i/>
      </w:rPr>
    </w:lvl>
    <w:lvl w:ilvl="2">
      <w:start w:val="1"/>
      <w:numFmt w:val="decimal"/>
      <w:lvlText w:val="%1.%2.%3"/>
      <w:lvlJc w:val="left"/>
      <w:pPr>
        <w:ind w:left="720" w:hanging="720"/>
      </w:pPr>
      <w:rPr>
        <w:rFonts w:ascii="Times New Roman" w:hAnsi="Times New Roman" w:cs="Times New Roman" w:hint="default"/>
        <w:b w:val="0"/>
        <w:i/>
      </w:rPr>
    </w:lvl>
    <w:lvl w:ilvl="3">
      <w:start w:val="1"/>
      <w:numFmt w:val="decimal"/>
      <w:lvlText w:val="%1.%2.%3.%4"/>
      <w:lvlJc w:val="left"/>
      <w:pPr>
        <w:ind w:left="720" w:hanging="720"/>
      </w:pPr>
      <w:rPr>
        <w:rFonts w:ascii="Times New Roman" w:hAnsi="Times New Roman" w:cs="Times New Roman" w:hint="default"/>
        <w:b w:val="0"/>
        <w:i/>
      </w:rPr>
    </w:lvl>
    <w:lvl w:ilvl="4">
      <w:start w:val="1"/>
      <w:numFmt w:val="decimal"/>
      <w:lvlText w:val="%1.%2.%3.%4.%5"/>
      <w:lvlJc w:val="left"/>
      <w:pPr>
        <w:ind w:left="720" w:hanging="720"/>
      </w:pPr>
      <w:rPr>
        <w:rFonts w:ascii="Times New Roman" w:hAnsi="Times New Roman" w:cs="Times New Roman" w:hint="default"/>
        <w:b w:val="0"/>
        <w:i/>
      </w:rPr>
    </w:lvl>
    <w:lvl w:ilvl="5">
      <w:start w:val="1"/>
      <w:numFmt w:val="decimal"/>
      <w:lvlText w:val="%1.%2.%3.%4.%5.%6"/>
      <w:lvlJc w:val="left"/>
      <w:pPr>
        <w:ind w:left="1080" w:hanging="1080"/>
      </w:pPr>
      <w:rPr>
        <w:rFonts w:ascii="Times New Roman" w:hAnsi="Times New Roman" w:cs="Times New Roman" w:hint="default"/>
        <w:b w:val="0"/>
        <w:i/>
      </w:rPr>
    </w:lvl>
    <w:lvl w:ilvl="6">
      <w:start w:val="1"/>
      <w:numFmt w:val="decimal"/>
      <w:lvlText w:val="%1.%2.%3.%4.%5.%6.%7"/>
      <w:lvlJc w:val="left"/>
      <w:pPr>
        <w:ind w:left="1080" w:hanging="1080"/>
      </w:pPr>
      <w:rPr>
        <w:rFonts w:ascii="Times New Roman" w:hAnsi="Times New Roman" w:cs="Times New Roman" w:hint="default"/>
        <w:b w:val="0"/>
        <w:i/>
      </w:rPr>
    </w:lvl>
    <w:lvl w:ilvl="7">
      <w:start w:val="1"/>
      <w:numFmt w:val="decimal"/>
      <w:lvlText w:val="%1.%2.%3.%4.%5.%6.%7.%8"/>
      <w:lvlJc w:val="left"/>
      <w:pPr>
        <w:ind w:left="1440" w:hanging="1440"/>
      </w:pPr>
      <w:rPr>
        <w:rFonts w:ascii="Times New Roman" w:hAnsi="Times New Roman" w:cs="Times New Roman" w:hint="default"/>
        <w:b w:val="0"/>
        <w:i/>
      </w:rPr>
    </w:lvl>
    <w:lvl w:ilvl="8">
      <w:start w:val="1"/>
      <w:numFmt w:val="decimal"/>
      <w:lvlText w:val="%1.%2.%3.%4.%5.%6.%7.%8.%9"/>
      <w:lvlJc w:val="left"/>
      <w:pPr>
        <w:ind w:left="1440" w:hanging="1440"/>
      </w:pPr>
      <w:rPr>
        <w:rFonts w:ascii="Times New Roman" w:hAnsi="Times New Roman" w:cs="Times New Roman" w:hint="default"/>
        <w:b w:val="0"/>
        <w:i/>
      </w:rPr>
    </w:lvl>
  </w:abstractNum>
  <w:abstractNum w:abstractNumId="36">
    <w:nsid w:val="3F637D0B"/>
    <w:multiLevelType w:val="multilevel"/>
    <w:tmpl w:val="95C6314C"/>
    <w:lvl w:ilvl="0">
      <w:start w:val="1"/>
      <w:numFmt w:val="decimal"/>
      <w:lvlText w:val="%1."/>
      <w:lvlJc w:val="left"/>
      <w:pPr>
        <w:ind w:left="1080" w:hanging="360"/>
      </w:pPr>
      <w:rPr>
        <w:rFonts w:ascii="Book Antiqua" w:hAnsi="Book Antiqua" w:hint="default"/>
        <w:sz w:val="18"/>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7">
    <w:nsid w:val="40B4073B"/>
    <w:multiLevelType w:val="multilevel"/>
    <w:tmpl w:val="6C4C2472"/>
    <w:lvl w:ilvl="0">
      <w:start w:val="1"/>
      <w:numFmt w:val="decimal"/>
      <w:lvlText w:val="%1."/>
      <w:lvlJc w:val="left"/>
      <w:pPr>
        <w:ind w:left="1980" w:hanging="360"/>
      </w:pPr>
      <w:rPr>
        <w:rFonts w:hint="default"/>
      </w:rPr>
    </w:lvl>
    <w:lvl w:ilvl="1">
      <w:start w:val="1"/>
      <w:numFmt w:val="decimal"/>
      <w:isLgl/>
      <w:lvlText w:val="%1.%2."/>
      <w:lvlJc w:val="left"/>
      <w:pPr>
        <w:ind w:left="1980" w:hanging="360"/>
      </w:pPr>
      <w:rPr>
        <w:rFonts w:hint="default"/>
      </w:rPr>
    </w:lvl>
    <w:lvl w:ilvl="2">
      <w:start w:val="1"/>
      <w:numFmt w:val="upperLetter"/>
      <w:isLgl/>
      <w:lvlText w:val="%1.%2.%3."/>
      <w:lvlJc w:val="left"/>
      <w:pPr>
        <w:ind w:left="23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270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38">
    <w:nsid w:val="41EB223E"/>
    <w:multiLevelType w:val="multilevel"/>
    <w:tmpl w:val="D1A667BC"/>
    <w:lvl w:ilvl="0">
      <w:start w:val="4"/>
      <w:numFmt w:val="decimal"/>
      <w:lvlText w:val="%1"/>
      <w:lvlJc w:val="left"/>
      <w:pPr>
        <w:ind w:left="360" w:hanging="360"/>
      </w:pPr>
      <w:rPr>
        <w:rFonts w:hint="default"/>
        <w:b/>
      </w:rPr>
    </w:lvl>
    <w:lvl w:ilvl="1">
      <w:start w:val="1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9">
    <w:nsid w:val="43566E8A"/>
    <w:multiLevelType w:val="hybridMultilevel"/>
    <w:tmpl w:val="D77EA43C"/>
    <w:lvl w:ilvl="0" w:tplc="0C743F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449966D2"/>
    <w:multiLevelType w:val="multilevel"/>
    <w:tmpl w:val="EA5A3F0C"/>
    <w:lvl w:ilvl="0">
      <w:start w:val="1"/>
      <w:numFmt w:val="decimal"/>
      <w:lvlText w:val="%1."/>
      <w:lvlJc w:val="left"/>
      <w:pPr>
        <w:ind w:left="720" w:hanging="360"/>
      </w:pPr>
      <w:rPr>
        <w:rFonts w:cs="BookAntiqua" w:hint="default"/>
        <w:color w:val="000000"/>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41">
    <w:nsid w:val="471F399A"/>
    <w:multiLevelType w:val="hybridMultilevel"/>
    <w:tmpl w:val="244A7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B42795D"/>
    <w:multiLevelType w:val="multilevel"/>
    <w:tmpl w:val="BDB20B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4B582775"/>
    <w:multiLevelType w:val="multilevel"/>
    <w:tmpl w:val="BEF4231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50B6209C"/>
    <w:multiLevelType w:val="multilevel"/>
    <w:tmpl w:val="6986DB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51306752"/>
    <w:multiLevelType w:val="multilevel"/>
    <w:tmpl w:val="614ABAF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6">
    <w:nsid w:val="527E7170"/>
    <w:multiLevelType w:val="multilevel"/>
    <w:tmpl w:val="A282E7EA"/>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47">
    <w:nsid w:val="53FD6437"/>
    <w:multiLevelType w:val="multilevel"/>
    <w:tmpl w:val="AB3CC44C"/>
    <w:lvl w:ilvl="0">
      <w:start w:val="1"/>
      <w:numFmt w:val="decimal"/>
      <w:lvlText w:val="%1."/>
      <w:lvlJc w:val="left"/>
      <w:pPr>
        <w:ind w:left="360" w:hanging="360"/>
      </w:pPr>
      <w:rPr>
        <w:rFonts w:hint="default"/>
        <w:b w:val="0"/>
        <w:i/>
      </w:rPr>
    </w:lvl>
    <w:lvl w:ilvl="1">
      <w:start w:val="1"/>
      <w:numFmt w:val="decimal"/>
      <w:lvlText w:val="%1.%2."/>
      <w:lvlJc w:val="left"/>
      <w:pPr>
        <w:ind w:left="360" w:hanging="360"/>
      </w:pPr>
      <w:rPr>
        <w:rFonts w:hint="default"/>
        <w:b w:val="0"/>
        <w:i/>
      </w:rPr>
    </w:lvl>
    <w:lvl w:ilvl="2">
      <w:start w:val="1"/>
      <w:numFmt w:val="decimal"/>
      <w:lvlText w:val="%1.%2.%3."/>
      <w:lvlJc w:val="left"/>
      <w:pPr>
        <w:ind w:left="720" w:hanging="720"/>
      </w:pPr>
      <w:rPr>
        <w:rFonts w:hint="default"/>
        <w:b w:val="0"/>
        <w:i/>
      </w:rPr>
    </w:lvl>
    <w:lvl w:ilvl="3">
      <w:start w:val="1"/>
      <w:numFmt w:val="decimal"/>
      <w:lvlText w:val="%1.%2.%3.%4."/>
      <w:lvlJc w:val="left"/>
      <w:pPr>
        <w:ind w:left="720" w:hanging="720"/>
      </w:pPr>
      <w:rPr>
        <w:rFonts w:hint="default"/>
        <w:b w:val="0"/>
        <w:i/>
      </w:rPr>
    </w:lvl>
    <w:lvl w:ilvl="4">
      <w:start w:val="1"/>
      <w:numFmt w:val="decimal"/>
      <w:lvlText w:val="%1.%2.%3.%4.%5."/>
      <w:lvlJc w:val="left"/>
      <w:pPr>
        <w:ind w:left="1080" w:hanging="1080"/>
      </w:pPr>
      <w:rPr>
        <w:rFonts w:hint="default"/>
        <w:b w:val="0"/>
        <w:i/>
      </w:rPr>
    </w:lvl>
    <w:lvl w:ilvl="5">
      <w:start w:val="1"/>
      <w:numFmt w:val="decimal"/>
      <w:lvlText w:val="%1.%2.%3.%4.%5.%6."/>
      <w:lvlJc w:val="left"/>
      <w:pPr>
        <w:ind w:left="1080" w:hanging="1080"/>
      </w:pPr>
      <w:rPr>
        <w:rFonts w:hint="default"/>
        <w:b w:val="0"/>
        <w:i/>
      </w:rPr>
    </w:lvl>
    <w:lvl w:ilvl="6">
      <w:start w:val="1"/>
      <w:numFmt w:val="decimal"/>
      <w:lvlText w:val="%1.%2.%3.%4.%5.%6.%7."/>
      <w:lvlJc w:val="left"/>
      <w:pPr>
        <w:ind w:left="1440" w:hanging="1440"/>
      </w:pPr>
      <w:rPr>
        <w:rFonts w:hint="default"/>
        <w:b w:val="0"/>
        <w:i/>
      </w:rPr>
    </w:lvl>
    <w:lvl w:ilvl="7">
      <w:start w:val="1"/>
      <w:numFmt w:val="decimal"/>
      <w:lvlText w:val="%1.%2.%3.%4.%5.%6.%7.%8."/>
      <w:lvlJc w:val="left"/>
      <w:pPr>
        <w:ind w:left="1440" w:hanging="1440"/>
      </w:pPr>
      <w:rPr>
        <w:rFonts w:hint="default"/>
        <w:b w:val="0"/>
        <w:i/>
      </w:rPr>
    </w:lvl>
    <w:lvl w:ilvl="8">
      <w:start w:val="1"/>
      <w:numFmt w:val="decimal"/>
      <w:lvlText w:val="%1.%2.%3.%4.%5.%6.%7.%8.%9."/>
      <w:lvlJc w:val="left"/>
      <w:pPr>
        <w:ind w:left="1800" w:hanging="1800"/>
      </w:pPr>
      <w:rPr>
        <w:rFonts w:hint="default"/>
        <w:b w:val="0"/>
        <w:i/>
      </w:rPr>
    </w:lvl>
  </w:abstractNum>
  <w:abstractNum w:abstractNumId="48">
    <w:nsid w:val="547D7547"/>
    <w:multiLevelType w:val="hybridMultilevel"/>
    <w:tmpl w:val="59CAE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6205803"/>
    <w:multiLevelType w:val="multilevel"/>
    <w:tmpl w:val="1E2855A8"/>
    <w:lvl w:ilvl="0">
      <w:start w:val="1"/>
      <w:numFmt w:val="decimal"/>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1st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50">
    <w:nsid w:val="562F0170"/>
    <w:multiLevelType w:val="multilevel"/>
    <w:tmpl w:val="E62A76B2"/>
    <w:lvl w:ilvl="0">
      <w:start w:val="2"/>
      <w:numFmt w:val="decimal"/>
      <w:lvlText w:val="%1."/>
      <w:lvlJc w:val="left"/>
      <w:pPr>
        <w:ind w:left="720" w:hanging="360"/>
      </w:pPr>
      <w:rPr>
        <w:rFonts w:hint="default"/>
        <w:b/>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1">
    <w:nsid w:val="571C1B99"/>
    <w:multiLevelType w:val="hybridMultilevel"/>
    <w:tmpl w:val="8F460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89B6B6E"/>
    <w:multiLevelType w:val="multilevel"/>
    <w:tmpl w:val="73FAAAF6"/>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5DB52E18"/>
    <w:multiLevelType w:val="multilevel"/>
    <w:tmpl w:val="FF92402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4">
    <w:nsid w:val="5DD757FB"/>
    <w:multiLevelType w:val="hybridMultilevel"/>
    <w:tmpl w:val="34C83A28"/>
    <w:lvl w:ilvl="0" w:tplc="4830A728">
      <w:start w:val="1"/>
      <w:numFmt w:val="decimal"/>
      <w:lvlText w:val="%1."/>
      <w:lvlJc w:val="left"/>
      <w:pPr>
        <w:ind w:left="81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5">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56">
    <w:nsid w:val="5F480D1F"/>
    <w:multiLevelType w:val="hybridMultilevel"/>
    <w:tmpl w:val="BBE83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2A40108"/>
    <w:multiLevelType w:val="hybridMultilevel"/>
    <w:tmpl w:val="5C28DF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6E004378"/>
    <w:multiLevelType w:val="hybridMultilevel"/>
    <w:tmpl w:val="44FAA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590C53"/>
    <w:multiLevelType w:val="hybridMultilevel"/>
    <w:tmpl w:val="862019C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D619CD"/>
    <w:multiLevelType w:val="multilevel"/>
    <w:tmpl w:val="E38867C8"/>
    <w:lvl w:ilvl="0">
      <w:start w:val="1"/>
      <w:numFmt w:val="decimal"/>
      <w:lvlText w:val="%1."/>
      <w:lvlJc w:val="left"/>
      <w:pPr>
        <w:ind w:left="1080" w:hanging="360"/>
      </w:pPr>
      <w:rPr>
        <w:rFonts w:hint="default"/>
      </w:rPr>
    </w:lvl>
    <w:lvl w:ilvl="1">
      <w:start w:val="3"/>
      <w:numFmt w:val="decimal"/>
      <w:isLgl/>
      <w:lvlText w:val="%1.%2"/>
      <w:lvlJc w:val="left"/>
      <w:pPr>
        <w:ind w:left="117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25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790" w:hanging="1440"/>
      </w:pPr>
      <w:rPr>
        <w:rFonts w:hint="default"/>
      </w:rPr>
    </w:lvl>
    <w:lvl w:ilvl="8">
      <w:start w:val="1"/>
      <w:numFmt w:val="decimal"/>
      <w:isLgl/>
      <w:lvlText w:val="%1.%2.%3.%4.%5.%6.%7.%8.%9"/>
      <w:lvlJc w:val="left"/>
      <w:pPr>
        <w:ind w:left="3240" w:hanging="1800"/>
      </w:pPr>
      <w:rPr>
        <w:rFonts w:hint="default"/>
      </w:rPr>
    </w:lvl>
  </w:abstractNum>
  <w:abstractNum w:abstractNumId="61">
    <w:nsid w:val="78DA0EBB"/>
    <w:multiLevelType w:val="multilevel"/>
    <w:tmpl w:val="84A061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9E46687"/>
    <w:multiLevelType w:val="hybridMultilevel"/>
    <w:tmpl w:val="8E862F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B77626C"/>
    <w:multiLevelType w:val="multilevel"/>
    <w:tmpl w:val="1B2857DA"/>
    <w:lvl w:ilvl="0">
      <w:start w:val="2"/>
      <w:numFmt w:val="decimal"/>
      <w:lvlText w:val="%1."/>
      <w:lvlJc w:val="left"/>
      <w:pPr>
        <w:ind w:left="360" w:hanging="360"/>
      </w:pPr>
      <w:rPr>
        <w:rFonts w:hint="default"/>
      </w:rPr>
    </w:lvl>
    <w:lvl w:ilvl="1">
      <w:start w:val="1"/>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64">
    <w:nsid w:val="7CDA0930"/>
    <w:multiLevelType w:val="hybridMultilevel"/>
    <w:tmpl w:val="39DC1ED4"/>
    <w:lvl w:ilvl="0" w:tplc="86F4CF46">
      <w:start w:val="1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7EDB6F1A"/>
    <w:multiLevelType w:val="hybridMultilevel"/>
    <w:tmpl w:val="06485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9"/>
  </w:num>
  <w:num w:numId="3">
    <w:abstractNumId w:val="7"/>
  </w:num>
  <w:num w:numId="4">
    <w:abstractNumId w:val="24"/>
  </w:num>
  <w:num w:numId="5">
    <w:abstractNumId w:val="55"/>
  </w:num>
  <w:num w:numId="6">
    <w:abstractNumId w:val="16"/>
  </w:num>
  <w:num w:numId="7">
    <w:abstractNumId w:val="46"/>
  </w:num>
  <w:num w:numId="8">
    <w:abstractNumId w:val="50"/>
  </w:num>
  <w:num w:numId="9">
    <w:abstractNumId w:val="21"/>
  </w:num>
  <w:num w:numId="10">
    <w:abstractNumId w:val="3"/>
  </w:num>
  <w:num w:numId="11">
    <w:abstractNumId w:val="2"/>
  </w:num>
  <w:num w:numId="12">
    <w:abstractNumId w:val="1"/>
  </w:num>
  <w:num w:numId="13">
    <w:abstractNumId w:val="0"/>
  </w:num>
  <w:num w:numId="14">
    <w:abstractNumId w:val="45"/>
  </w:num>
  <w:num w:numId="15">
    <w:abstractNumId w:val="14"/>
  </w:num>
  <w:num w:numId="16">
    <w:abstractNumId w:val="40"/>
  </w:num>
  <w:num w:numId="17">
    <w:abstractNumId w:val="61"/>
  </w:num>
  <w:num w:numId="18">
    <w:abstractNumId w:val="26"/>
  </w:num>
  <w:num w:numId="19">
    <w:abstractNumId w:val="15"/>
  </w:num>
  <w:num w:numId="20">
    <w:abstractNumId w:val="4"/>
  </w:num>
  <w:num w:numId="21">
    <w:abstractNumId w:val="13"/>
  </w:num>
  <w:num w:numId="22">
    <w:abstractNumId w:val="19"/>
  </w:num>
  <w:num w:numId="23">
    <w:abstractNumId w:val="11"/>
  </w:num>
  <w:num w:numId="24">
    <w:abstractNumId w:val="34"/>
  </w:num>
  <w:num w:numId="25">
    <w:abstractNumId w:val="23"/>
  </w:num>
  <w:num w:numId="26">
    <w:abstractNumId w:val="38"/>
  </w:num>
  <w:num w:numId="27">
    <w:abstractNumId w:val="53"/>
  </w:num>
  <w:num w:numId="28">
    <w:abstractNumId w:val="35"/>
  </w:num>
  <w:num w:numId="29">
    <w:abstractNumId w:val="44"/>
  </w:num>
  <w:num w:numId="30">
    <w:abstractNumId w:val="9"/>
  </w:num>
  <w:num w:numId="31">
    <w:abstractNumId w:val="43"/>
  </w:num>
  <w:num w:numId="32">
    <w:abstractNumId w:val="30"/>
  </w:num>
  <w:num w:numId="33">
    <w:abstractNumId w:val="36"/>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6"/>
  </w:num>
  <w:num w:numId="37">
    <w:abstractNumId w:val="60"/>
  </w:num>
  <w:num w:numId="38">
    <w:abstractNumId w:val="31"/>
  </w:num>
  <w:num w:numId="39">
    <w:abstractNumId w:val="54"/>
  </w:num>
  <w:num w:numId="40">
    <w:abstractNumId w:val="63"/>
  </w:num>
  <w:num w:numId="41">
    <w:abstractNumId w:val="57"/>
  </w:num>
  <w:num w:numId="42">
    <w:abstractNumId w:val="28"/>
  </w:num>
  <w:num w:numId="43">
    <w:abstractNumId w:val="39"/>
  </w:num>
  <w:num w:numId="44">
    <w:abstractNumId w:val="22"/>
  </w:num>
  <w:num w:numId="45">
    <w:abstractNumId w:val="8"/>
  </w:num>
  <w:num w:numId="46">
    <w:abstractNumId w:val="52"/>
  </w:num>
  <w:num w:numId="47">
    <w:abstractNumId w:val="64"/>
  </w:num>
  <w:num w:numId="48">
    <w:abstractNumId w:val="10"/>
  </w:num>
  <w:num w:numId="49">
    <w:abstractNumId w:val="58"/>
  </w:num>
  <w:num w:numId="50">
    <w:abstractNumId w:val="18"/>
  </w:num>
  <w:num w:numId="51">
    <w:abstractNumId w:val="17"/>
  </w:num>
  <w:num w:numId="52">
    <w:abstractNumId w:val="48"/>
  </w:num>
  <w:num w:numId="53">
    <w:abstractNumId w:val="32"/>
  </w:num>
  <w:num w:numId="54">
    <w:abstractNumId w:val="27"/>
  </w:num>
  <w:num w:numId="55">
    <w:abstractNumId w:val="42"/>
  </w:num>
  <w:num w:numId="56">
    <w:abstractNumId w:val="62"/>
  </w:num>
  <w:num w:numId="57">
    <w:abstractNumId w:val="56"/>
  </w:num>
  <w:num w:numId="58">
    <w:abstractNumId w:val="51"/>
  </w:num>
  <w:num w:numId="59">
    <w:abstractNumId w:val="12"/>
  </w:num>
  <w:num w:numId="60">
    <w:abstractNumId w:val="41"/>
  </w:num>
  <w:num w:numId="61">
    <w:abstractNumId w:val="29"/>
  </w:num>
  <w:num w:numId="62">
    <w:abstractNumId w:val="20"/>
  </w:num>
  <w:num w:numId="63">
    <w:abstractNumId w:val="65"/>
  </w:num>
  <w:num w:numId="64">
    <w:abstractNumId w:val="5"/>
  </w:num>
  <w:num w:numId="65">
    <w:abstractNumId w:val="47"/>
  </w:num>
  <w:num w:numId="66">
    <w:abstractNumId w:val="59"/>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proofState w:grammar="clean"/>
  <w:defaultTabStop w:val="720"/>
  <w:evenAndOddHeaders/>
  <w:drawingGridHorizontalSpacing w:val="100"/>
  <w:displayHorizontalDrawingGridEvery w:val="2"/>
  <w:characterSpacingControl w:val="doNotCompress"/>
  <w:hdrShapeDefaults>
    <o:shapedefaults v:ext="edit" spidmax="107522"/>
  </w:hdrShapeDefaults>
  <w:footnotePr>
    <w:footnote w:id="-1"/>
    <w:footnote w:id="0"/>
  </w:footnotePr>
  <w:endnotePr>
    <w:endnote w:id="-1"/>
    <w:endnote w:id="0"/>
  </w:endnotePr>
  <w:compat/>
  <w:rsids>
    <w:rsidRoot w:val="00EE535C"/>
    <w:rsid w:val="000024DE"/>
    <w:rsid w:val="00002B61"/>
    <w:rsid w:val="000036C3"/>
    <w:rsid w:val="000044D5"/>
    <w:rsid w:val="00004681"/>
    <w:rsid w:val="000056C0"/>
    <w:rsid w:val="000064BD"/>
    <w:rsid w:val="00013B3A"/>
    <w:rsid w:val="00014E9D"/>
    <w:rsid w:val="00015883"/>
    <w:rsid w:val="0001588B"/>
    <w:rsid w:val="00015EF1"/>
    <w:rsid w:val="00016A7C"/>
    <w:rsid w:val="00017543"/>
    <w:rsid w:val="0002002F"/>
    <w:rsid w:val="0002149A"/>
    <w:rsid w:val="00022213"/>
    <w:rsid w:val="00022B2A"/>
    <w:rsid w:val="0002542B"/>
    <w:rsid w:val="0002693D"/>
    <w:rsid w:val="00026AD1"/>
    <w:rsid w:val="000310D5"/>
    <w:rsid w:val="000323D6"/>
    <w:rsid w:val="00032468"/>
    <w:rsid w:val="0003436C"/>
    <w:rsid w:val="000354D2"/>
    <w:rsid w:val="00036707"/>
    <w:rsid w:val="000402ED"/>
    <w:rsid w:val="000404C0"/>
    <w:rsid w:val="00042D99"/>
    <w:rsid w:val="000435DE"/>
    <w:rsid w:val="00045A66"/>
    <w:rsid w:val="00050692"/>
    <w:rsid w:val="000515DF"/>
    <w:rsid w:val="0005293A"/>
    <w:rsid w:val="000554D7"/>
    <w:rsid w:val="00056AC4"/>
    <w:rsid w:val="000574FB"/>
    <w:rsid w:val="00057D91"/>
    <w:rsid w:val="00060B7A"/>
    <w:rsid w:val="00061E9B"/>
    <w:rsid w:val="000634A1"/>
    <w:rsid w:val="00067B62"/>
    <w:rsid w:val="00067CF5"/>
    <w:rsid w:val="000710A8"/>
    <w:rsid w:val="00073500"/>
    <w:rsid w:val="000736F7"/>
    <w:rsid w:val="00075F78"/>
    <w:rsid w:val="00077FC8"/>
    <w:rsid w:val="000824FD"/>
    <w:rsid w:val="00082FE2"/>
    <w:rsid w:val="00084495"/>
    <w:rsid w:val="000870DB"/>
    <w:rsid w:val="00095812"/>
    <w:rsid w:val="000966D2"/>
    <w:rsid w:val="00096718"/>
    <w:rsid w:val="000A0438"/>
    <w:rsid w:val="000A2FA4"/>
    <w:rsid w:val="000A5006"/>
    <w:rsid w:val="000A5334"/>
    <w:rsid w:val="000A5D80"/>
    <w:rsid w:val="000A69CA"/>
    <w:rsid w:val="000A75CE"/>
    <w:rsid w:val="000A7D41"/>
    <w:rsid w:val="000B1288"/>
    <w:rsid w:val="000B2E8B"/>
    <w:rsid w:val="000B46D1"/>
    <w:rsid w:val="000B50E1"/>
    <w:rsid w:val="000C1FB9"/>
    <w:rsid w:val="000C2A7F"/>
    <w:rsid w:val="000C2FA1"/>
    <w:rsid w:val="000C3725"/>
    <w:rsid w:val="000C3ED7"/>
    <w:rsid w:val="000C431E"/>
    <w:rsid w:val="000C469E"/>
    <w:rsid w:val="000C5ED2"/>
    <w:rsid w:val="000C6232"/>
    <w:rsid w:val="000C6863"/>
    <w:rsid w:val="000C7231"/>
    <w:rsid w:val="000C7416"/>
    <w:rsid w:val="000D0122"/>
    <w:rsid w:val="000D4C16"/>
    <w:rsid w:val="000D585C"/>
    <w:rsid w:val="000D74F6"/>
    <w:rsid w:val="000E0C41"/>
    <w:rsid w:val="000E111F"/>
    <w:rsid w:val="000E1FA4"/>
    <w:rsid w:val="000E32B9"/>
    <w:rsid w:val="000E3A84"/>
    <w:rsid w:val="000E5755"/>
    <w:rsid w:val="000E5AB1"/>
    <w:rsid w:val="000E6502"/>
    <w:rsid w:val="000E7181"/>
    <w:rsid w:val="000E732A"/>
    <w:rsid w:val="000F09E4"/>
    <w:rsid w:val="000F195A"/>
    <w:rsid w:val="000F4A13"/>
    <w:rsid w:val="000F7649"/>
    <w:rsid w:val="000F77CB"/>
    <w:rsid w:val="00100B3C"/>
    <w:rsid w:val="001031E3"/>
    <w:rsid w:val="00103493"/>
    <w:rsid w:val="00104B7B"/>
    <w:rsid w:val="001051C3"/>
    <w:rsid w:val="00106146"/>
    <w:rsid w:val="00107034"/>
    <w:rsid w:val="001104EA"/>
    <w:rsid w:val="001122AA"/>
    <w:rsid w:val="0011384A"/>
    <w:rsid w:val="001150FA"/>
    <w:rsid w:val="00115CF5"/>
    <w:rsid w:val="001203CB"/>
    <w:rsid w:val="00121E59"/>
    <w:rsid w:val="00123FF5"/>
    <w:rsid w:val="001243AA"/>
    <w:rsid w:val="001249DB"/>
    <w:rsid w:val="00125135"/>
    <w:rsid w:val="00125962"/>
    <w:rsid w:val="00126401"/>
    <w:rsid w:val="00126DDE"/>
    <w:rsid w:val="0013397D"/>
    <w:rsid w:val="00140968"/>
    <w:rsid w:val="0014236D"/>
    <w:rsid w:val="00143330"/>
    <w:rsid w:val="00145ABE"/>
    <w:rsid w:val="00146E23"/>
    <w:rsid w:val="001477F6"/>
    <w:rsid w:val="00147F66"/>
    <w:rsid w:val="00150686"/>
    <w:rsid w:val="001508F0"/>
    <w:rsid w:val="00150E15"/>
    <w:rsid w:val="0015215C"/>
    <w:rsid w:val="0015263E"/>
    <w:rsid w:val="00153186"/>
    <w:rsid w:val="001551AB"/>
    <w:rsid w:val="00157DB2"/>
    <w:rsid w:val="00161866"/>
    <w:rsid w:val="001633A4"/>
    <w:rsid w:val="00163543"/>
    <w:rsid w:val="00164667"/>
    <w:rsid w:val="00164B49"/>
    <w:rsid w:val="00167BD3"/>
    <w:rsid w:val="00174287"/>
    <w:rsid w:val="001750C4"/>
    <w:rsid w:val="001808B5"/>
    <w:rsid w:val="00183232"/>
    <w:rsid w:val="00183417"/>
    <w:rsid w:val="001847B6"/>
    <w:rsid w:val="00185FDF"/>
    <w:rsid w:val="0019096F"/>
    <w:rsid w:val="00190976"/>
    <w:rsid w:val="001921DF"/>
    <w:rsid w:val="00192315"/>
    <w:rsid w:val="00192A46"/>
    <w:rsid w:val="00193170"/>
    <w:rsid w:val="00195904"/>
    <w:rsid w:val="00197BB5"/>
    <w:rsid w:val="001A1CD6"/>
    <w:rsid w:val="001A3763"/>
    <w:rsid w:val="001A43C7"/>
    <w:rsid w:val="001A5548"/>
    <w:rsid w:val="001A65AE"/>
    <w:rsid w:val="001A7F3B"/>
    <w:rsid w:val="001B7852"/>
    <w:rsid w:val="001C099A"/>
    <w:rsid w:val="001C1F87"/>
    <w:rsid w:val="001C763F"/>
    <w:rsid w:val="001D05D6"/>
    <w:rsid w:val="001D064A"/>
    <w:rsid w:val="001D1F40"/>
    <w:rsid w:val="001D2317"/>
    <w:rsid w:val="001D425D"/>
    <w:rsid w:val="001D4FDA"/>
    <w:rsid w:val="001D68B2"/>
    <w:rsid w:val="001E2D42"/>
    <w:rsid w:val="001E5024"/>
    <w:rsid w:val="001E6C68"/>
    <w:rsid w:val="001F0E65"/>
    <w:rsid w:val="001F0FC4"/>
    <w:rsid w:val="001F11B8"/>
    <w:rsid w:val="001F20EC"/>
    <w:rsid w:val="001F2A84"/>
    <w:rsid w:val="001F707A"/>
    <w:rsid w:val="00205A99"/>
    <w:rsid w:val="0020742E"/>
    <w:rsid w:val="00215017"/>
    <w:rsid w:val="00215BBE"/>
    <w:rsid w:val="00215E01"/>
    <w:rsid w:val="002172B3"/>
    <w:rsid w:val="00217B21"/>
    <w:rsid w:val="002227A9"/>
    <w:rsid w:val="00222FE6"/>
    <w:rsid w:val="00223817"/>
    <w:rsid w:val="00227A2D"/>
    <w:rsid w:val="00227DB3"/>
    <w:rsid w:val="00230752"/>
    <w:rsid w:val="002307FA"/>
    <w:rsid w:val="0023302D"/>
    <w:rsid w:val="00233C3D"/>
    <w:rsid w:val="0023584A"/>
    <w:rsid w:val="00236B79"/>
    <w:rsid w:val="00237558"/>
    <w:rsid w:val="0024097D"/>
    <w:rsid w:val="00241101"/>
    <w:rsid w:val="00242DA6"/>
    <w:rsid w:val="00245D24"/>
    <w:rsid w:val="00246514"/>
    <w:rsid w:val="00247F3F"/>
    <w:rsid w:val="0025044F"/>
    <w:rsid w:val="0025136D"/>
    <w:rsid w:val="00252491"/>
    <w:rsid w:val="00252CC0"/>
    <w:rsid w:val="00253084"/>
    <w:rsid w:val="00253122"/>
    <w:rsid w:val="00255ACC"/>
    <w:rsid w:val="00255F46"/>
    <w:rsid w:val="00256786"/>
    <w:rsid w:val="0025727A"/>
    <w:rsid w:val="0026128A"/>
    <w:rsid w:val="002626A3"/>
    <w:rsid w:val="00262DE1"/>
    <w:rsid w:val="002636AE"/>
    <w:rsid w:val="00264E81"/>
    <w:rsid w:val="00264FC4"/>
    <w:rsid w:val="00265840"/>
    <w:rsid w:val="00266B4D"/>
    <w:rsid w:val="00267A29"/>
    <w:rsid w:val="002705D7"/>
    <w:rsid w:val="00276CA2"/>
    <w:rsid w:val="00277118"/>
    <w:rsid w:val="00282108"/>
    <w:rsid w:val="0028271E"/>
    <w:rsid w:val="00283AFD"/>
    <w:rsid w:val="00283D02"/>
    <w:rsid w:val="00285DFD"/>
    <w:rsid w:val="00291AD1"/>
    <w:rsid w:val="00292D0E"/>
    <w:rsid w:val="00292D51"/>
    <w:rsid w:val="00294CD5"/>
    <w:rsid w:val="00296CB1"/>
    <w:rsid w:val="002A5855"/>
    <w:rsid w:val="002A5F96"/>
    <w:rsid w:val="002A77F9"/>
    <w:rsid w:val="002A7896"/>
    <w:rsid w:val="002B0E41"/>
    <w:rsid w:val="002B474C"/>
    <w:rsid w:val="002B47EA"/>
    <w:rsid w:val="002B78BA"/>
    <w:rsid w:val="002C4045"/>
    <w:rsid w:val="002D063E"/>
    <w:rsid w:val="002D07E4"/>
    <w:rsid w:val="002D18D6"/>
    <w:rsid w:val="002D58EA"/>
    <w:rsid w:val="002E073F"/>
    <w:rsid w:val="002E34D2"/>
    <w:rsid w:val="002E3ECE"/>
    <w:rsid w:val="002E456C"/>
    <w:rsid w:val="002E54B6"/>
    <w:rsid w:val="002E6622"/>
    <w:rsid w:val="002E6772"/>
    <w:rsid w:val="002F014F"/>
    <w:rsid w:val="002F0566"/>
    <w:rsid w:val="002F265B"/>
    <w:rsid w:val="002F274A"/>
    <w:rsid w:val="002F390B"/>
    <w:rsid w:val="002F4446"/>
    <w:rsid w:val="002F5B8C"/>
    <w:rsid w:val="002F7910"/>
    <w:rsid w:val="00300F7B"/>
    <w:rsid w:val="00302B7A"/>
    <w:rsid w:val="00303899"/>
    <w:rsid w:val="00307AA6"/>
    <w:rsid w:val="003138A3"/>
    <w:rsid w:val="00314CDA"/>
    <w:rsid w:val="003159BE"/>
    <w:rsid w:val="003220A2"/>
    <w:rsid w:val="003222C8"/>
    <w:rsid w:val="003223AC"/>
    <w:rsid w:val="00322CE8"/>
    <w:rsid w:val="00324668"/>
    <w:rsid w:val="00325581"/>
    <w:rsid w:val="00325CCD"/>
    <w:rsid w:val="00325F76"/>
    <w:rsid w:val="00326F65"/>
    <w:rsid w:val="00327C28"/>
    <w:rsid w:val="0033142E"/>
    <w:rsid w:val="00331D55"/>
    <w:rsid w:val="003324C1"/>
    <w:rsid w:val="00332EE3"/>
    <w:rsid w:val="003373D3"/>
    <w:rsid w:val="00337B4C"/>
    <w:rsid w:val="0034022D"/>
    <w:rsid w:val="0034155B"/>
    <w:rsid w:val="003415E5"/>
    <w:rsid w:val="003419AD"/>
    <w:rsid w:val="0034229F"/>
    <w:rsid w:val="00343C89"/>
    <w:rsid w:val="003442EA"/>
    <w:rsid w:val="003454BA"/>
    <w:rsid w:val="003455D0"/>
    <w:rsid w:val="00347824"/>
    <w:rsid w:val="003510F8"/>
    <w:rsid w:val="003514EC"/>
    <w:rsid w:val="00351A4A"/>
    <w:rsid w:val="0035287E"/>
    <w:rsid w:val="00353BCD"/>
    <w:rsid w:val="00354747"/>
    <w:rsid w:val="00356428"/>
    <w:rsid w:val="00361421"/>
    <w:rsid w:val="00362990"/>
    <w:rsid w:val="003629F1"/>
    <w:rsid w:val="00363E70"/>
    <w:rsid w:val="00366BBB"/>
    <w:rsid w:val="0037076D"/>
    <w:rsid w:val="00370948"/>
    <w:rsid w:val="0037176B"/>
    <w:rsid w:val="00372C58"/>
    <w:rsid w:val="00373362"/>
    <w:rsid w:val="003736E4"/>
    <w:rsid w:val="0037376E"/>
    <w:rsid w:val="00373858"/>
    <w:rsid w:val="00373F0F"/>
    <w:rsid w:val="00374084"/>
    <w:rsid w:val="00380261"/>
    <w:rsid w:val="00386DBA"/>
    <w:rsid w:val="0038787B"/>
    <w:rsid w:val="00390245"/>
    <w:rsid w:val="00390CA0"/>
    <w:rsid w:val="00391020"/>
    <w:rsid w:val="0039145B"/>
    <w:rsid w:val="003949C4"/>
    <w:rsid w:val="0039504E"/>
    <w:rsid w:val="00395C9D"/>
    <w:rsid w:val="00396D3F"/>
    <w:rsid w:val="00397D22"/>
    <w:rsid w:val="003A1AA9"/>
    <w:rsid w:val="003A3E13"/>
    <w:rsid w:val="003A4511"/>
    <w:rsid w:val="003A5CA8"/>
    <w:rsid w:val="003A64C2"/>
    <w:rsid w:val="003A745F"/>
    <w:rsid w:val="003A795D"/>
    <w:rsid w:val="003B0A2B"/>
    <w:rsid w:val="003B2544"/>
    <w:rsid w:val="003B3129"/>
    <w:rsid w:val="003B47D0"/>
    <w:rsid w:val="003B4CE2"/>
    <w:rsid w:val="003B6177"/>
    <w:rsid w:val="003B74DF"/>
    <w:rsid w:val="003C01AF"/>
    <w:rsid w:val="003C0BAF"/>
    <w:rsid w:val="003C30A2"/>
    <w:rsid w:val="003C3181"/>
    <w:rsid w:val="003C5BC2"/>
    <w:rsid w:val="003C735D"/>
    <w:rsid w:val="003D26E9"/>
    <w:rsid w:val="003D33FE"/>
    <w:rsid w:val="003D4DB5"/>
    <w:rsid w:val="003D5E13"/>
    <w:rsid w:val="003E2C34"/>
    <w:rsid w:val="003F4734"/>
    <w:rsid w:val="003F4786"/>
    <w:rsid w:val="0040095C"/>
    <w:rsid w:val="00400B4E"/>
    <w:rsid w:val="00400EA0"/>
    <w:rsid w:val="0040108B"/>
    <w:rsid w:val="0040460D"/>
    <w:rsid w:val="004046FE"/>
    <w:rsid w:val="00404BBA"/>
    <w:rsid w:val="00405D39"/>
    <w:rsid w:val="004113AA"/>
    <w:rsid w:val="0041405D"/>
    <w:rsid w:val="0041498D"/>
    <w:rsid w:val="0041544C"/>
    <w:rsid w:val="004159A5"/>
    <w:rsid w:val="00415F0E"/>
    <w:rsid w:val="004161ED"/>
    <w:rsid w:val="00416D75"/>
    <w:rsid w:val="00416FEC"/>
    <w:rsid w:val="004211A6"/>
    <w:rsid w:val="004223A5"/>
    <w:rsid w:val="004226F6"/>
    <w:rsid w:val="00422917"/>
    <w:rsid w:val="004253A1"/>
    <w:rsid w:val="00426E59"/>
    <w:rsid w:val="004307B3"/>
    <w:rsid w:val="004308BE"/>
    <w:rsid w:val="00433E2D"/>
    <w:rsid w:val="0043449E"/>
    <w:rsid w:val="00434F2D"/>
    <w:rsid w:val="00435369"/>
    <w:rsid w:val="0043553A"/>
    <w:rsid w:val="00436421"/>
    <w:rsid w:val="00440A92"/>
    <w:rsid w:val="0044147E"/>
    <w:rsid w:val="00442236"/>
    <w:rsid w:val="00446BAA"/>
    <w:rsid w:val="0044761D"/>
    <w:rsid w:val="004478AA"/>
    <w:rsid w:val="0045265A"/>
    <w:rsid w:val="004532A2"/>
    <w:rsid w:val="00455A7A"/>
    <w:rsid w:val="00455EF3"/>
    <w:rsid w:val="004568B3"/>
    <w:rsid w:val="004572C3"/>
    <w:rsid w:val="00457D24"/>
    <w:rsid w:val="00457F43"/>
    <w:rsid w:val="0046262B"/>
    <w:rsid w:val="004636F9"/>
    <w:rsid w:val="004657CA"/>
    <w:rsid w:val="00465E96"/>
    <w:rsid w:val="00466136"/>
    <w:rsid w:val="00467084"/>
    <w:rsid w:val="0046753E"/>
    <w:rsid w:val="004677AB"/>
    <w:rsid w:val="004734E7"/>
    <w:rsid w:val="00477A64"/>
    <w:rsid w:val="00477ACA"/>
    <w:rsid w:val="0048280F"/>
    <w:rsid w:val="00485118"/>
    <w:rsid w:val="00485197"/>
    <w:rsid w:val="00486B43"/>
    <w:rsid w:val="00491F16"/>
    <w:rsid w:val="004922F9"/>
    <w:rsid w:val="00492A3D"/>
    <w:rsid w:val="004939E2"/>
    <w:rsid w:val="00494B65"/>
    <w:rsid w:val="00495295"/>
    <w:rsid w:val="00496F49"/>
    <w:rsid w:val="004A4795"/>
    <w:rsid w:val="004A523D"/>
    <w:rsid w:val="004A56A0"/>
    <w:rsid w:val="004A5722"/>
    <w:rsid w:val="004A6000"/>
    <w:rsid w:val="004B0222"/>
    <w:rsid w:val="004B0796"/>
    <w:rsid w:val="004B14AA"/>
    <w:rsid w:val="004B2482"/>
    <w:rsid w:val="004B4E88"/>
    <w:rsid w:val="004B56B5"/>
    <w:rsid w:val="004B57EF"/>
    <w:rsid w:val="004B676D"/>
    <w:rsid w:val="004B6882"/>
    <w:rsid w:val="004B6CCE"/>
    <w:rsid w:val="004C1475"/>
    <w:rsid w:val="004C2638"/>
    <w:rsid w:val="004C390A"/>
    <w:rsid w:val="004C63DA"/>
    <w:rsid w:val="004D1110"/>
    <w:rsid w:val="004D1BB2"/>
    <w:rsid w:val="004D1BB3"/>
    <w:rsid w:val="004D3961"/>
    <w:rsid w:val="004D4E88"/>
    <w:rsid w:val="004D5BCC"/>
    <w:rsid w:val="004D5D4F"/>
    <w:rsid w:val="004D6396"/>
    <w:rsid w:val="004E01D1"/>
    <w:rsid w:val="004E1CE7"/>
    <w:rsid w:val="004E2C1E"/>
    <w:rsid w:val="004E2F1C"/>
    <w:rsid w:val="004E2FCA"/>
    <w:rsid w:val="004E34C6"/>
    <w:rsid w:val="004E3FBF"/>
    <w:rsid w:val="004F0A10"/>
    <w:rsid w:val="004F109D"/>
    <w:rsid w:val="004F2C4D"/>
    <w:rsid w:val="004F39BE"/>
    <w:rsid w:val="004F3EA2"/>
    <w:rsid w:val="0050282A"/>
    <w:rsid w:val="005043B1"/>
    <w:rsid w:val="00505883"/>
    <w:rsid w:val="00513729"/>
    <w:rsid w:val="005147EC"/>
    <w:rsid w:val="00514AEC"/>
    <w:rsid w:val="00515175"/>
    <w:rsid w:val="00516666"/>
    <w:rsid w:val="00521E54"/>
    <w:rsid w:val="0052537F"/>
    <w:rsid w:val="0052721B"/>
    <w:rsid w:val="005304E4"/>
    <w:rsid w:val="00532F36"/>
    <w:rsid w:val="00534A9A"/>
    <w:rsid w:val="005350F1"/>
    <w:rsid w:val="0053587F"/>
    <w:rsid w:val="005359B2"/>
    <w:rsid w:val="005362EE"/>
    <w:rsid w:val="005411FC"/>
    <w:rsid w:val="00541F83"/>
    <w:rsid w:val="005428B2"/>
    <w:rsid w:val="005429CE"/>
    <w:rsid w:val="00544EBB"/>
    <w:rsid w:val="00547494"/>
    <w:rsid w:val="00550258"/>
    <w:rsid w:val="00554712"/>
    <w:rsid w:val="00554D37"/>
    <w:rsid w:val="00556E20"/>
    <w:rsid w:val="005572DA"/>
    <w:rsid w:val="00560C26"/>
    <w:rsid w:val="005624A8"/>
    <w:rsid w:val="005627CB"/>
    <w:rsid w:val="005634D0"/>
    <w:rsid w:val="0056422A"/>
    <w:rsid w:val="005654F2"/>
    <w:rsid w:val="0056617C"/>
    <w:rsid w:val="00575FF2"/>
    <w:rsid w:val="005777E5"/>
    <w:rsid w:val="0058010B"/>
    <w:rsid w:val="00581AB6"/>
    <w:rsid w:val="005825EA"/>
    <w:rsid w:val="00583031"/>
    <w:rsid w:val="005830E6"/>
    <w:rsid w:val="0058502F"/>
    <w:rsid w:val="005855E5"/>
    <w:rsid w:val="00587541"/>
    <w:rsid w:val="00587A12"/>
    <w:rsid w:val="0059035A"/>
    <w:rsid w:val="00593760"/>
    <w:rsid w:val="00593C2C"/>
    <w:rsid w:val="005941EF"/>
    <w:rsid w:val="00595B1D"/>
    <w:rsid w:val="00596A99"/>
    <w:rsid w:val="005A2E4A"/>
    <w:rsid w:val="005A7DBA"/>
    <w:rsid w:val="005B1000"/>
    <w:rsid w:val="005B2417"/>
    <w:rsid w:val="005B26DF"/>
    <w:rsid w:val="005B29E0"/>
    <w:rsid w:val="005B43DF"/>
    <w:rsid w:val="005B5906"/>
    <w:rsid w:val="005B6606"/>
    <w:rsid w:val="005B7515"/>
    <w:rsid w:val="005B7A02"/>
    <w:rsid w:val="005C301E"/>
    <w:rsid w:val="005C6059"/>
    <w:rsid w:val="005D00F3"/>
    <w:rsid w:val="005D27C2"/>
    <w:rsid w:val="005D45C4"/>
    <w:rsid w:val="005D4821"/>
    <w:rsid w:val="005D559B"/>
    <w:rsid w:val="005D55B6"/>
    <w:rsid w:val="005D7868"/>
    <w:rsid w:val="005E065C"/>
    <w:rsid w:val="005E0ACE"/>
    <w:rsid w:val="005E236E"/>
    <w:rsid w:val="005F1323"/>
    <w:rsid w:val="005F1468"/>
    <w:rsid w:val="005F51F7"/>
    <w:rsid w:val="005F5718"/>
    <w:rsid w:val="0060216B"/>
    <w:rsid w:val="00602D99"/>
    <w:rsid w:val="00604F8C"/>
    <w:rsid w:val="00605F9C"/>
    <w:rsid w:val="00607511"/>
    <w:rsid w:val="0061006C"/>
    <w:rsid w:val="006103B0"/>
    <w:rsid w:val="00612018"/>
    <w:rsid w:val="006125FC"/>
    <w:rsid w:val="006129D5"/>
    <w:rsid w:val="00613E74"/>
    <w:rsid w:val="00614039"/>
    <w:rsid w:val="00614212"/>
    <w:rsid w:val="00614E6A"/>
    <w:rsid w:val="0061515E"/>
    <w:rsid w:val="00617180"/>
    <w:rsid w:val="00617AA3"/>
    <w:rsid w:val="00620438"/>
    <w:rsid w:val="006221B1"/>
    <w:rsid w:val="00623DAC"/>
    <w:rsid w:val="00624D90"/>
    <w:rsid w:val="00627992"/>
    <w:rsid w:val="00630C7C"/>
    <w:rsid w:val="00630F65"/>
    <w:rsid w:val="00631414"/>
    <w:rsid w:val="006324B5"/>
    <w:rsid w:val="006334BD"/>
    <w:rsid w:val="0063567F"/>
    <w:rsid w:val="00636D6F"/>
    <w:rsid w:val="0063736F"/>
    <w:rsid w:val="00637608"/>
    <w:rsid w:val="00642224"/>
    <w:rsid w:val="00644C81"/>
    <w:rsid w:val="00646400"/>
    <w:rsid w:val="0065016F"/>
    <w:rsid w:val="00651826"/>
    <w:rsid w:val="0065364A"/>
    <w:rsid w:val="00654002"/>
    <w:rsid w:val="00654EE2"/>
    <w:rsid w:val="00655655"/>
    <w:rsid w:val="00655A73"/>
    <w:rsid w:val="006565C2"/>
    <w:rsid w:val="00660891"/>
    <w:rsid w:val="00663629"/>
    <w:rsid w:val="00663DBB"/>
    <w:rsid w:val="006641C0"/>
    <w:rsid w:val="00664C7B"/>
    <w:rsid w:val="006666D8"/>
    <w:rsid w:val="00666CE0"/>
    <w:rsid w:val="00666F1C"/>
    <w:rsid w:val="00673D79"/>
    <w:rsid w:val="00675787"/>
    <w:rsid w:val="00677932"/>
    <w:rsid w:val="0068092D"/>
    <w:rsid w:val="00681137"/>
    <w:rsid w:val="006827F5"/>
    <w:rsid w:val="00682859"/>
    <w:rsid w:val="006839AA"/>
    <w:rsid w:val="00685A78"/>
    <w:rsid w:val="00687FED"/>
    <w:rsid w:val="0069098B"/>
    <w:rsid w:val="006919E5"/>
    <w:rsid w:val="0069244A"/>
    <w:rsid w:val="00694618"/>
    <w:rsid w:val="006951ED"/>
    <w:rsid w:val="00695FFA"/>
    <w:rsid w:val="00697854"/>
    <w:rsid w:val="006A0563"/>
    <w:rsid w:val="006A3468"/>
    <w:rsid w:val="006A48C1"/>
    <w:rsid w:val="006A4A9E"/>
    <w:rsid w:val="006A530B"/>
    <w:rsid w:val="006A53E6"/>
    <w:rsid w:val="006A561C"/>
    <w:rsid w:val="006A7BF7"/>
    <w:rsid w:val="006B05BD"/>
    <w:rsid w:val="006B09DA"/>
    <w:rsid w:val="006B1FCA"/>
    <w:rsid w:val="006B2CED"/>
    <w:rsid w:val="006B5906"/>
    <w:rsid w:val="006C42AA"/>
    <w:rsid w:val="006C5E6F"/>
    <w:rsid w:val="006C5EA2"/>
    <w:rsid w:val="006D25BF"/>
    <w:rsid w:val="006D37FD"/>
    <w:rsid w:val="006D41BD"/>
    <w:rsid w:val="006D55C3"/>
    <w:rsid w:val="006D5B3F"/>
    <w:rsid w:val="006D6FC8"/>
    <w:rsid w:val="006D7038"/>
    <w:rsid w:val="006D7604"/>
    <w:rsid w:val="006E04E8"/>
    <w:rsid w:val="006E080B"/>
    <w:rsid w:val="006E1950"/>
    <w:rsid w:val="006E2D7F"/>
    <w:rsid w:val="006E3D34"/>
    <w:rsid w:val="006E57E7"/>
    <w:rsid w:val="006E6B1B"/>
    <w:rsid w:val="006E78EF"/>
    <w:rsid w:val="006F148C"/>
    <w:rsid w:val="006F2CFD"/>
    <w:rsid w:val="006F2EA7"/>
    <w:rsid w:val="006F31A3"/>
    <w:rsid w:val="006F3A54"/>
    <w:rsid w:val="006F5006"/>
    <w:rsid w:val="006F5225"/>
    <w:rsid w:val="006F5472"/>
    <w:rsid w:val="006F62E5"/>
    <w:rsid w:val="00700009"/>
    <w:rsid w:val="007005C4"/>
    <w:rsid w:val="007011BB"/>
    <w:rsid w:val="00703A0F"/>
    <w:rsid w:val="0070628B"/>
    <w:rsid w:val="0070663C"/>
    <w:rsid w:val="007079A8"/>
    <w:rsid w:val="00710EFA"/>
    <w:rsid w:val="007140D7"/>
    <w:rsid w:val="00715278"/>
    <w:rsid w:val="0071761D"/>
    <w:rsid w:val="007178A5"/>
    <w:rsid w:val="0072042F"/>
    <w:rsid w:val="007220EA"/>
    <w:rsid w:val="00722789"/>
    <w:rsid w:val="007234E6"/>
    <w:rsid w:val="00725277"/>
    <w:rsid w:val="007254EC"/>
    <w:rsid w:val="007321D4"/>
    <w:rsid w:val="00735B6C"/>
    <w:rsid w:val="007410EB"/>
    <w:rsid w:val="007425C8"/>
    <w:rsid w:val="00744408"/>
    <w:rsid w:val="00745D9D"/>
    <w:rsid w:val="007460BC"/>
    <w:rsid w:val="00746C9D"/>
    <w:rsid w:val="007471B6"/>
    <w:rsid w:val="007501A0"/>
    <w:rsid w:val="00751C62"/>
    <w:rsid w:val="0075277A"/>
    <w:rsid w:val="007528CC"/>
    <w:rsid w:val="007535B6"/>
    <w:rsid w:val="00753C01"/>
    <w:rsid w:val="00754503"/>
    <w:rsid w:val="007565B4"/>
    <w:rsid w:val="007575DD"/>
    <w:rsid w:val="0076053B"/>
    <w:rsid w:val="00761351"/>
    <w:rsid w:val="00761495"/>
    <w:rsid w:val="007614FD"/>
    <w:rsid w:val="00761942"/>
    <w:rsid w:val="00762FD0"/>
    <w:rsid w:val="007646A9"/>
    <w:rsid w:val="0076701C"/>
    <w:rsid w:val="00770772"/>
    <w:rsid w:val="007709A9"/>
    <w:rsid w:val="0077235A"/>
    <w:rsid w:val="0077266B"/>
    <w:rsid w:val="00772C22"/>
    <w:rsid w:val="00773AFD"/>
    <w:rsid w:val="007843CE"/>
    <w:rsid w:val="0078542E"/>
    <w:rsid w:val="00790E4F"/>
    <w:rsid w:val="00791446"/>
    <w:rsid w:val="00792D0F"/>
    <w:rsid w:val="007932D3"/>
    <w:rsid w:val="00793A4C"/>
    <w:rsid w:val="00793FB3"/>
    <w:rsid w:val="0079464D"/>
    <w:rsid w:val="0079588C"/>
    <w:rsid w:val="00796231"/>
    <w:rsid w:val="00796F43"/>
    <w:rsid w:val="007A2282"/>
    <w:rsid w:val="007A22E8"/>
    <w:rsid w:val="007A2490"/>
    <w:rsid w:val="007A2834"/>
    <w:rsid w:val="007A6582"/>
    <w:rsid w:val="007A74B3"/>
    <w:rsid w:val="007A7A54"/>
    <w:rsid w:val="007A7F0E"/>
    <w:rsid w:val="007B0944"/>
    <w:rsid w:val="007B0F0F"/>
    <w:rsid w:val="007B12EC"/>
    <w:rsid w:val="007B1909"/>
    <w:rsid w:val="007B21D2"/>
    <w:rsid w:val="007B325F"/>
    <w:rsid w:val="007B3EBC"/>
    <w:rsid w:val="007B56F5"/>
    <w:rsid w:val="007B5F55"/>
    <w:rsid w:val="007C0564"/>
    <w:rsid w:val="007C0861"/>
    <w:rsid w:val="007C2647"/>
    <w:rsid w:val="007C5DFE"/>
    <w:rsid w:val="007C695F"/>
    <w:rsid w:val="007C7D70"/>
    <w:rsid w:val="007D2DB4"/>
    <w:rsid w:val="007D3318"/>
    <w:rsid w:val="007D3463"/>
    <w:rsid w:val="007D4DE6"/>
    <w:rsid w:val="007D7B9B"/>
    <w:rsid w:val="007E2015"/>
    <w:rsid w:val="007E6C41"/>
    <w:rsid w:val="007E6DA9"/>
    <w:rsid w:val="007F0104"/>
    <w:rsid w:val="007F1597"/>
    <w:rsid w:val="007F15D3"/>
    <w:rsid w:val="007F16FF"/>
    <w:rsid w:val="007F1C26"/>
    <w:rsid w:val="007F223B"/>
    <w:rsid w:val="007F2BEC"/>
    <w:rsid w:val="007F49C3"/>
    <w:rsid w:val="007F4A11"/>
    <w:rsid w:val="007F536A"/>
    <w:rsid w:val="007F73AB"/>
    <w:rsid w:val="008013D4"/>
    <w:rsid w:val="00804D1C"/>
    <w:rsid w:val="00810030"/>
    <w:rsid w:val="00810634"/>
    <w:rsid w:val="00810E54"/>
    <w:rsid w:val="00810EF1"/>
    <w:rsid w:val="00812493"/>
    <w:rsid w:val="00820B57"/>
    <w:rsid w:val="00821A88"/>
    <w:rsid w:val="00823456"/>
    <w:rsid w:val="008255D7"/>
    <w:rsid w:val="00832D77"/>
    <w:rsid w:val="00833243"/>
    <w:rsid w:val="00833F02"/>
    <w:rsid w:val="0083427A"/>
    <w:rsid w:val="00835830"/>
    <w:rsid w:val="00835E53"/>
    <w:rsid w:val="008368B5"/>
    <w:rsid w:val="008372ED"/>
    <w:rsid w:val="00837356"/>
    <w:rsid w:val="00841C44"/>
    <w:rsid w:val="00842382"/>
    <w:rsid w:val="00842AE8"/>
    <w:rsid w:val="0084686D"/>
    <w:rsid w:val="008468C6"/>
    <w:rsid w:val="00846979"/>
    <w:rsid w:val="00846FCC"/>
    <w:rsid w:val="0085056E"/>
    <w:rsid w:val="00850B55"/>
    <w:rsid w:val="008534F5"/>
    <w:rsid w:val="008551DC"/>
    <w:rsid w:val="00861BCB"/>
    <w:rsid w:val="00862177"/>
    <w:rsid w:val="00862570"/>
    <w:rsid w:val="00865757"/>
    <w:rsid w:val="008677B0"/>
    <w:rsid w:val="00871114"/>
    <w:rsid w:val="008728AE"/>
    <w:rsid w:val="00873247"/>
    <w:rsid w:val="00873F60"/>
    <w:rsid w:val="008744C2"/>
    <w:rsid w:val="008767C6"/>
    <w:rsid w:val="008768AE"/>
    <w:rsid w:val="0087770F"/>
    <w:rsid w:val="00877B80"/>
    <w:rsid w:val="00880596"/>
    <w:rsid w:val="00882D94"/>
    <w:rsid w:val="00886A33"/>
    <w:rsid w:val="00886DAE"/>
    <w:rsid w:val="008872D4"/>
    <w:rsid w:val="008911E6"/>
    <w:rsid w:val="0089151D"/>
    <w:rsid w:val="00893308"/>
    <w:rsid w:val="0089357C"/>
    <w:rsid w:val="0089392D"/>
    <w:rsid w:val="00893B02"/>
    <w:rsid w:val="008974BE"/>
    <w:rsid w:val="00897554"/>
    <w:rsid w:val="008A0643"/>
    <w:rsid w:val="008A12AD"/>
    <w:rsid w:val="008A3A7A"/>
    <w:rsid w:val="008A4A34"/>
    <w:rsid w:val="008A773B"/>
    <w:rsid w:val="008A7BE0"/>
    <w:rsid w:val="008A7D77"/>
    <w:rsid w:val="008B1CEA"/>
    <w:rsid w:val="008B3C5B"/>
    <w:rsid w:val="008B3ED5"/>
    <w:rsid w:val="008B47B7"/>
    <w:rsid w:val="008B5E8F"/>
    <w:rsid w:val="008B67C3"/>
    <w:rsid w:val="008B6EE9"/>
    <w:rsid w:val="008C1591"/>
    <w:rsid w:val="008C1E3C"/>
    <w:rsid w:val="008C2B7D"/>
    <w:rsid w:val="008C3380"/>
    <w:rsid w:val="008C53D8"/>
    <w:rsid w:val="008D12A5"/>
    <w:rsid w:val="008D6043"/>
    <w:rsid w:val="008D72C2"/>
    <w:rsid w:val="008E092E"/>
    <w:rsid w:val="008E1680"/>
    <w:rsid w:val="008E4551"/>
    <w:rsid w:val="008E66D7"/>
    <w:rsid w:val="008E7279"/>
    <w:rsid w:val="008E76BA"/>
    <w:rsid w:val="008E78C0"/>
    <w:rsid w:val="008F4896"/>
    <w:rsid w:val="008F4EE0"/>
    <w:rsid w:val="008F5FAA"/>
    <w:rsid w:val="008F74B7"/>
    <w:rsid w:val="008F7B3F"/>
    <w:rsid w:val="00900493"/>
    <w:rsid w:val="00904D33"/>
    <w:rsid w:val="00904FDE"/>
    <w:rsid w:val="00905EE1"/>
    <w:rsid w:val="00905EF2"/>
    <w:rsid w:val="00910EB0"/>
    <w:rsid w:val="00912D2D"/>
    <w:rsid w:val="009147F5"/>
    <w:rsid w:val="00914A2F"/>
    <w:rsid w:val="009151D5"/>
    <w:rsid w:val="0091679C"/>
    <w:rsid w:val="00917043"/>
    <w:rsid w:val="00917D94"/>
    <w:rsid w:val="009205EE"/>
    <w:rsid w:val="00920EE1"/>
    <w:rsid w:val="00923ECC"/>
    <w:rsid w:val="0092452E"/>
    <w:rsid w:val="00925675"/>
    <w:rsid w:val="0093617D"/>
    <w:rsid w:val="00942499"/>
    <w:rsid w:val="00942940"/>
    <w:rsid w:val="00943835"/>
    <w:rsid w:val="00945782"/>
    <w:rsid w:val="00946CF0"/>
    <w:rsid w:val="00946D6B"/>
    <w:rsid w:val="00947595"/>
    <w:rsid w:val="00950B9C"/>
    <w:rsid w:val="009511EA"/>
    <w:rsid w:val="009514B3"/>
    <w:rsid w:val="009516B9"/>
    <w:rsid w:val="0095215D"/>
    <w:rsid w:val="0095277E"/>
    <w:rsid w:val="0095438F"/>
    <w:rsid w:val="009554D2"/>
    <w:rsid w:val="009556F3"/>
    <w:rsid w:val="00957211"/>
    <w:rsid w:val="009604E8"/>
    <w:rsid w:val="00960B80"/>
    <w:rsid w:val="0096106F"/>
    <w:rsid w:val="00962D40"/>
    <w:rsid w:val="00964143"/>
    <w:rsid w:val="009642E1"/>
    <w:rsid w:val="00965ABB"/>
    <w:rsid w:val="00965DCB"/>
    <w:rsid w:val="00966CF0"/>
    <w:rsid w:val="00966F10"/>
    <w:rsid w:val="009725AF"/>
    <w:rsid w:val="00974D1B"/>
    <w:rsid w:val="00976B9A"/>
    <w:rsid w:val="00977029"/>
    <w:rsid w:val="009776FF"/>
    <w:rsid w:val="009808F4"/>
    <w:rsid w:val="00987B97"/>
    <w:rsid w:val="00992BB4"/>
    <w:rsid w:val="009947A6"/>
    <w:rsid w:val="00996EDA"/>
    <w:rsid w:val="009A04FE"/>
    <w:rsid w:val="009A1964"/>
    <w:rsid w:val="009A4CFE"/>
    <w:rsid w:val="009A5FF9"/>
    <w:rsid w:val="009A6D3C"/>
    <w:rsid w:val="009A705A"/>
    <w:rsid w:val="009B2638"/>
    <w:rsid w:val="009B33F2"/>
    <w:rsid w:val="009B7DE1"/>
    <w:rsid w:val="009C03A3"/>
    <w:rsid w:val="009C1BBD"/>
    <w:rsid w:val="009C1D49"/>
    <w:rsid w:val="009D6132"/>
    <w:rsid w:val="009D6A5F"/>
    <w:rsid w:val="009D7B14"/>
    <w:rsid w:val="009E0387"/>
    <w:rsid w:val="009E05DC"/>
    <w:rsid w:val="009E05E6"/>
    <w:rsid w:val="009E42A4"/>
    <w:rsid w:val="009F21C8"/>
    <w:rsid w:val="009F28A7"/>
    <w:rsid w:val="00A00A9D"/>
    <w:rsid w:val="00A01808"/>
    <w:rsid w:val="00A02F8C"/>
    <w:rsid w:val="00A07455"/>
    <w:rsid w:val="00A0784E"/>
    <w:rsid w:val="00A12038"/>
    <w:rsid w:val="00A14F9D"/>
    <w:rsid w:val="00A15BD0"/>
    <w:rsid w:val="00A16F78"/>
    <w:rsid w:val="00A20967"/>
    <w:rsid w:val="00A20C47"/>
    <w:rsid w:val="00A23A26"/>
    <w:rsid w:val="00A249A3"/>
    <w:rsid w:val="00A25032"/>
    <w:rsid w:val="00A26D20"/>
    <w:rsid w:val="00A30A9E"/>
    <w:rsid w:val="00A3114D"/>
    <w:rsid w:val="00A361F1"/>
    <w:rsid w:val="00A3687E"/>
    <w:rsid w:val="00A41720"/>
    <w:rsid w:val="00A43507"/>
    <w:rsid w:val="00A471B1"/>
    <w:rsid w:val="00A4752B"/>
    <w:rsid w:val="00A502AC"/>
    <w:rsid w:val="00A518F9"/>
    <w:rsid w:val="00A51E45"/>
    <w:rsid w:val="00A52F49"/>
    <w:rsid w:val="00A53CB0"/>
    <w:rsid w:val="00A53ED5"/>
    <w:rsid w:val="00A54F44"/>
    <w:rsid w:val="00A54FF3"/>
    <w:rsid w:val="00A55228"/>
    <w:rsid w:val="00A55769"/>
    <w:rsid w:val="00A604C4"/>
    <w:rsid w:val="00A605C6"/>
    <w:rsid w:val="00A60CF4"/>
    <w:rsid w:val="00A60DEB"/>
    <w:rsid w:val="00A61369"/>
    <w:rsid w:val="00A6203C"/>
    <w:rsid w:val="00A64EAA"/>
    <w:rsid w:val="00A650AA"/>
    <w:rsid w:val="00A65591"/>
    <w:rsid w:val="00A67CDF"/>
    <w:rsid w:val="00A67F03"/>
    <w:rsid w:val="00A72BD7"/>
    <w:rsid w:val="00A73804"/>
    <w:rsid w:val="00A80196"/>
    <w:rsid w:val="00A80554"/>
    <w:rsid w:val="00A8379B"/>
    <w:rsid w:val="00A849F6"/>
    <w:rsid w:val="00A85648"/>
    <w:rsid w:val="00A86BDB"/>
    <w:rsid w:val="00A917E2"/>
    <w:rsid w:val="00A96EEA"/>
    <w:rsid w:val="00AA3C47"/>
    <w:rsid w:val="00AA4150"/>
    <w:rsid w:val="00AA4A30"/>
    <w:rsid w:val="00AA513F"/>
    <w:rsid w:val="00AA6C2F"/>
    <w:rsid w:val="00AB0824"/>
    <w:rsid w:val="00AB0CD2"/>
    <w:rsid w:val="00AB49F0"/>
    <w:rsid w:val="00AB518D"/>
    <w:rsid w:val="00AC0CCC"/>
    <w:rsid w:val="00AC18AE"/>
    <w:rsid w:val="00AC2896"/>
    <w:rsid w:val="00AC2E6D"/>
    <w:rsid w:val="00AC4336"/>
    <w:rsid w:val="00AC461A"/>
    <w:rsid w:val="00AC494E"/>
    <w:rsid w:val="00AC5EBB"/>
    <w:rsid w:val="00AC608D"/>
    <w:rsid w:val="00AC692E"/>
    <w:rsid w:val="00AC7C2B"/>
    <w:rsid w:val="00AD0DF3"/>
    <w:rsid w:val="00AD26A3"/>
    <w:rsid w:val="00AD2E51"/>
    <w:rsid w:val="00AD346B"/>
    <w:rsid w:val="00AD59F5"/>
    <w:rsid w:val="00AD6975"/>
    <w:rsid w:val="00AD7461"/>
    <w:rsid w:val="00AD7B89"/>
    <w:rsid w:val="00AE13DC"/>
    <w:rsid w:val="00AE210A"/>
    <w:rsid w:val="00AE29B2"/>
    <w:rsid w:val="00AE4BA6"/>
    <w:rsid w:val="00AE574B"/>
    <w:rsid w:val="00AE6E0F"/>
    <w:rsid w:val="00AE779E"/>
    <w:rsid w:val="00AE7E8A"/>
    <w:rsid w:val="00AF0E39"/>
    <w:rsid w:val="00AF1206"/>
    <w:rsid w:val="00AF1605"/>
    <w:rsid w:val="00AF1DEF"/>
    <w:rsid w:val="00AF4462"/>
    <w:rsid w:val="00AF57E3"/>
    <w:rsid w:val="00AF5DED"/>
    <w:rsid w:val="00AF6D6E"/>
    <w:rsid w:val="00AF7519"/>
    <w:rsid w:val="00AF7640"/>
    <w:rsid w:val="00AF780E"/>
    <w:rsid w:val="00B036AA"/>
    <w:rsid w:val="00B038E8"/>
    <w:rsid w:val="00B05B9A"/>
    <w:rsid w:val="00B06A1F"/>
    <w:rsid w:val="00B07237"/>
    <w:rsid w:val="00B07806"/>
    <w:rsid w:val="00B10106"/>
    <w:rsid w:val="00B1128A"/>
    <w:rsid w:val="00B1255F"/>
    <w:rsid w:val="00B15307"/>
    <w:rsid w:val="00B15A92"/>
    <w:rsid w:val="00B2200A"/>
    <w:rsid w:val="00B236A4"/>
    <w:rsid w:val="00B23CF2"/>
    <w:rsid w:val="00B257B0"/>
    <w:rsid w:val="00B305C3"/>
    <w:rsid w:val="00B34819"/>
    <w:rsid w:val="00B34C4A"/>
    <w:rsid w:val="00B35B6A"/>
    <w:rsid w:val="00B36FB5"/>
    <w:rsid w:val="00B37909"/>
    <w:rsid w:val="00B40783"/>
    <w:rsid w:val="00B40F3A"/>
    <w:rsid w:val="00B42A98"/>
    <w:rsid w:val="00B47A71"/>
    <w:rsid w:val="00B50835"/>
    <w:rsid w:val="00B51307"/>
    <w:rsid w:val="00B521DE"/>
    <w:rsid w:val="00B56AC9"/>
    <w:rsid w:val="00B60979"/>
    <w:rsid w:val="00B6265A"/>
    <w:rsid w:val="00B6276C"/>
    <w:rsid w:val="00B63012"/>
    <w:rsid w:val="00B64F93"/>
    <w:rsid w:val="00B65E31"/>
    <w:rsid w:val="00B665F9"/>
    <w:rsid w:val="00B77776"/>
    <w:rsid w:val="00B77A9D"/>
    <w:rsid w:val="00B77C92"/>
    <w:rsid w:val="00B77EF0"/>
    <w:rsid w:val="00B77F9F"/>
    <w:rsid w:val="00B817A8"/>
    <w:rsid w:val="00B82CBB"/>
    <w:rsid w:val="00B82DF6"/>
    <w:rsid w:val="00B86CA1"/>
    <w:rsid w:val="00B909F4"/>
    <w:rsid w:val="00B92134"/>
    <w:rsid w:val="00B94BCF"/>
    <w:rsid w:val="00B95E28"/>
    <w:rsid w:val="00B9776F"/>
    <w:rsid w:val="00BA27CF"/>
    <w:rsid w:val="00BA4916"/>
    <w:rsid w:val="00BA5C34"/>
    <w:rsid w:val="00BA6F67"/>
    <w:rsid w:val="00BA7C19"/>
    <w:rsid w:val="00BA7E6B"/>
    <w:rsid w:val="00BB1718"/>
    <w:rsid w:val="00BB1CFE"/>
    <w:rsid w:val="00BB1EEF"/>
    <w:rsid w:val="00BB2C27"/>
    <w:rsid w:val="00BB64A9"/>
    <w:rsid w:val="00BB64FF"/>
    <w:rsid w:val="00BC1170"/>
    <w:rsid w:val="00BC4BA5"/>
    <w:rsid w:val="00BC6026"/>
    <w:rsid w:val="00BC671E"/>
    <w:rsid w:val="00BC6DF8"/>
    <w:rsid w:val="00BC70B6"/>
    <w:rsid w:val="00BC7A15"/>
    <w:rsid w:val="00BD0595"/>
    <w:rsid w:val="00BD495E"/>
    <w:rsid w:val="00BD4CAA"/>
    <w:rsid w:val="00BD541D"/>
    <w:rsid w:val="00BD5931"/>
    <w:rsid w:val="00BD5BDF"/>
    <w:rsid w:val="00BD6F2A"/>
    <w:rsid w:val="00BD7068"/>
    <w:rsid w:val="00BE14F9"/>
    <w:rsid w:val="00BE206B"/>
    <w:rsid w:val="00BE2713"/>
    <w:rsid w:val="00BE2DA1"/>
    <w:rsid w:val="00BE5305"/>
    <w:rsid w:val="00BE70DC"/>
    <w:rsid w:val="00BF1E1C"/>
    <w:rsid w:val="00BF244F"/>
    <w:rsid w:val="00BF2C83"/>
    <w:rsid w:val="00BF2F63"/>
    <w:rsid w:val="00BF4349"/>
    <w:rsid w:val="00BF6FBF"/>
    <w:rsid w:val="00BF6FF9"/>
    <w:rsid w:val="00C044EE"/>
    <w:rsid w:val="00C05B1A"/>
    <w:rsid w:val="00C0659F"/>
    <w:rsid w:val="00C06609"/>
    <w:rsid w:val="00C06D6B"/>
    <w:rsid w:val="00C078E5"/>
    <w:rsid w:val="00C07D41"/>
    <w:rsid w:val="00C1021A"/>
    <w:rsid w:val="00C12038"/>
    <w:rsid w:val="00C12558"/>
    <w:rsid w:val="00C130A6"/>
    <w:rsid w:val="00C150D6"/>
    <w:rsid w:val="00C15298"/>
    <w:rsid w:val="00C20E2C"/>
    <w:rsid w:val="00C2265F"/>
    <w:rsid w:val="00C24253"/>
    <w:rsid w:val="00C30C44"/>
    <w:rsid w:val="00C31058"/>
    <w:rsid w:val="00C41B0F"/>
    <w:rsid w:val="00C45B0E"/>
    <w:rsid w:val="00C468EC"/>
    <w:rsid w:val="00C50847"/>
    <w:rsid w:val="00C56225"/>
    <w:rsid w:val="00C5731B"/>
    <w:rsid w:val="00C57949"/>
    <w:rsid w:val="00C64C26"/>
    <w:rsid w:val="00C66C64"/>
    <w:rsid w:val="00C66EB5"/>
    <w:rsid w:val="00C740AD"/>
    <w:rsid w:val="00C7477A"/>
    <w:rsid w:val="00C764EF"/>
    <w:rsid w:val="00C76C53"/>
    <w:rsid w:val="00C77CC0"/>
    <w:rsid w:val="00C805B1"/>
    <w:rsid w:val="00C80BD4"/>
    <w:rsid w:val="00C80ED9"/>
    <w:rsid w:val="00C8503F"/>
    <w:rsid w:val="00C866F5"/>
    <w:rsid w:val="00C8716A"/>
    <w:rsid w:val="00C9264F"/>
    <w:rsid w:val="00C929B6"/>
    <w:rsid w:val="00C938B4"/>
    <w:rsid w:val="00C9390B"/>
    <w:rsid w:val="00C95CFA"/>
    <w:rsid w:val="00C9672D"/>
    <w:rsid w:val="00C96FD7"/>
    <w:rsid w:val="00CA1383"/>
    <w:rsid w:val="00CA2B4B"/>
    <w:rsid w:val="00CA4909"/>
    <w:rsid w:val="00CA7288"/>
    <w:rsid w:val="00CB04AC"/>
    <w:rsid w:val="00CB2FE9"/>
    <w:rsid w:val="00CB4C77"/>
    <w:rsid w:val="00CB4E4B"/>
    <w:rsid w:val="00CB4EA7"/>
    <w:rsid w:val="00CB587A"/>
    <w:rsid w:val="00CB7A62"/>
    <w:rsid w:val="00CC121F"/>
    <w:rsid w:val="00CC166A"/>
    <w:rsid w:val="00CC272B"/>
    <w:rsid w:val="00CC3497"/>
    <w:rsid w:val="00CC7172"/>
    <w:rsid w:val="00CD1878"/>
    <w:rsid w:val="00CD1B81"/>
    <w:rsid w:val="00CD6B27"/>
    <w:rsid w:val="00CE0014"/>
    <w:rsid w:val="00CE1404"/>
    <w:rsid w:val="00CE15D3"/>
    <w:rsid w:val="00CE54D0"/>
    <w:rsid w:val="00CE68DC"/>
    <w:rsid w:val="00CE6BDB"/>
    <w:rsid w:val="00CE76D7"/>
    <w:rsid w:val="00CF0715"/>
    <w:rsid w:val="00CF20BB"/>
    <w:rsid w:val="00CF2274"/>
    <w:rsid w:val="00CF4CE0"/>
    <w:rsid w:val="00CF5D9D"/>
    <w:rsid w:val="00CF77E4"/>
    <w:rsid w:val="00D014CA"/>
    <w:rsid w:val="00D014FE"/>
    <w:rsid w:val="00D10410"/>
    <w:rsid w:val="00D105CA"/>
    <w:rsid w:val="00D10A7A"/>
    <w:rsid w:val="00D112AF"/>
    <w:rsid w:val="00D114A4"/>
    <w:rsid w:val="00D15928"/>
    <w:rsid w:val="00D160D6"/>
    <w:rsid w:val="00D1626D"/>
    <w:rsid w:val="00D1635A"/>
    <w:rsid w:val="00D175C5"/>
    <w:rsid w:val="00D23F3F"/>
    <w:rsid w:val="00D25417"/>
    <w:rsid w:val="00D27351"/>
    <w:rsid w:val="00D27652"/>
    <w:rsid w:val="00D27B94"/>
    <w:rsid w:val="00D303F4"/>
    <w:rsid w:val="00D306FE"/>
    <w:rsid w:val="00D33556"/>
    <w:rsid w:val="00D3388E"/>
    <w:rsid w:val="00D34C0B"/>
    <w:rsid w:val="00D35BEE"/>
    <w:rsid w:val="00D3790F"/>
    <w:rsid w:val="00D426BC"/>
    <w:rsid w:val="00D43754"/>
    <w:rsid w:val="00D44027"/>
    <w:rsid w:val="00D44329"/>
    <w:rsid w:val="00D5201D"/>
    <w:rsid w:val="00D52854"/>
    <w:rsid w:val="00D56EFD"/>
    <w:rsid w:val="00D57A29"/>
    <w:rsid w:val="00D60738"/>
    <w:rsid w:val="00D61B2B"/>
    <w:rsid w:val="00D63E39"/>
    <w:rsid w:val="00D6489D"/>
    <w:rsid w:val="00D661C4"/>
    <w:rsid w:val="00D66511"/>
    <w:rsid w:val="00D66638"/>
    <w:rsid w:val="00D66CA9"/>
    <w:rsid w:val="00D6785F"/>
    <w:rsid w:val="00D71C91"/>
    <w:rsid w:val="00D73CCB"/>
    <w:rsid w:val="00D7417C"/>
    <w:rsid w:val="00D772FD"/>
    <w:rsid w:val="00D77AEF"/>
    <w:rsid w:val="00D80849"/>
    <w:rsid w:val="00D81480"/>
    <w:rsid w:val="00D818DD"/>
    <w:rsid w:val="00D825B9"/>
    <w:rsid w:val="00D83E6A"/>
    <w:rsid w:val="00D913C9"/>
    <w:rsid w:val="00D9275E"/>
    <w:rsid w:val="00D928B7"/>
    <w:rsid w:val="00D93DE2"/>
    <w:rsid w:val="00D95D3A"/>
    <w:rsid w:val="00D96506"/>
    <w:rsid w:val="00D966CB"/>
    <w:rsid w:val="00D9672A"/>
    <w:rsid w:val="00DA465C"/>
    <w:rsid w:val="00DA58EE"/>
    <w:rsid w:val="00DA6536"/>
    <w:rsid w:val="00DA69B6"/>
    <w:rsid w:val="00DB0CC1"/>
    <w:rsid w:val="00DB51B9"/>
    <w:rsid w:val="00DB540C"/>
    <w:rsid w:val="00DB60D4"/>
    <w:rsid w:val="00DB7D9D"/>
    <w:rsid w:val="00DC39B2"/>
    <w:rsid w:val="00DC42C2"/>
    <w:rsid w:val="00DC557A"/>
    <w:rsid w:val="00DC5D5B"/>
    <w:rsid w:val="00DC799E"/>
    <w:rsid w:val="00DC7B12"/>
    <w:rsid w:val="00DD6A4D"/>
    <w:rsid w:val="00DD7FFE"/>
    <w:rsid w:val="00DE186F"/>
    <w:rsid w:val="00DE2472"/>
    <w:rsid w:val="00DE2ACC"/>
    <w:rsid w:val="00DE30DA"/>
    <w:rsid w:val="00DE528D"/>
    <w:rsid w:val="00DE72D9"/>
    <w:rsid w:val="00DF24DE"/>
    <w:rsid w:val="00DF31D2"/>
    <w:rsid w:val="00DF6233"/>
    <w:rsid w:val="00E01094"/>
    <w:rsid w:val="00E01435"/>
    <w:rsid w:val="00E02F43"/>
    <w:rsid w:val="00E070BB"/>
    <w:rsid w:val="00E078D3"/>
    <w:rsid w:val="00E15B2B"/>
    <w:rsid w:val="00E20DB3"/>
    <w:rsid w:val="00E24CE9"/>
    <w:rsid w:val="00E25399"/>
    <w:rsid w:val="00E263BC"/>
    <w:rsid w:val="00E27740"/>
    <w:rsid w:val="00E279BF"/>
    <w:rsid w:val="00E31924"/>
    <w:rsid w:val="00E32755"/>
    <w:rsid w:val="00E32DB0"/>
    <w:rsid w:val="00E366A5"/>
    <w:rsid w:val="00E41A19"/>
    <w:rsid w:val="00E436CC"/>
    <w:rsid w:val="00E440F7"/>
    <w:rsid w:val="00E44D08"/>
    <w:rsid w:val="00E45525"/>
    <w:rsid w:val="00E4694B"/>
    <w:rsid w:val="00E50A7C"/>
    <w:rsid w:val="00E51AAD"/>
    <w:rsid w:val="00E51DB1"/>
    <w:rsid w:val="00E529B2"/>
    <w:rsid w:val="00E52E68"/>
    <w:rsid w:val="00E54E5E"/>
    <w:rsid w:val="00E558B9"/>
    <w:rsid w:val="00E60334"/>
    <w:rsid w:val="00E60FD1"/>
    <w:rsid w:val="00E6145A"/>
    <w:rsid w:val="00E624C0"/>
    <w:rsid w:val="00E62572"/>
    <w:rsid w:val="00E627E0"/>
    <w:rsid w:val="00E6334E"/>
    <w:rsid w:val="00E64A1F"/>
    <w:rsid w:val="00E64A28"/>
    <w:rsid w:val="00E656EB"/>
    <w:rsid w:val="00E659FC"/>
    <w:rsid w:val="00E66BCC"/>
    <w:rsid w:val="00E67BC7"/>
    <w:rsid w:val="00E702E2"/>
    <w:rsid w:val="00E71B01"/>
    <w:rsid w:val="00E71B0C"/>
    <w:rsid w:val="00E71EE9"/>
    <w:rsid w:val="00E732C8"/>
    <w:rsid w:val="00E74BCC"/>
    <w:rsid w:val="00E76495"/>
    <w:rsid w:val="00E76E36"/>
    <w:rsid w:val="00E80A6B"/>
    <w:rsid w:val="00E814E7"/>
    <w:rsid w:val="00E81604"/>
    <w:rsid w:val="00E81623"/>
    <w:rsid w:val="00E818DC"/>
    <w:rsid w:val="00E81DFA"/>
    <w:rsid w:val="00E8355F"/>
    <w:rsid w:val="00E842DA"/>
    <w:rsid w:val="00E84F17"/>
    <w:rsid w:val="00E8509C"/>
    <w:rsid w:val="00E9079C"/>
    <w:rsid w:val="00E93948"/>
    <w:rsid w:val="00E94998"/>
    <w:rsid w:val="00E95821"/>
    <w:rsid w:val="00E95AB4"/>
    <w:rsid w:val="00EA11C9"/>
    <w:rsid w:val="00EA1DE9"/>
    <w:rsid w:val="00EA25F1"/>
    <w:rsid w:val="00EA273B"/>
    <w:rsid w:val="00EA2912"/>
    <w:rsid w:val="00EA2F69"/>
    <w:rsid w:val="00EA434D"/>
    <w:rsid w:val="00EA50E2"/>
    <w:rsid w:val="00EA6A38"/>
    <w:rsid w:val="00EB07D2"/>
    <w:rsid w:val="00EB0CE5"/>
    <w:rsid w:val="00EB1629"/>
    <w:rsid w:val="00EB39DD"/>
    <w:rsid w:val="00EB3D91"/>
    <w:rsid w:val="00EB4BA1"/>
    <w:rsid w:val="00EB501D"/>
    <w:rsid w:val="00EC2D01"/>
    <w:rsid w:val="00EC41E0"/>
    <w:rsid w:val="00EC666F"/>
    <w:rsid w:val="00EC68C1"/>
    <w:rsid w:val="00EC6EC9"/>
    <w:rsid w:val="00EC7922"/>
    <w:rsid w:val="00ED0FBB"/>
    <w:rsid w:val="00ED221B"/>
    <w:rsid w:val="00ED313B"/>
    <w:rsid w:val="00ED3DD3"/>
    <w:rsid w:val="00ED4F83"/>
    <w:rsid w:val="00EE0015"/>
    <w:rsid w:val="00EE348C"/>
    <w:rsid w:val="00EE535C"/>
    <w:rsid w:val="00EE5D67"/>
    <w:rsid w:val="00EE65B4"/>
    <w:rsid w:val="00EE7B1D"/>
    <w:rsid w:val="00EF0231"/>
    <w:rsid w:val="00EF1884"/>
    <w:rsid w:val="00EF1EF8"/>
    <w:rsid w:val="00EF2ACA"/>
    <w:rsid w:val="00EF57A8"/>
    <w:rsid w:val="00EF5DAA"/>
    <w:rsid w:val="00EF6D6F"/>
    <w:rsid w:val="00EF6E90"/>
    <w:rsid w:val="00F02364"/>
    <w:rsid w:val="00F0258E"/>
    <w:rsid w:val="00F02FB3"/>
    <w:rsid w:val="00F03FF6"/>
    <w:rsid w:val="00F042C6"/>
    <w:rsid w:val="00F050C2"/>
    <w:rsid w:val="00F05F3A"/>
    <w:rsid w:val="00F06132"/>
    <w:rsid w:val="00F06C84"/>
    <w:rsid w:val="00F06E96"/>
    <w:rsid w:val="00F0762A"/>
    <w:rsid w:val="00F10019"/>
    <w:rsid w:val="00F11A91"/>
    <w:rsid w:val="00F15A60"/>
    <w:rsid w:val="00F17B23"/>
    <w:rsid w:val="00F17EA1"/>
    <w:rsid w:val="00F203B0"/>
    <w:rsid w:val="00F21BCF"/>
    <w:rsid w:val="00F228A9"/>
    <w:rsid w:val="00F23343"/>
    <w:rsid w:val="00F234B1"/>
    <w:rsid w:val="00F23E56"/>
    <w:rsid w:val="00F26ECA"/>
    <w:rsid w:val="00F27D31"/>
    <w:rsid w:val="00F32EE9"/>
    <w:rsid w:val="00F33440"/>
    <w:rsid w:val="00F353EC"/>
    <w:rsid w:val="00F36FB2"/>
    <w:rsid w:val="00F43A34"/>
    <w:rsid w:val="00F44C20"/>
    <w:rsid w:val="00F44D37"/>
    <w:rsid w:val="00F479C6"/>
    <w:rsid w:val="00F50267"/>
    <w:rsid w:val="00F52A20"/>
    <w:rsid w:val="00F53CDB"/>
    <w:rsid w:val="00F53D30"/>
    <w:rsid w:val="00F53EA7"/>
    <w:rsid w:val="00F547DF"/>
    <w:rsid w:val="00F55A50"/>
    <w:rsid w:val="00F55E21"/>
    <w:rsid w:val="00F56FC3"/>
    <w:rsid w:val="00F579B2"/>
    <w:rsid w:val="00F57BDE"/>
    <w:rsid w:val="00F64A8E"/>
    <w:rsid w:val="00F64D9C"/>
    <w:rsid w:val="00F675D2"/>
    <w:rsid w:val="00F72210"/>
    <w:rsid w:val="00F72A0C"/>
    <w:rsid w:val="00F75624"/>
    <w:rsid w:val="00F7636C"/>
    <w:rsid w:val="00F8009C"/>
    <w:rsid w:val="00F80A64"/>
    <w:rsid w:val="00F81911"/>
    <w:rsid w:val="00F8432C"/>
    <w:rsid w:val="00F85E74"/>
    <w:rsid w:val="00F8694D"/>
    <w:rsid w:val="00F87319"/>
    <w:rsid w:val="00F875A1"/>
    <w:rsid w:val="00F923BD"/>
    <w:rsid w:val="00F941E6"/>
    <w:rsid w:val="00F95234"/>
    <w:rsid w:val="00F974B3"/>
    <w:rsid w:val="00F979AB"/>
    <w:rsid w:val="00FA0CCF"/>
    <w:rsid w:val="00FA5681"/>
    <w:rsid w:val="00FA5AED"/>
    <w:rsid w:val="00FB1A27"/>
    <w:rsid w:val="00FB4B1F"/>
    <w:rsid w:val="00FB5A49"/>
    <w:rsid w:val="00FB6C25"/>
    <w:rsid w:val="00FC304E"/>
    <w:rsid w:val="00FC3513"/>
    <w:rsid w:val="00FC5E42"/>
    <w:rsid w:val="00FC5E5A"/>
    <w:rsid w:val="00FC5F1E"/>
    <w:rsid w:val="00FD0F16"/>
    <w:rsid w:val="00FD38FD"/>
    <w:rsid w:val="00FD3BAE"/>
    <w:rsid w:val="00FE226D"/>
    <w:rsid w:val="00FE38C1"/>
    <w:rsid w:val="00FE3DF7"/>
    <w:rsid w:val="00FE4B48"/>
    <w:rsid w:val="00FE583F"/>
    <w:rsid w:val="00FE6EA1"/>
    <w:rsid w:val="00FF0259"/>
    <w:rsid w:val="00FF10FD"/>
    <w:rsid w:val="00FF15CA"/>
    <w:rsid w:val="00FF18D0"/>
    <w:rsid w:val="00FF3454"/>
    <w:rsid w:val="00FF4BDC"/>
    <w:rsid w:val="00FF6781"/>
    <w:rsid w:val="00FF715E"/>
    <w:rsid w:val="00FF7654"/>
    <w:rsid w:val="00FF7B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75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535C"/>
    <w:pPr>
      <w:widowControl w:val="0"/>
      <w:spacing w:after="0" w:line="240" w:lineRule="auto"/>
    </w:pPr>
    <w:rPr>
      <w:rFonts w:ascii="Times New Roman" w:eastAsia="SimSun" w:hAnsi="Times New Roman" w:cs="Times New Roman"/>
      <w:sz w:val="20"/>
      <w:szCs w:val="20"/>
      <w:lang w:val="en-GB"/>
    </w:rPr>
  </w:style>
  <w:style w:type="paragraph" w:styleId="Heading1">
    <w:name w:val="heading 1"/>
    <w:basedOn w:val="Normal"/>
    <w:next w:val="Normal"/>
    <w:link w:val="Heading1Char"/>
    <w:uiPriority w:val="9"/>
    <w:qFormat/>
    <w:rsid w:val="00AC4336"/>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9"/>
    <w:unhideWhenUsed/>
    <w:qFormat/>
    <w:rsid w:val="00AC4336"/>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9"/>
    <w:qFormat/>
    <w:rsid w:val="00AC4336"/>
    <w:pPr>
      <w:keepNext/>
      <w:pBdr>
        <w:top w:val="single" w:sz="4" w:space="1" w:color="auto"/>
        <w:left w:val="single" w:sz="4" w:space="4" w:color="auto"/>
        <w:bottom w:val="single" w:sz="4" w:space="1" w:color="auto"/>
        <w:right w:val="single" w:sz="4" w:space="4" w:color="auto"/>
      </w:pBdr>
      <w:outlineLvl w:val="2"/>
    </w:pPr>
    <w:rPr>
      <w:b/>
      <w:bCs/>
      <w:sz w:val="22"/>
      <w:szCs w:val="24"/>
    </w:rPr>
  </w:style>
  <w:style w:type="paragraph" w:styleId="Heading4">
    <w:name w:val="heading 4"/>
    <w:basedOn w:val="Normal"/>
    <w:next w:val="Normal"/>
    <w:link w:val="Heading4Char"/>
    <w:qFormat/>
    <w:rsid w:val="00AC433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4336"/>
    <w:rPr>
      <w:rFonts w:asciiTheme="majorHAnsi" w:eastAsiaTheme="majorEastAsia" w:hAnsiTheme="majorHAnsi" w:cstheme="majorBidi"/>
      <w:b/>
      <w:bCs/>
      <w:kern w:val="32"/>
      <w:sz w:val="32"/>
      <w:szCs w:val="32"/>
      <w:lang w:val="en-GB"/>
    </w:rPr>
  </w:style>
  <w:style w:type="character" w:customStyle="1" w:styleId="Heading2Char">
    <w:name w:val="Heading 2 Char"/>
    <w:basedOn w:val="DefaultParagraphFont"/>
    <w:link w:val="Heading2"/>
    <w:uiPriority w:val="99"/>
    <w:rsid w:val="00AC4336"/>
    <w:rPr>
      <w:rFonts w:asciiTheme="majorHAnsi" w:eastAsiaTheme="majorEastAsia" w:hAnsiTheme="majorHAnsi" w:cstheme="majorBidi"/>
      <w:b/>
      <w:bCs/>
      <w:i/>
      <w:iCs/>
      <w:sz w:val="28"/>
      <w:szCs w:val="28"/>
      <w:lang w:val="en-GB"/>
    </w:rPr>
  </w:style>
  <w:style w:type="character" w:customStyle="1" w:styleId="Heading3Char">
    <w:name w:val="Heading 3 Char"/>
    <w:basedOn w:val="DefaultParagraphFont"/>
    <w:link w:val="Heading3"/>
    <w:uiPriority w:val="99"/>
    <w:rsid w:val="00AC4336"/>
    <w:rPr>
      <w:rFonts w:ascii="Times New Roman" w:eastAsia="SimSun" w:hAnsi="Times New Roman" w:cs="Times New Roman"/>
      <w:b/>
      <w:bCs/>
      <w:szCs w:val="24"/>
      <w:lang w:val="en-GB"/>
    </w:rPr>
  </w:style>
  <w:style w:type="character" w:customStyle="1" w:styleId="Heading4Char">
    <w:name w:val="Heading 4 Char"/>
    <w:basedOn w:val="DefaultParagraphFont"/>
    <w:link w:val="Heading4"/>
    <w:rsid w:val="00AC4336"/>
    <w:rPr>
      <w:rFonts w:ascii="Times New Roman" w:eastAsia="SimSun" w:hAnsi="Times New Roman" w:cs="Times New Roman"/>
      <w:b/>
      <w:bCs/>
      <w:sz w:val="28"/>
      <w:szCs w:val="28"/>
      <w:lang w:val="en-GB"/>
    </w:rPr>
  </w:style>
  <w:style w:type="paragraph" w:styleId="Header">
    <w:name w:val="header"/>
    <w:basedOn w:val="Normal"/>
    <w:link w:val="HeaderChar"/>
    <w:uiPriority w:val="99"/>
    <w:unhideWhenUsed/>
    <w:rsid w:val="00EE535C"/>
    <w:pPr>
      <w:tabs>
        <w:tab w:val="center" w:pos="4680"/>
        <w:tab w:val="right" w:pos="9360"/>
      </w:tabs>
    </w:pPr>
  </w:style>
  <w:style w:type="character" w:customStyle="1" w:styleId="HeaderChar">
    <w:name w:val="Header Char"/>
    <w:basedOn w:val="DefaultParagraphFont"/>
    <w:link w:val="Header"/>
    <w:uiPriority w:val="99"/>
    <w:rsid w:val="00EE535C"/>
  </w:style>
  <w:style w:type="paragraph" w:styleId="Footer">
    <w:name w:val="footer"/>
    <w:basedOn w:val="Normal"/>
    <w:link w:val="FooterChar"/>
    <w:uiPriority w:val="99"/>
    <w:unhideWhenUsed/>
    <w:rsid w:val="00EE535C"/>
    <w:pPr>
      <w:tabs>
        <w:tab w:val="center" w:pos="4680"/>
        <w:tab w:val="right" w:pos="9360"/>
      </w:tabs>
    </w:pPr>
  </w:style>
  <w:style w:type="character" w:customStyle="1" w:styleId="FooterChar">
    <w:name w:val="Footer Char"/>
    <w:basedOn w:val="DefaultParagraphFont"/>
    <w:link w:val="Footer"/>
    <w:uiPriority w:val="99"/>
    <w:rsid w:val="00EE535C"/>
  </w:style>
  <w:style w:type="paragraph" w:customStyle="1" w:styleId="Els-Abstract-head">
    <w:name w:val="Els-Abstract-head"/>
    <w:next w:val="Normal"/>
    <w:rsid w:val="00EE535C"/>
    <w:pPr>
      <w:keepNext/>
      <w:pBdr>
        <w:top w:val="single" w:sz="4" w:space="10" w:color="auto"/>
      </w:pBdr>
      <w:suppressAutoHyphens/>
      <w:spacing w:after="220" w:line="220" w:lineRule="exact"/>
    </w:pPr>
    <w:rPr>
      <w:rFonts w:ascii="Times New Roman" w:eastAsia="SimSun" w:hAnsi="Times New Roman" w:cs="Times New Roman"/>
      <w:b/>
      <w:sz w:val="18"/>
      <w:szCs w:val="20"/>
    </w:rPr>
  </w:style>
  <w:style w:type="paragraph" w:customStyle="1" w:styleId="Els-Abstract-text">
    <w:name w:val="Els-Abstract-text"/>
    <w:next w:val="Normal"/>
    <w:rsid w:val="00EE535C"/>
    <w:pPr>
      <w:spacing w:after="0" w:line="220" w:lineRule="exact"/>
      <w:jc w:val="both"/>
    </w:pPr>
    <w:rPr>
      <w:rFonts w:ascii="Times New Roman" w:eastAsia="SimSun" w:hAnsi="Times New Roman" w:cs="Times New Roman"/>
      <w:sz w:val="18"/>
      <w:szCs w:val="20"/>
    </w:rPr>
  </w:style>
  <w:style w:type="paragraph" w:customStyle="1" w:styleId="Els-Affiliation">
    <w:name w:val="Els-Affiliation"/>
    <w:next w:val="Els-Abstract-head"/>
    <w:rsid w:val="00EE535C"/>
    <w:pPr>
      <w:suppressAutoHyphens/>
      <w:spacing w:after="0" w:line="200" w:lineRule="exact"/>
      <w:jc w:val="center"/>
    </w:pPr>
    <w:rPr>
      <w:rFonts w:ascii="Times New Roman" w:eastAsia="SimSun" w:hAnsi="Times New Roman" w:cs="Times New Roman"/>
      <w:i/>
      <w:noProof/>
      <w:sz w:val="16"/>
      <w:szCs w:val="20"/>
    </w:rPr>
  </w:style>
  <w:style w:type="paragraph" w:customStyle="1" w:styleId="Els-Author">
    <w:name w:val="Els-Author"/>
    <w:next w:val="Normal"/>
    <w:rsid w:val="00EE535C"/>
    <w:pPr>
      <w:keepNext/>
      <w:suppressAutoHyphens/>
      <w:spacing w:after="160" w:line="300" w:lineRule="exact"/>
      <w:jc w:val="center"/>
    </w:pPr>
    <w:rPr>
      <w:rFonts w:ascii="Times New Roman" w:eastAsia="SimSun" w:hAnsi="Times New Roman" w:cs="Times New Roman"/>
      <w:noProof/>
      <w:sz w:val="26"/>
      <w:szCs w:val="20"/>
    </w:rPr>
  </w:style>
  <w:style w:type="paragraph" w:customStyle="1" w:styleId="Els-history">
    <w:name w:val="Els-history"/>
    <w:next w:val="Normal"/>
    <w:rsid w:val="00EE535C"/>
    <w:pPr>
      <w:spacing w:before="120" w:after="400" w:line="200" w:lineRule="exact"/>
      <w:jc w:val="center"/>
    </w:pPr>
    <w:rPr>
      <w:rFonts w:ascii="Times New Roman" w:eastAsia="SimSun" w:hAnsi="Times New Roman" w:cs="Times New Roman"/>
      <w:noProof/>
      <w:sz w:val="16"/>
      <w:szCs w:val="20"/>
    </w:rPr>
  </w:style>
  <w:style w:type="paragraph" w:customStyle="1" w:styleId="Els-keywords">
    <w:name w:val="Els-keywords"/>
    <w:next w:val="Normal"/>
    <w:rsid w:val="00EE535C"/>
    <w:pPr>
      <w:pBdr>
        <w:bottom w:val="single" w:sz="4" w:space="10" w:color="auto"/>
      </w:pBdr>
      <w:spacing w:line="200" w:lineRule="exact"/>
    </w:pPr>
    <w:rPr>
      <w:rFonts w:ascii="Times New Roman" w:eastAsia="SimSun" w:hAnsi="Times New Roman" w:cs="Times New Roman"/>
      <w:noProof/>
      <w:sz w:val="16"/>
      <w:szCs w:val="20"/>
    </w:rPr>
  </w:style>
  <w:style w:type="paragraph" w:customStyle="1" w:styleId="Els-Title">
    <w:name w:val="Els-Title"/>
    <w:next w:val="Els-Author"/>
    <w:autoRedefine/>
    <w:rsid w:val="00EE535C"/>
    <w:pPr>
      <w:suppressAutoHyphens/>
      <w:spacing w:after="240" w:line="400" w:lineRule="exact"/>
      <w:jc w:val="center"/>
    </w:pPr>
    <w:rPr>
      <w:rFonts w:ascii="Times New Roman" w:eastAsia="SimSun" w:hAnsi="Times New Roman" w:cs="Times New Roman"/>
      <w:sz w:val="34"/>
      <w:szCs w:val="20"/>
    </w:rPr>
  </w:style>
  <w:style w:type="paragraph" w:customStyle="1" w:styleId="Abstract">
    <w:name w:val="Abstract"/>
    <w:basedOn w:val="Title"/>
    <w:uiPriority w:val="99"/>
    <w:rsid w:val="00EE535C"/>
    <w:pPr>
      <w:widowControl/>
      <w:pBdr>
        <w:bottom w:val="none" w:sz="0" w:space="0" w:color="auto"/>
      </w:pBdr>
      <w:spacing w:after="0" w:line="240" w:lineRule="atLeast"/>
      <w:ind w:left="1440" w:right="1440" w:firstLine="432"/>
      <w:contextualSpacing w:val="0"/>
      <w:jc w:val="both"/>
    </w:pPr>
    <w:rPr>
      <w:rFonts w:ascii="Book Antiqua" w:eastAsia="Times New Roman" w:hAnsi="Book Antiqua" w:cs="Times New Roman"/>
      <w:color w:val="auto"/>
      <w:spacing w:val="0"/>
      <w:sz w:val="16"/>
      <w:szCs w:val="20"/>
      <w:lang w:val="en-US"/>
    </w:rPr>
  </w:style>
  <w:style w:type="paragraph" w:styleId="Title">
    <w:name w:val="Title"/>
    <w:basedOn w:val="Normal"/>
    <w:next w:val="Normal"/>
    <w:link w:val="TitleChar"/>
    <w:qFormat/>
    <w:rsid w:val="00EE535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EE535C"/>
    <w:rPr>
      <w:rFonts w:asciiTheme="majorHAnsi" w:eastAsiaTheme="majorEastAsia" w:hAnsiTheme="majorHAnsi" w:cstheme="majorBidi"/>
      <w:color w:val="17365D" w:themeColor="text2" w:themeShade="BF"/>
      <w:spacing w:val="5"/>
      <w:kern w:val="28"/>
      <w:sz w:val="52"/>
      <w:szCs w:val="52"/>
      <w:lang w:val="en-GB"/>
    </w:rPr>
  </w:style>
  <w:style w:type="paragraph" w:styleId="BalloonText">
    <w:name w:val="Balloon Text"/>
    <w:basedOn w:val="Normal"/>
    <w:link w:val="BalloonTextChar"/>
    <w:uiPriority w:val="99"/>
    <w:unhideWhenUsed/>
    <w:rsid w:val="00EE535C"/>
    <w:rPr>
      <w:rFonts w:ascii="Tahoma" w:hAnsi="Tahoma" w:cs="Tahoma"/>
      <w:sz w:val="16"/>
      <w:szCs w:val="16"/>
    </w:rPr>
  </w:style>
  <w:style w:type="character" w:customStyle="1" w:styleId="BalloonTextChar">
    <w:name w:val="Balloon Text Char"/>
    <w:basedOn w:val="DefaultParagraphFont"/>
    <w:link w:val="BalloonText"/>
    <w:uiPriority w:val="99"/>
    <w:rsid w:val="00EE535C"/>
    <w:rPr>
      <w:rFonts w:ascii="Tahoma" w:eastAsia="SimSun" w:hAnsi="Tahoma" w:cs="Tahoma"/>
      <w:sz w:val="16"/>
      <w:szCs w:val="16"/>
      <w:lang w:val="en-GB"/>
    </w:rPr>
  </w:style>
  <w:style w:type="paragraph" w:customStyle="1" w:styleId="Els-1storder-head">
    <w:name w:val="Els-1storder-head"/>
    <w:next w:val="Els-body-text"/>
    <w:rsid w:val="00EE535C"/>
    <w:pPr>
      <w:keepNext/>
      <w:numPr>
        <w:ilvl w:val="3"/>
        <w:numId w:val="2"/>
      </w:numPr>
      <w:suppressAutoHyphens/>
      <w:spacing w:before="240" w:after="240" w:line="240" w:lineRule="exact"/>
    </w:pPr>
    <w:rPr>
      <w:rFonts w:ascii="Times New Roman" w:eastAsia="SimSun" w:hAnsi="Times New Roman" w:cs="Times New Roman"/>
      <w:b/>
      <w:sz w:val="20"/>
      <w:szCs w:val="20"/>
    </w:rPr>
  </w:style>
  <w:style w:type="paragraph" w:customStyle="1" w:styleId="Els-body-text">
    <w:name w:val="Els-body-text"/>
    <w:rsid w:val="00EE535C"/>
    <w:pPr>
      <w:spacing w:after="0" w:line="240" w:lineRule="exact"/>
      <w:ind w:firstLine="238"/>
      <w:jc w:val="both"/>
    </w:pPr>
    <w:rPr>
      <w:rFonts w:ascii="Times New Roman" w:eastAsia="SimSun" w:hAnsi="Times New Roman" w:cs="Times New Roman"/>
      <w:sz w:val="20"/>
      <w:szCs w:val="20"/>
    </w:rPr>
  </w:style>
  <w:style w:type="paragraph" w:customStyle="1" w:styleId="Els-2ndorder-head">
    <w:name w:val="Els-2ndorder-head"/>
    <w:next w:val="Els-body-text"/>
    <w:rsid w:val="00EE535C"/>
    <w:pPr>
      <w:keepNext/>
      <w:numPr>
        <w:ilvl w:val="1"/>
        <w:numId w:val="2"/>
      </w:numPr>
      <w:suppressAutoHyphens/>
      <w:spacing w:before="240" w:after="240" w:line="240" w:lineRule="exact"/>
    </w:pPr>
    <w:rPr>
      <w:rFonts w:ascii="Times New Roman" w:eastAsia="SimSun" w:hAnsi="Times New Roman" w:cs="Times New Roman"/>
      <w:i/>
      <w:sz w:val="20"/>
      <w:szCs w:val="20"/>
    </w:rPr>
  </w:style>
  <w:style w:type="paragraph" w:customStyle="1" w:styleId="Els-3rdorder-head">
    <w:name w:val="Els-3rdorder-head"/>
    <w:next w:val="Els-body-text"/>
    <w:rsid w:val="00EE535C"/>
    <w:pPr>
      <w:keepNext/>
      <w:numPr>
        <w:ilvl w:val="2"/>
        <w:numId w:val="2"/>
      </w:numPr>
      <w:suppressAutoHyphens/>
      <w:spacing w:before="240" w:after="0" w:line="240" w:lineRule="exact"/>
    </w:pPr>
    <w:rPr>
      <w:rFonts w:ascii="Times New Roman" w:eastAsia="SimSun" w:hAnsi="Times New Roman" w:cs="Times New Roman"/>
      <w:i/>
      <w:sz w:val="20"/>
      <w:szCs w:val="20"/>
    </w:rPr>
  </w:style>
  <w:style w:type="character" w:styleId="Hyperlink">
    <w:name w:val="Hyperlink"/>
    <w:uiPriority w:val="99"/>
    <w:rsid w:val="00EE535C"/>
    <w:rPr>
      <w:color w:val="auto"/>
      <w:sz w:val="16"/>
      <w:u w:val="none"/>
    </w:rPr>
  </w:style>
  <w:style w:type="paragraph" w:styleId="NoSpacing">
    <w:name w:val="No Spacing"/>
    <w:uiPriority w:val="1"/>
    <w:qFormat/>
    <w:rsid w:val="00EE535C"/>
    <w:pPr>
      <w:spacing w:after="0" w:line="240" w:lineRule="auto"/>
    </w:pPr>
    <w:rPr>
      <w:rFonts w:ascii="Times New Roman" w:eastAsia="Times New Roman" w:hAnsi="Times New Roman" w:cs="Times New Roman"/>
      <w:sz w:val="24"/>
      <w:szCs w:val="20"/>
    </w:rPr>
  </w:style>
  <w:style w:type="paragraph" w:customStyle="1" w:styleId="NormPara">
    <w:name w:val="NormPara"/>
    <w:basedOn w:val="Normal"/>
    <w:link w:val="NormParaChar"/>
    <w:uiPriority w:val="99"/>
    <w:rsid w:val="00EE535C"/>
    <w:pPr>
      <w:widowControl/>
      <w:spacing w:line="240" w:lineRule="atLeast"/>
      <w:ind w:firstLine="288"/>
      <w:jc w:val="both"/>
    </w:pPr>
    <w:rPr>
      <w:rFonts w:ascii="Book Antiqua" w:eastAsia="Times New Roman" w:hAnsi="Book Antiqua"/>
      <w:sz w:val="18"/>
      <w:lang w:val="en-US"/>
    </w:rPr>
  </w:style>
  <w:style w:type="character" w:customStyle="1" w:styleId="NormParaChar">
    <w:name w:val="NormPara Char"/>
    <w:basedOn w:val="DefaultParagraphFont"/>
    <w:link w:val="NormPara"/>
    <w:uiPriority w:val="99"/>
    <w:rsid w:val="00EE535C"/>
    <w:rPr>
      <w:rFonts w:ascii="Book Antiqua" w:eastAsia="Times New Roman" w:hAnsi="Book Antiqua" w:cs="Times New Roman"/>
      <w:sz w:val="18"/>
      <w:szCs w:val="20"/>
    </w:rPr>
  </w:style>
  <w:style w:type="paragraph" w:customStyle="1" w:styleId="reference">
    <w:name w:val="reference"/>
    <w:basedOn w:val="Normal"/>
    <w:uiPriority w:val="99"/>
    <w:rsid w:val="00EE535C"/>
    <w:pPr>
      <w:widowControl/>
      <w:spacing w:line="240" w:lineRule="atLeast"/>
      <w:ind w:left="432" w:hanging="432"/>
      <w:jc w:val="both"/>
    </w:pPr>
    <w:rPr>
      <w:rFonts w:ascii="Book Antiqua" w:eastAsia="Times New Roman" w:hAnsi="Book Antiqua"/>
      <w:sz w:val="16"/>
      <w:lang w:val="en-US"/>
    </w:rPr>
  </w:style>
  <w:style w:type="character" w:styleId="Emphasis">
    <w:name w:val="Emphasis"/>
    <w:basedOn w:val="DefaultParagraphFont"/>
    <w:uiPriority w:val="20"/>
    <w:qFormat/>
    <w:rsid w:val="00EE535C"/>
    <w:rPr>
      <w:i/>
      <w:iCs/>
    </w:rPr>
  </w:style>
  <w:style w:type="paragraph" w:customStyle="1" w:styleId="Default">
    <w:name w:val="Default"/>
    <w:rsid w:val="00EE535C"/>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Caption">
    <w:name w:val="caption"/>
    <w:basedOn w:val="Normal"/>
    <w:next w:val="Normal"/>
    <w:uiPriority w:val="35"/>
    <w:qFormat/>
    <w:rsid w:val="00AC4336"/>
    <w:pPr>
      <w:keepLines/>
      <w:spacing w:before="200" w:after="240" w:line="200" w:lineRule="exact"/>
    </w:pPr>
    <w:rPr>
      <w:sz w:val="16"/>
    </w:rPr>
  </w:style>
  <w:style w:type="paragraph" w:customStyle="1" w:styleId="Els-4thorder-head">
    <w:name w:val="Els-4thorder-head"/>
    <w:next w:val="Els-body-text"/>
    <w:rsid w:val="00AC4336"/>
    <w:pPr>
      <w:keepNext/>
      <w:suppressAutoHyphens/>
      <w:spacing w:before="240" w:after="0" w:line="240" w:lineRule="exact"/>
    </w:pPr>
    <w:rPr>
      <w:rFonts w:ascii="Times New Roman" w:eastAsia="SimSun" w:hAnsi="Times New Roman" w:cs="Times New Roman"/>
      <w:i/>
      <w:sz w:val="20"/>
      <w:szCs w:val="20"/>
    </w:rPr>
  </w:style>
  <w:style w:type="paragraph" w:customStyle="1" w:styleId="Els-acknowledgement">
    <w:name w:val="Els-acknowledgement"/>
    <w:next w:val="Normal"/>
    <w:rsid w:val="00AC4336"/>
    <w:pPr>
      <w:keepNext/>
      <w:spacing w:before="480" w:after="240" w:line="220" w:lineRule="exact"/>
    </w:pPr>
    <w:rPr>
      <w:rFonts w:ascii="Times New Roman" w:eastAsia="SimSun" w:hAnsi="Times New Roman" w:cs="Times New Roman"/>
      <w:b/>
      <w:sz w:val="20"/>
      <w:szCs w:val="20"/>
    </w:rPr>
  </w:style>
  <w:style w:type="paragraph" w:customStyle="1" w:styleId="Els-aditional-article-history">
    <w:name w:val="Els-aditional-article-history"/>
    <w:basedOn w:val="Normal"/>
    <w:rsid w:val="00AC4336"/>
    <w:pPr>
      <w:spacing w:after="400" w:line="200" w:lineRule="exact"/>
      <w:jc w:val="center"/>
    </w:pPr>
    <w:rPr>
      <w:b/>
      <w:noProof/>
      <w:sz w:val="16"/>
      <w:lang w:val="en-US"/>
    </w:rPr>
  </w:style>
  <w:style w:type="paragraph" w:customStyle="1" w:styleId="Els-appendixhead">
    <w:name w:val="Els-appendixhead"/>
    <w:next w:val="Normal"/>
    <w:rsid w:val="00AC4336"/>
    <w:pPr>
      <w:numPr>
        <w:numId w:val="4"/>
      </w:numPr>
      <w:spacing w:before="480" w:after="240" w:line="220" w:lineRule="exact"/>
    </w:pPr>
    <w:rPr>
      <w:rFonts w:ascii="Times New Roman" w:eastAsia="SimSun" w:hAnsi="Times New Roman" w:cs="Times New Roman"/>
      <w:b/>
      <w:sz w:val="20"/>
      <w:szCs w:val="20"/>
    </w:rPr>
  </w:style>
  <w:style w:type="paragraph" w:customStyle="1" w:styleId="Els-appendixsubhead">
    <w:name w:val="Els-appendixsubhead"/>
    <w:next w:val="Normal"/>
    <w:rsid w:val="00AC4336"/>
    <w:pPr>
      <w:numPr>
        <w:ilvl w:val="1"/>
        <w:numId w:val="5"/>
      </w:numPr>
      <w:spacing w:before="240" w:after="240" w:line="220" w:lineRule="exact"/>
    </w:pPr>
    <w:rPr>
      <w:rFonts w:ascii="Times New Roman" w:eastAsia="SimSun" w:hAnsi="Times New Roman" w:cs="Times New Roman"/>
      <w:i/>
      <w:sz w:val="20"/>
      <w:szCs w:val="20"/>
    </w:rPr>
  </w:style>
  <w:style w:type="paragraph" w:customStyle="1" w:styleId="Els-bulletlist">
    <w:name w:val="Els-bulletlist"/>
    <w:basedOn w:val="Els-body-text"/>
    <w:rsid w:val="00AC4336"/>
    <w:pPr>
      <w:numPr>
        <w:numId w:val="6"/>
      </w:numPr>
      <w:tabs>
        <w:tab w:val="left" w:pos="240"/>
      </w:tabs>
      <w:jc w:val="left"/>
    </w:pPr>
  </w:style>
  <w:style w:type="paragraph" w:customStyle="1" w:styleId="Els-caption">
    <w:name w:val="Els-caption"/>
    <w:rsid w:val="00AC4336"/>
    <w:pPr>
      <w:keepLines/>
      <w:spacing w:before="200" w:after="240" w:line="200" w:lineRule="exact"/>
    </w:pPr>
    <w:rPr>
      <w:rFonts w:ascii="Times New Roman" w:eastAsia="SimSun" w:hAnsi="Times New Roman" w:cs="Times New Roman"/>
      <w:sz w:val="16"/>
      <w:szCs w:val="20"/>
    </w:rPr>
  </w:style>
  <w:style w:type="paragraph" w:customStyle="1" w:styleId="Els-chem-equation">
    <w:name w:val="Els-chem-equation"/>
    <w:next w:val="Els-body-text"/>
    <w:rsid w:val="00AC4336"/>
    <w:pPr>
      <w:tabs>
        <w:tab w:val="right" w:pos="4320"/>
        <w:tab w:val="right" w:pos="9120"/>
      </w:tabs>
      <w:spacing w:before="120" w:after="120" w:line="220" w:lineRule="exact"/>
    </w:pPr>
    <w:rPr>
      <w:rFonts w:ascii="Times New Roman" w:eastAsia="SimSun" w:hAnsi="Times New Roman" w:cs="Times New Roman"/>
      <w:noProof/>
      <w:sz w:val="18"/>
      <w:szCs w:val="20"/>
    </w:rPr>
  </w:style>
  <w:style w:type="paragraph" w:customStyle="1" w:styleId="Els-collaboration">
    <w:name w:val="Els-collaboration"/>
    <w:basedOn w:val="Els-Author"/>
    <w:rsid w:val="00AC4336"/>
    <w:pPr>
      <w:jc w:val="right"/>
    </w:pPr>
  </w:style>
  <w:style w:type="paragraph" w:customStyle="1" w:styleId="Els-collaboration-affiliation">
    <w:name w:val="Els-collaboration-affiliation"/>
    <w:basedOn w:val="Els-collaboration"/>
    <w:rsid w:val="00AC4336"/>
  </w:style>
  <w:style w:type="paragraph" w:customStyle="1" w:styleId="Els-presented-by">
    <w:name w:val="Els-presented-by"/>
    <w:rsid w:val="00AC4336"/>
    <w:pPr>
      <w:spacing w:line="240" w:lineRule="auto"/>
      <w:jc w:val="center"/>
    </w:pPr>
    <w:rPr>
      <w:rFonts w:ascii="Times New Roman" w:eastAsia="SimSun" w:hAnsi="Times New Roman" w:cs="Times New Roman"/>
      <w:b/>
      <w:sz w:val="16"/>
      <w:szCs w:val="20"/>
    </w:rPr>
  </w:style>
  <w:style w:type="paragraph" w:customStyle="1" w:styleId="Els-dedicated-to">
    <w:name w:val="Els-dedicated-to"/>
    <w:basedOn w:val="Els-presented-by"/>
    <w:rsid w:val="00AC4336"/>
    <w:rPr>
      <w:b w:val="0"/>
    </w:rPr>
  </w:style>
  <w:style w:type="paragraph" w:customStyle="1" w:styleId="Els-equation">
    <w:name w:val="Els-equation"/>
    <w:next w:val="Normal"/>
    <w:rsid w:val="00AC4336"/>
    <w:pPr>
      <w:widowControl w:val="0"/>
      <w:tabs>
        <w:tab w:val="right" w:pos="4320"/>
        <w:tab w:val="right" w:pos="9120"/>
      </w:tabs>
      <w:spacing w:before="240" w:after="240" w:line="240" w:lineRule="auto"/>
      <w:ind w:left="482"/>
    </w:pPr>
    <w:rPr>
      <w:rFonts w:ascii="Times New Roman" w:eastAsia="SimSun" w:hAnsi="Times New Roman" w:cs="Times New Roman"/>
      <w:i/>
      <w:noProof/>
      <w:sz w:val="20"/>
      <w:szCs w:val="20"/>
    </w:rPr>
  </w:style>
  <w:style w:type="paragraph" w:customStyle="1" w:styleId="Els-footnote">
    <w:name w:val="Els-footnote"/>
    <w:rsid w:val="00AC4336"/>
    <w:pPr>
      <w:keepLines/>
      <w:widowControl w:val="0"/>
      <w:spacing w:after="0" w:line="200" w:lineRule="exact"/>
      <w:ind w:firstLine="240"/>
      <w:jc w:val="both"/>
    </w:pPr>
    <w:rPr>
      <w:rFonts w:ascii="Times New Roman" w:eastAsia="SimSun" w:hAnsi="Times New Roman" w:cs="Times New Roman"/>
      <w:sz w:val="16"/>
      <w:szCs w:val="20"/>
    </w:rPr>
  </w:style>
  <w:style w:type="paragraph" w:customStyle="1" w:styleId="Els-journal-logo">
    <w:name w:val="Els-journal-logo"/>
    <w:rsid w:val="00AC4336"/>
    <w:pPr>
      <w:pBdr>
        <w:top w:val="thinThickLargeGap" w:sz="12" w:space="0" w:color="auto"/>
        <w:bottom w:val="thickThinLargeGap" w:sz="12" w:space="0" w:color="auto"/>
      </w:pBdr>
      <w:spacing w:after="0" w:line="240" w:lineRule="auto"/>
    </w:pPr>
    <w:rPr>
      <w:rFonts w:ascii="Helvetica" w:eastAsia="SimSun" w:hAnsi="Helvetica" w:cs="Times New Roman"/>
      <w:b/>
      <w:noProof/>
      <w:sz w:val="24"/>
      <w:szCs w:val="20"/>
    </w:rPr>
  </w:style>
  <w:style w:type="paragraph" w:customStyle="1" w:styleId="Els-numlist">
    <w:name w:val="Els-numlist"/>
    <w:basedOn w:val="Els-body-text"/>
    <w:rsid w:val="00AC4336"/>
    <w:pPr>
      <w:numPr>
        <w:numId w:val="7"/>
      </w:numPr>
      <w:tabs>
        <w:tab w:val="left" w:pos="240"/>
      </w:tabs>
      <w:ind w:left="480"/>
      <w:jc w:val="left"/>
    </w:pPr>
  </w:style>
  <w:style w:type="paragraph" w:customStyle="1" w:styleId="Els-reference">
    <w:name w:val="Els-reference"/>
    <w:rsid w:val="00AC4336"/>
    <w:pPr>
      <w:tabs>
        <w:tab w:val="left" w:pos="312"/>
      </w:tabs>
      <w:spacing w:after="0" w:line="200" w:lineRule="exact"/>
      <w:ind w:left="312" w:hanging="312"/>
    </w:pPr>
    <w:rPr>
      <w:rFonts w:ascii="Times New Roman" w:eastAsia="SimSun" w:hAnsi="Times New Roman" w:cs="Times New Roman"/>
      <w:noProof/>
      <w:sz w:val="16"/>
      <w:szCs w:val="20"/>
    </w:rPr>
  </w:style>
  <w:style w:type="paragraph" w:customStyle="1" w:styleId="Els-reference-head">
    <w:name w:val="Els-reference-head"/>
    <w:next w:val="Els-reference"/>
    <w:rsid w:val="00AC4336"/>
    <w:pPr>
      <w:keepNext/>
      <w:spacing w:before="480" w:line="220" w:lineRule="exact"/>
    </w:pPr>
    <w:rPr>
      <w:rFonts w:ascii="Times New Roman" w:eastAsia="SimSun" w:hAnsi="Times New Roman" w:cs="Times New Roman"/>
      <w:b/>
      <w:sz w:val="20"/>
      <w:szCs w:val="20"/>
    </w:rPr>
  </w:style>
  <w:style w:type="paragraph" w:customStyle="1" w:styleId="Els-reprint-line">
    <w:name w:val="Els-reprint-line"/>
    <w:basedOn w:val="Normal"/>
    <w:rsid w:val="00AC4336"/>
    <w:pPr>
      <w:tabs>
        <w:tab w:val="left" w:pos="0"/>
        <w:tab w:val="center" w:pos="5443"/>
      </w:tabs>
      <w:jc w:val="center"/>
    </w:pPr>
    <w:rPr>
      <w:sz w:val="16"/>
    </w:rPr>
  </w:style>
  <w:style w:type="paragraph" w:customStyle="1" w:styleId="Els-table-text">
    <w:name w:val="Els-table-text"/>
    <w:rsid w:val="00AC4336"/>
    <w:pPr>
      <w:spacing w:after="80" w:line="200" w:lineRule="exact"/>
    </w:pPr>
    <w:rPr>
      <w:rFonts w:ascii="Times New Roman" w:eastAsia="SimSun" w:hAnsi="Times New Roman" w:cs="Times New Roman"/>
      <w:sz w:val="16"/>
      <w:szCs w:val="20"/>
    </w:rPr>
  </w:style>
  <w:style w:type="character" w:styleId="EndnoteReference">
    <w:name w:val="endnote reference"/>
    <w:rsid w:val="00AC4336"/>
    <w:rPr>
      <w:vertAlign w:val="superscript"/>
    </w:rPr>
  </w:style>
  <w:style w:type="character" w:customStyle="1" w:styleId="FootnoteTextChar">
    <w:name w:val="Footnote Text Char"/>
    <w:basedOn w:val="DefaultParagraphFont"/>
    <w:link w:val="FootnoteText"/>
    <w:uiPriority w:val="99"/>
    <w:semiHidden/>
    <w:rsid w:val="00AC4336"/>
    <w:rPr>
      <w:rFonts w:ascii="Univers" w:eastAsia="SimSun" w:hAnsi="Univers" w:cs="Times New Roman"/>
      <w:sz w:val="20"/>
      <w:szCs w:val="20"/>
      <w:lang w:val="en-GB"/>
    </w:rPr>
  </w:style>
  <w:style w:type="paragraph" w:styleId="FootnoteText">
    <w:name w:val="footnote text"/>
    <w:basedOn w:val="Normal"/>
    <w:link w:val="FootnoteTextChar"/>
    <w:uiPriority w:val="99"/>
    <w:semiHidden/>
    <w:rsid w:val="00AC4336"/>
    <w:rPr>
      <w:rFonts w:ascii="Univers" w:hAnsi="Univers"/>
    </w:rPr>
  </w:style>
  <w:style w:type="character" w:customStyle="1" w:styleId="MTEquationSection">
    <w:name w:val="MTEquationSection"/>
    <w:rsid w:val="00AC4336"/>
    <w:rPr>
      <w:vanish/>
      <w:color w:val="FF0000"/>
    </w:rPr>
  </w:style>
  <w:style w:type="character" w:styleId="PageNumber">
    <w:name w:val="page number"/>
    <w:uiPriority w:val="99"/>
    <w:rsid w:val="00AC4336"/>
    <w:rPr>
      <w:sz w:val="16"/>
    </w:rPr>
  </w:style>
  <w:style w:type="character" w:customStyle="1" w:styleId="PlainTextChar">
    <w:name w:val="Plain Text Char"/>
    <w:basedOn w:val="DefaultParagraphFont"/>
    <w:link w:val="PlainText"/>
    <w:semiHidden/>
    <w:rsid w:val="00AC4336"/>
    <w:rPr>
      <w:rFonts w:ascii="Courier New" w:eastAsia="SimSun" w:hAnsi="Courier New" w:cs="Courier New"/>
      <w:sz w:val="20"/>
      <w:szCs w:val="20"/>
    </w:rPr>
  </w:style>
  <w:style w:type="paragraph" w:styleId="PlainText">
    <w:name w:val="Plain Text"/>
    <w:basedOn w:val="Normal"/>
    <w:link w:val="PlainTextChar"/>
    <w:semiHidden/>
    <w:rsid w:val="00AC4336"/>
    <w:rPr>
      <w:rFonts w:ascii="Courier New" w:hAnsi="Courier New" w:cs="Courier New"/>
      <w:lang w:val="en-US"/>
    </w:rPr>
  </w:style>
  <w:style w:type="paragraph" w:customStyle="1" w:styleId="Els-5thorder-head">
    <w:name w:val="Els-5thorder-head"/>
    <w:next w:val="Els-body-text"/>
    <w:rsid w:val="00AC4336"/>
    <w:pPr>
      <w:keepNext/>
      <w:suppressAutoHyphens/>
      <w:spacing w:after="0" w:line="240" w:lineRule="exact"/>
    </w:pPr>
    <w:rPr>
      <w:rFonts w:ascii="Times New Roman" w:eastAsia="SimSun" w:hAnsi="Times New Roman" w:cs="Times New Roman"/>
      <w:i/>
      <w:sz w:val="20"/>
      <w:szCs w:val="20"/>
    </w:rPr>
  </w:style>
  <w:style w:type="paragraph" w:customStyle="1" w:styleId="Els-Abstract-Copyright">
    <w:name w:val="Els-Abstract-Copyright"/>
    <w:basedOn w:val="Els-Abstract-text"/>
    <w:rsid w:val="00AC4336"/>
    <w:pPr>
      <w:spacing w:after="220"/>
    </w:pPr>
  </w:style>
  <w:style w:type="paragraph" w:customStyle="1" w:styleId="DocHead">
    <w:name w:val="DocHead"/>
    <w:rsid w:val="00AC4336"/>
    <w:pPr>
      <w:spacing w:after="240" w:line="240" w:lineRule="auto"/>
      <w:jc w:val="center"/>
    </w:pPr>
    <w:rPr>
      <w:rFonts w:ascii="Times New Roman" w:eastAsia="SimSun" w:hAnsi="Times New Roman" w:cs="Times New Roman"/>
      <w:sz w:val="24"/>
      <w:szCs w:val="20"/>
    </w:rPr>
  </w:style>
  <w:style w:type="character" w:styleId="FollowedHyperlink">
    <w:name w:val="FollowedHyperlink"/>
    <w:uiPriority w:val="99"/>
    <w:semiHidden/>
    <w:rsid w:val="00AC4336"/>
    <w:rPr>
      <w:color w:val="800080"/>
      <w:u w:val="single"/>
    </w:rPr>
  </w:style>
  <w:style w:type="character" w:customStyle="1" w:styleId="Els-1storder-headChar">
    <w:name w:val="Els-1storder-head Char"/>
    <w:rsid w:val="00AC4336"/>
    <w:rPr>
      <w:b/>
      <w:lang w:val="en-US" w:eastAsia="en-US" w:bidi="ar-SA"/>
    </w:rPr>
  </w:style>
  <w:style w:type="paragraph" w:customStyle="1" w:styleId="yiv879498456msonormal">
    <w:name w:val="yiv879498456msonormal"/>
    <w:basedOn w:val="Normal"/>
    <w:rsid w:val="00AC4336"/>
    <w:pPr>
      <w:widowControl/>
      <w:spacing w:before="100" w:beforeAutospacing="1" w:after="100" w:afterAutospacing="1"/>
    </w:pPr>
    <w:rPr>
      <w:rFonts w:eastAsia="Times New Roman"/>
      <w:sz w:val="24"/>
      <w:szCs w:val="24"/>
      <w:lang w:val="en-US"/>
    </w:rPr>
  </w:style>
  <w:style w:type="paragraph" w:customStyle="1" w:styleId="NonIndent">
    <w:name w:val="NonIndent"/>
    <w:basedOn w:val="NormPara"/>
    <w:next w:val="Normal"/>
    <w:uiPriority w:val="99"/>
    <w:rsid w:val="00AC4336"/>
  </w:style>
  <w:style w:type="paragraph" w:customStyle="1" w:styleId="Addrofauthor">
    <w:name w:val="Addr of author"/>
    <w:basedOn w:val="Title"/>
    <w:uiPriority w:val="99"/>
    <w:rsid w:val="00AC4336"/>
    <w:pPr>
      <w:widowControl/>
      <w:pBdr>
        <w:bottom w:val="none" w:sz="0" w:space="0" w:color="auto"/>
      </w:pBdr>
      <w:spacing w:after="0" w:line="240" w:lineRule="atLeast"/>
      <w:contextualSpacing w:val="0"/>
      <w:jc w:val="center"/>
    </w:pPr>
    <w:rPr>
      <w:rFonts w:ascii="Book Antiqua" w:eastAsia="Times New Roman" w:hAnsi="Book Antiqua" w:cs="Times New Roman"/>
      <w:color w:val="auto"/>
      <w:spacing w:val="0"/>
      <w:sz w:val="18"/>
      <w:szCs w:val="20"/>
      <w:lang w:val="en-US"/>
    </w:rPr>
  </w:style>
  <w:style w:type="paragraph" w:customStyle="1" w:styleId="tagend">
    <w:name w:val="tagend"/>
    <w:basedOn w:val="NormPara"/>
    <w:uiPriority w:val="99"/>
    <w:rsid w:val="00AC4336"/>
    <w:pPr>
      <w:tabs>
        <w:tab w:val="left" w:pos="288"/>
      </w:tabs>
      <w:ind w:firstLine="0"/>
    </w:pPr>
  </w:style>
  <w:style w:type="paragraph" w:customStyle="1" w:styleId="equation">
    <w:name w:val="equation"/>
    <w:basedOn w:val="tagend"/>
    <w:uiPriority w:val="99"/>
    <w:rsid w:val="00AC4336"/>
    <w:pPr>
      <w:tabs>
        <w:tab w:val="clear" w:pos="288"/>
        <w:tab w:val="center" w:pos="2606"/>
        <w:tab w:val="right" w:pos="5227"/>
      </w:tabs>
      <w:spacing w:before="240" w:after="240"/>
    </w:pPr>
  </w:style>
  <w:style w:type="paragraph" w:customStyle="1" w:styleId="FigCaption">
    <w:name w:val="FigCaption"/>
    <w:basedOn w:val="reference"/>
    <w:uiPriority w:val="99"/>
    <w:rsid w:val="00AC4336"/>
    <w:pPr>
      <w:spacing w:after="120"/>
      <w:ind w:right="432" w:firstLine="0"/>
    </w:pPr>
  </w:style>
  <w:style w:type="paragraph" w:customStyle="1" w:styleId="LeftPoint">
    <w:name w:val="LeftPoint"/>
    <w:basedOn w:val="tagend"/>
    <w:uiPriority w:val="99"/>
    <w:rsid w:val="00AC4336"/>
    <w:pPr>
      <w:tabs>
        <w:tab w:val="clear" w:pos="288"/>
        <w:tab w:val="left" w:pos="432"/>
      </w:tabs>
      <w:ind w:left="432" w:hanging="432"/>
    </w:pPr>
  </w:style>
  <w:style w:type="paragraph" w:customStyle="1" w:styleId="Quote1">
    <w:name w:val="Quote1"/>
    <w:basedOn w:val="tagend"/>
    <w:uiPriority w:val="99"/>
    <w:rsid w:val="00AC4336"/>
    <w:pPr>
      <w:ind w:left="288" w:right="288"/>
    </w:pPr>
  </w:style>
  <w:style w:type="paragraph" w:customStyle="1" w:styleId="footnote">
    <w:name w:val="footnote"/>
    <w:basedOn w:val="reference"/>
    <w:uiPriority w:val="99"/>
    <w:rsid w:val="00AC4336"/>
    <w:pPr>
      <w:ind w:left="0" w:firstLine="0"/>
    </w:pPr>
  </w:style>
  <w:style w:type="paragraph" w:styleId="ListNumber2">
    <w:name w:val="List Number 2"/>
    <w:basedOn w:val="Normal"/>
    <w:uiPriority w:val="99"/>
    <w:rsid w:val="00AC4336"/>
    <w:pPr>
      <w:widowControl/>
      <w:numPr>
        <w:numId w:val="10"/>
      </w:numPr>
    </w:pPr>
    <w:rPr>
      <w:rFonts w:eastAsia="Times New Roman"/>
      <w:lang w:val="en-US"/>
    </w:rPr>
  </w:style>
  <w:style w:type="paragraph" w:styleId="ListNumber3">
    <w:name w:val="List Number 3"/>
    <w:basedOn w:val="Normal"/>
    <w:uiPriority w:val="99"/>
    <w:rsid w:val="00AC4336"/>
    <w:pPr>
      <w:widowControl/>
      <w:numPr>
        <w:numId w:val="11"/>
      </w:numPr>
    </w:pPr>
    <w:rPr>
      <w:rFonts w:eastAsia="Times New Roman"/>
      <w:lang w:val="en-US"/>
    </w:rPr>
  </w:style>
  <w:style w:type="paragraph" w:styleId="ListNumber4">
    <w:name w:val="List Number 4"/>
    <w:basedOn w:val="Normal"/>
    <w:uiPriority w:val="99"/>
    <w:rsid w:val="00AC4336"/>
    <w:pPr>
      <w:widowControl/>
      <w:numPr>
        <w:numId w:val="12"/>
      </w:numPr>
    </w:pPr>
    <w:rPr>
      <w:rFonts w:eastAsia="Times New Roman"/>
      <w:lang w:val="en-US"/>
    </w:rPr>
  </w:style>
  <w:style w:type="paragraph" w:styleId="ListNumber5">
    <w:name w:val="List Number 5"/>
    <w:basedOn w:val="Normal"/>
    <w:uiPriority w:val="99"/>
    <w:rsid w:val="00AC4336"/>
    <w:pPr>
      <w:widowControl/>
      <w:numPr>
        <w:numId w:val="13"/>
      </w:numPr>
    </w:pPr>
    <w:rPr>
      <w:rFonts w:eastAsia="Times New Roman"/>
      <w:lang w:val="en-US"/>
    </w:rPr>
  </w:style>
  <w:style w:type="paragraph" w:customStyle="1" w:styleId="eqicfai">
    <w:name w:val="eqicfai"/>
    <w:basedOn w:val="Normal"/>
    <w:uiPriority w:val="99"/>
    <w:rsid w:val="00AC4336"/>
    <w:pPr>
      <w:widowControl/>
      <w:tabs>
        <w:tab w:val="center" w:pos="5400"/>
        <w:tab w:val="right" w:pos="10800"/>
      </w:tabs>
      <w:spacing w:before="120" w:after="120"/>
    </w:pPr>
    <w:rPr>
      <w:rFonts w:ascii="Eurostile" w:eastAsia="Times New Roman" w:hAnsi="Eurostile"/>
      <w:sz w:val="24"/>
      <w:lang w:val="en-US"/>
    </w:rPr>
  </w:style>
  <w:style w:type="character" w:customStyle="1" w:styleId="DocumentMapChar">
    <w:name w:val="Document Map Char"/>
    <w:basedOn w:val="DefaultParagraphFont"/>
    <w:link w:val="DocumentMap"/>
    <w:uiPriority w:val="99"/>
    <w:semiHidden/>
    <w:rsid w:val="00AC4336"/>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AC4336"/>
    <w:pPr>
      <w:widowControl/>
    </w:pPr>
    <w:rPr>
      <w:rFonts w:ascii="Tahoma" w:eastAsia="Times New Roman" w:hAnsi="Tahoma" w:cs="Tahoma"/>
      <w:sz w:val="16"/>
      <w:szCs w:val="16"/>
      <w:lang w:val="en-US"/>
    </w:rPr>
  </w:style>
  <w:style w:type="character" w:customStyle="1" w:styleId="DocumentMapChar1">
    <w:name w:val="Document Map Char1"/>
    <w:basedOn w:val="DefaultParagraphFont"/>
    <w:link w:val="DocumentMap"/>
    <w:uiPriority w:val="99"/>
    <w:semiHidden/>
    <w:rsid w:val="00AC4336"/>
    <w:rPr>
      <w:rFonts w:ascii="Tahoma" w:eastAsia="SimSun" w:hAnsi="Tahoma" w:cs="Tahoma"/>
      <w:sz w:val="16"/>
      <w:szCs w:val="16"/>
      <w:lang w:val="en-GB"/>
    </w:rPr>
  </w:style>
  <w:style w:type="paragraph" w:styleId="ListParagraph">
    <w:name w:val="List Paragraph"/>
    <w:basedOn w:val="Normal"/>
    <w:uiPriority w:val="34"/>
    <w:qFormat/>
    <w:rsid w:val="00AC4336"/>
    <w:pPr>
      <w:widowControl/>
      <w:ind w:left="720"/>
      <w:contextualSpacing/>
    </w:pPr>
    <w:rPr>
      <w:rFonts w:eastAsia="Times New Roman"/>
      <w:sz w:val="24"/>
      <w:lang w:val="en-US"/>
    </w:rPr>
  </w:style>
  <w:style w:type="character" w:customStyle="1" w:styleId="citation">
    <w:name w:val="citation"/>
    <w:basedOn w:val="DefaultParagraphFont"/>
    <w:rsid w:val="00AC4336"/>
  </w:style>
  <w:style w:type="character" w:customStyle="1" w:styleId="BodyText2Char">
    <w:name w:val="Body Text 2 Char"/>
    <w:basedOn w:val="DefaultParagraphFont"/>
    <w:link w:val="BodyText2"/>
    <w:semiHidden/>
    <w:rsid w:val="00AC4336"/>
    <w:rPr>
      <w:rFonts w:ascii="Book Antiqua" w:eastAsia="Times New Roman" w:hAnsi="Book Antiqua"/>
      <w:sz w:val="18"/>
      <w:szCs w:val="24"/>
      <w:lang w:eastAsia="pl-PL"/>
    </w:rPr>
  </w:style>
  <w:style w:type="paragraph" w:styleId="BodyText2">
    <w:name w:val="Body Text 2"/>
    <w:basedOn w:val="Normal"/>
    <w:link w:val="BodyText2Char"/>
    <w:semiHidden/>
    <w:rsid w:val="00AC4336"/>
    <w:pPr>
      <w:widowControl/>
    </w:pPr>
    <w:rPr>
      <w:rFonts w:ascii="Book Antiqua" w:eastAsia="Times New Roman" w:hAnsi="Book Antiqua" w:cstheme="minorBidi"/>
      <w:sz w:val="18"/>
      <w:szCs w:val="24"/>
      <w:lang w:val="en-US" w:eastAsia="pl-PL"/>
    </w:rPr>
  </w:style>
  <w:style w:type="character" w:customStyle="1" w:styleId="BodyText2Char1">
    <w:name w:val="Body Text 2 Char1"/>
    <w:basedOn w:val="DefaultParagraphFont"/>
    <w:link w:val="BodyText2"/>
    <w:uiPriority w:val="99"/>
    <w:semiHidden/>
    <w:rsid w:val="00AC4336"/>
    <w:rPr>
      <w:rFonts w:ascii="Times New Roman" w:eastAsia="SimSun" w:hAnsi="Times New Roman" w:cs="Times New Roman"/>
      <w:sz w:val="20"/>
      <w:szCs w:val="20"/>
      <w:lang w:val="en-GB"/>
    </w:rPr>
  </w:style>
  <w:style w:type="character" w:customStyle="1" w:styleId="MTConvertedEquation">
    <w:name w:val="MTConvertedEquation"/>
    <w:basedOn w:val="DefaultParagraphFont"/>
    <w:rsid w:val="00AC4336"/>
  </w:style>
  <w:style w:type="paragraph" w:styleId="NormalWeb">
    <w:name w:val="Normal (Web)"/>
    <w:basedOn w:val="Normal"/>
    <w:uiPriority w:val="99"/>
    <w:rsid w:val="00AC4336"/>
    <w:pPr>
      <w:widowControl/>
      <w:spacing w:before="100" w:beforeAutospacing="1" w:after="100" w:afterAutospacing="1"/>
    </w:pPr>
    <w:rPr>
      <w:rFonts w:eastAsia="Times New Roman"/>
      <w:sz w:val="24"/>
      <w:szCs w:val="24"/>
      <w:lang w:val="en-US"/>
    </w:rPr>
  </w:style>
  <w:style w:type="paragraph" w:styleId="HTMLPreformatted">
    <w:name w:val="HTML Preformatted"/>
    <w:basedOn w:val="Normal"/>
    <w:link w:val="HTMLPreformattedChar"/>
    <w:uiPriority w:val="99"/>
    <w:unhideWhenUsed/>
    <w:rsid w:val="00AC433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en-US"/>
    </w:rPr>
  </w:style>
  <w:style w:type="character" w:customStyle="1" w:styleId="HTMLPreformattedChar">
    <w:name w:val="HTML Preformatted Char"/>
    <w:basedOn w:val="DefaultParagraphFont"/>
    <w:link w:val="HTMLPreformatted"/>
    <w:uiPriority w:val="99"/>
    <w:rsid w:val="00AC4336"/>
    <w:rPr>
      <w:rFonts w:ascii="Courier New" w:eastAsia="Times New Roman" w:hAnsi="Courier New" w:cs="Courier New"/>
      <w:sz w:val="20"/>
      <w:szCs w:val="20"/>
    </w:rPr>
  </w:style>
  <w:style w:type="paragraph" w:customStyle="1" w:styleId="MTDisplayEquation">
    <w:name w:val="MTDisplayEquation"/>
    <w:basedOn w:val="NormPara"/>
    <w:next w:val="Normal"/>
    <w:link w:val="MTDisplayEquationChar"/>
    <w:rsid w:val="00AC4336"/>
    <w:pPr>
      <w:tabs>
        <w:tab w:val="center" w:pos="2600"/>
        <w:tab w:val="right" w:pos="5220"/>
      </w:tabs>
      <w:ind w:firstLine="0"/>
      <w:jc w:val="center"/>
    </w:pPr>
  </w:style>
  <w:style w:type="character" w:customStyle="1" w:styleId="MTDisplayEquationChar">
    <w:name w:val="MTDisplayEquation Char"/>
    <w:basedOn w:val="NormParaChar"/>
    <w:link w:val="MTDisplayEquation"/>
    <w:rsid w:val="00AC4336"/>
  </w:style>
  <w:style w:type="character" w:customStyle="1" w:styleId="long-title">
    <w:name w:val="long-title"/>
    <w:basedOn w:val="DefaultParagraphFont"/>
    <w:rsid w:val="00AC4336"/>
  </w:style>
  <w:style w:type="character" w:customStyle="1" w:styleId="superscript1">
    <w:name w:val="superscript1"/>
    <w:rsid w:val="00AC4336"/>
    <w:rPr>
      <w:sz w:val="20"/>
      <w:szCs w:val="20"/>
      <w:vertAlign w:val="superscript"/>
    </w:rPr>
  </w:style>
  <w:style w:type="paragraph" w:customStyle="1" w:styleId="Equationparagraph">
    <w:name w:val="Equation paragraph"/>
    <w:basedOn w:val="Default"/>
    <w:next w:val="Default"/>
    <w:link w:val="EquationparagraphChar"/>
    <w:rsid w:val="00AC4336"/>
    <w:rPr>
      <w:rFonts w:ascii="Arial" w:hAnsi="Arial" w:cs="Arial"/>
      <w:color w:val="auto"/>
    </w:rPr>
  </w:style>
  <w:style w:type="character" w:customStyle="1" w:styleId="EquationparagraphChar">
    <w:name w:val="Equation paragraph Char"/>
    <w:basedOn w:val="DefaultParagraphFont"/>
    <w:link w:val="Equationparagraph"/>
    <w:rsid w:val="00AC4336"/>
    <w:rPr>
      <w:rFonts w:ascii="Arial" w:eastAsia="Calibri" w:hAnsi="Arial" w:cs="Arial"/>
      <w:sz w:val="24"/>
      <w:szCs w:val="24"/>
    </w:rPr>
  </w:style>
  <w:style w:type="character" w:styleId="Strong">
    <w:name w:val="Strong"/>
    <w:uiPriority w:val="22"/>
    <w:qFormat/>
    <w:rsid w:val="00AC4336"/>
    <w:rPr>
      <w:b/>
      <w:bCs/>
    </w:rPr>
  </w:style>
  <w:style w:type="paragraph" w:customStyle="1" w:styleId="Standardtextparag">
    <w:name w:val="Standard text parag"/>
    <w:basedOn w:val="Default"/>
    <w:next w:val="Default"/>
    <w:link w:val="StandardtextparagChar"/>
    <w:rsid w:val="00AC4336"/>
    <w:rPr>
      <w:rFonts w:ascii="Arial" w:hAnsi="Arial" w:cs="Arial"/>
      <w:color w:val="auto"/>
    </w:rPr>
  </w:style>
  <w:style w:type="character" w:customStyle="1" w:styleId="StandardtextparagChar">
    <w:name w:val="Standard text parag Char"/>
    <w:basedOn w:val="DefaultParagraphFont"/>
    <w:link w:val="Standardtextparag"/>
    <w:rsid w:val="00AC4336"/>
    <w:rPr>
      <w:rFonts w:ascii="Arial" w:eastAsia="Calibri" w:hAnsi="Arial" w:cs="Arial"/>
      <w:sz w:val="24"/>
      <w:szCs w:val="24"/>
    </w:rPr>
  </w:style>
  <w:style w:type="paragraph" w:customStyle="1" w:styleId="Normalizedparagraph">
    <w:name w:val="Normalized paragraph"/>
    <w:basedOn w:val="Default"/>
    <w:next w:val="Default"/>
    <w:link w:val="NormalizedparagraphChar"/>
    <w:rsid w:val="00AC4336"/>
    <w:rPr>
      <w:rFonts w:ascii="Arial" w:hAnsi="Arial" w:cs="Arial"/>
      <w:color w:val="auto"/>
    </w:rPr>
  </w:style>
  <w:style w:type="character" w:customStyle="1" w:styleId="NormalizedparagraphChar">
    <w:name w:val="Normalized paragraph Char"/>
    <w:basedOn w:val="DefaultParagraphFont"/>
    <w:link w:val="Normalizedparagraph"/>
    <w:rsid w:val="00AC4336"/>
    <w:rPr>
      <w:rFonts w:ascii="Arial" w:eastAsia="Calibri" w:hAnsi="Arial" w:cs="Arial"/>
      <w:sz w:val="24"/>
      <w:szCs w:val="24"/>
    </w:rPr>
  </w:style>
  <w:style w:type="paragraph" w:styleId="BodyText">
    <w:name w:val="Body Text"/>
    <w:basedOn w:val="Default"/>
    <w:next w:val="Default"/>
    <w:link w:val="BodyTextChar"/>
    <w:rsid w:val="00AC4336"/>
    <w:rPr>
      <w:rFonts w:ascii="Arial" w:hAnsi="Arial" w:cs="Arial"/>
      <w:color w:val="auto"/>
    </w:rPr>
  </w:style>
  <w:style w:type="character" w:customStyle="1" w:styleId="BodyTextChar">
    <w:name w:val="Body Text Char"/>
    <w:basedOn w:val="DefaultParagraphFont"/>
    <w:link w:val="BodyText"/>
    <w:rsid w:val="00AC4336"/>
    <w:rPr>
      <w:rFonts w:ascii="Arial" w:eastAsia="Calibri" w:hAnsi="Arial" w:cs="Arial"/>
      <w:sz w:val="24"/>
      <w:szCs w:val="24"/>
    </w:rPr>
  </w:style>
  <w:style w:type="character" w:customStyle="1" w:styleId="yshortcuts">
    <w:name w:val="yshortcuts"/>
    <w:basedOn w:val="DefaultParagraphFont"/>
    <w:rsid w:val="00AC4336"/>
  </w:style>
  <w:style w:type="paragraph" w:customStyle="1" w:styleId="quote">
    <w:name w:val="quote"/>
    <w:basedOn w:val="tagend"/>
    <w:uiPriority w:val="99"/>
    <w:rsid w:val="00AC4336"/>
    <w:pPr>
      <w:ind w:left="288" w:right="288"/>
    </w:pPr>
  </w:style>
  <w:style w:type="paragraph" w:customStyle="1" w:styleId="Standard">
    <w:name w:val="Standard"/>
    <w:rsid w:val="00AC4336"/>
    <w:pPr>
      <w:widowControl w:val="0"/>
      <w:suppressAutoHyphens/>
      <w:spacing w:after="0" w:line="240" w:lineRule="auto"/>
      <w:textAlignment w:val="baseline"/>
    </w:pPr>
    <w:rPr>
      <w:rFonts w:ascii="Times New Roman" w:eastAsia="SimSun" w:hAnsi="Times New Roman" w:cs="Times New Roman"/>
      <w:kern w:val="1"/>
      <w:sz w:val="24"/>
      <w:szCs w:val="24"/>
      <w:lang w:val="en-CA" w:eastAsia="hi-IN" w:bidi="hi-IN"/>
    </w:rPr>
  </w:style>
  <w:style w:type="paragraph" w:styleId="EndnoteText">
    <w:name w:val="endnote text"/>
    <w:basedOn w:val="Normal"/>
    <w:link w:val="EndnoteTextChar"/>
    <w:rsid w:val="00AC4336"/>
    <w:pPr>
      <w:suppressLineNumbers/>
      <w:suppressAutoHyphens/>
      <w:ind w:left="283" w:hanging="283"/>
    </w:pPr>
    <w:rPr>
      <w:rFonts w:eastAsia="Lucida Sans Unicode"/>
      <w:kern w:val="1"/>
      <w:lang w:val="en-CA" w:eastAsia="ar-SA"/>
    </w:rPr>
  </w:style>
  <w:style w:type="character" w:customStyle="1" w:styleId="EndnoteTextChar">
    <w:name w:val="Endnote Text Char"/>
    <w:basedOn w:val="DefaultParagraphFont"/>
    <w:link w:val="EndnoteText"/>
    <w:rsid w:val="00AC4336"/>
    <w:rPr>
      <w:rFonts w:ascii="Times New Roman" w:eastAsia="Lucida Sans Unicode" w:hAnsi="Times New Roman" w:cs="Times New Roman"/>
      <w:kern w:val="1"/>
      <w:sz w:val="20"/>
      <w:szCs w:val="20"/>
      <w:lang w:val="en-CA" w:eastAsia="ar-SA"/>
    </w:rPr>
  </w:style>
  <w:style w:type="paragraph" w:customStyle="1" w:styleId="Ref">
    <w:name w:val="Ref"/>
    <w:basedOn w:val="Default"/>
    <w:next w:val="Default"/>
    <w:uiPriority w:val="99"/>
    <w:rsid w:val="00AC4336"/>
    <w:rPr>
      <w:color w:val="auto"/>
    </w:rPr>
  </w:style>
  <w:style w:type="character" w:customStyle="1" w:styleId="citationyear1">
    <w:name w:val="citation_year1"/>
    <w:rsid w:val="00AC4336"/>
    <w:rPr>
      <w:b/>
      <w:bCs/>
    </w:rPr>
  </w:style>
  <w:style w:type="character" w:customStyle="1" w:styleId="citationvolume1">
    <w:name w:val="citation_volume1"/>
    <w:rsid w:val="00AC4336"/>
    <w:rPr>
      <w:i/>
      <w:iCs/>
    </w:rPr>
  </w:style>
  <w:style w:type="character" w:customStyle="1" w:styleId="style11">
    <w:name w:val="style11"/>
    <w:basedOn w:val="DefaultParagraphFont"/>
    <w:rsid w:val="00AC4336"/>
    <w:rPr>
      <w:color w:val="000000"/>
    </w:rPr>
  </w:style>
  <w:style w:type="paragraph" w:customStyle="1" w:styleId="style3">
    <w:name w:val="style3"/>
    <w:basedOn w:val="Normal"/>
    <w:rsid w:val="00AC4336"/>
    <w:pPr>
      <w:widowControl/>
      <w:spacing w:before="100" w:beforeAutospacing="1" w:after="100" w:afterAutospacing="1"/>
    </w:pPr>
    <w:rPr>
      <w:rFonts w:eastAsia="Times New Roman"/>
      <w:sz w:val="24"/>
      <w:szCs w:val="24"/>
      <w:lang w:val="en-US"/>
    </w:rPr>
  </w:style>
  <w:style w:type="paragraph" w:customStyle="1" w:styleId="style4">
    <w:name w:val="style4"/>
    <w:basedOn w:val="Normal"/>
    <w:rsid w:val="00AC4336"/>
    <w:pPr>
      <w:widowControl/>
      <w:spacing w:before="100" w:beforeAutospacing="1" w:after="100" w:afterAutospacing="1"/>
    </w:pPr>
    <w:rPr>
      <w:rFonts w:eastAsia="Times New Roman"/>
      <w:sz w:val="24"/>
      <w:szCs w:val="24"/>
      <w:vertAlign w:val="superscript"/>
      <w:lang w:val="en-US"/>
    </w:rPr>
  </w:style>
  <w:style w:type="character" w:customStyle="1" w:styleId="style51">
    <w:name w:val="style51"/>
    <w:basedOn w:val="DefaultParagraphFont"/>
    <w:rsid w:val="00AC4336"/>
    <w:rPr>
      <w:sz w:val="36"/>
      <w:szCs w:val="36"/>
    </w:rPr>
  </w:style>
  <w:style w:type="paragraph" w:customStyle="1" w:styleId="style2">
    <w:name w:val="style2"/>
    <w:basedOn w:val="Normal"/>
    <w:rsid w:val="00AC4336"/>
    <w:pPr>
      <w:widowControl/>
      <w:spacing w:before="100" w:beforeAutospacing="1" w:after="100" w:afterAutospacing="1"/>
    </w:pPr>
    <w:rPr>
      <w:rFonts w:eastAsia="Times New Roman"/>
      <w:sz w:val="24"/>
      <w:szCs w:val="24"/>
      <w:lang w:val="en-US"/>
    </w:rPr>
  </w:style>
  <w:style w:type="paragraph" w:customStyle="1" w:styleId="style1">
    <w:name w:val="style1"/>
    <w:basedOn w:val="Normal"/>
    <w:rsid w:val="00AC4336"/>
    <w:pPr>
      <w:widowControl/>
      <w:spacing w:before="100" w:beforeAutospacing="1" w:after="100" w:afterAutospacing="1"/>
    </w:pPr>
    <w:rPr>
      <w:rFonts w:eastAsia="Times New Roman"/>
      <w:b/>
      <w:bCs/>
      <w:sz w:val="36"/>
      <w:szCs w:val="36"/>
      <w:lang w:val="en-US"/>
    </w:rPr>
  </w:style>
  <w:style w:type="character" w:customStyle="1" w:styleId="style21">
    <w:name w:val="style21"/>
    <w:basedOn w:val="DefaultParagraphFont"/>
    <w:rsid w:val="00AC4336"/>
    <w:rPr>
      <w:sz w:val="27"/>
      <w:szCs w:val="27"/>
    </w:rPr>
  </w:style>
  <w:style w:type="character" w:customStyle="1" w:styleId="subscript1">
    <w:name w:val="subscript1"/>
    <w:basedOn w:val="DefaultParagraphFont"/>
    <w:rsid w:val="00AC4336"/>
    <w:rPr>
      <w:sz w:val="20"/>
      <w:szCs w:val="20"/>
      <w:vertAlign w:val="subscript"/>
    </w:rPr>
  </w:style>
  <w:style w:type="paragraph" w:customStyle="1" w:styleId="textintro">
    <w:name w:val="text_intro"/>
    <w:basedOn w:val="Normal"/>
    <w:rsid w:val="00AC4336"/>
    <w:pPr>
      <w:widowControl/>
      <w:spacing w:before="100" w:beforeAutospacing="1" w:after="100" w:afterAutospacing="1"/>
    </w:pPr>
    <w:rPr>
      <w:rFonts w:eastAsia="Times New Roman"/>
      <w:sz w:val="24"/>
      <w:szCs w:val="24"/>
      <w:lang w:val="en-US"/>
    </w:rPr>
  </w:style>
  <w:style w:type="character" w:customStyle="1" w:styleId="style31">
    <w:name w:val="style31"/>
    <w:basedOn w:val="DefaultParagraphFont"/>
    <w:rsid w:val="00AC4336"/>
    <w:rPr>
      <w:b/>
      <w:bCs/>
      <w:sz w:val="36"/>
      <w:szCs w:val="36"/>
    </w:rPr>
  </w:style>
  <w:style w:type="character" w:customStyle="1" w:styleId="style41">
    <w:name w:val="style41"/>
    <w:basedOn w:val="DefaultParagraphFont"/>
    <w:rsid w:val="00AC4336"/>
    <w:rPr>
      <w:i/>
      <w:iCs/>
      <w:sz w:val="27"/>
      <w:szCs w:val="27"/>
    </w:rPr>
  </w:style>
  <w:style w:type="paragraph" w:customStyle="1" w:styleId="yiv734541415msonormal">
    <w:name w:val="yiv734541415msonormal"/>
    <w:basedOn w:val="Normal"/>
    <w:rsid w:val="00AC4336"/>
    <w:pPr>
      <w:widowControl/>
      <w:spacing w:before="100" w:beforeAutospacing="1" w:after="100" w:afterAutospacing="1"/>
    </w:pPr>
    <w:rPr>
      <w:rFonts w:eastAsia="Times New Roman"/>
      <w:sz w:val="24"/>
      <w:szCs w:val="24"/>
      <w:lang w:val="en-US"/>
    </w:rPr>
  </w:style>
  <w:style w:type="paragraph" w:customStyle="1" w:styleId="yiv1672547293msonormal">
    <w:name w:val="yiv1672547293msonormal"/>
    <w:basedOn w:val="Normal"/>
    <w:rsid w:val="00AC4336"/>
    <w:pPr>
      <w:widowControl/>
      <w:spacing w:before="100" w:beforeAutospacing="1" w:after="100" w:afterAutospacing="1"/>
    </w:pPr>
    <w:rPr>
      <w:rFonts w:eastAsia="Times New Roman"/>
      <w:sz w:val="24"/>
      <w:szCs w:val="24"/>
      <w:lang w:val="en-US"/>
    </w:rPr>
  </w:style>
  <w:style w:type="character" w:customStyle="1" w:styleId="yshortcuts1">
    <w:name w:val="yshortcuts1"/>
    <w:basedOn w:val="DefaultParagraphFont"/>
    <w:rsid w:val="00AC4336"/>
    <w:rPr>
      <w:color w:val="366388"/>
    </w:rPr>
  </w:style>
  <w:style w:type="character" w:customStyle="1" w:styleId="yshortcuts2">
    <w:name w:val="yshortcuts2"/>
    <w:basedOn w:val="DefaultParagraphFont"/>
    <w:rsid w:val="00AC4336"/>
    <w:rPr>
      <w:color w:val="366388"/>
    </w:rPr>
  </w:style>
  <w:style w:type="character" w:customStyle="1" w:styleId="yshortcuts3">
    <w:name w:val="yshortcuts3"/>
    <w:basedOn w:val="DefaultParagraphFont"/>
    <w:rsid w:val="00AC4336"/>
    <w:rPr>
      <w:color w:val="366388"/>
    </w:rPr>
  </w:style>
  <w:style w:type="character" w:customStyle="1" w:styleId="title0">
    <w:name w:val="title"/>
    <w:basedOn w:val="DefaultParagraphFont"/>
    <w:rsid w:val="00AC4336"/>
  </w:style>
  <w:style w:type="character" w:customStyle="1" w:styleId="ital">
    <w:name w:val="ital"/>
    <w:basedOn w:val="DefaultParagraphFont"/>
    <w:rsid w:val="00AC4336"/>
  </w:style>
  <w:style w:type="character" w:customStyle="1" w:styleId="st">
    <w:name w:val="st"/>
    <w:basedOn w:val="DefaultParagraphFont"/>
    <w:rsid w:val="00AC4336"/>
  </w:style>
  <w:style w:type="paragraph" w:customStyle="1" w:styleId="Quote11">
    <w:name w:val="Quote11"/>
    <w:basedOn w:val="tagend"/>
    <w:uiPriority w:val="99"/>
    <w:rsid w:val="00AC4336"/>
    <w:pPr>
      <w:ind w:left="288" w:right="288"/>
    </w:pPr>
  </w:style>
  <w:style w:type="character" w:customStyle="1" w:styleId="z3988">
    <w:name w:val="z3988"/>
    <w:basedOn w:val="DefaultParagraphFont"/>
    <w:rsid w:val="00AC4336"/>
  </w:style>
  <w:style w:type="character" w:customStyle="1" w:styleId="editsection">
    <w:name w:val="editsection"/>
    <w:basedOn w:val="DefaultParagraphFont"/>
    <w:rsid w:val="00AC4336"/>
  </w:style>
  <w:style w:type="character" w:customStyle="1" w:styleId="mw-headline">
    <w:name w:val="mw-headline"/>
    <w:basedOn w:val="DefaultParagraphFont"/>
    <w:rsid w:val="00AC4336"/>
  </w:style>
  <w:style w:type="character" w:customStyle="1" w:styleId="msid1465">
    <w:name w:val="ms__id1465"/>
    <w:basedOn w:val="DefaultParagraphFont"/>
    <w:rsid w:val="00AC4336"/>
  </w:style>
  <w:style w:type="paragraph" w:customStyle="1" w:styleId="Quote12">
    <w:name w:val="Quote12"/>
    <w:basedOn w:val="tagend"/>
    <w:uiPriority w:val="99"/>
    <w:rsid w:val="00AC4336"/>
    <w:pPr>
      <w:ind w:left="288" w:right="288"/>
    </w:pPr>
  </w:style>
  <w:style w:type="character" w:customStyle="1" w:styleId="style71">
    <w:name w:val="style71"/>
    <w:basedOn w:val="DefaultParagraphFont"/>
    <w:rsid w:val="00AC4336"/>
    <w:rPr>
      <w:color w:val="000000"/>
    </w:rPr>
  </w:style>
  <w:style w:type="character" w:styleId="FootnoteReference">
    <w:name w:val="footnote reference"/>
    <w:uiPriority w:val="99"/>
    <w:semiHidden/>
    <w:rsid w:val="00EE348C"/>
    <w:rPr>
      <w:vertAlign w:val="superscript"/>
    </w:rPr>
  </w:style>
  <w:style w:type="table" w:styleId="TableGrid">
    <w:name w:val="Table Grid"/>
    <w:basedOn w:val="TableNormal"/>
    <w:uiPriority w:val="59"/>
    <w:rsid w:val="00EE348C"/>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TextChar1">
    <w:name w:val="Footnote Text Char1"/>
    <w:uiPriority w:val="99"/>
    <w:semiHidden/>
    <w:rsid w:val="00EE348C"/>
    <w:rPr>
      <w:rFonts w:ascii="Calibri" w:eastAsia="Calibri" w:hAnsi="Calibri" w:cs="Times New Roman"/>
      <w:sz w:val="20"/>
      <w:szCs w:val="20"/>
    </w:rPr>
  </w:style>
  <w:style w:type="character" w:customStyle="1" w:styleId="BalloonTextChar1">
    <w:name w:val="Balloon Text Char1"/>
    <w:uiPriority w:val="99"/>
    <w:semiHidden/>
    <w:rsid w:val="00EE348C"/>
    <w:rPr>
      <w:rFonts w:ascii="Tahoma" w:eastAsia="Calibri" w:hAnsi="Tahoma" w:cs="Tahoma"/>
      <w:sz w:val="16"/>
      <w:szCs w:val="16"/>
    </w:rPr>
  </w:style>
  <w:style w:type="character" w:styleId="PlaceholderText">
    <w:name w:val="Placeholder Text"/>
    <w:basedOn w:val="DefaultParagraphFont"/>
    <w:uiPriority w:val="99"/>
    <w:semiHidden/>
    <w:rsid w:val="00EE348C"/>
    <w:rPr>
      <w:color w:val="808080"/>
    </w:rPr>
  </w:style>
  <w:style w:type="paragraph" w:customStyle="1" w:styleId="yiv1214125739msonospacing">
    <w:name w:val="yiv1214125739msonospacing"/>
    <w:basedOn w:val="Normal"/>
    <w:rsid w:val="00121E59"/>
    <w:pPr>
      <w:widowControl/>
      <w:spacing w:before="100" w:beforeAutospacing="1" w:after="100" w:afterAutospacing="1"/>
    </w:pPr>
    <w:rPr>
      <w:rFonts w:eastAsia="Times New Roman"/>
      <w:sz w:val="24"/>
      <w:szCs w:val="24"/>
      <w:lang w:val="en-US"/>
    </w:rPr>
  </w:style>
  <w:style w:type="character" w:customStyle="1" w:styleId="PlainTextChar1">
    <w:name w:val="Plain Text Char1"/>
    <w:basedOn w:val="DefaultParagraphFont"/>
    <w:uiPriority w:val="99"/>
    <w:semiHidden/>
    <w:rsid w:val="005359B2"/>
    <w:rPr>
      <w:rFonts w:ascii="Consolas" w:hAnsi="Consolas" w:cs="Consolas"/>
      <w:sz w:val="21"/>
      <w:szCs w:val="21"/>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671" Type="http://schemas.openxmlformats.org/officeDocument/2006/relationships/image" Target="media/image281.wmf"/><Relationship Id="rId769" Type="http://schemas.openxmlformats.org/officeDocument/2006/relationships/oleObject" Target="embeddings/oleObject203.bin"/><Relationship Id="rId976" Type="http://schemas.openxmlformats.org/officeDocument/2006/relationships/hyperlink" Target="http://www.setterfield.org/000docs/behaviorzpeapp4.html" TargetMode="External"/><Relationship Id="rId21" Type="http://schemas.openxmlformats.org/officeDocument/2006/relationships/image" Target="media/image13.jpeg"/><Relationship Id="rId324" Type="http://schemas.openxmlformats.org/officeDocument/2006/relationships/image" Target="media/image147.jpeg"/><Relationship Id="rId531" Type="http://schemas.openxmlformats.org/officeDocument/2006/relationships/oleObject" Target="embeddings/oleObject83.bin"/><Relationship Id="rId629" Type="http://schemas.openxmlformats.org/officeDocument/2006/relationships/image" Target="media/image261.wmf"/><Relationship Id="rId1161" Type="http://schemas.openxmlformats.org/officeDocument/2006/relationships/oleObject" Target="embeddings/oleObject299.bin"/><Relationship Id="rId1259" Type="http://schemas.openxmlformats.org/officeDocument/2006/relationships/hyperlink" Target="http://www.setterfield.org/000docs/behaviorzpeapp2.html" TargetMode="External"/><Relationship Id="rId170" Type="http://schemas.openxmlformats.org/officeDocument/2006/relationships/hyperlink" Target="http://farside.ph.utexas.edu/teaching/em/lectures/node56.html" TargetMode="External"/><Relationship Id="rId836" Type="http://schemas.openxmlformats.org/officeDocument/2006/relationships/image" Target="media/image363.wmf"/><Relationship Id="rId1021" Type="http://schemas.openxmlformats.org/officeDocument/2006/relationships/image" Target="media/image446.jpeg"/><Relationship Id="rId1119" Type="http://schemas.openxmlformats.org/officeDocument/2006/relationships/hyperlink" Target="http://pcp.oxfordjournals.org/cgi/content/abstract/23/3/541" TargetMode="External"/><Relationship Id="rId268" Type="http://schemas.openxmlformats.org/officeDocument/2006/relationships/hyperlink" Target="http://www.zdplaskin.laplace.univ-tlse.fr/examples/01/" TargetMode="External"/><Relationship Id="rId475" Type="http://schemas.openxmlformats.org/officeDocument/2006/relationships/oleObject" Target="embeddings/oleObject54.bin"/><Relationship Id="rId682" Type="http://schemas.openxmlformats.org/officeDocument/2006/relationships/oleObject" Target="embeddings/oleObject159.bin"/><Relationship Id="rId903" Type="http://schemas.openxmlformats.org/officeDocument/2006/relationships/image" Target="media/image396.wmf"/><Relationship Id="rId1326" Type="http://schemas.openxmlformats.org/officeDocument/2006/relationships/image" Target="media/image560.jpeg"/><Relationship Id="rId32" Type="http://schemas.openxmlformats.org/officeDocument/2006/relationships/hyperlink" Target="http://sci-toys.com/scitoys/scitoys/light/permanent_rainbows/permanent_rainbows.html" TargetMode="External"/><Relationship Id="rId128" Type="http://schemas.openxmlformats.org/officeDocument/2006/relationships/hyperlink" Target="http://www.iau.org/static/resolutions/IAU1976_French.pdf" TargetMode="External"/><Relationship Id="rId335" Type="http://schemas.openxmlformats.org/officeDocument/2006/relationships/hyperlink" Target="http://history.nasa.gov/SP-345/ch15.htm" TargetMode="External"/><Relationship Id="rId542" Type="http://schemas.openxmlformats.org/officeDocument/2006/relationships/image" Target="media/image218.wmf"/><Relationship Id="rId987" Type="http://schemas.openxmlformats.org/officeDocument/2006/relationships/hyperlink" Target="http://www.setterfield.org/000docs/behaviorzpeapp4.html" TargetMode="External"/><Relationship Id="rId1172" Type="http://schemas.openxmlformats.org/officeDocument/2006/relationships/image" Target="media/image503.wmf"/><Relationship Id="rId181" Type="http://schemas.openxmlformats.org/officeDocument/2006/relationships/image" Target="media/image76.gif"/><Relationship Id="rId402" Type="http://schemas.openxmlformats.org/officeDocument/2006/relationships/hyperlink" Target="http://www.thunderbolts.info/tpod/2009/arch09/091229seeing.htm" TargetMode="External"/><Relationship Id="rId847" Type="http://schemas.openxmlformats.org/officeDocument/2006/relationships/oleObject" Target="embeddings/oleObject242.bin"/><Relationship Id="rId1032" Type="http://schemas.openxmlformats.org/officeDocument/2006/relationships/image" Target="media/image456.jpeg"/><Relationship Id="rId279" Type="http://schemas.openxmlformats.org/officeDocument/2006/relationships/image" Target="media/image114.jpeg"/><Relationship Id="rId486" Type="http://schemas.openxmlformats.org/officeDocument/2006/relationships/oleObject" Target="embeddings/oleObject61.bin"/><Relationship Id="rId693" Type="http://schemas.openxmlformats.org/officeDocument/2006/relationships/image" Target="media/image292.wmf"/><Relationship Id="rId707" Type="http://schemas.openxmlformats.org/officeDocument/2006/relationships/image" Target="media/image299.wmf"/><Relationship Id="rId914" Type="http://schemas.openxmlformats.org/officeDocument/2006/relationships/oleObject" Target="embeddings/oleObject276.bin"/><Relationship Id="rId1337" Type="http://schemas.openxmlformats.org/officeDocument/2006/relationships/image" Target="media/image571.jpeg"/><Relationship Id="rId43" Type="http://schemas.openxmlformats.org/officeDocument/2006/relationships/hyperlink" Target="http://written-in-stone-seen-through-my-lens.blogspot.com/2012/06/eurypterid-eurypterus-remipes-is_29.html" TargetMode="External"/><Relationship Id="rId139" Type="http://schemas.openxmlformats.org/officeDocument/2006/relationships/hyperlink" Target="http://mitu-bobs.blogspot.com/2011/02/ss-h1-james-bradley-astronomer-royal-in.html" TargetMode="External"/><Relationship Id="rId346" Type="http://schemas.openxmlformats.org/officeDocument/2006/relationships/hyperlink" Target="http://192.171.198.135/Ps/aac/images/box.jpg" TargetMode="External"/><Relationship Id="rId553" Type="http://schemas.openxmlformats.org/officeDocument/2006/relationships/oleObject" Target="embeddings/oleObject94.bin"/><Relationship Id="rId760" Type="http://schemas.openxmlformats.org/officeDocument/2006/relationships/image" Target="media/image325.wmf"/><Relationship Id="rId998" Type="http://schemas.openxmlformats.org/officeDocument/2006/relationships/hyperlink" Target="http://www.nature.com/nature/journal/v332/n6162/abs/332344a0.html" TargetMode="External"/><Relationship Id="rId1183" Type="http://schemas.openxmlformats.org/officeDocument/2006/relationships/chart" Target="charts/chart22.xml"/><Relationship Id="rId192" Type="http://schemas.openxmlformats.org/officeDocument/2006/relationships/image" Target="media/image83.wmf"/><Relationship Id="rId206" Type="http://schemas.openxmlformats.org/officeDocument/2006/relationships/image" Target="media/image90.wmf"/><Relationship Id="rId413" Type="http://schemas.openxmlformats.org/officeDocument/2006/relationships/image" Target="media/image157.wmf"/><Relationship Id="rId858" Type="http://schemas.openxmlformats.org/officeDocument/2006/relationships/image" Target="media/image374.wmf"/><Relationship Id="rId1043" Type="http://schemas.openxmlformats.org/officeDocument/2006/relationships/image" Target="media/image467.jpeg"/><Relationship Id="rId497" Type="http://schemas.openxmlformats.org/officeDocument/2006/relationships/oleObject" Target="embeddings/oleObject66.bin"/><Relationship Id="rId620" Type="http://schemas.openxmlformats.org/officeDocument/2006/relationships/oleObject" Target="embeddings/oleObject128.bin"/><Relationship Id="rId718" Type="http://schemas.openxmlformats.org/officeDocument/2006/relationships/oleObject" Target="embeddings/oleObject177.bin"/><Relationship Id="rId925" Type="http://schemas.openxmlformats.org/officeDocument/2006/relationships/image" Target="media/image411.wmf"/><Relationship Id="rId1250" Type="http://schemas.openxmlformats.org/officeDocument/2006/relationships/hyperlink" Target="http://www.setterfield.org/000docs/behaviorzpeapp2.html" TargetMode="External"/><Relationship Id="rId1348" Type="http://schemas.openxmlformats.org/officeDocument/2006/relationships/hyperlink" Target="http://en.wikipedia.org/wiki/21_Lutetia" TargetMode="External"/><Relationship Id="rId357" Type="http://schemas.openxmlformats.org/officeDocument/2006/relationships/hyperlink" Target="http://phys.org/news/2012-04-astronomers-vast-amounts-gas-black.html" TargetMode="External"/><Relationship Id="rId1110" Type="http://schemas.openxmlformats.org/officeDocument/2006/relationships/image" Target="media/image489.gif"/><Relationship Id="rId1194" Type="http://schemas.openxmlformats.org/officeDocument/2006/relationships/image" Target="media/image514.wmf"/><Relationship Id="rId1208" Type="http://schemas.openxmlformats.org/officeDocument/2006/relationships/image" Target="media/image521.wmf"/><Relationship Id="rId54" Type="http://schemas.openxmlformats.org/officeDocument/2006/relationships/image" Target="media/image27.gif"/><Relationship Id="rId217" Type="http://schemas.openxmlformats.org/officeDocument/2006/relationships/image" Target="media/image95.png"/><Relationship Id="rId564" Type="http://schemas.openxmlformats.org/officeDocument/2006/relationships/oleObject" Target="embeddings/oleObject100.bin"/><Relationship Id="rId771" Type="http://schemas.openxmlformats.org/officeDocument/2006/relationships/oleObject" Target="embeddings/oleObject204.bin"/><Relationship Id="rId869" Type="http://schemas.openxmlformats.org/officeDocument/2006/relationships/image" Target="media/image379.wmf"/><Relationship Id="rId424" Type="http://schemas.openxmlformats.org/officeDocument/2006/relationships/image" Target="media/image163.wmf"/><Relationship Id="rId631" Type="http://schemas.openxmlformats.org/officeDocument/2006/relationships/image" Target="media/image262.wmf"/><Relationship Id="rId729" Type="http://schemas.openxmlformats.org/officeDocument/2006/relationships/image" Target="media/image310.wmf"/><Relationship Id="rId1054" Type="http://schemas.openxmlformats.org/officeDocument/2006/relationships/hyperlink" Target="http://web.mit.edu/newsoffice/1999/convection-0331.html" TargetMode="External"/><Relationship Id="rId1261" Type="http://schemas.openxmlformats.org/officeDocument/2006/relationships/image" Target="media/image533.jpeg"/><Relationship Id="rId1359" Type="http://schemas.openxmlformats.org/officeDocument/2006/relationships/header" Target="header1.xml"/><Relationship Id="rId270" Type="http://schemas.openxmlformats.org/officeDocument/2006/relationships/image" Target="media/image107.emf"/><Relationship Id="rId936" Type="http://schemas.openxmlformats.org/officeDocument/2006/relationships/oleObject" Target="embeddings/oleObject283.bin"/><Relationship Id="rId1121" Type="http://schemas.openxmlformats.org/officeDocument/2006/relationships/hyperlink" Target="http://www.ncbi.nlm.nih.gov/pmc/articles/PMC1054220/pdf/plntphys00618-0160.pdf" TargetMode="External"/><Relationship Id="rId1219" Type="http://schemas.openxmlformats.org/officeDocument/2006/relationships/image" Target="media/image528.wmf"/><Relationship Id="rId65" Type="http://schemas.openxmlformats.org/officeDocument/2006/relationships/hyperlink" Target="http://www.zamandayolculuk.com/cetinbal/elementaryparticles.htm" TargetMode="External"/><Relationship Id="rId130" Type="http://schemas.openxmlformats.org/officeDocument/2006/relationships/hyperlink" Target="http://www.setterfield.org/000docs/cx3.html" TargetMode="External"/><Relationship Id="rId368" Type="http://schemas.openxmlformats.org/officeDocument/2006/relationships/hyperlink" Target="http://berkeley.edu/news/media/releases/2006/01/12_helical.shtml" TargetMode="External"/><Relationship Id="rId575" Type="http://schemas.openxmlformats.org/officeDocument/2006/relationships/image" Target="media/image234.wmf"/><Relationship Id="rId782" Type="http://schemas.openxmlformats.org/officeDocument/2006/relationships/image" Target="media/image336.wmf"/><Relationship Id="rId228" Type="http://schemas.openxmlformats.org/officeDocument/2006/relationships/image" Target="media/image102.jpeg"/><Relationship Id="rId435" Type="http://schemas.openxmlformats.org/officeDocument/2006/relationships/oleObject" Target="embeddings/oleObject37.bin"/><Relationship Id="rId642" Type="http://schemas.openxmlformats.org/officeDocument/2006/relationships/image" Target="media/image267.wmf"/><Relationship Id="rId1065" Type="http://schemas.openxmlformats.org/officeDocument/2006/relationships/hyperlink" Target="http://whc.unesco.org/en/activities/504/" TargetMode="External"/><Relationship Id="rId1272" Type="http://schemas.openxmlformats.org/officeDocument/2006/relationships/image" Target="media/image534.gif"/><Relationship Id="rId281" Type="http://schemas.openxmlformats.org/officeDocument/2006/relationships/image" Target="media/image116.png"/><Relationship Id="rId502" Type="http://schemas.openxmlformats.org/officeDocument/2006/relationships/image" Target="media/image198.wmf"/><Relationship Id="rId947" Type="http://schemas.openxmlformats.org/officeDocument/2006/relationships/hyperlink" Target="http://spiff.rit.edu/classes/phys314/lectures/mm_result/mm_result.html" TargetMode="External"/><Relationship Id="rId1132" Type="http://schemas.openxmlformats.org/officeDocument/2006/relationships/hyperlink" Target="http://pantherasonya.deviantart.com/art/Megafauna-Sizes-270438594" TargetMode="External"/><Relationship Id="rId76" Type="http://schemas.openxmlformats.org/officeDocument/2006/relationships/image" Target="media/image35.jpeg"/><Relationship Id="rId141" Type="http://schemas.openxmlformats.org/officeDocument/2006/relationships/hyperlink" Target="http://en.wikipedia.org/wiki/User:Brews_ohare" TargetMode="External"/><Relationship Id="rId379" Type="http://schemas.openxmlformats.org/officeDocument/2006/relationships/hyperlink" Target="http://csep10.phys.utk.edu/astr162/lect/galaxies/elliptical.html" TargetMode="External"/><Relationship Id="rId586" Type="http://schemas.openxmlformats.org/officeDocument/2006/relationships/oleObject" Target="embeddings/oleObject111.bin"/><Relationship Id="rId793" Type="http://schemas.openxmlformats.org/officeDocument/2006/relationships/oleObject" Target="embeddings/oleObject215.bin"/><Relationship Id="rId807" Type="http://schemas.openxmlformats.org/officeDocument/2006/relationships/image" Target="media/image349.wmf"/><Relationship Id="rId7" Type="http://schemas.openxmlformats.org/officeDocument/2006/relationships/endnotes" Target="endnotes.xml"/><Relationship Id="rId239" Type="http://schemas.openxmlformats.org/officeDocument/2006/relationships/hyperlink" Target="http://arxiv.org/abs/astro-ph/9805200" TargetMode="External"/><Relationship Id="rId446" Type="http://schemas.openxmlformats.org/officeDocument/2006/relationships/image" Target="media/image173.wmf"/><Relationship Id="rId653" Type="http://schemas.openxmlformats.org/officeDocument/2006/relationships/image" Target="media/image272.wmf"/><Relationship Id="rId1076" Type="http://schemas.openxmlformats.org/officeDocument/2006/relationships/hyperlink" Target="http://www.sciencedirect.com/science/article/pii/S0094576507003281" TargetMode="External"/><Relationship Id="rId1283" Type="http://schemas.openxmlformats.org/officeDocument/2006/relationships/oleObject" Target="embeddings/oleObject333.bin"/><Relationship Id="rId292" Type="http://schemas.openxmlformats.org/officeDocument/2006/relationships/hyperlink" Target="http://arxiv.org/abs/1106.4784" TargetMode="External"/><Relationship Id="rId306" Type="http://schemas.openxmlformats.org/officeDocument/2006/relationships/image" Target="media/image132.jpeg"/><Relationship Id="rId860" Type="http://schemas.openxmlformats.org/officeDocument/2006/relationships/image" Target="media/image375.wmf"/><Relationship Id="rId958" Type="http://schemas.openxmlformats.org/officeDocument/2006/relationships/hyperlink" Target="http://www.astronet.ru/db/xware/msg/1222015/cl0024dark_hst_big.jpg.html" TargetMode="External"/><Relationship Id="rId1143" Type="http://schemas.openxmlformats.org/officeDocument/2006/relationships/image" Target="media/image490.wmf"/><Relationship Id="rId87" Type="http://schemas.openxmlformats.org/officeDocument/2006/relationships/chart" Target="charts/chart3.xml"/><Relationship Id="rId513" Type="http://schemas.openxmlformats.org/officeDocument/2006/relationships/oleObject" Target="embeddings/oleObject74.bin"/><Relationship Id="rId597" Type="http://schemas.openxmlformats.org/officeDocument/2006/relationships/image" Target="media/image245.wmf"/><Relationship Id="rId720" Type="http://schemas.openxmlformats.org/officeDocument/2006/relationships/oleObject" Target="embeddings/oleObject178.bin"/><Relationship Id="rId818" Type="http://schemas.openxmlformats.org/officeDocument/2006/relationships/oleObject" Target="embeddings/oleObject227.bin"/><Relationship Id="rId1350" Type="http://schemas.openxmlformats.org/officeDocument/2006/relationships/hyperlink" Target="http://www.mapcis.net/mapcis_research.html" TargetMode="External"/><Relationship Id="rId152" Type="http://schemas.openxmlformats.org/officeDocument/2006/relationships/hyperlink" Target="http://www.daviddarling.info/encyclopedia/S/speedlight.html" TargetMode="External"/><Relationship Id="rId457" Type="http://schemas.openxmlformats.org/officeDocument/2006/relationships/oleObject" Target="embeddings/oleObject47.bin"/><Relationship Id="rId1003" Type="http://schemas.openxmlformats.org/officeDocument/2006/relationships/hyperlink" Target="http://nuclearpowertraining.tpub.com/h1019v1/css/h1019v1_49.htm" TargetMode="External"/><Relationship Id="rId1087" Type="http://schemas.openxmlformats.org/officeDocument/2006/relationships/hyperlink" Target="http://www.earthlyissues.com/supervolcano.htm" TargetMode="External"/><Relationship Id="rId1210" Type="http://schemas.openxmlformats.org/officeDocument/2006/relationships/image" Target="media/image522.wmf"/><Relationship Id="rId1294" Type="http://schemas.openxmlformats.org/officeDocument/2006/relationships/hyperlink" Target="http://www.setterfield.org/000docs/behaviorzpeapp8.html" TargetMode="External"/><Relationship Id="rId1308" Type="http://schemas.openxmlformats.org/officeDocument/2006/relationships/image" Target="media/image542.jpeg"/><Relationship Id="rId664" Type="http://schemas.openxmlformats.org/officeDocument/2006/relationships/oleObject" Target="embeddings/oleObject150.bin"/><Relationship Id="rId871" Type="http://schemas.openxmlformats.org/officeDocument/2006/relationships/image" Target="media/image380.wmf"/><Relationship Id="rId969" Type="http://schemas.openxmlformats.org/officeDocument/2006/relationships/hyperlink" Target="http://www.setterfield.org/000docs/behaviorzpeapp4.html" TargetMode="External"/><Relationship Id="rId14" Type="http://schemas.openxmlformats.org/officeDocument/2006/relationships/image" Target="media/image7.jpeg"/><Relationship Id="rId317" Type="http://schemas.openxmlformats.org/officeDocument/2006/relationships/image" Target="media/image141.jpeg"/><Relationship Id="rId524" Type="http://schemas.openxmlformats.org/officeDocument/2006/relationships/image" Target="media/image209.wmf"/><Relationship Id="rId731" Type="http://schemas.openxmlformats.org/officeDocument/2006/relationships/image" Target="media/image311.wmf"/><Relationship Id="rId1154" Type="http://schemas.openxmlformats.org/officeDocument/2006/relationships/oleObject" Target="embeddings/oleObject294.bin"/><Relationship Id="rId1361" Type="http://schemas.openxmlformats.org/officeDocument/2006/relationships/footer" Target="footer1.xml"/><Relationship Id="rId98" Type="http://schemas.openxmlformats.org/officeDocument/2006/relationships/chart" Target="charts/chart6.xml"/><Relationship Id="rId163" Type="http://schemas.openxmlformats.org/officeDocument/2006/relationships/hyperlink" Target="http://en.wikipedia.org/wiki/Inductance" TargetMode="External"/><Relationship Id="rId370" Type="http://schemas.openxmlformats.org/officeDocument/2006/relationships/hyperlink" Target="http://www.thunderbolts.info/tpod/2005/arch05/051031plasma.htm" TargetMode="External"/><Relationship Id="rId829" Type="http://schemas.openxmlformats.org/officeDocument/2006/relationships/oleObject" Target="embeddings/oleObject233.bin"/><Relationship Id="rId1014" Type="http://schemas.openxmlformats.org/officeDocument/2006/relationships/image" Target="media/image439.jpeg"/><Relationship Id="rId1221" Type="http://schemas.openxmlformats.org/officeDocument/2006/relationships/image" Target="media/image529.wmf"/><Relationship Id="rId230" Type="http://schemas.openxmlformats.org/officeDocument/2006/relationships/image" Target="media/image104.jpeg"/><Relationship Id="rId468" Type="http://schemas.openxmlformats.org/officeDocument/2006/relationships/image" Target="media/image184.wmf"/><Relationship Id="rId675" Type="http://schemas.openxmlformats.org/officeDocument/2006/relationships/image" Target="media/image283.wmf"/><Relationship Id="rId882" Type="http://schemas.openxmlformats.org/officeDocument/2006/relationships/oleObject" Target="embeddings/oleObject260.bin"/><Relationship Id="rId1098" Type="http://schemas.openxmlformats.org/officeDocument/2006/relationships/image" Target="media/image477.png"/><Relationship Id="rId1319" Type="http://schemas.openxmlformats.org/officeDocument/2006/relationships/image" Target="media/image553.jpeg"/><Relationship Id="rId25" Type="http://schemas.openxmlformats.org/officeDocument/2006/relationships/image" Target="media/image17.jpeg"/><Relationship Id="rId328" Type="http://schemas.openxmlformats.org/officeDocument/2006/relationships/hyperlink" Target="http://en.wikipedia.org/wiki/Solids" TargetMode="External"/><Relationship Id="rId535" Type="http://schemas.openxmlformats.org/officeDocument/2006/relationships/oleObject" Target="embeddings/oleObject85.bin"/><Relationship Id="rId742" Type="http://schemas.openxmlformats.org/officeDocument/2006/relationships/oleObject" Target="embeddings/oleObject189.bin"/><Relationship Id="rId1165" Type="http://schemas.openxmlformats.org/officeDocument/2006/relationships/oleObject" Target="embeddings/oleObject301.bin"/><Relationship Id="rId174" Type="http://schemas.openxmlformats.org/officeDocument/2006/relationships/image" Target="media/image70.jpeg"/><Relationship Id="rId381" Type="http://schemas.openxmlformats.org/officeDocument/2006/relationships/hyperlink" Target="http://theastronomist.fieldofscience.com/2010/11/milky-way-hides-gamma-ray-lobes.html" TargetMode="External"/><Relationship Id="rId602" Type="http://schemas.openxmlformats.org/officeDocument/2006/relationships/oleObject" Target="embeddings/oleObject119.bin"/><Relationship Id="rId1025" Type="http://schemas.openxmlformats.org/officeDocument/2006/relationships/image" Target="media/image450.jpeg"/><Relationship Id="rId1232" Type="http://schemas.openxmlformats.org/officeDocument/2006/relationships/hyperlink" Target="http://www.web-books.com/eLibrary/Medicine/Physiology/Nervous/Nervous.htm" TargetMode="External"/><Relationship Id="rId241" Type="http://schemas.openxmlformats.org/officeDocument/2006/relationships/hyperlink" Target="http://arxiv.org/abs/astro-ph/0208076" TargetMode="External"/><Relationship Id="rId479" Type="http://schemas.openxmlformats.org/officeDocument/2006/relationships/hyperlink" Target="http://www.setterfield.org/000docs/behaviorzpeapp7.html" TargetMode="External"/><Relationship Id="rId686" Type="http://schemas.openxmlformats.org/officeDocument/2006/relationships/oleObject" Target="embeddings/oleObject161.bin"/><Relationship Id="rId893" Type="http://schemas.openxmlformats.org/officeDocument/2006/relationships/image" Target="media/image391.wmf"/><Relationship Id="rId907" Type="http://schemas.openxmlformats.org/officeDocument/2006/relationships/image" Target="media/image398.wmf"/><Relationship Id="rId36" Type="http://schemas.openxmlformats.org/officeDocument/2006/relationships/hyperlink" Target="http://www.astrobio.nau.edu/~koerner/ast180/lectures/lec23.html" TargetMode="External"/><Relationship Id="rId339" Type="http://schemas.openxmlformats.org/officeDocument/2006/relationships/hyperlink" Target="http://plasmascience.net/tpu/CIV.html" TargetMode="External"/><Relationship Id="rId546" Type="http://schemas.openxmlformats.org/officeDocument/2006/relationships/image" Target="media/image220.wmf"/><Relationship Id="rId753" Type="http://schemas.openxmlformats.org/officeDocument/2006/relationships/oleObject" Target="embeddings/oleObject195.bin"/><Relationship Id="rId1176" Type="http://schemas.openxmlformats.org/officeDocument/2006/relationships/image" Target="media/image505.wmf"/><Relationship Id="rId101" Type="http://schemas.openxmlformats.org/officeDocument/2006/relationships/image" Target="media/image53.jpeg"/><Relationship Id="rId185" Type="http://schemas.openxmlformats.org/officeDocument/2006/relationships/image" Target="media/image80.gif"/><Relationship Id="rId406" Type="http://schemas.openxmlformats.org/officeDocument/2006/relationships/oleObject" Target="embeddings/oleObject26.bin"/><Relationship Id="rId960" Type="http://schemas.openxmlformats.org/officeDocument/2006/relationships/hyperlink" Target="http://arstechnica.com/science/2012/07/dark-matter-is-the-thread-connecting-galaxy-clusters/" TargetMode="External"/><Relationship Id="rId1036" Type="http://schemas.openxmlformats.org/officeDocument/2006/relationships/image" Target="media/image460.jpeg"/><Relationship Id="rId1243" Type="http://schemas.openxmlformats.org/officeDocument/2006/relationships/hyperlink" Target="http://www.setterfield.org/000docs/behaviorzpeapp2.html" TargetMode="External"/><Relationship Id="rId392" Type="http://schemas.openxmlformats.org/officeDocument/2006/relationships/hyperlink" Target="http://abyss.uoregon.edu/~js/ast121/lectures/tharsis.html" TargetMode="External"/><Relationship Id="rId613" Type="http://schemas.openxmlformats.org/officeDocument/2006/relationships/image" Target="media/image253.wmf"/><Relationship Id="rId697" Type="http://schemas.openxmlformats.org/officeDocument/2006/relationships/image" Target="media/image294.wmf"/><Relationship Id="rId820" Type="http://schemas.openxmlformats.org/officeDocument/2006/relationships/oleObject" Target="embeddings/oleObject228.bin"/><Relationship Id="rId918" Type="http://schemas.openxmlformats.org/officeDocument/2006/relationships/image" Target="media/image405.jpeg"/><Relationship Id="rId252" Type="http://schemas.openxmlformats.org/officeDocument/2006/relationships/hyperlink" Target="http://en.wikipedia.org/wiki/File:Redshift.png" TargetMode="External"/><Relationship Id="rId1103" Type="http://schemas.openxmlformats.org/officeDocument/2006/relationships/image" Target="media/image482.jpeg"/><Relationship Id="rId1187" Type="http://schemas.openxmlformats.org/officeDocument/2006/relationships/oleObject" Target="embeddings/oleObject310.bin"/><Relationship Id="rId1310" Type="http://schemas.openxmlformats.org/officeDocument/2006/relationships/image" Target="media/image544.jpeg"/><Relationship Id="rId47" Type="http://schemas.openxmlformats.org/officeDocument/2006/relationships/image" Target="media/image22.wmf"/><Relationship Id="rId112" Type="http://schemas.openxmlformats.org/officeDocument/2006/relationships/image" Target="media/image60.jpeg"/><Relationship Id="rId557" Type="http://schemas.openxmlformats.org/officeDocument/2006/relationships/image" Target="media/image225.wmf"/><Relationship Id="rId764" Type="http://schemas.openxmlformats.org/officeDocument/2006/relationships/image" Target="media/image327.wmf"/><Relationship Id="rId971" Type="http://schemas.openxmlformats.org/officeDocument/2006/relationships/hyperlink" Target="http://www.setterfield.org/000docs/behaviorzpeapp4.html" TargetMode="External"/><Relationship Id="rId196" Type="http://schemas.openxmlformats.org/officeDocument/2006/relationships/image" Target="media/image85.wmf"/><Relationship Id="rId417" Type="http://schemas.openxmlformats.org/officeDocument/2006/relationships/image" Target="media/image159.wmf"/><Relationship Id="rId624" Type="http://schemas.openxmlformats.org/officeDocument/2006/relationships/oleObject" Target="embeddings/oleObject130.bin"/><Relationship Id="rId831" Type="http://schemas.openxmlformats.org/officeDocument/2006/relationships/oleObject" Target="embeddings/oleObject234.bin"/><Relationship Id="rId1047" Type="http://schemas.openxmlformats.org/officeDocument/2006/relationships/image" Target="media/image471.jpeg"/><Relationship Id="rId1254" Type="http://schemas.openxmlformats.org/officeDocument/2006/relationships/hyperlink" Target="http://www.setterfield.org/000docs/behaviorzpeapp2.html" TargetMode="External"/><Relationship Id="rId263" Type="http://schemas.openxmlformats.org/officeDocument/2006/relationships/hyperlink" Target="http://thisquantumworld.com/wp/the-technique-of-quantum-mechanics/from-bohr-to-de-broglie/" TargetMode="External"/><Relationship Id="rId470" Type="http://schemas.openxmlformats.org/officeDocument/2006/relationships/image" Target="media/image185.wmf"/><Relationship Id="rId929" Type="http://schemas.openxmlformats.org/officeDocument/2006/relationships/image" Target="media/image413.wmf"/><Relationship Id="rId1114" Type="http://schemas.openxmlformats.org/officeDocument/2006/relationships/hyperlink" Target="http://opa.yale.edu/news/article.aspx?id=2010" TargetMode="External"/><Relationship Id="rId1321" Type="http://schemas.openxmlformats.org/officeDocument/2006/relationships/image" Target="media/image555.jpeg"/><Relationship Id="rId58" Type="http://schemas.openxmlformats.org/officeDocument/2006/relationships/image" Target="media/image29.jpeg"/><Relationship Id="rId123" Type="http://schemas.openxmlformats.org/officeDocument/2006/relationships/chart" Target="charts/chart10.xml"/><Relationship Id="rId330" Type="http://schemas.openxmlformats.org/officeDocument/2006/relationships/hyperlink" Target="http://en.wikipedia.org/wiki/Solvation" TargetMode="External"/><Relationship Id="rId568" Type="http://schemas.openxmlformats.org/officeDocument/2006/relationships/oleObject" Target="embeddings/oleObject102.bin"/><Relationship Id="rId775" Type="http://schemas.openxmlformats.org/officeDocument/2006/relationships/oleObject" Target="embeddings/oleObject206.bin"/><Relationship Id="rId982" Type="http://schemas.openxmlformats.org/officeDocument/2006/relationships/image" Target="media/image430.jpeg"/><Relationship Id="rId1198" Type="http://schemas.openxmlformats.org/officeDocument/2006/relationships/image" Target="media/image516.wmf"/><Relationship Id="rId428" Type="http://schemas.openxmlformats.org/officeDocument/2006/relationships/image" Target="media/image165.wmf"/><Relationship Id="rId635" Type="http://schemas.openxmlformats.org/officeDocument/2006/relationships/image" Target="media/image264.wmf"/><Relationship Id="rId842" Type="http://schemas.openxmlformats.org/officeDocument/2006/relationships/image" Target="media/image366.wmf"/><Relationship Id="rId1058" Type="http://schemas.openxmlformats.org/officeDocument/2006/relationships/hyperlink" Target="http://www.worldnpa.org/site/abstract/?abstractid=6482" TargetMode="External"/><Relationship Id="rId1265" Type="http://schemas.openxmlformats.org/officeDocument/2006/relationships/hyperlink" Target="http://www.setterfield.org/000docs/behaviorzpeapp2.html" TargetMode="External"/><Relationship Id="rId274" Type="http://schemas.openxmlformats.org/officeDocument/2006/relationships/image" Target="media/image110.jpeg"/><Relationship Id="rId481" Type="http://schemas.openxmlformats.org/officeDocument/2006/relationships/oleObject" Target="embeddings/oleObject58.bin"/><Relationship Id="rId702" Type="http://schemas.openxmlformats.org/officeDocument/2006/relationships/oleObject" Target="embeddings/oleObject169.bin"/><Relationship Id="rId1125" Type="http://schemas.openxmlformats.org/officeDocument/2006/relationships/hyperlink" Target="http://nuweb5.neu.edu/vollmerlabwp/biology-of-corals/coral-calcification/" TargetMode="External"/><Relationship Id="rId1332" Type="http://schemas.openxmlformats.org/officeDocument/2006/relationships/image" Target="media/image566.jpeg"/><Relationship Id="rId69" Type="http://schemas.openxmlformats.org/officeDocument/2006/relationships/hyperlink" Target="http://astronomy.ua.edu/keel/agn/forest.html" TargetMode="External"/><Relationship Id="rId134" Type="http://schemas.openxmlformats.org/officeDocument/2006/relationships/hyperlink" Target="http://www.olympusmicro.com/primer/lightandcolor/speedoflight.html" TargetMode="External"/><Relationship Id="rId579" Type="http://schemas.openxmlformats.org/officeDocument/2006/relationships/image" Target="media/image236.wmf"/><Relationship Id="rId786" Type="http://schemas.openxmlformats.org/officeDocument/2006/relationships/image" Target="media/image338.wmf"/><Relationship Id="rId993" Type="http://schemas.openxmlformats.org/officeDocument/2006/relationships/hyperlink" Target="http://en.wikipedia.org/wiki/Physical_Review_Letters" TargetMode="External"/><Relationship Id="rId341" Type="http://schemas.openxmlformats.org/officeDocument/2006/relationships/hyperlink" Target="http://www.nasa.gov/images/content/54346main_m81_highres.jpg" TargetMode="External"/><Relationship Id="rId439" Type="http://schemas.openxmlformats.org/officeDocument/2006/relationships/image" Target="media/image170.wmf"/><Relationship Id="rId646" Type="http://schemas.openxmlformats.org/officeDocument/2006/relationships/image" Target="media/image269.wmf"/><Relationship Id="rId1069" Type="http://schemas.openxmlformats.org/officeDocument/2006/relationships/hyperlink" Target="http://englishclass.jp/reading/topic/Impact_structure" TargetMode="External"/><Relationship Id="rId1276" Type="http://schemas.openxmlformats.org/officeDocument/2006/relationships/oleObject" Target="embeddings/oleObject326.bin"/><Relationship Id="rId201" Type="http://schemas.openxmlformats.org/officeDocument/2006/relationships/oleObject" Target="embeddings/oleObject12.bin"/><Relationship Id="rId285" Type="http://schemas.openxmlformats.org/officeDocument/2006/relationships/hyperlink" Target="http://en.wikipedia.org/wiki/Magnetic_field" TargetMode="External"/><Relationship Id="rId506" Type="http://schemas.openxmlformats.org/officeDocument/2006/relationships/image" Target="media/image200.wmf"/><Relationship Id="rId853" Type="http://schemas.openxmlformats.org/officeDocument/2006/relationships/oleObject" Target="embeddings/oleObject245.bin"/><Relationship Id="rId1136" Type="http://schemas.openxmlformats.org/officeDocument/2006/relationships/hyperlink" Target="http://www.setterfield.org/zpe_giantism.html" TargetMode="External"/><Relationship Id="rId492" Type="http://schemas.openxmlformats.org/officeDocument/2006/relationships/oleObject" Target="embeddings/oleObject64.bin"/><Relationship Id="rId713" Type="http://schemas.openxmlformats.org/officeDocument/2006/relationships/image" Target="media/image302.wmf"/><Relationship Id="rId797" Type="http://schemas.openxmlformats.org/officeDocument/2006/relationships/oleObject" Target="embeddings/oleObject217.bin"/><Relationship Id="rId920" Type="http://schemas.openxmlformats.org/officeDocument/2006/relationships/image" Target="media/image407.jpeg"/><Relationship Id="rId1343" Type="http://schemas.openxmlformats.org/officeDocument/2006/relationships/image" Target="media/image577.jpeg"/><Relationship Id="rId145" Type="http://schemas.openxmlformats.org/officeDocument/2006/relationships/hyperlink" Target="http://dc270.4shared.com/doc/ZizRlyG8/preview.html" TargetMode="External"/><Relationship Id="rId352" Type="http://schemas.openxmlformats.org/officeDocument/2006/relationships/hyperlink" Target="http://www.physics.ccsu.edu/larsen/wmap.html" TargetMode="External"/><Relationship Id="rId1203" Type="http://schemas.openxmlformats.org/officeDocument/2006/relationships/oleObject" Target="embeddings/oleObject318.bin"/><Relationship Id="rId1287" Type="http://schemas.openxmlformats.org/officeDocument/2006/relationships/image" Target="media/image535.jpeg"/><Relationship Id="rId212" Type="http://schemas.openxmlformats.org/officeDocument/2006/relationships/image" Target="media/image93.wmf"/><Relationship Id="rId657" Type="http://schemas.openxmlformats.org/officeDocument/2006/relationships/image" Target="media/image274.wmf"/><Relationship Id="rId864" Type="http://schemas.openxmlformats.org/officeDocument/2006/relationships/oleObject" Target="embeddings/oleObject251.bin"/><Relationship Id="rId296" Type="http://schemas.openxmlformats.org/officeDocument/2006/relationships/image" Target="media/image122.jpeg"/><Relationship Id="rId517" Type="http://schemas.openxmlformats.org/officeDocument/2006/relationships/oleObject" Target="embeddings/oleObject76.bin"/><Relationship Id="rId724" Type="http://schemas.openxmlformats.org/officeDocument/2006/relationships/oleObject" Target="embeddings/oleObject180.bin"/><Relationship Id="rId931" Type="http://schemas.openxmlformats.org/officeDocument/2006/relationships/image" Target="media/image414.wmf"/><Relationship Id="rId1147" Type="http://schemas.openxmlformats.org/officeDocument/2006/relationships/image" Target="media/image492.wmf"/><Relationship Id="rId1354" Type="http://schemas.openxmlformats.org/officeDocument/2006/relationships/hyperlink" Target="http://www.msnbc.msn.com/id/13089686/ns/technology_and_science-space/t/antarctic-crater-linked-ancient-die-off/" TargetMode="External"/><Relationship Id="rId60" Type="http://schemas.openxmlformats.org/officeDocument/2006/relationships/hyperlink" Target="http://www.calphysics.org/questions.html" TargetMode="External"/><Relationship Id="rId156" Type="http://schemas.openxmlformats.org/officeDocument/2006/relationships/hyperlink" Target="http://www.staff.amu.edu.pl/~zbzw/ph/sci/aam.htm/" TargetMode="External"/><Relationship Id="rId363" Type="http://schemas.openxmlformats.org/officeDocument/2006/relationships/hyperlink" Target="https://www.llnl.gov/news/newsreleases/2011/Apr/NR-11-04-04.html" TargetMode="External"/><Relationship Id="rId570" Type="http://schemas.openxmlformats.org/officeDocument/2006/relationships/oleObject" Target="embeddings/oleObject103.bin"/><Relationship Id="rId1007" Type="http://schemas.openxmlformats.org/officeDocument/2006/relationships/hyperlink" Target="http://en.wikipedia.org/wiki/Chondrule" TargetMode="External"/><Relationship Id="rId1214" Type="http://schemas.openxmlformats.org/officeDocument/2006/relationships/image" Target="media/image524.wmf"/><Relationship Id="rId223" Type="http://schemas.openxmlformats.org/officeDocument/2006/relationships/oleObject" Target="embeddings/oleObject21.bin"/><Relationship Id="rId430" Type="http://schemas.openxmlformats.org/officeDocument/2006/relationships/image" Target="media/image166.wmf"/><Relationship Id="rId668" Type="http://schemas.openxmlformats.org/officeDocument/2006/relationships/oleObject" Target="embeddings/oleObject152.bin"/><Relationship Id="rId875" Type="http://schemas.openxmlformats.org/officeDocument/2006/relationships/image" Target="media/image382.wmf"/><Relationship Id="rId1060" Type="http://schemas.openxmlformats.org/officeDocument/2006/relationships/hyperlink" Target="http://uanews.org/node/5107" TargetMode="External"/><Relationship Id="rId1298" Type="http://schemas.openxmlformats.org/officeDocument/2006/relationships/hyperlink" Target="http://arxiv.org/abs/astro-ph/0305536" TargetMode="External"/><Relationship Id="rId18" Type="http://schemas.openxmlformats.org/officeDocument/2006/relationships/image" Target="media/image10.jpeg"/><Relationship Id="rId528" Type="http://schemas.openxmlformats.org/officeDocument/2006/relationships/image" Target="media/image211.wmf"/><Relationship Id="rId735" Type="http://schemas.openxmlformats.org/officeDocument/2006/relationships/image" Target="media/image313.wmf"/><Relationship Id="rId942" Type="http://schemas.openxmlformats.org/officeDocument/2006/relationships/oleObject" Target="embeddings/oleObject286.bin"/><Relationship Id="rId1158" Type="http://schemas.openxmlformats.org/officeDocument/2006/relationships/image" Target="media/image496.wmf"/><Relationship Id="rId167" Type="http://schemas.openxmlformats.org/officeDocument/2006/relationships/chart" Target="charts/chart15.xml"/><Relationship Id="rId374" Type="http://schemas.openxmlformats.org/officeDocument/2006/relationships/hyperlink" Target="http://www.holoscience.com/wp/the-spiral-galaxy-at-saturns-pole/" TargetMode="External"/><Relationship Id="rId581" Type="http://schemas.openxmlformats.org/officeDocument/2006/relationships/image" Target="media/image237.wmf"/><Relationship Id="rId1018" Type="http://schemas.openxmlformats.org/officeDocument/2006/relationships/image" Target="media/image443.jpeg"/><Relationship Id="rId1225" Type="http://schemas.openxmlformats.org/officeDocument/2006/relationships/hyperlink" Target="http://arxiv.org/abs/astro-ph/0110012" TargetMode="External"/><Relationship Id="rId71" Type="http://schemas.openxmlformats.org/officeDocument/2006/relationships/image" Target="media/image32.jpeg"/><Relationship Id="rId234" Type="http://schemas.openxmlformats.org/officeDocument/2006/relationships/hyperlink" Target="http://www.orionfdn.org/papers/arxiv-1.htm" TargetMode="External"/><Relationship Id="rId679" Type="http://schemas.openxmlformats.org/officeDocument/2006/relationships/image" Target="media/image285.wmf"/><Relationship Id="rId802" Type="http://schemas.openxmlformats.org/officeDocument/2006/relationships/oleObject" Target="embeddings/oleObject219.bin"/><Relationship Id="rId886" Type="http://schemas.openxmlformats.org/officeDocument/2006/relationships/oleObject" Target="embeddings/oleObject262.bin"/><Relationship Id="rId2" Type="http://schemas.openxmlformats.org/officeDocument/2006/relationships/numbering" Target="numbering.xml"/><Relationship Id="rId29" Type="http://schemas.openxmlformats.org/officeDocument/2006/relationships/hyperlink" Target="http://www.mni.mcgill.ca/media/publications/neuroscienceletter/june09/colman/" TargetMode="External"/><Relationship Id="rId441" Type="http://schemas.openxmlformats.org/officeDocument/2006/relationships/image" Target="media/image171.wmf"/><Relationship Id="rId539" Type="http://schemas.openxmlformats.org/officeDocument/2006/relationships/oleObject" Target="embeddings/oleObject87.bin"/><Relationship Id="rId746" Type="http://schemas.openxmlformats.org/officeDocument/2006/relationships/image" Target="media/image318.wmf"/><Relationship Id="rId1071" Type="http://schemas.openxmlformats.org/officeDocument/2006/relationships/hyperlink" Target="http://www.msnbc.msn.com/id/13089686/ns/technology_and_science-space/t/antarctic-crater-linked-ancient-die-off/" TargetMode="External"/><Relationship Id="rId1169" Type="http://schemas.openxmlformats.org/officeDocument/2006/relationships/oleObject" Target="embeddings/oleObject303.bin"/><Relationship Id="rId178" Type="http://schemas.openxmlformats.org/officeDocument/2006/relationships/chart" Target="charts/chart17.xml"/><Relationship Id="rId301" Type="http://schemas.openxmlformats.org/officeDocument/2006/relationships/image" Target="media/image127.gif"/><Relationship Id="rId953" Type="http://schemas.openxmlformats.org/officeDocument/2006/relationships/hyperlink" Target="http://www.calphysics.org/rindler.html" TargetMode="External"/><Relationship Id="rId1029" Type="http://schemas.openxmlformats.org/officeDocument/2006/relationships/image" Target="media/image453.jpeg"/><Relationship Id="rId1236" Type="http://schemas.openxmlformats.org/officeDocument/2006/relationships/chart" Target="charts/chart24.xml"/><Relationship Id="rId82" Type="http://schemas.openxmlformats.org/officeDocument/2006/relationships/image" Target="media/image39.jpeg"/><Relationship Id="rId385" Type="http://schemas.openxmlformats.org/officeDocument/2006/relationships/hyperlink" Target="http://www.holoscience.com/wp/electric-galaxies/" TargetMode="External"/><Relationship Id="rId592" Type="http://schemas.openxmlformats.org/officeDocument/2006/relationships/oleObject" Target="embeddings/oleObject114.bin"/><Relationship Id="rId606" Type="http://schemas.openxmlformats.org/officeDocument/2006/relationships/oleObject" Target="embeddings/oleObject121.bin"/><Relationship Id="rId813" Type="http://schemas.openxmlformats.org/officeDocument/2006/relationships/image" Target="media/image352.wmf"/><Relationship Id="rId245" Type="http://schemas.openxmlformats.org/officeDocument/2006/relationships/hyperlink" Target="http://arxiv.org/abs/astro-ph/0311381" TargetMode="External"/><Relationship Id="rId452" Type="http://schemas.openxmlformats.org/officeDocument/2006/relationships/image" Target="media/image176.wmf"/><Relationship Id="rId897" Type="http://schemas.openxmlformats.org/officeDocument/2006/relationships/image" Target="media/image393.wmf"/><Relationship Id="rId1082" Type="http://schemas.openxmlformats.org/officeDocument/2006/relationships/hyperlink" Target="http://astroprofspage.com/archives/1479" TargetMode="External"/><Relationship Id="rId1303" Type="http://schemas.openxmlformats.org/officeDocument/2006/relationships/hyperlink" Target="http://en.wikipedia.org/wiki/Crab_Pulsar" TargetMode="External"/><Relationship Id="rId105" Type="http://schemas.openxmlformats.org/officeDocument/2006/relationships/hyperlink" Target="http://www.setterfield.org/000docs/cx3.html" TargetMode="External"/><Relationship Id="rId312" Type="http://schemas.openxmlformats.org/officeDocument/2006/relationships/oleObject" Target="embeddings/oleObject25.bin"/><Relationship Id="rId757" Type="http://schemas.openxmlformats.org/officeDocument/2006/relationships/oleObject" Target="embeddings/oleObject197.bin"/><Relationship Id="rId964" Type="http://schemas.openxmlformats.org/officeDocument/2006/relationships/image" Target="media/image422.gif"/><Relationship Id="rId93" Type="http://schemas.openxmlformats.org/officeDocument/2006/relationships/image" Target="media/image48.jpeg"/><Relationship Id="rId189" Type="http://schemas.openxmlformats.org/officeDocument/2006/relationships/oleObject" Target="embeddings/oleObject6.bin"/><Relationship Id="rId396" Type="http://schemas.openxmlformats.org/officeDocument/2006/relationships/hyperlink" Target="http://www.setterfield.org/Astronomy_Lesson_3.html" TargetMode="External"/><Relationship Id="rId617" Type="http://schemas.openxmlformats.org/officeDocument/2006/relationships/image" Target="media/image255.wmf"/><Relationship Id="rId824" Type="http://schemas.openxmlformats.org/officeDocument/2006/relationships/oleObject" Target="embeddings/oleObject230.bin"/><Relationship Id="rId1247" Type="http://schemas.openxmlformats.org/officeDocument/2006/relationships/hyperlink" Target="http://www.setterfield.org/000docs/behaviorzpeapp2.html" TargetMode="External"/><Relationship Id="rId256" Type="http://schemas.openxmlformats.org/officeDocument/2006/relationships/hyperlink" Target="http://www.astrobio.nau.edu/~koerner/ast180/lectures/lec23.html" TargetMode="External"/><Relationship Id="rId463" Type="http://schemas.openxmlformats.org/officeDocument/2006/relationships/package" Target="embeddings/Microsoft_Office_PowerPoint_Slide27.sldx"/><Relationship Id="rId670" Type="http://schemas.openxmlformats.org/officeDocument/2006/relationships/oleObject" Target="embeddings/oleObject153.bin"/><Relationship Id="rId1093" Type="http://schemas.openxmlformats.org/officeDocument/2006/relationships/image" Target="media/image472.jpeg"/><Relationship Id="rId1107" Type="http://schemas.openxmlformats.org/officeDocument/2006/relationships/image" Target="media/image486.jpeg"/><Relationship Id="rId1314" Type="http://schemas.openxmlformats.org/officeDocument/2006/relationships/image" Target="media/image548.jpeg"/><Relationship Id="rId116" Type="http://schemas.openxmlformats.org/officeDocument/2006/relationships/image" Target="media/image64.jpeg"/><Relationship Id="rId323" Type="http://schemas.openxmlformats.org/officeDocument/2006/relationships/image" Target="media/image146.jpeg"/><Relationship Id="rId530" Type="http://schemas.openxmlformats.org/officeDocument/2006/relationships/image" Target="media/image212.wmf"/><Relationship Id="rId768" Type="http://schemas.openxmlformats.org/officeDocument/2006/relationships/image" Target="media/image329.wmf"/><Relationship Id="rId975" Type="http://schemas.openxmlformats.org/officeDocument/2006/relationships/hyperlink" Target="http://www.setterfield.org/000docs/behaviorzpeapp4.html" TargetMode="External"/><Relationship Id="rId1160" Type="http://schemas.openxmlformats.org/officeDocument/2006/relationships/image" Target="media/image497.wmf"/><Relationship Id="rId20" Type="http://schemas.openxmlformats.org/officeDocument/2006/relationships/image" Target="media/image12.jpeg"/><Relationship Id="rId628" Type="http://schemas.openxmlformats.org/officeDocument/2006/relationships/oleObject" Target="embeddings/oleObject132.bin"/><Relationship Id="rId835" Type="http://schemas.openxmlformats.org/officeDocument/2006/relationships/oleObject" Target="embeddings/oleObject236.bin"/><Relationship Id="rId1258" Type="http://schemas.openxmlformats.org/officeDocument/2006/relationships/hyperlink" Target="http://www.setterfield.org/000docs/behaviorzpeapp6.html" TargetMode="External"/><Relationship Id="rId267" Type="http://schemas.openxmlformats.org/officeDocument/2006/relationships/hyperlink" Target="http://en.wikipedia.org/wiki/Local_Supercluster" TargetMode="External"/><Relationship Id="rId474" Type="http://schemas.openxmlformats.org/officeDocument/2006/relationships/image" Target="media/image187.wmf"/><Relationship Id="rId1020" Type="http://schemas.openxmlformats.org/officeDocument/2006/relationships/image" Target="media/image445.jpeg"/><Relationship Id="rId1118" Type="http://schemas.openxmlformats.org/officeDocument/2006/relationships/hyperlink" Target="http://bioenergy.asu.edu/photosyn/education/photointro.html" TargetMode="External"/><Relationship Id="rId1325" Type="http://schemas.openxmlformats.org/officeDocument/2006/relationships/image" Target="media/image559.jpeg"/><Relationship Id="rId127" Type="http://schemas.openxmlformats.org/officeDocument/2006/relationships/oleObject" Target="embeddings/oleObject4.bin"/><Relationship Id="rId681" Type="http://schemas.openxmlformats.org/officeDocument/2006/relationships/image" Target="media/image286.wmf"/><Relationship Id="rId779" Type="http://schemas.openxmlformats.org/officeDocument/2006/relationships/oleObject" Target="embeddings/oleObject208.bin"/><Relationship Id="rId902" Type="http://schemas.openxmlformats.org/officeDocument/2006/relationships/oleObject" Target="embeddings/oleObject270.bin"/><Relationship Id="rId986" Type="http://schemas.openxmlformats.org/officeDocument/2006/relationships/hyperlink" Target="http://www.setterfield.org/000docs/behaviorzpeapp4.html" TargetMode="External"/><Relationship Id="rId31" Type="http://schemas.openxmlformats.org/officeDocument/2006/relationships/hyperlink" Target="http://www.sciencemadesimple.co.uk/page72g.html" TargetMode="External"/><Relationship Id="rId334" Type="http://schemas.openxmlformats.org/officeDocument/2006/relationships/hyperlink" Target="http://abcnews.go.com/Technology/story?id=4005338&amp;page=1" TargetMode="External"/><Relationship Id="rId541" Type="http://schemas.openxmlformats.org/officeDocument/2006/relationships/oleObject" Target="embeddings/oleObject88.bin"/><Relationship Id="rId639" Type="http://schemas.openxmlformats.org/officeDocument/2006/relationships/image" Target="media/image266.wmf"/><Relationship Id="rId1171" Type="http://schemas.openxmlformats.org/officeDocument/2006/relationships/oleObject" Target="embeddings/oleObject304.bin"/><Relationship Id="rId1269" Type="http://schemas.openxmlformats.org/officeDocument/2006/relationships/hyperlink" Target="http://www.astro.ljmu.ac.uk/courses/phys134/distance.html" TargetMode="External"/><Relationship Id="rId180" Type="http://schemas.openxmlformats.org/officeDocument/2006/relationships/image" Target="media/image75.jpeg"/><Relationship Id="rId278" Type="http://schemas.openxmlformats.org/officeDocument/2006/relationships/hyperlink" Target="http://www.thunderbolts.info/tpod/2005/arch05/051031plasma.htm" TargetMode="External"/><Relationship Id="rId401" Type="http://schemas.openxmlformats.org/officeDocument/2006/relationships/hyperlink" Target="http://www.holoscience.com/wp/synopsis/synopsis-5-electric-galaxies/" TargetMode="External"/><Relationship Id="rId846" Type="http://schemas.openxmlformats.org/officeDocument/2006/relationships/image" Target="media/image368.wmf"/><Relationship Id="rId1031" Type="http://schemas.openxmlformats.org/officeDocument/2006/relationships/image" Target="media/image455.jpeg"/><Relationship Id="rId1129" Type="http://schemas.openxmlformats.org/officeDocument/2006/relationships/hyperlink" Target="http://written-in-stone-seen-through-my-lens.blogspot.com/2012/06/eurypterid-eurypterus-remipes-is_29.html" TargetMode="External"/><Relationship Id="rId485" Type="http://schemas.openxmlformats.org/officeDocument/2006/relationships/image" Target="media/image190.wmf"/><Relationship Id="rId692" Type="http://schemas.openxmlformats.org/officeDocument/2006/relationships/oleObject" Target="embeddings/oleObject164.bin"/><Relationship Id="rId706" Type="http://schemas.openxmlformats.org/officeDocument/2006/relationships/oleObject" Target="embeddings/oleObject171.bin"/><Relationship Id="rId913" Type="http://schemas.openxmlformats.org/officeDocument/2006/relationships/image" Target="media/image401.wmf"/><Relationship Id="rId1336" Type="http://schemas.openxmlformats.org/officeDocument/2006/relationships/image" Target="media/image570.jpeg"/><Relationship Id="rId42" Type="http://schemas.openxmlformats.org/officeDocument/2006/relationships/hyperlink" Target="http://www.spacetelescope.org/projects/fits_liberator/fitsimages/danny_lacrue_11/" TargetMode="External"/><Relationship Id="rId138" Type="http://schemas.openxmlformats.org/officeDocument/2006/relationships/hyperlink" Target="http://christophercrockett.com/astrowow/aberration/" TargetMode="External"/><Relationship Id="rId345" Type="http://schemas.openxmlformats.org/officeDocument/2006/relationships/hyperlink" Target="http://www.damtp.cam.ac.uk/user/gr/public/gal_lss.html" TargetMode="External"/><Relationship Id="rId552" Type="http://schemas.openxmlformats.org/officeDocument/2006/relationships/image" Target="media/image223.wmf"/><Relationship Id="rId997" Type="http://schemas.openxmlformats.org/officeDocument/2006/relationships/hyperlink" Target="http://www1.ncdc.noaa.gov/pub/data/paleo/treering/measurements/northamerica/usa/ca535.rwl" TargetMode="External"/><Relationship Id="rId1182" Type="http://schemas.openxmlformats.org/officeDocument/2006/relationships/chart" Target="charts/chart21.xml"/><Relationship Id="rId191" Type="http://schemas.openxmlformats.org/officeDocument/2006/relationships/oleObject" Target="embeddings/oleObject7.bin"/><Relationship Id="rId205" Type="http://schemas.openxmlformats.org/officeDocument/2006/relationships/oleObject" Target="embeddings/oleObject14.bin"/><Relationship Id="rId412" Type="http://schemas.openxmlformats.org/officeDocument/2006/relationships/oleObject" Target="embeddings/oleObject29.bin"/><Relationship Id="rId857" Type="http://schemas.openxmlformats.org/officeDocument/2006/relationships/oleObject" Target="embeddings/oleObject247.bin"/><Relationship Id="rId1042" Type="http://schemas.openxmlformats.org/officeDocument/2006/relationships/image" Target="media/image466.jpeg"/><Relationship Id="rId289" Type="http://schemas.openxmlformats.org/officeDocument/2006/relationships/image" Target="media/image119.emf"/><Relationship Id="rId496" Type="http://schemas.openxmlformats.org/officeDocument/2006/relationships/image" Target="media/image195.wmf"/><Relationship Id="rId717" Type="http://schemas.openxmlformats.org/officeDocument/2006/relationships/image" Target="media/image304.wmf"/><Relationship Id="rId924" Type="http://schemas.openxmlformats.org/officeDocument/2006/relationships/oleObject" Target="embeddings/oleObject277.bin"/><Relationship Id="rId1347" Type="http://schemas.openxmlformats.org/officeDocument/2006/relationships/hyperlink" Target="http://www.csmonitor.com/layout/set/print/content/view/print/509389" TargetMode="External"/><Relationship Id="rId53" Type="http://schemas.openxmlformats.org/officeDocument/2006/relationships/image" Target="media/image26.jpeg"/><Relationship Id="rId149" Type="http://schemas.openxmlformats.org/officeDocument/2006/relationships/hyperlink" Target="http://www.theglasgowstory.com/image.php?inum=TGSS00023&amp;t=2&amp;urltp=search.php%3Fstart%3D180%26end%3D200%26what%3Duniversity%26where%3D%26who%3D%26period%3D0%26collection%3D0%26search%3D99" TargetMode="External"/><Relationship Id="rId356" Type="http://schemas.openxmlformats.org/officeDocument/2006/relationships/hyperlink" Target="http://www.setterfield.org/000docs/behaviorzpeapp3.html" TargetMode="External"/><Relationship Id="rId563" Type="http://schemas.openxmlformats.org/officeDocument/2006/relationships/image" Target="media/image228.wmf"/><Relationship Id="rId770" Type="http://schemas.openxmlformats.org/officeDocument/2006/relationships/image" Target="media/image330.wmf"/><Relationship Id="rId1193" Type="http://schemas.openxmlformats.org/officeDocument/2006/relationships/oleObject" Target="embeddings/oleObject313.bin"/><Relationship Id="rId1207" Type="http://schemas.openxmlformats.org/officeDocument/2006/relationships/oleObject" Target="embeddings/oleObject319.bin"/><Relationship Id="rId216" Type="http://schemas.openxmlformats.org/officeDocument/2006/relationships/chart" Target="charts/chart18.xml"/><Relationship Id="rId423" Type="http://schemas.openxmlformats.org/officeDocument/2006/relationships/package" Target="embeddings/Microsoft_Office_PowerPoint_Slide24.sldx"/><Relationship Id="rId868" Type="http://schemas.openxmlformats.org/officeDocument/2006/relationships/oleObject" Target="embeddings/oleObject253.bin"/><Relationship Id="rId1053" Type="http://schemas.openxmlformats.org/officeDocument/2006/relationships/hyperlink" Target="http://www.psrd.hawaii.edu/June02/ErosPorosity.html" TargetMode="External"/><Relationship Id="rId1260" Type="http://schemas.openxmlformats.org/officeDocument/2006/relationships/image" Target="media/image532.gif"/><Relationship Id="rId630" Type="http://schemas.openxmlformats.org/officeDocument/2006/relationships/oleObject" Target="embeddings/oleObject133.bin"/><Relationship Id="rId728" Type="http://schemas.openxmlformats.org/officeDocument/2006/relationships/oleObject" Target="embeddings/oleObject182.bin"/><Relationship Id="rId935" Type="http://schemas.openxmlformats.org/officeDocument/2006/relationships/image" Target="media/image416.wmf"/><Relationship Id="rId1358" Type="http://schemas.openxmlformats.org/officeDocument/2006/relationships/hyperlink" Target="http://www.setterfield.org" TargetMode="External"/><Relationship Id="rId64" Type="http://schemas.openxmlformats.org/officeDocument/2006/relationships/hyperlink" Target="http://www.calphysics.org/rindler.html" TargetMode="External"/><Relationship Id="rId367" Type="http://schemas.openxmlformats.org/officeDocument/2006/relationships/hyperlink" Target="http://cnx.org/content/m42341/latest/?collection=col11458/latest" TargetMode="External"/><Relationship Id="rId574" Type="http://schemas.openxmlformats.org/officeDocument/2006/relationships/oleObject" Target="embeddings/oleObject105.bin"/><Relationship Id="rId1120" Type="http://schemas.openxmlformats.org/officeDocument/2006/relationships/hyperlink" Target="http://pubs.acs.org/doi/abs/10.1021/jf60203a028" TargetMode="External"/><Relationship Id="rId1218" Type="http://schemas.openxmlformats.org/officeDocument/2006/relationships/image" Target="media/image527.jpeg"/><Relationship Id="rId227" Type="http://schemas.openxmlformats.org/officeDocument/2006/relationships/oleObject" Target="embeddings/oleObject23.bin"/><Relationship Id="rId781" Type="http://schemas.openxmlformats.org/officeDocument/2006/relationships/oleObject" Target="embeddings/oleObject209.bin"/><Relationship Id="rId879" Type="http://schemas.openxmlformats.org/officeDocument/2006/relationships/image" Target="media/image384.wmf"/><Relationship Id="rId434" Type="http://schemas.openxmlformats.org/officeDocument/2006/relationships/image" Target="media/image168.wmf"/><Relationship Id="rId641" Type="http://schemas.openxmlformats.org/officeDocument/2006/relationships/oleObject" Target="embeddings/oleObject139.bin"/><Relationship Id="rId739" Type="http://schemas.openxmlformats.org/officeDocument/2006/relationships/image" Target="media/image315.wmf"/><Relationship Id="rId1064" Type="http://schemas.openxmlformats.org/officeDocument/2006/relationships/hyperlink" Target="http://en.wikipedia.org/wiki/Atlantic_Ocean" TargetMode="External"/><Relationship Id="rId1271" Type="http://schemas.openxmlformats.org/officeDocument/2006/relationships/hyperlink" Target="http://www.setterfield.org/000docs/behaviorzpeapp6.html" TargetMode="External"/><Relationship Id="rId280" Type="http://schemas.openxmlformats.org/officeDocument/2006/relationships/image" Target="media/image115.jpeg"/><Relationship Id="rId501" Type="http://schemas.openxmlformats.org/officeDocument/2006/relationships/oleObject" Target="embeddings/oleObject68.bin"/><Relationship Id="rId946" Type="http://schemas.openxmlformats.org/officeDocument/2006/relationships/oleObject" Target="embeddings/oleObject288.bin"/><Relationship Id="rId1131" Type="http://schemas.openxmlformats.org/officeDocument/2006/relationships/hyperlink" Target="http://upload.wikimedia.org/wikipedia/commons/f/f6/Allosaurus_size_comparison.svg" TargetMode="External"/><Relationship Id="rId1229" Type="http://schemas.openxmlformats.org/officeDocument/2006/relationships/hyperlink" Target="http://bancroft.berkeley.edu/Exhibits/physics/learning01.html" TargetMode="External"/><Relationship Id="rId75" Type="http://schemas.openxmlformats.org/officeDocument/2006/relationships/image" Target="media/image34.jpeg"/><Relationship Id="rId140" Type="http://schemas.openxmlformats.org/officeDocument/2006/relationships/hyperlink" Target="http://micro.magnet.fsu.edu/optics/timeline/people/bradley.html" TargetMode="External"/><Relationship Id="rId378" Type="http://schemas.openxmlformats.org/officeDocument/2006/relationships/hyperlink" Target="http://csep10.phys.utk.edu/astr162/lect/active/ngc4261.html" TargetMode="External"/><Relationship Id="rId585" Type="http://schemas.openxmlformats.org/officeDocument/2006/relationships/image" Target="media/image239.wmf"/><Relationship Id="rId792" Type="http://schemas.openxmlformats.org/officeDocument/2006/relationships/image" Target="media/image341.wmf"/><Relationship Id="rId806" Type="http://schemas.openxmlformats.org/officeDocument/2006/relationships/oleObject" Target="embeddings/oleObject221.bin"/><Relationship Id="rId6" Type="http://schemas.openxmlformats.org/officeDocument/2006/relationships/footnotes" Target="footnotes.xml"/><Relationship Id="rId238" Type="http://schemas.openxmlformats.org/officeDocument/2006/relationships/hyperlink" Target="http://arxiv.org/abs/astro-ph/9812133" TargetMode="External"/><Relationship Id="rId445" Type="http://schemas.openxmlformats.org/officeDocument/2006/relationships/oleObject" Target="embeddings/oleObject41.bin"/><Relationship Id="rId652" Type="http://schemas.openxmlformats.org/officeDocument/2006/relationships/oleObject" Target="embeddings/oleObject144.bin"/><Relationship Id="rId1075" Type="http://schemas.openxmlformats.org/officeDocument/2006/relationships/hyperlink" Target="http://glacialtill.wordpress.com/2011/09/05/meteorite-monday-asteroid-itokawa-and-the-hayabusa-probe/" TargetMode="External"/><Relationship Id="rId1282" Type="http://schemas.openxmlformats.org/officeDocument/2006/relationships/oleObject" Target="embeddings/oleObject332.bin"/><Relationship Id="rId291" Type="http://schemas.openxmlformats.org/officeDocument/2006/relationships/chart" Target="charts/chart19.xml"/><Relationship Id="rId305" Type="http://schemas.openxmlformats.org/officeDocument/2006/relationships/image" Target="media/image131.png"/><Relationship Id="rId512" Type="http://schemas.openxmlformats.org/officeDocument/2006/relationships/image" Target="media/image203.wmf"/><Relationship Id="rId957" Type="http://schemas.openxmlformats.org/officeDocument/2006/relationships/hyperlink" Target="http://www.nasa.gov/multimedia/imagegallery/image_feature_575.html" TargetMode="External"/><Relationship Id="rId1142" Type="http://schemas.openxmlformats.org/officeDocument/2006/relationships/hyperlink" Target="http://pumicecastle.blogspot.com/2011/02/learning-from-gentry-banded-iron.html" TargetMode="External"/><Relationship Id="rId86" Type="http://schemas.openxmlformats.org/officeDocument/2006/relationships/image" Target="media/image43.gif"/><Relationship Id="rId151" Type="http://schemas.openxmlformats.org/officeDocument/2006/relationships/hyperlink" Target="http://micro.magnet.fsu.edu/optics/timeline/people/foucault.html" TargetMode="External"/><Relationship Id="rId389" Type="http://schemas.openxmlformats.org/officeDocument/2006/relationships/hyperlink" Target="http://www.spacetelescope.org/projects/fits_liberator/fitsimages/danny_lacrue_11/" TargetMode="External"/><Relationship Id="rId596" Type="http://schemas.openxmlformats.org/officeDocument/2006/relationships/oleObject" Target="embeddings/oleObject116.bin"/><Relationship Id="rId817" Type="http://schemas.openxmlformats.org/officeDocument/2006/relationships/image" Target="media/image354.wmf"/><Relationship Id="rId1002" Type="http://schemas.openxmlformats.org/officeDocument/2006/relationships/hyperlink" Target="http://mail.rdcrd.ab.ca/~smolesky/Physics30/5Matter/day_8%20objective.htm" TargetMode="External"/><Relationship Id="rId249" Type="http://schemas.openxmlformats.org/officeDocument/2006/relationships/hyperlink" Target="http://www.atlasoftheuniverse.com/galgrps/maffei.html" TargetMode="External"/><Relationship Id="rId456" Type="http://schemas.openxmlformats.org/officeDocument/2006/relationships/image" Target="media/image178.wmf"/><Relationship Id="rId663" Type="http://schemas.openxmlformats.org/officeDocument/2006/relationships/image" Target="media/image277.wmf"/><Relationship Id="rId870" Type="http://schemas.openxmlformats.org/officeDocument/2006/relationships/oleObject" Target="embeddings/oleObject254.bin"/><Relationship Id="rId1086" Type="http://schemas.openxmlformats.org/officeDocument/2006/relationships/hyperlink" Target="http://www.earthlyissues.com/supervolcano.htm" TargetMode="External"/><Relationship Id="rId1293" Type="http://schemas.openxmlformats.org/officeDocument/2006/relationships/hyperlink" Target="http://www.setterfield.org/000docs/behaviorzpeapp8.html" TargetMode="External"/><Relationship Id="rId1307" Type="http://schemas.openxmlformats.org/officeDocument/2006/relationships/image" Target="media/image541.jpeg"/><Relationship Id="rId13" Type="http://schemas.openxmlformats.org/officeDocument/2006/relationships/image" Target="media/image6.jpeg"/><Relationship Id="rId109" Type="http://schemas.openxmlformats.org/officeDocument/2006/relationships/image" Target="media/image57.jpeg"/><Relationship Id="rId316" Type="http://schemas.openxmlformats.org/officeDocument/2006/relationships/image" Target="media/image140.jpeg"/><Relationship Id="rId523" Type="http://schemas.openxmlformats.org/officeDocument/2006/relationships/oleObject" Target="embeddings/oleObject79.bin"/><Relationship Id="rId968" Type="http://schemas.openxmlformats.org/officeDocument/2006/relationships/hyperlink" Target="http://www.setterfield.org/000docs/behaviorzpeapp4.html" TargetMode="External"/><Relationship Id="rId1153" Type="http://schemas.openxmlformats.org/officeDocument/2006/relationships/image" Target="media/image495.wmf"/><Relationship Id="rId97" Type="http://schemas.openxmlformats.org/officeDocument/2006/relationships/chart" Target="charts/chart5.xml"/><Relationship Id="rId730" Type="http://schemas.openxmlformats.org/officeDocument/2006/relationships/oleObject" Target="embeddings/oleObject183.bin"/><Relationship Id="rId828" Type="http://schemas.openxmlformats.org/officeDocument/2006/relationships/image" Target="media/image359.wmf"/><Relationship Id="rId1013" Type="http://schemas.openxmlformats.org/officeDocument/2006/relationships/image" Target="media/image438.jpeg"/><Relationship Id="rId1360" Type="http://schemas.openxmlformats.org/officeDocument/2006/relationships/header" Target="header2.xml"/><Relationship Id="rId162" Type="http://schemas.openxmlformats.org/officeDocument/2006/relationships/hyperlink" Target="http://www.setterfield.org/000docs/behaviorzpe3.html" TargetMode="External"/><Relationship Id="rId467" Type="http://schemas.openxmlformats.org/officeDocument/2006/relationships/oleObject" Target="embeddings/oleObject50.bin"/><Relationship Id="rId1097" Type="http://schemas.openxmlformats.org/officeDocument/2006/relationships/image" Target="media/image476.jpeg"/><Relationship Id="rId1220" Type="http://schemas.openxmlformats.org/officeDocument/2006/relationships/oleObject" Target="embeddings/oleObject323.bin"/><Relationship Id="rId1318" Type="http://schemas.openxmlformats.org/officeDocument/2006/relationships/image" Target="media/image552.jpeg"/><Relationship Id="rId674" Type="http://schemas.openxmlformats.org/officeDocument/2006/relationships/oleObject" Target="embeddings/oleObject155.bin"/><Relationship Id="rId881" Type="http://schemas.openxmlformats.org/officeDocument/2006/relationships/image" Target="media/image385.wmf"/><Relationship Id="rId979" Type="http://schemas.openxmlformats.org/officeDocument/2006/relationships/image" Target="media/image427.jpeg"/><Relationship Id="rId24" Type="http://schemas.openxmlformats.org/officeDocument/2006/relationships/image" Target="media/image16.jpeg"/><Relationship Id="rId327" Type="http://schemas.openxmlformats.org/officeDocument/2006/relationships/hyperlink" Target="http://en.wikipedia.org/wiki/Effusion" TargetMode="External"/><Relationship Id="rId534" Type="http://schemas.openxmlformats.org/officeDocument/2006/relationships/image" Target="media/image214.wmf"/><Relationship Id="rId741" Type="http://schemas.openxmlformats.org/officeDocument/2006/relationships/image" Target="media/image316.wmf"/><Relationship Id="rId839" Type="http://schemas.openxmlformats.org/officeDocument/2006/relationships/oleObject" Target="embeddings/oleObject238.bin"/><Relationship Id="rId1164" Type="http://schemas.openxmlformats.org/officeDocument/2006/relationships/image" Target="media/image499.wmf"/><Relationship Id="rId173" Type="http://schemas.openxmlformats.org/officeDocument/2006/relationships/hyperlink" Target="http://physics.nist.gov/constants" TargetMode="External"/><Relationship Id="rId380" Type="http://schemas.openxmlformats.org/officeDocument/2006/relationships/hyperlink" Target="http://www.holoscience.com/wp/electric-galaxies/" TargetMode="External"/><Relationship Id="rId601" Type="http://schemas.openxmlformats.org/officeDocument/2006/relationships/image" Target="media/image247.wmf"/><Relationship Id="rId1024" Type="http://schemas.openxmlformats.org/officeDocument/2006/relationships/image" Target="media/image449.jpeg"/><Relationship Id="rId1231" Type="http://schemas.openxmlformats.org/officeDocument/2006/relationships/hyperlink" Target="http://www.thunderbolts.info/wp/2011/12/05/considering-the-electric-sun-part-1/perattsimulations_1/" TargetMode="External"/><Relationship Id="rId240" Type="http://schemas.openxmlformats.org/officeDocument/2006/relationships/hyperlink" Target="http://arxiv.org/abs/astro-ph/9805201" TargetMode="External"/><Relationship Id="rId478" Type="http://schemas.openxmlformats.org/officeDocument/2006/relationships/oleObject" Target="embeddings/oleObject56.bin"/><Relationship Id="rId685" Type="http://schemas.openxmlformats.org/officeDocument/2006/relationships/image" Target="media/image288.wmf"/><Relationship Id="rId892" Type="http://schemas.openxmlformats.org/officeDocument/2006/relationships/oleObject" Target="embeddings/oleObject265.bin"/><Relationship Id="rId906" Type="http://schemas.openxmlformats.org/officeDocument/2006/relationships/oleObject" Target="embeddings/oleObject272.bin"/><Relationship Id="rId1329" Type="http://schemas.openxmlformats.org/officeDocument/2006/relationships/image" Target="media/image563.jpeg"/><Relationship Id="rId35" Type="http://schemas.openxmlformats.org/officeDocument/2006/relationships/hyperlink" Target="http://en.wikipedia.org/wiki/File:Redshift.png" TargetMode="External"/><Relationship Id="rId100" Type="http://schemas.openxmlformats.org/officeDocument/2006/relationships/image" Target="media/image52.jpeg"/><Relationship Id="rId338" Type="http://schemas.openxmlformats.org/officeDocument/2006/relationships/hyperlink" Target="http://www.solarphysics.kva.se/NatureNov2002/images/NP1_Fig3_arrows_color.gif" TargetMode="External"/><Relationship Id="rId545" Type="http://schemas.openxmlformats.org/officeDocument/2006/relationships/oleObject" Target="embeddings/oleObject90.bin"/><Relationship Id="rId752" Type="http://schemas.openxmlformats.org/officeDocument/2006/relationships/image" Target="media/image321.wmf"/><Relationship Id="rId1175" Type="http://schemas.openxmlformats.org/officeDocument/2006/relationships/oleObject" Target="embeddings/oleObject306.bin"/><Relationship Id="rId184" Type="http://schemas.openxmlformats.org/officeDocument/2006/relationships/image" Target="media/image79.png"/><Relationship Id="rId391" Type="http://schemas.openxmlformats.org/officeDocument/2006/relationships/hyperlink" Target="http://ars.els-cdn.com/content/image/1-s2.0-S0031920112001720-gr8.jpg" TargetMode="External"/><Relationship Id="rId405" Type="http://schemas.openxmlformats.org/officeDocument/2006/relationships/image" Target="media/image153.wmf"/><Relationship Id="rId612" Type="http://schemas.openxmlformats.org/officeDocument/2006/relationships/oleObject" Target="embeddings/oleObject124.bin"/><Relationship Id="rId1035" Type="http://schemas.openxmlformats.org/officeDocument/2006/relationships/image" Target="media/image459.jpeg"/><Relationship Id="rId1242" Type="http://schemas.openxmlformats.org/officeDocument/2006/relationships/hyperlink" Target="http://www.setterfield.org/000docs/behaviorzpeapp2.html" TargetMode="External"/><Relationship Id="rId251" Type="http://schemas.openxmlformats.org/officeDocument/2006/relationships/hyperlink" Target="http://www.atlasoftheuniverse.com/galgrps/m101.html" TargetMode="External"/><Relationship Id="rId489" Type="http://schemas.openxmlformats.org/officeDocument/2006/relationships/image" Target="media/image192.wmf"/><Relationship Id="rId696" Type="http://schemas.openxmlformats.org/officeDocument/2006/relationships/oleObject" Target="embeddings/oleObject166.bin"/><Relationship Id="rId917" Type="http://schemas.openxmlformats.org/officeDocument/2006/relationships/image" Target="media/image404.jpeg"/><Relationship Id="rId1102" Type="http://schemas.openxmlformats.org/officeDocument/2006/relationships/image" Target="media/image481.jpeg"/><Relationship Id="rId46" Type="http://schemas.openxmlformats.org/officeDocument/2006/relationships/image" Target="media/image21.jpeg"/><Relationship Id="rId349" Type="http://schemas.openxmlformats.org/officeDocument/2006/relationships/hyperlink" Target="http://www.sciencedaily.com/releases/2005/09/050917084531.htm" TargetMode="External"/><Relationship Id="rId556" Type="http://schemas.openxmlformats.org/officeDocument/2006/relationships/oleObject" Target="embeddings/oleObject96.bin"/><Relationship Id="rId763" Type="http://schemas.openxmlformats.org/officeDocument/2006/relationships/oleObject" Target="embeddings/oleObject200.bin"/><Relationship Id="rId1186" Type="http://schemas.openxmlformats.org/officeDocument/2006/relationships/image" Target="media/image510.wmf"/><Relationship Id="rId111" Type="http://schemas.openxmlformats.org/officeDocument/2006/relationships/image" Target="media/image59.jpeg"/><Relationship Id="rId195" Type="http://schemas.openxmlformats.org/officeDocument/2006/relationships/oleObject" Target="embeddings/oleObject9.bin"/><Relationship Id="rId209" Type="http://schemas.openxmlformats.org/officeDocument/2006/relationships/oleObject" Target="embeddings/oleObject16.bin"/><Relationship Id="rId416" Type="http://schemas.openxmlformats.org/officeDocument/2006/relationships/package" Target="embeddings/Microsoft_Office_PowerPoint_Slide22.sldx"/><Relationship Id="rId970" Type="http://schemas.openxmlformats.org/officeDocument/2006/relationships/image" Target="media/image424.jpeg"/><Relationship Id="rId1046" Type="http://schemas.openxmlformats.org/officeDocument/2006/relationships/image" Target="media/image470.jpeg"/><Relationship Id="rId1253" Type="http://schemas.openxmlformats.org/officeDocument/2006/relationships/hyperlink" Target="http://www.setterfield.org/000docs/behaviorzpeapp2.html" TargetMode="External"/><Relationship Id="rId623" Type="http://schemas.openxmlformats.org/officeDocument/2006/relationships/image" Target="media/image258.wmf"/><Relationship Id="rId830" Type="http://schemas.openxmlformats.org/officeDocument/2006/relationships/image" Target="media/image360.wmf"/><Relationship Id="rId928" Type="http://schemas.openxmlformats.org/officeDocument/2006/relationships/oleObject" Target="embeddings/oleObject279.bin"/><Relationship Id="rId57" Type="http://schemas.openxmlformats.org/officeDocument/2006/relationships/hyperlink" Target="http://www.astr.ua.edu/keel/agn/quasar40.html" TargetMode="External"/><Relationship Id="rId262" Type="http://schemas.openxmlformats.org/officeDocument/2006/relationships/hyperlink" Target="http://arijmaki.wordpress.com/2010/03/02/abell-85-galaxy-sheets-or-quantized-redshifts/" TargetMode="External"/><Relationship Id="rId567" Type="http://schemas.openxmlformats.org/officeDocument/2006/relationships/image" Target="media/image230.wmf"/><Relationship Id="rId1113" Type="http://schemas.openxmlformats.org/officeDocument/2006/relationships/hyperlink" Target="http://dx.doi.org/10.1098/rsbl.2007.0491" TargetMode="External"/><Relationship Id="rId1197" Type="http://schemas.openxmlformats.org/officeDocument/2006/relationships/oleObject" Target="embeddings/oleObject315.bin"/><Relationship Id="rId1320" Type="http://schemas.openxmlformats.org/officeDocument/2006/relationships/image" Target="media/image554.jpeg"/><Relationship Id="rId122" Type="http://schemas.openxmlformats.org/officeDocument/2006/relationships/chart" Target="charts/chart9.xml"/><Relationship Id="rId774" Type="http://schemas.openxmlformats.org/officeDocument/2006/relationships/image" Target="media/image332.wmf"/><Relationship Id="rId981" Type="http://schemas.openxmlformats.org/officeDocument/2006/relationships/image" Target="media/image429.jpeg"/><Relationship Id="rId1057" Type="http://schemas.openxmlformats.org/officeDocument/2006/relationships/hyperlink" Target="http://www.meteoritestudies.com/protected_CANYOND.HTM" TargetMode="External"/><Relationship Id="rId427" Type="http://schemas.openxmlformats.org/officeDocument/2006/relationships/oleObject" Target="embeddings/oleObject33.bin"/><Relationship Id="rId634" Type="http://schemas.openxmlformats.org/officeDocument/2006/relationships/oleObject" Target="embeddings/oleObject135.bin"/><Relationship Id="rId841" Type="http://schemas.openxmlformats.org/officeDocument/2006/relationships/oleObject" Target="embeddings/oleObject239.bin"/><Relationship Id="rId1264" Type="http://schemas.openxmlformats.org/officeDocument/2006/relationships/hyperlink" Target="http://www.setterfield.org/000docs/behaviorzpeapp2.html" TargetMode="External"/><Relationship Id="rId273" Type="http://schemas.openxmlformats.org/officeDocument/2006/relationships/image" Target="media/image109.jpeg"/><Relationship Id="rId480" Type="http://schemas.openxmlformats.org/officeDocument/2006/relationships/oleObject" Target="embeddings/oleObject57.bin"/><Relationship Id="rId701" Type="http://schemas.openxmlformats.org/officeDocument/2006/relationships/image" Target="media/image296.wmf"/><Relationship Id="rId939" Type="http://schemas.openxmlformats.org/officeDocument/2006/relationships/image" Target="media/image418.wmf"/><Relationship Id="rId1124" Type="http://schemas.openxmlformats.org/officeDocument/2006/relationships/hyperlink" Target="http://www.coralscience.org/main/articles/biochemistry-2/how-reefs-grow" TargetMode="External"/><Relationship Id="rId1331" Type="http://schemas.openxmlformats.org/officeDocument/2006/relationships/image" Target="media/image565.jpeg"/><Relationship Id="rId68" Type="http://schemas.openxmlformats.org/officeDocument/2006/relationships/hyperlink" Target="http://astro.ucla.edu/~wright/Lyman-alpha-forest.html" TargetMode="External"/><Relationship Id="rId133" Type="http://schemas.openxmlformats.org/officeDocument/2006/relationships/hyperlink" Target="http://en.wikipedia.org/wiki/Ole_R%C3%B8mer" TargetMode="External"/><Relationship Id="rId340" Type="http://schemas.openxmlformats.org/officeDocument/2006/relationships/hyperlink" Target="http://www.windows.ucar.edu/tour/link=/jupiter/upper_atmosphere.html&amp;edu=high" TargetMode="External"/><Relationship Id="rId578" Type="http://schemas.openxmlformats.org/officeDocument/2006/relationships/oleObject" Target="embeddings/oleObject107.bin"/><Relationship Id="rId785" Type="http://schemas.openxmlformats.org/officeDocument/2006/relationships/oleObject" Target="embeddings/oleObject211.bin"/><Relationship Id="rId992" Type="http://schemas.openxmlformats.org/officeDocument/2006/relationships/hyperlink" Target="http://www.setterfield.org/000docs/behaviorzperef.html" TargetMode="External"/><Relationship Id="rId200" Type="http://schemas.openxmlformats.org/officeDocument/2006/relationships/image" Target="media/image87.wmf"/><Relationship Id="rId438" Type="http://schemas.openxmlformats.org/officeDocument/2006/relationships/chart" Target="charts/chart20.xml"/><Relationship Id="rId645" Type="http://schemas.openxmlformats.org/officeDocument/2006/relationships/oleObject" Target="embeddings/oleObject141.bin"/><Relationship Id="rId852" Type="http://schemas.openxmlformats.org/officeDocument/2006/relationships/image" Target="media/image371.wmf"/><Relationship Id="rId1068" Type="http://schemas.openxmlformats.org/officeDocument/2006/relationships/hyperlink" Target="http://www.mapcis.net/mapcis_case.html" TargetMode="External"/><Relationship Id="rId1275" Type="http://schemas.openxmlformats.org/officeDocument/2006/relationships/oleObject" Target="embeddings/oleObject325.bin"/><Relationship Id="rId284" Type="http://schemas.openxmlformats.org/officeDocument/2006/relationships/hyperlink" Target="http://en.wikipedia.org/wiki/Sun" TargetMode="External"/><Relationship Id="rId491" Type="http://schemas.openxmlformats.org/officeDocument/2006/relationships/image" Target="media/image193.wmf"/><Relationship Id="rId505" Type="http://schemas.openxmlformats.org/officeDocument/2006/relationships/oleObject" Target="embeddings/oleObject70.bin"/><Relationship Id="rId712" Type="http://schemas.openxmlformats.org/officeDocument/2006/relationships/oleObject" Target="embeddings/oleObject174.bin"/><Relationship Id="rId1135" Type="http://schemas.openxmlformats.org/officeDocument/2006/relationships/hyperlink" Target="http://www.setterfield.org/zpe_giantism.html" TargetMode="External"/><Relationship Id="rId1342" Type="http://schemas.openxmlformats.org/officeDocument/2006/relationships/image" Target="media/image576.jpeg"/><Relationship Id="rId37" Type="http://schemas.openxmlformats.org/officeDocument/2006/relationships/hyperlink" Target="http://astro.unl.edu/naap/esp/dopplereffect.html" TargetMode="External"/><Relationship Id="rId79" Type="http://schemas.openxmlformats.org/officeDocument/2006/relationships/image" Target="media/image37.png"/><Relationship Id="rId102" Type="http://schemas.openxmlformats.org/officeDocument/2006/relationships/hyperlink" Target="http://www.setterfield.org/000docs/cx3.html" TargetMode="External"/><Relationship Id="rId144" Type="http://schemas.openxmlformats.org/officeDocument/2006/relationships/hyperlink" Target="http://collectionsonline.nmsi.ac.uk/detail.php?t=objects&amp;type=ext&amp;f=&amp;s=&amp;record=801&amp;category1=SCM+-+Astronomy&amp;op-earliest_year=&amp;op-latest_year" TargetMode="External"/><Relationship Id="rId547" Type="http://schemas.openxmlformats.org/officeDocument/2006/relationships/oleObject" Target="embeddings/oleObject91.bin"/><Relationship Id="rId589" Type="http://schemas.openxmlformats.org/officeDocument/2006/relationships/image" Target="media/image241.wmf"/><Relationship Id="rId754" Type="http://schemas.openxmlformats.org/officeDocument/2006/relationships/image" Target="media/image322.wmf"/><Relationship Id="rId796" Type="http://schemas.openxmlformats.org/officeDocument/2006/relationships/image" Target="media/image343.wmf"/><Relationship Id="rId961" Type="http://schemas.openxmlformats.org/officeDocument/2006/relationships/hyperlink" Target="http://www.mpia.de/Public/menu_q2.php?Aktuelles/PR/2011/PR111125/PR_111125_en.htm" TargetMode="External"/><Relationship Id="rId1202" Type="http://schemas.openxmlformats.org/officeDocument/2006/relationships/image" Target="media/image518.wmf"/><Relationship Id="rId90" Type="http://schemas.openxmlformats.org/officeDocument/2006/relationships/image" Target="media/image45.png"/><Relationship Id="rId186" Type="http://schemas.openxmlformats.org/officeDocument/2006/relationships/hyperlink" Target="http://www.haltonarp.com/articles/intrinsic_redshifts_in_quasars_and_galaxies.pdf" TargetMode="External"/><Relationship Id="rId351" Type="http://schemas.openxmlformats.org/officeDocument/2006/relationships/hyperlink" Target="http://cmb.as.arizona.edu/~eisenste/acousticpeak/acoustic_physics.html" TargetMode="External"/><Relationship Id="rId393" Type="http://schemas.openxmlformats.org/officeDocument/2006/relationships/hyperlink" Target="http://nssdc.gsfc.nasa.gov/photo_gallery/photogallery-venus.html" TargetMode="External"/><Relationship Id="rId407" Type="http://schemas.openxmlformats.org/officeDocument/2006/relationships/image" Target="media/image154.wmf"/><Relationship Id="rId449" Type="http://schemas.openxmlformats.org/officeDocument/2006/relationships/oleObject" Target="embeddings/oleObject43.bin"/><Relationship Id="rId614" Type="http://schemas.openxmlformats.org/officeDocument/2006/relationships/oleObject" Target="embeddings/oleObject125.bin"/><Relationship Id="rId656" Type="http://schemas.openxmlformats.org/officeDocument/2006/relationships/oleObject" Target="embeddings/oleObject146.bin"/><Relationship Id="rId821" Type="http://schemas.openxmlformats.org/officeDocument/2006/relationships/image" Target="media/image356.wmf"/><Relationship Id="rId863" Type="http://schemas.openxmlformats.org/officeDocument/2006/relationships/image" Target="media/image376.wmf"/><Relationship Id="rId1037" Type="http://schemas.openxmlformats.org/officeDocument/2006/relationships/image" Target="media/image461.jpeg"/><Relationship Id="rId1079" Type="http://schemas.openxmlformats.org/officeDocument/2006/relationships/hyperlink" Target="http://www.space-pictures.com/view/pictures-of-earth/pictures-of-the-moon/moon-pictures/the-moon-2010-features.php" TargetMode="External"/><Relationship Id="rId1244" Type="http://schemas.openxmlformats.org/officeDocument/2006/relationships/hyperlink" Target="http://www.setterfield.org/000docs/behaviorzpeapp2.html" TargetMode="External"/><Relationship Id="rId1286" Type="http://schemas.openxmlformats.org/officeDocument/2006/relationships/hyperlink" Target="http://www.thunderbolts.info/wp/2011/12/05/considering-the-electric-sun-part-1/perattsimulations_1/" TargetMode="External"/><Relationship Id="rId211" Type="http://schemas.openxmlformats.org/officeDocument/2006/relationships/oleObject" Target="embeddings/oleObject17.bin"/><Relationship Id="rId253" Type="http://schemas.openxmlformats.org/officeDocument/2006/relationships/hyperlink" Target="http://www.math.lsa.umich.edu/mmss/coursesONLINE/Astro/Ex1.4/" TargetMode="External"/><Relationship Id="rId295" Type="http://schemas.openxmlformats.org/officeDocument/2006/relationships/image" Target="media/image121.jpeg"/><Relationship Id="rId309" Type="http://schemas.openxmlformats.org/officeDocument/2006/relationships/hyperlink" Target="http://www.setterfield.org/000docs/behaviorzpeapp6.html" TargetMode="External"/><Relationship Id="rId460" Type="http://schemas.openxmlformats.org/officeDocument/2006/relationships/image" Target="media/image180.wmf"/><Relationship Id="rId516" Type="http://schemas.openxmlformats.org/officeDocument/2006/relationships/image" Target="media/image205.wmf"/><Relationship Id="rId698" Type="http://schemas.openxmlformats.org/officeDocument/2006/relationships/oleObject" Target="embeddings/oleObject167.bin"/><Relationship Id="rId919" Type="http://schemas.openxmlformats.org/officeDocument/2006/relationships/image" Target="media/image406.jpeg"/><Relationship Id="rId1090" Type="http://schemas.openxmlformats.org/officeDocument/2006/relationships/hyperlink" Target="http://www.setterfield.org/Genesis%201-11/part_13_Peleg.html" TargetMode="External"/><Relationship Id="rId1104" Type="http://schemas.openxmlformats.org/officeDocument/2006/relationships/image" Target="media/image483.jpeg"/><Relationship Id="rId1146" Type="http://schemas.openxmlformats.org/officeDocument/2006/relationships/oleObject" Target="embeddings/oleObject290.bin"/><Relationship Id="rId1311" Type="http://schemas.openxmlformats.org/officeDocument/2006/relationships/image" Target="media/image545.jpeg"/><Relationship Id="rId48" Type="http://schemas.openxmlformats.org/officeDocument/2006/relationships/oleObject" Target="embeddings/oleObject1.bin"/><Relationship Id="rId113" Type="http://schemas.openxmlformats.org/officeDocument/2006/relationships/image" Target="media/image61.emf"/><Relationship Id="rId320" Type="http://schemas.openxmlformats.org/officeDocument/2006/relationships/image" Target="media/image143.jpeg"/><Relationship Id="rId558" Type="http://schemas.openxmlformats.org/officeDocument/2006/relationships/oleObject" Target="embeddings/oleObject97.bin"/><Relationship Id="rId723" Type="http://schemas.openxmlformats.org/officeDocument/2006/relationships/image" Target="media/image307.wmf"/><Relationship Id="rId765" Type="http://schemas.openxmlformats.org/officeDocument/2006/relationships/oleObject" Target="embeddings/oleObject201.bin"/><Relationship Id="rId930" Type="http://schemas.openxmlformats.org/officeDocument/2006/relationships/oleObject" Target="embeddings/oleObject280.bin"/><Relationship Id="rId972" Type="http://schemas.openxmlformats.org/officeDocument/2006/relationships/hyperlink" Target="http://www.setterfield.org/000docs/behaviorzpeapp4.html" TargetMode="External"/><Relationship Id="rId1006" Type="http://schemas.openxmlformats.org/officeDocument/2006/relationships/hyperlink" Target="http://article.wn.com/view/2010/07/09/The_Oklo_natural_reactor/" TargetMode="External"/><Relationship Id="rId1188" Type="http://schemas.openxmlformats.org/officeDocument/2006/relationships/image" Target="media/image511.wmf"/><Relationship Id="rId1353" Type="http://schemas.openxmlformats.org/officeDocument/2006/relationships/hyperlink" Target="http://www.thunderbolts.info/forum/phpBB3/viewtopic.php?p=38601" TargetMode="External"/><Relationship Id="rId155" Type="http://schemas.openxmlformats.org/officeDocument/2006/relationships/hyperlink" Target="http://vigo.ime.unicamp.br/~fismat/newcomb.pdf" TargetMode="External"/><Relationship Id="rId197" Type="http://schemas.openxmlformats.org/officeDocument/2006/relationships/oleObject" Target="embeddings/oleObject10.bin"/><Relationship Id="rId362" Type="http://schemas.openxmlformats.org/officeDocument/2006/relationships/hyperlink" Target="http://micro.magnet.fsu.edu/publications/pages/rocks.html" TargetMode="External"/><Relationship Id="rId418" Type="http://schemas.openxmlformats.org/officeDocument/2006/relationships/package" Target="embeddings/Microsoft_Office_PowerPoint_Slide23.sldx"/><Relationship Id="rId625" Type="http://schemas.openxmlformats.org/officeDocument/2006/relationships/image" Target="media/image259.wmf"/><Relationship Id="rId832" Type="http://schemas.openxmlformats.org/officeDocument/2006/relationships/image" Target="media/image361.wmf"/><Relationship Id="rId1048" Type="http://schemas.openxmlformats.org/officeDocument/2006/relationships/hyperlink" Target="http://www.mapcis.net/mapcis_research.html" TargetMode="External"/><Relationship Id="rId1213" Type="http://schemas.openxmlformats.org/officeDocument/2006/relationships/oleObject" Target="embeddings/oleObject321.bin"/><Relationship Id="rId1255" Type="http://schemas.openxmlformats.org/officeDocument/2006/relationships/hyperlink" Target="http://www.setterfield.org/000docs/behaviorzpeapp2.html" TargetMode="External"/><Relationship Id="rId1297" Type="http://schemas.openxmlformats.org/officeDocument/2006/relationships/hyperlink" Target="http://www.nrao.edu/pr/2006/mspulsar/" TargetMode="External"/><Relationship Id="rId222" Type="http://schemas.openxmlformats.org/officeDocument/2006/relationships/image" Target="media/image99.wmf"/><Relationship Id="rId264" Type="http://schemas.openxmlformats.org/officeDocument/2006/relationships/hyperlink" Target="http://dev.physicslab.org/Document.aspx?doctype=3&amp;filename=AtomicNuclear_deBroglieMatterWaves.xml" TargetMode="External"/><Relationship Id="rId471" Type="http://schemas.openxmlformats.org/officeDocument/2006/relationships/oleObject" Target="embeddings/oleObject52.bin"/><Relationship Id="rId667" Type="http://schemas.openxmlformats.org/officeDocument/2006/relationships/image" Target="media/image279.wmf"/><Relationship Id="rId874" Type="http://schemas.openxmlformats.org/officeDocument/2006/relationships/oleObject" Target="embeddings/oleObject256.bin"/><Relationship Id="rId1115" Type="http://schemas.openxmlformats.org/officeDocument/2006/relationships/hyperlink" Target="http://www.msnbc.msn.com/id/16359687/from/RS.5/" TargetMode="External"/><Relationship Id="rId1322" Type="http://schemas.openxmlformats.org/officeDocument/2006/relationships/image" Target="media/image556.gif"/><Relationship Id="rId17" Type="http://schemas.openxmlformats.org/officeDocument/2006/relationships/image" Target="media/image9.jpeg"/><Relationship Id="rId59" Type="http://schemas.openxmlformats.org/officeDocument/2006/relationships/image" Target="media/image30.jpeg"/><Relationship Id="rId124" Type="http://schemas.openxmlformats.org/officeDocument/2006/relationships/chart" Target="charts/chart11.xml"/><Relationship Id="rId527" Type="http://schemas.openxmlformats.org/officeDocument/2006/relationships/oleObject" Target="embeddings/oleObject81.bin"/><Relationship Id="rId569" Type="http://schemas.openxmlformats.org/officeDocument/2006/relationships/image" Target="media/image231.wmf"/><Relationship Id="rId734" Type="http://schemas.openxmlformats.org/officeDocument/2006/relationships/oleObject" Target="embeddings/oleObject185.bin"/><Relationship Id="rId776" Type="http://schemas.openxmlformats.org/officeDocument/2006/relationships/image" Target="media/image333.wmf"/><Relationship Id="rId941" Type="http://schemas.openxmlformats.org/officeDocument/2006/relationships/image" Target="media/image419.wmf"/><Relationship Id="rId983" Type="http://schemas.openxmlformats.org/officeDocument/2006/relationships/hyperlink" Target="http://www.setterfield.org/000docs/behaviorzpeapp4.html" TargetMode="External"/><Relationship Id="rId1157" Type="http://schemas.openxmlformats.org/officeDocument/2006/relationships/oleObject" Target="embeddings/oleObject297.bin"/><Relationship Id="rId1199" Type="http://schemas.openxmlformats.org/officeDocument/2006/relationships/oleObject" Target="embeddings/oleObject316.bin"/><Relationship Id="rId1364" Type="http://schemas.openxmlformats.org/officeDocument/2006/relationships/theme" Target="theme/theme1.xml"/><Relationship Id="rId70" Type="http://schemas.openxmlformats.org/officeDocument/2006/relationships/image" Target="media/image31.jpeg"/><Relationship Id="rId166" Type="http://schemas.openxmlformats.org/officeDocument/2006/relationships/image" Target="media/image69.jpeg"/><Relationship Id="rId331" Type="http://schemas.openxmlformats.org/officeDocument/2006/relationships/hyperlink" Target="http://en.wikipedia.org/wiki/Liquid" TargetMode="External"/><Relationship Id="rId373" Type="http://schemas.openxmlformats.org/officeDocument/2006/relationships/hyperlink" Target="http://www.thunderbolts.info/wp/2011/12/05/considering-the-electric-sun-part-1/perattsimulations_1/" TargetMode="External"/><Relationship Id="rId429" Type="http://schemas.openxmlformats.org/officeDocument/2006/relationships/oleObject" Target="embeddings/oleObject34.bin"/><Relationship Id="rId580" Type="http://schemas.openxmlformats.org/officeDocument/2006/relationships/oleObject" Target="embeddings/oleObject108.bin"/><Relationship Id="rId636" Type="http://schemas.openxmlformats.org/officeDocument/2006/relationships/oleObject" Target="embeddings/oleObject136.bin"/><Relationship Id="rId801" Type="http://schemas.openxmlformats.org/officeDocument/2006/relationships/image" Target="media/image346.wmf"/><Relationship Id="rId1017" Type="http://schemas.openxmlformats.org/officeDocument/2006/relationships/image" Target="media/image442.jpeg"/><Relationship Id="rId1059" Type="http://schemas.openxmlformats.org/officeDocument/2006/relationships/hyperlink" Target="http://www.spacedaily.com/news/mars-surveyor-01e.html" TargetMode="External"/><Relationship Id="rId1224" Type="http://schemas.openxmlformats.org/officeDocument/2006/relationships/image" Target="media/image531.png"/><Relationship Id="rId1266" Type="http://schemas.openxmlformats.org/officeDocument/2006/relationships/hyperlink" Target="http://www.aavso.org/vsots_xzcyg" TargetMode="External"/><Relationship Id="rId1" Type="http://schemas.openxmlformats.org/officeDocument/2006/relationships/customXml" Target="../customXml/item1.xml"/><Relationship Id="rId233" Type="http://schemas.openxmlformats.org/officeDocument/2006/relationships/hyperlink" Target="http://arxiv.org/abs/astro-ph/9803097" TargetMode="External"/><Relationship Id="rId440" Type="http://schemas.openxmlformats.org/officeDocument/2006/relationships/oleObject" Target="embeddings/oleObject39.bin"/><Relationship Id="rId678" Type="http://schemas.openxmlformats.org/officeDocument/2006/relationships/oleObject" Target="embeddings/oleObject157.bin"/><Relationship Id="rId843" Type="http://schemas.openxmlformats.org/officeDocument/2006/relationships/oleObject" Target="embeddings/oleObject240.bin"/><Relationship Id="rId885" Type="http://schemas.openxmlformats.org/officeDocument/2006/relationships/image" Target="media/image387.wmf"/><Relationship Id="rId1070" Type="http://schemas.openxmlformats.org/officeDocument/2006/relationships/hyperlink" Target="http://www.thunderbolts.info/forum/phpBB3/viewtopic.php?p=38601" TargetMode="External"/><Relationship Id="rId1126" Type="http://schemas.openxmlformats.org/officeDocument/2006/relationships/hyperlink" Target="http://www.globalcoral.org/corals_and_coral_reefs.htm" TargetMode="External"/><Relationship Id="rId28" Type="http://schemas.openxmlformats.org/officeDocument/2006/relationships/hyperlink" Target="http://physics.nist.gov/cuu/Constants/alpha.html" TargetMode="External"/><Relationship Id="rId275" Type="http://schemas.openxmlformats.org/officeDocument/2006/relationships/image" Target="media/image111.jpeg"/><Relationship Id="rId300" Type="http://schemas.openxmlformats.org/officeDocument/2006/relationships/image" Target="media/image126.png"/><Relationship Id="rId482" Type="http://schemas.openxmlformats.org/officeDocument/2006/relationships/oleObject" Target="embeddings/oleObject59.bin"/><Relationship Id="rId538" Type="http://schemas.openxmlformats.org/officeDocument/2006/relationships/image" Target="media/image216.wmf"/><Relationship Id="rId703" Type="http://schemas.openxmlformats.org/officeDocument/2006/relationships/image" Target="media/image297.wmf"/><Relationship Id="rId745" Type="http://schemas.openxmlformats.org/officeDocument/2006/relationships/oleObject" Target="embeddings/oleObject191.bin"/><Relationship Id="rId910" Type="http://schemas.openxmlformats.org/officeDocument/2006/relationships/oleObject" Target="embeddings/oleObject274.bin"/><Relationship Id="rId952" Type="http://schemas.openxmlformats.org/officeDocument/2006/relationships/hyperlink" Target="http://en.wikisource.org/wiki/On_the_Relative_Motion_of_the_Earth_and_the_Luminiferous_Ether" TargetMode="External"/><Relationship Id="rId1168" Type="http://schemas.openxmlformats.org/officeDocument/2006/relationships/image" Target="media/image501.wmf"/><Relationship Id="rId1333" Type="http://schemas.openxmlformats.org/officeDocument/2006/relationships/image" Target="media/image567.jpeg"/><Relationship Id="rId81" Type="http://schemas.openxmlformats.org/officeDocument/2006/relationships/image" Target="media/image38.jpeg"/><Relationship Id="rId135" Type="http://schemas.openxmlformats.org/officeDocument/2006/relationships/hyperlink" Target="http://en.wikinoticia.com/culture-science/Science/67700-the-speed-of-light" TargetMode="External"/><Relationship Id="rId177" Type="http://schemas.openxmlformats.org/officeDocument/2006/relationships/image" Target="media/image73.png"/><Relationship Id="rId342" Type="http://schemas.openxmlformats.org/officeDocument/2006/relationships/hyperlink" Target="http://www.thunderbolts.info/tpod/2006/arch06/060602plasma-galaxy.htm" TargetMode="External"/><Relationship Id="rId384" Type="http://schemas.openxmlformats.org/officeDocument/2006/relationships/hyperlink" Target="http://large.stanford.edu/courses/2007/ph210/sugarbaker2/" TargetMode="External"/><Relationship Id="rId591" Type="http://schemas.openxmlformats.org/officeDocument/2006/relationships/image" Target="media/image242.wmf"/><Relationship Id="rId605" Type="http://schemas.openxmlformats.org/officeDocument/2006/relationships/image" Target="media/image249.wmf"/><Relationship Id="rId787" Type="http://schemas.openxmlformats.org/officeDocument/2006/relationships/oleObject" Target="embeddings/oleObject212.bin"/><Relationship Id="rId812" Type="http://schemas.openxmlformats.org/officeDocument/2006/relationships/oleObject" Target="embeddings/oleObject224.bin"/><Relationship Id="rId994" Type="http://schemas.openxmlformats.org/officeDocument/2006/relationships/hyperlink" Target="http://www.aeraweb.org/projects/how-old-are-the-pyramids/" TargetMode="External"/><Relationship Id="rId1028" Type="http://schemas.openxmlformats.org/officeDocument/2006/relationships/image" Target="media/image452.jpeg"/><Relationship Id="rId1235" Type="http://schemas.openxmlformats.org/officeDocument/2006/relationships/hyperlink" Target="http://www.ebdir.net/enlighten/puthoff.html" TargetMode="External"/><Relationship Id="rId202" Type="http://schemas.openxmlformats.org/officeDocument/2006/relationships/image" Target="media/image88.wmf"/><Relationship Id="rId244" Type="http://schemas.openxmlformats.org/officeDocument/2006/relationships/hyperlink" Target="http://www.nytimes.com/2003/10/11/science/11COSM.html" TargetMode="External"/><Relationship Id="rId647" Type="http://schemas.openxmlformats.org/officeDocument/2006/relationships/oleObject" Target="embeddings/oleObject142.bin"/><Relationship Id="rId689" Type="http://schemas.openxmlformats.org/officeDocument/2006/relationships/image" Target="media/image290.wmf"/><Relationship Id="rId854" Type="http://schemas.openxmlformats.org/officeDocument/2006/relationships/image" Target="media/image372.wmf"/><Relationship Id="rId896" Type="http://schemas.openxmlformats.org/officeDocument/2006/relationships/oleObject" Target="embeddings/oleObject267.bin"/><Relationship Id="rId1081" Type="http://schemas.openxmlformats.org/officeDocument/2006/relationships/hyperlink" Target="http://astronomy.nju.edu.cn/~lixd/GA/AT4/AT408/HTML/AT40806.htm" TargetMode="External"/><Relationship Id="rId1277" Type="http://schemas.openxmlformats.org/officeDocument/2006/relationships/oleObject" Target="embeddings/oleObject327.bin"/><Relationship Id="rId1302" Type="http://schemas.openxmlformats.org/officeDocument/2006/relationships/hyperlink" Target="http://www.thunderbolts.info/forum/phpBB3/viewtopic.php?p=1999" TargetMode="External"/><Relationship Id="rId39" Type="http://schemas.openxmlformats.org/officeDocument/2006/relationships/hyperlink" Target="http://hubblesite.org/gallery/album/pr2001005a/" TargetMode="External"/><Relationship Id="rId286" Type="http://schemas.openxmlformats.org/officeDocument/2006/relationships/image" Target="media/image117.jpeg"/><Relationship Id="rId451" Type="http://schemas.openxmlformats.org/officeDocument/2006/relationships/oleObject" Target="embeddings/oleObject44.bin"/><Relationship Id="rId493" Type="http://schemas.openxmlformats.org/officeDocument/2006/relationships/hyperlink" Target="http://www.setterfield.org/000docs/behaviorzpeapp7.html" TargetMode="External"/><Relationship Id="rId507" Type="http://schemas.openxmlformats.org/officeDocument/2006/relationships/oleObject" Target="embeddings/oleObject71.bin"/><Relationship Id="rId549" Type="http://schemas.openxmlformats.org/officeDocument/2006/relationships/oleObject" Target="embeddings/oleObject92.bin"/><Relationship Id="rId714" Type="http://schemas.openxmlformats.org/officeDocument/2006/relationships/oleObject" Target="embeddings/oleObject175.bin"/><Relationship Id="rId756" Type="http://schemas.openxmlformats.org/officeDocument/2006/relationships/image" Target="media/image323.wmf"/><Relationship Id="rId921" Type="http://schemas.openxmlformats.org/officeDocument/2006/relationships/image" Target="media/image408.jpeg"/><Relationship Id="rId1137" Type="http://schemas.openxmlformats.org/officeDocument/2006/relationships/hyperlink" Target="http://www.westaust.net/photos/index.php/component/virtuemart/?page=shop.browse&amp;category_id=29" TargetMode="External"/><Relationship Id="rId1179" Type="http://schemas.openxmlformats.org/officeDocument/2006/relationships/oleObject" Target="embeddings/oleObject308.bin"/><Relationship Id="rId1344" Type="http://schemas.openxmlformats.org/officeDocument/2006/relationships/hyperlink" Target="http://ougseurope.org/rockon/surface/impactcraters.asp" TargetMode="External"/><Relationship Id="rId50" Type="http://schemas.openxmlformats.org/officeDocument/2006/relationships/oleObject" Target="embeddings/oleObject2.bin"/><Relationship Id="rId104" Type="http://schemas.openxmlformats.org/officeDocument/2006/relationships/image" Target="media/image55.jpeg"/><Relationship Id="rId146" Type="http://schemas.openxmlformats.org/officeDocument/2006/relationships/hyperlink" Target="http://www.setterfield.org/000docs/cx3.html" TargetMode="External"/><Relationship Id="rId188" Type="http://schemas.openxmlformats.org/officeDocument/2006/relationships/image" Target="media/image81.emf"/><Relationship Id="rId311" Type="http://schemas.openxmlformats.org/officeDocument/2006/relationships/image" Target="media/image136.jpeg"/><Relationship Id="rId353" Type="http://schemas.openxmlformats.org/officeDocument/2006/relationships/hyperlink" Target="http://astsun.astro.virginia.edu/~dmw8f/index.php" TargetMode="External"/><Relationship Id="rId395" Type="http://schemas.openxmlformats.org/officeDocument/2006/relationships/hyperlink" Target="http://www.setterfield.org/Astronomy_Lesson_3.html" TargetMode="External"/><Relationship Id="rId409" Type="http://schemas.openxmlformats.org/officeDocument/2006/relationships/image" Target="media/image155.wmf"/><Relationship Id="rId560" Type="http://schemas.openxmlformats.org/officeDocument/2006/relationships/oleObject" Target="embeddings/oleObject98.bin"/><Relationship Id="rId798" Type="http://schemas.openxmlformats.org/officeDocument/2006/relationships/image" Target="media/image344.wmf"/><Relationship Id="rId963" Type="http://schemas.openxmlformats.org/officeDocument/2006/relationships/hyperlink" Target="http://www.thunderbolts.info/tpod/2007/arch07/070718seeingcircuits2.htm" TargetMode="External"/><Relationship Id="rId1039" Type="http://schemas.openxmlformats.org/officeDocument/2006/relationships/image" Target="media/image463.jpeg"/><Relationship Id="rId1190" Type="http://schemas.openxmlformats.org/officeDocument/2006/relationships/image" Target="media/image512.wmf"/><Relationship Id="rId1204" Type="http://schemas.openxmlformats.org/officeDocument/2006/relationships/image" Target="media/image519.jpeg"/><Relationship Id="rId1246" Type="http://schemas.openxmlformats.org/officeDocument/2006/relationships/hyperlink" Target="http://www.setterfield.org/000docs/behaviorzpeapp2.html" TargetMode="External"/><Relationship Id="rId92" Type="http://schemas.openxmlformats.org/officeDocument/2006/relationships/image" Target="media/image47.jpeg"/><Relationship Id="rId213" Type="http://schemas.openxmlformats.org/officeDocument/2006/relationships/oleObject" Target="embeddings/oleObject18.bin"/><Relationship Id="rId420" Type="http://schemas.openxmlformats.org/officeDocument/2006/relationships/image" Target="media/image161.wmf"/><Relationship Id="rId616" Type="http://schemas.openxmlformats.org/officeDocument/2006/relationships/oleObject" Target="embeddings/oleObject126.bin"/><Relationship Id="rId658" Type="http://schemas.openxmlformats.org/officeDocument/2006/relationships/oleObject" Target="embeddings/oleObject147.bin"/><Relationship Id="rId823" Type="http://schemas.openxmlformats.org/officeDocument/2006/relationships/image" Target="media/image357.wmf"/><Relationship Id="rId865" Type="http://schemas.openxmlformats.org/officeDocument/2006/relationships/image" Target="media/image377.wmf"/><Relationship Id="rId1050" Type="http://schemas.openxmlformats.org/officeDocument/2006/relationships/hyperlink" Target="http://www.austhrutime.com/mapcis.htm" TargetMode="External"/><Relationship Id="rId1288" Type="http://schemas.openxmlformats.org/officeDocument/2006/relationships/hyperlink" Target="http://www.setterfield.org/000docs/behaviorzpeapp8.html" TargetMode="External"/><Relationship Id="rId255" Type="http://schemas.openxmlformats.org/officeDocument/2006/relationships/hyperlink" Target="http://www.sciencewriter.net/ncd/d.htm" TargetMode="External"/><Relationship Id="rId297" Type="http://schemas.openxmlformats.org/officeDocument/2006/relationships/image" Target="media/image123.jpeg"/><Relationship Id="rId462" Type="http://schemas.openxmlformats.org/officeDocument/2006/relationships/image" Target="media/image181.wmf"/><Relationship Id="rId518" Type="http://schemas.openxmlformats.org/officeDocument/2006/relationships/image" Target="media/image206.wmf"/><Relationship Id="rId725" Type="http://schemas.openxmlformats.org/officeDocument/2006/relationships/image" Target="media/image308.wmf"/><Relationship Id="rId932" Type="http://schemas.openxmlformats.org/officeDocument/2006/relationships/oleObject" Target="embeddings/oleObject281.bin"/><Relationship Id="rId1092" Type="http://schemas.openxmlformats.org/officeDocument/2006/relationships/hyperlink" Target="http://www.fossils.me.uk/html/pangea.html" TargetMode="External"/><Relationship Id="rId1106" Type="http://schemas.openxmlformats.org/officeDocument/2006/relationships/image" Target="media/image485.jpeg"/><Relationship Id="rId1148" Type="http://schemas.openxmlformats.org/officeDocument/2006/relationships/oleObject" Target="embeddings/oleObject291.bin"/><Relationship Id="rId1313" Type="http://schemas.openxmlformats.org/officeDocument/2006/relationships/image" Target="media/image547.jpeg"/><Relationship Id="rId1355" Type="http://schemas.openxmlformats.org/officeDocument/2006/relationships/hyperlink" Target="http://en.wikipedia.org/wiki/Chicxulub_crater" TargetMode="External"/><Relationship Id="rId115" Type="http://schemas.openxmlformats.org/officeDocument/2006/relationships/image" Target="media/image63.jpeg"/><Relationship Id="rId157" Type="http://schemas.openxmlformats.org/officeDocument/2006/relationships/hyperlink" Target="http://www.studyhelpline.net/Biography/Albert-Abraham-Michelson-biography.aspx" TargetMode="External"/><Relationship Id="rId322" Type="http://schemas.openxmlformats.org/officeDocument/2006/relationships/image" Target="media/image145.jpeg"/><Relationship Id="rId364" Type="http://schemas.openxmlformats.org/officeDocument/2006/relationships/hyperlink" Target="http://fitz6.wordpress.com/2012/02/27/states-of-matter/" TargetMode="External"/><Relationship Id="rId767" Type="http://schemas.openxmlformats.org/officeDocument/2006/relationships/oleObject" Target="embeddings/oleObject202.bin"/><Relationship Id="rId974" Type="http://schemas.openxmlformats.org/officeDocument/2006/relationships/image" Target="media/image426.jpeg"/><Relationship Id="rId1008" Type="http://schemas.openxmlformats.org/officeDocument/2006/relationships/hyperlink" Target="http://en.wikipedia.org/wiki/Carbonaceous_chondrite" TargetMode="External"/><Relationship Id="rId1215" Type="http://schemas.openxmlformats.org/officeDocument/2006/relationships/oleObject" Target="embeddings/oleObject322.bin"/><Relationship Id="rId61" Type="http://schemas.openxmlformats.org/officeDocument/2006/relationships/hyperlink" Target="http://arxiv.org/abs/astro-ph/0110012" TargetMode="External"/><Relationship Id="rId199" Type="http://schemas.openxmlformats.org/officeDocument/2006/relationships/oleObject" Target="embeddings/oleObject11.bin"/><Relationship Id="rId571" Type="http://schemas.openxmlformats.org/officeDocument/2006/relationships/image" Target="media/image232.wmf"/><Relationship Id="rId627" Type="http://schemas.openxmlformats.org/officeDocument/2006/relationships/image" Target="media/image260.wmf"/><Relationship Id="rId669" Type="http://schemas.openxmlformats.org/officeDocument/2006/relationships/image" Target="media/image280.wmf"/><Relationship Id="rId834" Type="http://schemas.openxmlformats.org/officeDocument/2006/relationships/image" Target="media/image362.wmf"/><Relationship Id="rId876" Type="http://schemas.openxmlformats.org/officeDocument/2006/relationships/oleObject" Target="embeddings/oleObject257.bin"/><Relationship Id="rId1257" Type="http://schemas.openxmlformats.org/officeDocument/2006/relationships/hyperlink" Target="http://www.setterfield.org/000docs/behaviorzpeapp6.html" TargetMode="External"/><Relationship Id="rId1299" Type="http://schemas.openxmlformats.org/officeDocument/2006/relationships/hyperlink" Target="http://www.nature.com/news/radio-array-starts-work-1.9762" TargetMode="External"/><Relationship Id="rId19" Type="http://schemas.openxmlformats.org/officeDocument/2006/relationships/image" Target="media/image11.png"/><Relationship Id="rId224" Type="http://schemas.openxmlformats.org/officeDocument/2006/relationships/image" Target="media/image100.wmf"/><Relationship Id="rId266" Type="http://schemas.openxmlformats.org/officeDocument/2006/relationships/hyperlink" Target="http://people.physics.carleton.ca/~watson/Physics/Astrophysics/4201_essentials/4201_Radiation.html?id=0" TargetMode="External"/><Relationship Id="rId431" Type="http://schemas.openxmlformats.org/officeDocument/2006/relationships/oleObject" Target="embeddings/oleObject35.bin"/><Relationship Id="rId473" Type="http://schemas.openxmlformats.org/officeDocument/2006/relationships/oleObject" Target="embeddings/oleObject53.bin"/><Relationship Id="rId529" Type="http://schemas.openxmlformats.org/officeDocument/2006/relationships/oleObject" Target="embeddings/oleObject82.bin"/><Relationship Id="rId680" Type="http://schemas.openxmlformats.org/officeDocument/2006/relationships/oleObject" Target="embeddings/oleObject158.bin"/><Relationship Id="rId736" Type="http://schemas.openxmlformats.org/officeDocument/2006/relationships/oleObject" Target="embeddings/oleObject186.bin"/><Relationship Id="rId901" Type="http://schemas.openxmlformats.org/officeDocument/2006/relationships/image" Target="media/image395.wmf"/><Relationship Id="rId1061" Type="http://schemas.openxmlformats.org/officeDocument/2006/relationships/hyperlink" Target="http://www.spacedaily.com/news/lunarplanet-2001-01a4.html" TargetMode="External"/><Relationship Id="rId1117" Type="http://schemas.openxmlformats.org/officeDocument/2006/relationships/hyperlink" Target="http://www.setterfield.org/000docs/behaviorzpeapp2.html" TargetMode="External"/><Relationship Id="rId1159" Type="http://schemas.openxmlformats.org/officeDocument/2006/relationships/oleObject" Target="embeddings/oleObject298.bin"/><Relationship Id="rId1324" Type="http://schemas.openxmlformats.org/officeDocument/2006/relationships/image" Target="media/image558.jpeg"/><Relationship Id="rId30" Type="http://schemas.openxmlformats.org/officeDocument/2006/relationships/hyperlink" Target="http://members.wolfram.com/jeffb/visualization/stringtheory.shtml" TargetMode="External"/><Relationship Id="rId126" Type="http://schemas.openxmlformats.org/officeDocument/2006/relationships/chart" Target="charts/chart13.xml"/><Relationship Id="rId168" Type="http://schemas.openxmlformats.org/officeDocument/2006/relationships/chart" Target="charts/chart16.xml"/><Relationship Id="rId333" Type="http://schemas.openxmlformats.org/officeDocument/2006/relationships/image" Target="media/image151.jpeg"/><Relationship Id="rId540" Type="http://schemas.openxmlformats.org/officeDocument/2006/relationships/image" Target="media/image217.wmf"/><Relationship Id="rId778" Type="http://schemas.openxmlformats.org/officeDocument/2006/relationships/image" Target="media/image334.wmf"/><Relationship Id="rId943" Type="http://schemas.openxmlformats.org/officeDocument/2006/relationships/image" Target="media/image420.wmf"/><Relationship Id="rId985" Type="http://schemas.openxmlformats.org/officeDocument/2006/relationships/image" Target="media/image431.jpeg"/><Relationship Id="rId1019" Type="http://schemas.openxmlformats.org/officeDocument/2006/relationships/image" Target="media/image444.jpeg"/><Relationship Id="rId1170" Type="http://schemas.openxmlformats.org/officeDocument/2006/relationships/image" Target="media/image502.wmf"/><Relationship Id="rId72" Type="http://schemas.openxmlformats.org/officeDocument/2006/relationships/hyperlink" Target="http://www.setterfield.org/report/report.html" TargetMode="External"/><Relationship Id="rId375" Type="http://schemas.openxmlformats.org/officeDocument/2006/relationships/hyperlink" Target="http://apod.nasa.gov/apod/ap020226.html" TargetMode="External"/><Relationship Id="rId582" Type="http://schemas.openxmlformats.org/officeDocument/2006/relationships/oleObject" Target="embeddings/oleObject109.bin"/><Relationship Id="rId638" Type="http://schemas.openxmlformats.org/officeDocument/2006/relationships/oleObject" Target="embeddings/oleObject137.bin"/><Relationship Id="rId803" Type="http://schemas.openxmlformats.org/officeDocument/2006/relationships/image" Target="media/image347.wmf"/><Relationship Id="rId845" Type="http://schemas.openxmlformats.org/officeDocument/2006/relationships/oleObject" Target="embeddings/oleObject241.bin"/><Relationship Id="rId1030" Type="http://schemas.openxmlformats.org/officeDocument/2006/relationships/image" Target="media/image454.jpeg"/><Relationship Id="rId1226" Type="http://schemas.openxmlformats.org/officeDocument/2006/relationships/hyperlink" Target="http://www.estfound.org/analysis.htm" TargetMode="External"/><Relationship Id="rId1268" Type="http://schemas.openxmlformats.org/officeDocument/2006/relationships/hyperlink" Target="http://www.physics.hku.hk/~nature/notes/lectures/chap13.html" TargetMode="External"/><Relationship Id="rId3" Type="http://schemas.openxmlformats.org/officeDocument/2006/relationships/styles" Target="styles.xml"/><Relationship Id="rId235" Type="http://schemas.openxmlformats.org/officeDocument/2006/relationships/hyperlink" Target="http://www.lbl.gov/supernova/" TargetMode="External"/><Relationship Id="rId277" Type="http://schemas.openxmlformats.org/officeDocument/2006/relationships/image" Target="media/image113.jpeg"/><Relationship Id="rId400" Type="http://schemas.openxmlformats.org/officeDocument/2006/relationships/hyperlink" Target="http://www.kgs.ku.edu/Publications/GeoRecord/2000/vol6.1/Page1.html" TargetMode="External"/><Relationship Id="rId442" Type="http://schemas.openxmlformats.org/officeDocument/2006/relationships/oleObject" Target="embeddings/oleObject40.bin"/><Relationship Id="rId484" Type="http://schemas.openxmlformats.org/officeDocument/2006/relationships/oleObject" Target="embeddings/oleObject60.bin"/><Relationship Id="rId705" Type="http://schemas.openxmlformats.org/officeDocument/2006/relationships/image" Target="media/image298.wmf"/><Relationship Id="rId887" Type="http://schemas.openxmlformats.org/officeDocument/2006/relationships/image" Target="media/image388.wmf"/><Relationship Id="rId1072" Type="http://schemas.openxmlformats.org/officeDocument/2006/relationships/hyperlink" Target="http://en.wikipedia.org/wiki/Chicxulub_crater" TargetMode="External"/><Relationship Id="rId1128" Type="http://schemas.openxmlformats.org/officeDocument/2006/relationships/hyperlink" Target="http://universe-review.ca/R10-23-plants.htm" TargetMode="External"/><Relationship Id="rId1335" Type="http://schemas.openxmlformats.org/officeDocument/2006/relationships/image" Target="media/image569.jpeg"/><Relationship Id="rId137" Type="http://schemas.openxmlformats.org/officeDocument/2006/relationships/hyperlink" Target="http://www.astronet.ru:8105/db/msg/1170951/1880.html" TargetMode="External"/><Relationship Id="rId302" Type="http://schemas.openxmlformats.org/officeDocument/2006/relationships/image" Target="media/image128.jpeg"/><Relationship Id="rId344" Type="http://schemas.openxmlformats.org/officeDocument/2006/relationships/hyperlink" Target="http://www.jpl.nasa.gov/news/news.cfm?release=2012-139&amp;cid=release_2012-139&amp;msource=12139" TargetMode="External"/><Relationship Id="rId691" Type="http://schemas.openxmlformats.org/officeDocument/2006/relationships/image" Target="media/image291.wmf"/><Relationship Id="rId747" Type="http://schemas.openxmlformats.org/officeDocument/2006/relationships/oleObject" Target="embeddings/oleObject192.bin"/><Relationship Id="rId789" Type="http://schemas.openxmlformats.org/officeDocument/2006/relationships/oleObject" Target="embeddings/oleObject213.bin"/><Relationship Id="rId912" Type="http://schemas.openxmlformats.org/officeDocument/2006/relationships/oleObject" Target="embeddings/oleObject275.bin"/><Relationship Id="rId954" Type="http://schemas.openxmlformats.org/officeDocument/2006/relationships/hyperlink" Target="http://www.scienceforums.net/topic/52516-general-relativity-theory/" TargetMode="External"/><Relationship Id="rId996" Type="http://schemas.openxmlformats.org/officeDocument/2006/relationships/hyperlink" Target="http://www.nps.gov/brca/naturescience/bristleconepine.htm" TargetMode="External"/><Relationship Id="rId41" Type="http://schemas.openxmlformats.org/officeDocument/2006/relationships/hyperlink" Target="http://hubblesite.org/newscenter/archive/releases/1997/38/image/f/" TargetMode="External"/><Relationship Id="rId83" Type="http://schemas.openxmlformats.org/officeDocument/2006/relationships/image" Target="media/image40.jpeg"/><Relationship Id="rId179" Type="http://schemas.openxmlformats.org/officeDocument/2006/relationships/image" Target="media/image74.jpeg"/><Relationship Id="rId386" Type="http://schemas.openxmlformats.org/officeDocument/2006/relationships/hyperlink" Target="http://hubblesite.org/gallery/album/pr2001005a/" TargetMode="External"/><Relationship Id="rId551" Type="http://schemas.openxmlformats.org/officeDocument/2006/relationships/oleObject" Target="embeddings/oleObject93.bin"/><Relationship Id="rId593" Type="http://schemas.openxmlformats.org/officeDocument/2006/relationships/image" Target="media/image243.wmf"/><Relationship Id="rId607" Type="http://schemas.openxmlformats.org/officeDocument/2006/relationships/image" Target="media/image250.wmf"/><Relationship Id="rId649" Type="http://schemas.openxmlformats.org/officeDocument/2006/relationships/image" Target="media/image270.jpeg"/><Relationship Id="rId814" Type="http://schemas.openxmlformats.org/officeDocument/2006/relationships/oleObject" Target="embeddings/oleObject225.bin"/><Relationship Id="rId856" Type="http://schemas.openxmlformats.org/officeDocument/2006/relationships/image" Target="media/image373.wmf"/><Relationship Id="rId1181" Type="http://schemas.openxmlformats.org/officeDocument/2006/relationships/image" Target="media/image508.jpeg"/><Relationship Id="rId1237" Type="http://schemas.openxmlformats.org/officeDocument/2006/relationships/hyperlink" Target="http://amsglossary.allenpress.com/glossary/browse?s=r&amp;p=30" TargetMode="External"/><Relationship Id="rId1279" Type="http://schemas.openxmlformats.org/officeDocument/2006/relationships/oleObject" Target="embeddings/oleObject329.bin"/><Relationship Id="rId190" Type="http://schemas.openxmlformats.org/officeDocument/2006/relationships/image" Target="media/image82.wmf"/><Relationship Id="rId204" Type="http://schemas.openxmlformats.org/officeDocument/2006/relationships/image" Target="media/image89.wmf"/><Relationship Id="rId246" Type="http://schemas.openxmlformats.org/officeDocument/2006/relationships/hyperlink" Target="http://spaceflightnow.com/news/n0312/12darkenergy/" TargetMode="External"/><Relationship Id="rId288" Type="http://schemas.openxmlformats.org/officeDocument/2006/relationships/oleObject" Target="embeddings/oleObject24.bin"/><Relationship Id="rId411" Type="http://schemas.openxmlformats.org/officeDocument/2006/relationships/image" Target="media/image156.wmf"/><Relationship Id="rId453" Type="http://schemas.openxmlformats.org/officeDocument/2006/relationships/oleObject" Target="embeddings/oleObject45.bin"/><Relationship Id="rId509" Type="http://schemas.openxmlformats.org/officeDocument/2006/relationships/oleObject" Target="embeddings/oleObject72.bin"/><Relationship Id="rId660" Type="http://schemas.openxmlformats.org/officeDocument/2006/relationships/oleObject" Target="embeddings/oleObject148.bin"/><Relationship Id="rId898" Type="http://schemas.openxmlformats.org/officeDocument/2006/relationships/oleObject" Target="embeddings/oleObject268.bin"/><Relationship Id="rId1041" Type="http://schemas.openxmlformats.org/officeDocument/2006/relationships/image" Target="media/image465.gif"/><Relationship Id="rId1083" Type="http://schemas.openxmlformats.org/officeDocument/2006/relationships/hyperlink" Target="http://www.earthsciences.hku.hk/shmuseum/earth_evo_03_archean_intro.php" TargetMode="External"/><Relationship Id="rId1139" Type="http://schemas.openxmlformats.org/officeDocument/2006/relationships/hyperlink" Target="http://flickrhivemind.net/Tags/greenalgae/Interesting" TargetMode="External"/><Relationship Id="rId1290" Type="http://schemas.openxmlformats.org/officeDocument/2006/relationships/image" Target="media/image536.gif"/><Relationship Id="rId1304" Type="http://schemas.openxmlformats.org/officeDocument/2006/relationships/image" Target="media/image538.jpeg"/><Relationship Id="rId1346" Type="http://schemas.openxmlformats.org/officeDocument/2006/relationships/hyperlink" Target="http://en.wikipedia.org/wiki/4_Vesta" TargetMode="External"/><Relationship Id="rId106" Type="http://schemas.openxmlformats.org/officeDocument/2006/relationships/image" Target="media/image56.jpeg"/><Relationship Id="rId313" Type="http://schemas.openxmlformats.org/officeDocument/2006/relationships/image" Target="media/image137.gif"/><Relationship Id="rId495" Type="http://schemas.openxmlformats.org/officeDocument/2006/relationships/oleObject" Target="embeddings/oleObject65.bin"/><Relationship Id="rId716" Type="http://schemas.openxmlformats.org/officeDocument/2006/relationships/oleObject" Target="embeddings/oleObject176.bin"/><Relationship Id="rId758" Type="http://schemas.openxmlformats.org/officeDocument/2006/relationships/image" Target="media/image324.wmf"/><Relationship Id="rId923" Type="http://schemas.openxmlformats.org/officeDocument/2006/relationships/image" Target="media/image410.wmf"/><Relationship Id="rId965" Type="http://schemas.openxmlformats.org/officeDocument/2006/relationships/image" Target="media/image423.jpeg"/><Relationship Id="rId1150" Type="http://schemas.openxmlformats.org/officeDocument/2006/relationships/oleObject" Target="embeddings/oleObject292.bin"/><Relationship Id="rId10" Type="http://schemas.openxmlformats.org/officeDocument/2006/relationships/image" Target="media/image3.gif"/><Relationship Id="rId52" Type="http://schemas.openxmlformats.org/officeDocument/2006/relationships/image" Target="media/image25.gif"/><Relationship Id="rId94" Type="http://schemas.openxmlformats.org/officeDocument/2006/relationships/image" Target="media/image49.jpeg"/><Relationship Id="rId148" Type="http://schemas.openxmlformats.org/officeDocument/2006/relationships/hyperlink" Target="http://en.wikipedia.org/wiki/James_Young_(Scottish_chemist)" TargetMode="External"/><Relationship Id="rId355" Type="http://schemas.openxmlformats.org/officeDocument/2006/relationships/hyperlink" Target="http://www.arxiv.org/abs/0801.0006" TargetMode="External"/><Relationship Id="rId397" Type="http://schemas.openxmlformats.org/officeDocument/2006/relationships/hyperlink" Target="http://greensleeves-hubs.hubpages.com/hub/AstronomyBeginnersGuideMoon-Greensleeves" TargetMode="External"/><Relationship Id="rId520" Type="http://schemas.openxmlformats.org/officeDocument/2006/relationships/image" Target="media/image207.wmf"/><Relationship Id="rId562" Type="http://schemas.openxmlformats.org/officeDocument/2006/relationships/oleObject" Target="embeddings/oleObject99.bin"/><Relationship Id="rId618" Type="http://schemas.openxmlformats.org/officeDocument/2006/relationships/oleObject" Target="embeddings/oleObject127.bin"/><Relationship Id="rId825" Type="http://schemas.openxmlformats.org/officeDocument/2006/relationships/image" Target="media/image358.wmf"/><Relationship Id="rId1192" Type="http://schemas.openxmlformats.org/officeDocument/2006/relationships/image" Target="media/image513.wmf"/><Relationship Id="rId1206" Type="http://schemas.openxmlformats.org/officeDocument/2006/relationships/image" Target="media/image520.wmf"/><Relationship Id="rId1248" Type="http://schemas.openxmlformats.org/officeDocument/2006/relationships/hyperlink" Target="http://www.setterfield.org/000docs/behaviorzpeapp2.html" TargetMode="External"/><Relationship Id="rId215" Type="http://schemas.openxmlformats.org/officeDocument/2006/relationships/oleObject" Target="embeddings/oleObject19.bin"/><Relationship Id="rId257" Type="http://schemas.openxmlformats.org/officeDocument/2006/relationships/hyperlink" Target="http://www.robert-temple.com/papers/fredHoylesUniverse.html" TargetMode="External"/><Relationship Id="rId422" Type="http://schemas.openxmlformats.org/officeDocument/2006/relationships/image" Target="media/image162.wmf"/><Relationship Id="rId464" Type="http://schemas.openxmlformats.org/officeDocument/2006/relationships/image" Target="media/image182.wmf"/><Relationship Id="rId867" Type="http://schemas.openxmlformats.org/officeDocument/2006/relationships/image" Target="media/image378.wmf"/><Relationship Id="rId1010" Type="http://schemas.openxmlformats.org/officeDocument/2006/relationships/image" Target="media/image435.jpeg"/><Relationship Id="rId1052" Type="http://schemas.openxmlformats.org/officeDocument/2006/relationships/hyperlink" Target="http://www.metaresearch.org/solar%20system/eph/eph2000.asp" TargetMode="External"/><Relationship Id="rId1094" Type="http://schemas.openxmlformats.org/officeDocument/2006/relationships/image" Target="media/image473.jpeg"/><Relationship Id="rId1108" Type="http://schemas.openxmlformats.org/officeDocument/2006/relationships/image" Target="media/image487.png"/><Relationship Id="rId1315" Type="http://schemas.openxmlformats.org/officeDocument/2006/relationships/image" Target="media/image549.jpeg"/><Relationship Id="rId299" Type="http://schemas.openxmlformats.org/officeDocument/2006/relationships/image" Target="media/image125.gif"/><Relationship Id="rId727" Type="http://schemas.openxmlformats.org/officeDocument/2006/relationships/image" Target="media/image309.wmf"/><Relationship Id="rId934" Type="http://schemas.openxmlformats.org/officeDocument/2006/relationships/oleObject" Target="embeddings/oleObject282.bin"/><Relationship Id="rId1357" Type="http://schemas.openxmlformats.org/officeDocument/2006/relationships/hyperlink" Target="http://www.psrd.hawaii.edu/May10/YoungerALH84001.html" TargetMode="External"/><Relationship Id="rId63" Type="http://schemas.openxmlformats.org/officeDocument/2006/relationships/hyperlink" Target="http://www.kennislink.nl/upload/193600_276_1205417537548-79872_276_1022530650861-herschepping2.jpg" TargetMode="External"/><Relationship Id="rId159" Type="http://schemas.openxmlformats.org/officeDocument/2006/relationships/hyperlink" Target="http://oisc.net/Speed_of_Light.htm" TargetMode="External"/><Relationship Id="rId366" Type="http://schemas.openxmlformats.org/officeDocument/2006/relationships/hyperlink" Target="http://celebrating200years.noaa.gov/magazine/igy/sydney_chapman.html" TargetMode="External"/><Relationship Id="rId573" Type="http://schemas.openxmlformats.org/officeDocument/2006/relationships/image" Target="media/image233.wmf"/><Relationship Id="rId780" Type="http://schemas.openxmlformats.org/officeDocument/2006/relationships/image" Target="media/image335.wmf"/><Relationship Id="rId1217" Type="http://schemas.openxmlformats.org/officeDocument/2006/relationships/image" Target="media/image526.jpeg"/><Relationship Id="rId226" Type="http://schemas.openxmlformats.org/officeDocument/2006/relationships/image" Target="media/image101.wmf"/><Relationship Id="rId433" Type="http://schemas.openxmlformats.org/officeDocument/2006/relationships/oleObject" Target="embeddings/oleObject36.bin"/><Relationship Id="rId878" Type="http://schemas.openxmlformats.org/officeDocument/2006/relationships/oleObject" Target="embeddings/oleObject258.bin"/><Relationship Id="rId1063" Type="http://schemas.openxmlformats.org/officeDocument/2006/relationships/hyperlink" Target="http://users.tkk.fi/~ftesfaye/TKK-MT-15%20+etu%20ja%20takakansi.pdf" TargetMode="External"/><Relationship Id="rId1270" Type="http://schemas.openxmlformats.org/officeDocument/2006/relationships/hyperlink" Target="http://www.setterfield.org/000docs/behaviorzpeapp6.html" TargetMode="External"/><Relationship Id="rId640" Type="http://schemas.openxmlformats.org/officeDocument/2006/relationships/oleObject" Target="embeddings/oleObject138.bin"/><Relationship Id="rId738" Type="http://schemas.openxmlformats.org/officeDocument/2006/relationships/oleObject" Target="embeddings/oleObject187.bin"/><Relationship Id="rId945" Type="http://schemas.openxmlformats.org/officeDocument/2006/relationships/image" Target="media/image421.wmf"/><Relationship Id="rId74" Type="http://schemas.openxmlformats.org/officeDocument/2006/relationships/chart" Target="charts/chart2.xml"/><Relationship Id="rId377" Type="http://schemas.openxmlformats.org/officeDocument/2006/relationships/hyperlink" Target="http://apod.nasa.gov/apod/ap080110.html" TargetMode="External"/><Relationship Id="rId500" Type="http://schemas.openxmlformats.org/officeDocument/2006/relationships/image" Target="media/image197.wmf"/><Relationship Id="rId584" Type="http://schemas.openxmlformats.org/officeDocument/2006/relationships/oleObject" Target="embeddings/oleObject110.bin"/><Relationship Id="rId805" Type="http://schemas.openxmlformats.org/officeDocument/2006/relationships/image" Target="media/image348.wmf"/><Relationship Id="rId1130" Type="http://schemas.openxmlformats.org/officeDocument/2006/relationships/hyperlink" Target="http://www.search4dinosaurs.com/rb_carboniferous.html" TargetMode="External"/><Relationship Id="rId1228" Type="http://schemas.openxmlformats.org/officeDocument/2006/relationships/hyperlink" Target="http://www.nist.gov/pml/general/curie/dorsey.cfm" TargetMode="External"/><Relationship Id="rId5" Type="http://schemas.openxmlformats.org/officeDocument/2006/relationships/webSettings" Target="webSettings.xml"/><Relationship Id="rId237" Type="http://schemas.openxmlformats.org/officeDocument/2006/relationships/hyperlink" Target="http://arxiv.org/abs/astro-ph/9712212" TargetMode="External"/><Relationship Id="rId791" Type="http://schemas.openxmlformats.org/officeDocument/2006/relationships/oleObject" Target="embeddings/oleObject214.bin"/><Relationship Id="rId889" Type="http://schemas.openxmlformats.org/officeDocument/2006/relationships/image" Target="media/image389.wmf"/><Relationship Id="rId1074" Type="http://schemas.openxmlformats.org/officeDocument/2006/relationships/hyperlink" Target="http://www.our-earth.net/Model-of-Chicxulub-Crater.asp" TargetMode="External"/><Relationship Id="rId444" Type="http://schemas.openxmlformats.org/officeDocument/2006/relationships/image" Target="media/image172.wmf"/><Relationship Id="rId651" Type="http://schemas.openxmlformats.org/officeDocument/2006/relationships/image" Target="media/image271.wmf"/><Relationship Id="rId749" Type="http://schemas.openxmlformats.org/officeDocument/2006/relationships/oleObject" Target="embeddings/oleObject193.bin"/><Relationship Id="rId1281" Type="http://schemas.openxmlformats.org/officeDocument/2006/relationships/oleObject" Target="embeddings/oleObject331.bin"/><Relationship Id="rId290" Type="http://schemas.openxmlformats.org/officeDocument/2006/relationships/package" Target="embeddings/Microsoft_Office_PowerPoint_Slide20.sldx"/><Relationship Id="rId304" Type="http://schemas.openxmlformats.org/officeDocument/2006/relationships/image" Target="media/image130.jpeg"/><Relationship Id="rId388" Type="http://schemas.openxmlformats.org/officeDocument/2006/relationships/hyperlink" Target="http://hubblesite.org/newscenter/archive/releases/1997/38/image/f/" TargetMode="External"/><Relationship Id="rId511" Type="http://schemas.openxmlformats.org/officeDocument/2006/relationships/oleObject" Target="embeddings/oleObject73.bin"/><Relationship Id="rId609" Type="http://schemas.openxmlformats.org/officeDocument/2006/relationships/image" Target="media/image251.wmf"/><Relationship Id="rId956" Type="http://schemas.openxmlformats.org/officeDocument/2006/relationships/hyperlink" Target="http://imagine.gsfc.nasa.gov/docs/features/news/grav_lens.html" TargetMode="External"/><Relationship Id="rId1141" Type="http://schemas.openxmlformats.org/officeDocument/2006/relationships/hyperlink" Target="http://thenaturalhistorian.com/2012/06/23/fossil-reef-falls-ohio-road-cut-kentucky/" TargetMode="External"/><Relationship Id="rId1239" Type="http://schemas.openxmlformats.org/officeDocument/2006/relationships/hyperlink" Target="http://www.astronomy.ohio-state.edu/~pogge/Ast871/" TargetMode="External"/><Relationship Id="rId85" Type="http://schemas.openxmlformats.org/officeDocument/2006/relationships/image" Target="media/image42.jpeg"/><Relationship Id="rId150" Type="http://schemas.openxmlformats.org/officeDocument/2006/relationships/hyperlink" Target="https://www.oca.eu/histoire-nice_en/perrotin.html" TargetMode="External"/><Relationship Id="rId595" Type="http://schemas.openxmlformats.org/officeDocument/2006/relationships/image" Target="media/image244.wmf"/><Relationship Id="rId816" Type="http://schemas.openxmlformats.org/officeDocument/2006/relationships/oleObject" Target="embeddings/oleObject226.bin"/><Relationship Id="rId1001" Type="http://schemas.openxmlformats.org/officeDocument/2006/relationships/hyperlink" Target="http://kgortney.pbworks.com/w/page/28715420/Class%20Notes" TargetMode="External"/><Relationship Id="rId248" Type="http://schemas.openxmlformats.org/officeDocument/2006/relationships/hyperlink" Target="http://en.wikipedia.org/wiki/Recombination_(cosmology)" TargetMode="External"/><Relationship Id="rId455" Type="http://schemas.openxmlformats.org/officeDocument/2006/relationships/oleObject" Target="embeddings/oleObject46.bin"/><Relationship Id="rId662" Type="http://schemas.openxmlformats.org/officeDocument/2006/relationships/oleObject" Target="embeddings/oleObject149.bin"/><Relationship Id="rId1085" Type="http://schemas.openxmlformats.org/officeDocument/2006/relationships/hyperlink" Target="http://web.missouri.edu/~appoldm/research/flinders.html" TargetMode="External"/><Relationship Id="rId1292" Type="http://schemas.openxmlformats.org/officeDocument/2006/relationships/image" Target="media/image537.jpeg"/><Relationship Id="rId1306" Type="http://schemas.openxmlformats.org/officeDocument/2006/relationships/image" Target="media/image540.emf"/><Relationship Id="rId12" Type="http://schemas.openxmlformats.org/officeDocument/2006/relationships/image" Target="media/image5.jpeg"/><Relationship Id="rId108" Type="http://schemas.openxmlformats.org/officeDocument/2006/relationships/chart" Target="charts/chart8.xml"/><Relationship Id="rId315" Type="http://schemas.openxmlformats.org/officeDocument/2006/relationships/image" Target="media/image139.jpeg"/><Relationship Id="rId522" Type="http://schemas.openxmlformats.org/officeDocument/2006/relationships/image" Target="media/image208.wmf"/><Relationship Id="rId967" Type="http://schemas.openxmlformats.org/officeDocument/2006/relationships/hyperlink" Target="http://www.setterfield.org/000docs/behaviorzpeapp4.html" TargetMode="External"/><Relationship Id="rId1152" Type="http://schemas.openxmlformats.org/officeDocument/2006/relationships/oleObject" Target="embeddings/oleObject293.bin"/><Relationship Id="rId96" Type="http://schemas.openxmlformats.org/officeDocument/2006/relationships/hyperlink" Target="http://www.iau.org/static/resolutions/IAU1976_French.pdf" TargetMode="External"/><Relationship Id="rId161" Type="http://schemas.openxmlformats.org/officeDocument/2006/relationships/hyperlink" Target="http://www.setterfield.org/000docs/behaviorzpe3.html" TargetMode="External"/><Relationship Id="rId399" Type="http://schemas.openxmlformats.org/officeDocument/2006/relationships/hyperlink" Target="http://yoelnatanbooks.blogspot.com/" TargetMode="External"/><Relationship Id="rId827" Type="http://schemas.openxmlformats.org/officeDocument/2006/relationships/oleObject" Target="embeddings/oleObject232.bin"/><Relationship Id="rId1012" Type="http://schemas.openxmlformats.org/officeDocument/2006/relationships/image" Target="media/image437.jpeg"/><Relationship Id="rId259" Type="http://schemas.openxmlformats.org/officeDocument/2006/relationships/hyperlink" Target="http://www.arm.ac.uk/staff/billn.html" TargetMode="External"/><Relationship Id="rId466" Type="http://schemas.openxmlformats.org/officeDocument/2006/relationships/image" Target="media/image183.wmf"/><Relationship Id="rId673" Type="http://schemas.openxmlformats.org/officeDocument/2006/relationships/image" Target="media/image282.wmf"/><Relationship Id="rId880" Type="http://schemas.openxmlformats.org/officeDocument/2006/relationships/oleObject" Target="embeddings/oleObject259.bin"/><Relationship Id="rId1096" Type="http://schemas.openxmlformats.org/officeDocument/2006/relationships/image" Target="media/image475.jpeg"/><Relationship Id="rId1317" Type="http://schemas.openxmlformats.org/officeDocument/2006/relationships/image" Target="media/image551.jpeg"/><Relationship Id="rId23" Type="http://schemas.openxmlformats.org/officeDocument/2006/relationships/image" Target="media/image15.jpeg"/><Relationship Id="rId119" Type="http://schemas.openxmlformats.org/officeDocument/2006/relationships/image" Target="media/image66.jpeg"/><Relationship Id="rId326" Type="http://schemas.openxmlformats.org/officeDocument/2006/relationships/image" Target="media/image149.gif"/><Relationship Id="rId533" Type="http://schemas.openxmlformats.org/officeDocument/2006/relationships/oleObject" Target="embeddings/oleObject84.bin"/><Relationship Id="rId978" Type="http://schemas.openxmlformats.org/officeDocument/2006/relationships/hyperlink" Target="http://www.setterfield.org/000docs/behaviorzpeapp4.html" TargetMode="External"/><Relationship Id="rId1163" Type="http://schemas.openxmlformats.org/officeDocument/2006/relationships/oleObject" Target="embeddings/oleObject300.bin"/><Relationship Id="rId740" Type="http://schemas.openxmlformats.org/officeDocument/2006/relationships/oleObject" Target="embeddings/oleObject188.bin"/><Relationship Id="rId838" Type="http://schemas.openxmlformats.org/officeDocument/2006/relationships/image" Target="media/image364.wmf"/><Relationship Id="rId1023" Type="http://schemas.openxmlformats.org/officeDocument/2006/relationships/image" Target="media/image448.jpeg"/><Relationship Id="rId172" Type="http://schemas.openxmlformats.org/officeDocument/2006/relationships/hyperlink" Target="http://www.estfound.org/analysis.htm" TargetMode="External"/><Relationship Id="rId477" Type="http://schemas.openxmlformats.org/officeDocument/2006/relationships/oleObject" Target="embeddings/oleObject55.bin"/><Relationship Id="rId600" Type="http://schemas.openxmlformats.org/officeDocument/2006/relationships/oleObject" Target="embeddings/oleObject118.bin"/><Relationship Id="rId684" Type="http://schemas.openxmlformats.org/officeDocument/2006/relationships/oleObject" Target="embeddings/oleObject160.bin"/><Relationship Id="rId1230" Type="http://schemas.openxmlformats.org/officeDocument/2006/relationships/hyperlink" Target="http://www.setterfield.org/Kiel_Presentation.html" TargetMode="External"/><Relationship Id="rId1328" Type="http://schemas.openxmlformats.org/officeDocument/2006/relationships/image" Target="media/image562.jpeg"/><Relationship Id="rId337" Type="http://schemas.openxmlformats.org/officeDocument/2006/relationships/hyperlink" Target="http://space.newscientist.com/article.ns?id=dn11432&amp;print=true" TargetMode="External"/><Relationship Id="rId891" Type="http://schemas.openxmlformats.org/officeDocument/2006/relationships/image" Target="media/image390.wmf"/><Relationship Id="rId905" Type="http://schemas.openxmlformats.org/officeDocument/2006/relationships/image" Target="media/image397.wmf"/><Relationship Id="rId989" Type="http://schemas.openxmlformats.org/officeDocument/2006/relationships/hyperlink" Target="http://www.setterfield.org/000docs/behaviorzpeapp4.html" TargetMode="External"/><Relationship Id="rId34" Type="http://schemas.openxmlformats.org/officeDocument/2006/relationships/hyperlink" Target="http://www.19thpsalm.org/Ch01/index.html" TargetMode="External"/><Relationship Id="rId544" Type="http://schemas.openxmlformats.org/officeDocument/2006/relationships/image" Target="media/image219.wmf"/><Relationship Id="rId751" Type="http://schemas.openxmlformats.org/officeDocument/2006/relationships/oleObject" Target="embeddings/oleObject194.bin"/><Relationship Id="rId849" Type="http://schemas.openxmlformats.org/officeDocument/2006/relationships/oleObject" Target="embeddings/oleObject243.bin"/><Relationship Id="rId1174" Type="http://schemas.openxmlformats.org/officeDocument/2006/relationships/image" Target="media/image504.wmf"/><Relationship Id="rId183" Type="http://schemas.openxmlformats.org/officeDocument/2006/relationships/image" Target="media/image78.png"/><Relationship Id="rId390" Type="http://schemas.openxmlformats.org/officeDocument/2006/relationships/hyperlink" Target="http://ars.els-cdn.com/content/image/1-s2.0-S0264370702000492-gr2.gif" TargetMode="External"/><Relationship Id="rId404" Type="http://schemas.openxmlformats.org/officeDocument/2006/relationships/hyperlink" Target="http://www.setterfield.org/000docs/behaviorzpeapp7.html" TargetMode="External"/><Relationship Id="rId611" Type="http://schemas.openxmlformats.org/officeDocument/2006/relationships/image" Target="media/image252.wmf"/><Relationship Id="rId1034" Type="http://schemas.openxmlformats.org/officeDocument/2006/relationships/image" Target="media/image458.jpeg"/><Relationship Id="rId1241" Type="http://schemas.openxmlformats.org/officeDocument/2006/relationships/hyperlink" Target="http://www.zdplaskin.laplace.univ-tlse.fr/examples/01/" TargetMode="External"/><Relationship Id="rId1339" Type="http://schemas.openxmlformats.org/officeDocument/2006/relationships/image" Target="media/image573.jpeg"/><Relationship Id="rId250" Type="http://schemas.openxmlformats.org/officeDocument/2006/relationships/hyperlink" Target="http://en.wikipedia.org/wiki/Sculptor_Group" TargetMode="External"/><Relationship Id="rId488" Type="http://schemas.openxmlformats.org/officeDocument/2006/relationships/oleObject" Target="embeddings/oleObject62.bin"/><Relationship Id="rId695" Type="http://schemas.openxmlformats.org/officeDocument/2006/relationships/image" Target="media/image293.wmf"/><Relationship Id="rId709" Type="http://schemas.openxmlformats.org/officeDocument/2006/relationships/image" Target="media/image300.wmf"/><Relationship Id="rId916" Type="http://schemas.openxmlformats.org/officeDocument/2006/relationships/image" Target="media/image403.jpeg"/><Relationship Id="rId1101" Type="http://schemas.openxmlformats.org/officeDocument/2006/relationships/image" Target="media/image480.jpeg"/><Relationship Id="rId45" Type="http://schemas.openxmlformats.org/officeDocument/2006/relationships/image" Target="media/image20.png"/><Relationship Id="rId110" Type="http://schemas.openxmlformats.org/officeDocument/2006/relationships/image" Target="media/image58.jpeg"/><Relationship Id="rId348" Type="http://schemas.openxmlformats.org/officeDocument/2006/relationships/hyperlink" Target="http://www.plasma-universe.com/index.php/Marklund_convection" TargetMode="External"/><Relationship Id="rId555" Type="http://schemas.openxmlformats.org/officeDocument/2006/relationships/oleObject" Target="embeddings/oleObject95.bin"/><Relationship Id="rId762" Type="http://schemas.openxmlformats.org/officeDocument/2006/relationships/image" Target="media/image326.wmf"/><Relationship Id="rId1185" Type="http://schemas.openxmlformats.org/officeDocument/2006/relationships/oleObject" Target="embeddings/oleObject309.bin"/><Relationship Id="rId194" Type="http://schemas.openxmlformats.org/officeDocument/2006/relationships/image" Target="media/image84.wmf"/><Relationship Id="rId208" Type="http://schemas.openxmlformats.org/officeDocument/2006/relationships/image" Target="media/image91.wmf"/><Relationship Id="rId415" Type="http://schemas.openxmlformats.org/officeDocument/2006/relationships/image" Target="media/image158.wmf"/><Relationship Id="rId622" Type="http://schemas.openxmlformats.org/officeDocument/2006/relationships/oleObject" Target="embeddings/oleObject129.bin"/><Relationship Id="rId1045" Type="http://schemas.openxmlformats.org/officeDocument/2006/relationships/image" Target="media/image469.jpeg"/><Relationship Id="rId1252" Type="http://schemas.openxmlformats.org/officeDocument/2006/relationships/hyperlink" Target="http://www.setterfield.org/000docs/behaviorzpeapp2.html" TargetMode="External"/><Relationship Id="rId261" Type="http://schemas.openxmlformats.org/officeDocument/2006/relationships/hyperlink" Target="http://www.setterfield.org/Kiel_Presentation.html" TargetMode="External"/><Relationship Id="rId499" Type="http://schemas.openxmlformats.org/officeDocument/2006/relationships/oleObject" Target="embeddings/oleObject67.bin"/><Relationship Id="rId927" Type="http://schemas.openxmlformats.org/officeDocument/2006/relationships/image" Target="media/image412.wmf"/><Relationship Id="rId1112" Type="http://schemas.openxmlformats.org/officeDocument/2006/relationships/hyperlink" Target="http://www.newscientist.com/article/dn12941-giant-claw-points-to-%20monster-sea-scorpion.html" TargetMode="External"/><Relationship Id="rId56" Type="http://schemas.openxmlformats.org/officeDocument/2006/relationships/hyperlink" Target="http://astro.ucla.edu/~wright/Lyman-alpha-forest.html" TargetMode="External"/><Relationship Id="rId359" Type="http://schemas.openxmlformats.org/officeDocument/2006/relationships/hyperlink" Target="http://arxiv.org/pdf/physics/0701076.pdf" TargetMode="External"/><Relationship Id="rId566" Type="http://schemas.openxmlformats.org/officeDocument/2006/relationships/oleObject" Target="embeddings/oleObject101.bin"/><Relationship Id="rId773" Type="http://schemas.openxmlformats.org/officeDocument/2006/relationships/oleObject" Target="embeddings/oleObject205.bin"/><Relationship Id="rId1196" Type="http://schemas.openxmlformats.org/officeDocument/2006/relationships/image" Target="media/image515.wmf"/><Relationship Id="rId121" Type="http://schemas.openxmlformats.org/officeDocument/2006/relationships/hyperlink" Target="http://www.setterfield.org/000docs/cx4.html" TargetMode="External"/><Relationship Id="rId219" Type="http://schemas.openxmlformats.org/officeDocument/2006/relationships/image" Target="media/image97.png"/><Relationship Id="rId426" Type="http://schemas.openxmlformats.org/officeDocument/2006/relationships/image" Target="media/image164.wmf"/><Relationship Id="rId633" Type="http://schemas.openxmlformats.org/officeDocument/2006/relationships/image" Target="media/image263.wmf"/><Relationship Id="rId980" Type="http://schemas.openxmlformats.org/officeDocument/2006/relationships/image" Target="media/image428.gif"/><Relationship Id="rId1056" Type="http://schemas.openxmlformats.org/officeDocument/2006/relationships/hyperlink" Target="http://www.spaceref.com/news/viewpr.html?pid=1990" TargetMode="External"/><Relationship Id="rId1263" Type="http://schemas.openxmlformats.org/officeDocument/2006/relationships/hyperlink" Target="http://www.setterfield.org/000docs/behaviorzpeapp2.html" TargetMode="External"/><Relationship Id="rId840" Type="http://schemas.openxmlformats.org/officeDocument/2006/relationships/image" Target="media/image365.wmf"/><Relationship Id="rId938" Type="http://schemas.openxmlformats.org/officeDocument/2006/relationships/oleObject" Target="embeddings/oleObject284.bin"/><Relationship Id="rId67" Type="http://schemas.openxmlformats.org/officeDocument/2006/relationships/hyperlink" Target="http://members.wolfram.com/jeffb/visualization/stringtheory.shtml" TargetMode="External"/><Relationship Id="rId272" Type="http://schemas.openxmlformats.org/officeDocument/2006/relationships/image" Target="media/image108.jpeg"/><Relationship Id="rId577" Type="http://schemas.openxmlformats.org/officeDocument/2006/relationships/image" Target="media/image235.wmf"/><Relationship Id="rId700" Type="http://schemas.openxmlformats.org/officeDocument/2006/relationships/oleObject" Target="embeddings/oleObject168.bin"/><Relationship Id="rId1123" Type="http://schemas.openxmlformats.org/officeDocument/2006/relationships/hyperlink" Target="http://news.mongabay.com/2006/0504-coml.html" TargetMode="External"/><Relationship Id="rId1330" Type="http://schemas.openxmlformats.org/officeDocument/2006/relationships/image" Target="media/image564.png"/><Relationship Id="rId132" Type="http://schemas.openxmlformats.org/officeDocument/2006/relationships/hyperlink" Target="http://nvlpubs.nist.gov/nistpubs/sp958-lide/191-193.pdf" TargetMode="External"/><Relationship Id="rId784" Type="http://schemas.openxmlformats.org/officeDocument/2006/relationships/image" Target="media/image337.wmf"/><Relationship Id="rId991" Type="http://schemas.openxmlformats.org/officeDocument/2006/relationships/image" Target="media/image433.png"/><Relationship Id="rId1067" Type="http://schemas.openxmlformats.org/officeDocument/2006/relationships/hyperlink" Target="http://www.emc.maricopa.edu/faculty/farabee/biobk/biobookevoli.html" TargetMode="External"/><Relationship Id="rId437" Type="http://schemas.openxmlformats.org/officeDocument/2006/relationships/oleObject" Target="embeddings/oleObject38.bin"/><Relationship Id="rId644" Type="http://schemas.openxmlformats.org/officeDocument/2006/relationships/image" Target="media/image268.wmf"/><Relationship Id="rId851" Type="http://schemas.openxmlformats.org/officeDocument/2006/relationships/oleObject" Target="embeddings/oleObject244.bin"/><Relationship Id="rId1274" Type="http://schemas.openxmlformats.org/officeDocument/2006/relationships/hyperlink" Target="http://www.setterfield.org/000docs/behaviorzpeapp6.html" TargetMode="External"/><Relationship Id="rId283" Type="http://schemas.openxmlformats.org/officeDocument/2006/relationships/hyperlink" Target="http://en.wikipedia.org/wiki/Magnet" TargetMode="External"/><Relationship Id="rId490" Type="http://schemas.openxmlformats.org/officeDocument/2006/relationships/oleObject" Target="embeddings/oleObject63.bin"/><Relationship Id="rId504" Type="http://schemas.openxmlformats.org/officeDocument/2006/relationships/image" Target="media/image199.wmf"/><Relationship Id="rId711" Type="http://schemas.openxmlformats.org/officeDocument/2006/relationships/image" Target="media/image301.wmf"/><Relationship Id="rId949" Type="http://schemas.openxmlformats.org/officeDocument/2006/relationships/hyperlink" Target="http://www.calphysics.org/questions.html" TargetMode="External"/><Relationship Id="rId1134" Type="http://schemas.openxmlformats.org/officeDocument/2006/relationships/hyperlink" Target="http://www.nasa.gov/missions/science/f_interference.html" TargetMode="External"/><Relationship Id="rId1341" Type="http://schemas.openxmlformats.org/officeDocument/2006/relationships/image" Target="media/image575.jpeg"/><Relationship Id="rId78" Type="http://schemas.openxmlformats.org/officeDocument/2006/relationships/oleObject" Target="embeddings/oleObject3.bin"/><Relationship Id="rId143" Type="http://schemas.openxmlformats.org/officeDocument/2006/relationships/hyperlink" Target="http://en.wikipedia.org/wiki/Pulkovo_Observatory" TargetMode="External"/><Relationship Id="rId350" Type="http://schemas.openxmlformats.org/officeDocument/2006/relationships/hyperlink" Target="http://arxiv.org/abs/physics/0409157" TargetMode="External"/><Relationship Id="rId588" Type="http://schemas.openxmlformats.org/officeDocument/2006/relationships/oleObject" Target="embeddings/oleObject112.bin"/><Relationship Id="rId795" Type="http://schemas.openxmlformats.org/officeDocument/2006/relationships/oleObject" Target="embeddings/oleObject216.bin"/><Relationship Id="rId809" Type="http://schemas.openxmlformats.org/officeDocument/2006/relationships/image" Target="media/image350.wmf"/><Relationship Id="rId1201" Type="http://schemas.openxmlformats.org/officeDocument/2006/relationships/oleObject" Target="embeddings/oleObject317.bin"/><Relationship Id="rId9" Type="http://schemas.openxmlformats.org/officeDocument/2006/relationships/image" Target="media/image2.jpeg"/><Relationship Id="rId210" Type="http://schemas.openxmlformats.org/officeDocument/2006/relationships/image" Target="media/image92.wmf"/><Relationship Id="rId448" Type="http://schemas.openxmlformats.org/officeDocument/2006/relationships/image" Target="media/image174.wmf"/><Relationship Id="rId655" Type="http://schemas.openxmlformats.org/officeDocument/2006/relationships/image" Target="media/image273.wmf"/><Relationship Id="rId862" Type="http://schemas.openxmlformats.org/officeDocument/2006/relationships/oleObject" Target="embeddings/oleObject250.bin"/><Relationship Id="rId1078" Type="http://schemas.openxmlformats.org/officeDocument/2006/relationships/hyperlink" Target="http://www.visionsofthecosmos.co.uk/Planet%20Mars.htm" TargetMode="External"/><Relationship Id="rId1285" Type="http://schemas.openxmlformats.org/officeDocument/2006/relationships/hyperlink" Target="http://www.iaus277.org/seeabstract.php?id=120" TargetMode="External"/><Relationship Id="rId294" Type="http://schemas.openxmlformats.org/officeDocument/2006/relationships/image" Target="media/image120.png"/><Relationship Id="rId308" Type="http://schemas.openxmlformats.org/officeDocument/2006/relationships/image" Target="media/image134.png"/><Relationship Id="rId515" Type="http://schemas.openxmlformats.org/officeDocument/2006/relationships/oleObject" Target="embeddings/oleObject75.bin"/><Relationship Id="rId722" Type="http://schemas.openxmlformats.org/officeDocument/2006/relationships/oleObject" Target="embeddings/oleObject179.bin"/><Relationship Id="rId1145" Type="http://schemas.openxmlformats.org/officeDocument/2006/relationships/image" Target="media/image491.wmf"/><Relationship Id="rId1352" Type="http://schemas.openxmlformats.org/officeDocument/2006/relationships/hyperlink" Target="http://www.austhrutime.com/mapcis.htm" TargetMode="External"/><Relationship Id="rId89" Type="http://schemas.openxmlformats.org/officeDocument/2006/relationships/image" Target="media/image44.jpeg"/><Relationship Id="rId154" Type="http://schemas.openxmlformats.org/officeDocument/2006/relationships/hyperlink" Target="http://16inchtranscriptions.com/Michelson.html" TargetMode="External"/><Relationship Id="rId361" Type="http://schemas.openxmlformats.org/officeDocument/2006/relationships/hyperlink" Target="http://www.spacedaily.com/news/lunarplanet-2001-01a4.html" TargetMode="External"/><Relationship Id="rId599" Type="http://schemas.openxmlformats.org/officeDocument/2006/relationships/image" Target="media/image246.wmf"/><Relationship Id="rId1005" Type="http://schemas.openxmlformats.org/officeDocument/2006/relationships/hyperlink" Target="http://www.religiousforums.com/forum/science-religion/74134-how-does-yec-explain-trees-50-a-9.html" TargetMode="External"/><Relationship Id="rId1212" Type="http://schemas.openxmlformats.org/officeDocument/2006/relationships/image" Target="media/image523.wmf"/><Relationship Id="rId459" Type="http://schemas.openxmlformats.org/officeDocument/2006/relationships/oleObject" Target="embeddings/oleObject48.bin"/><Relationship Id="rId666" Type="http://schemas.openxmlformats.org/officeDocument/2006/relationships/oleObject" Target="embeddings/oleObject151.bin"/><Relationship Id="rId873" Type="http://schemas.openxmlformats.org/officeDocument/2006/relationships/image" Target="media/image381.wmf"/><Relationship Id="rId1089" Type="http://schemas.openxmlformats.org/officeDocument/2006/relationships/hyperlink" Target="http://www.waterencyclopedia.com/Mi-Oc/Mid-Ocean-Ridges.html" TargetMode="External"/><Relationship Id="rId1296" Type="http://schemas.openxmlformats.org/officeDocument/2006/relationships/hyperlink" Target="http://adsabs.harvard.edu/abs/2003HEAD....7.1009L" TargetMode="External"/><Relationship Id="rId16" Type="http://schemas.openxmlformats.org/officeDocument/2006/relationships/image" Target="media/image8.jpeg"/><Relationship Id="rId221" Type="http://schemas.openxmlformats.org/officeDocument/2006/relationships/oleObject" Target="embeddings/oleObject20.bin"/><Relationship Id="rId319" Type="http://schemas.openxmlformats.org/officeDocument/2006/relationships/image" Target="media/image142.jpeg"/><Relationship Id="rId526" Type="http://schemas.openxmlformats.org/officeDocument/2006/relationships/image" Target="media/image210.wmf"/><Relationship Id="rId1156" Type="http://schemas.openxmlformats.org/officeDocument/2006/relationships/oleObject" Target="embeddings/oleObject296.bin"/><Relationship Id="rId1363" Type="http://schemas.openxmlformats.org/officeDocument/2006/relationships/fontTable" Target="fontTable.xml"/><Relationship Id="rId733" Type="http://schemas.openxmlformats.org/officeDocument/2006/relationships/image" Target="media/image312.wmf"/><Relationship Id="rId940" Type="http://schemas.openxmlformats.org/officeDocument/2006/relationships/oleObject" Target="embeddings/oleObject285.bin"/><Relationship Id="rId1016" Type="http://schemas.openxmlformats.org/officeDocument/2006/relationships/image" Target="media/image441.jpeg"/><Relationship Id="rId165" Type="http://schemas.openxmlformats.org/officeDocument/2006/relationships/oleObject" Target="embeddings/oleObject5.bin"/><Relationship Id="rId372" Type="http://schemas.openxmlformats.org/officeDocument/2006/relationships/hyperlink" Target="http://www.holoscience.com/wp/wp-content/uploads/2011/05/Marklund-Convection-2.jpg" TargetMode="External"/><Relationship Id="rId677" Type="http://schemas.openxmlformats.org/officeDocument/2006/relationships/image" Target="media/image284.wmf"/><Relationship Id="rId800" Type="http://schemas.openxmlformats.org/officeDocument/2006/relationships/image" Target="media/image345.png"/><Relationship Id="rId1223" Type="http://schemas.openxmlformats.org/officeDocument/2006/relationships/image" Target="media/image530.jpeg"/><Relationship Id="rId232" Type="http://schemas.openxmlformats.org/officeDocument/2006/relationships/hyperlink" Target="http://www.orionfdn.org/papers/arxiv-3.pdf" TargetMode="External"/><Relationship Id="rId884" Type="http://schemas.openxmlformats.org/officeDocument/2006/relationships/oleObject" Target="embeddings/oleObject261.bin"/><Relationship Id="rId27" Type="http://schemas.openxmlformats.org/officeDocument/2006/relationships/image" Target="media/image19.jpeg"/><Relationship Id="rId537" Type="http://schemas.openxmlformats.org/officeDocument/2006/relationships/oleObject" Target="embeddings/oleObject86.bin"/><Relationship Id="rId744" Type="http://schemas.openxmlformats.org/officeDocument/2006/relationships/oleObject" Target="embeddings/oleObject190.bin"/><Relationship Id="rId951" Type="http://schemas.openxmlformats.org/officeDocument/2006/relationships/hyperlink" Target="http://www.holoscience.com/news.php?article=7qqsr17q" TargetMode="External"/><Relationship Id="rId1167" Type="http://schemas.openxmlformats.org/officeDocument/2006/relationships/oleObject" Target="embeddings/oleObject302.bin"/><Relationship Id="rId80" Type="http://schemas.openxmlformats.org/officeDocument/2006/relationships/hyperlink" Target="http://physics.nist.gov/cuu/Constants/index.html" TargetMode="External"/><Relationship Id="rId176" Type="http://schemas.openxmlformats.org/officeDocument/2006/relationships/image" Target="media/image72.png"/><Relationship Id="rId383" Type="http://schemas.openxmlformats.org/officeDocument/2006/relationships/hyperlink" Target="http://chandra.harvard.edu/photo/2008/m81/more.html" TargetMode="External"/><Relationship Id="rId590" Type="http://schemas.openxmlformats.org/officeDocument/2006/relationships/oleObject" Target="embeddings/oleObject113.bin"/><Relationship Id="rId604" Type="http://schemas.openxmlformats.org/officeDocument/2006/relationships/oleObject" Target="embeddings/oleObject120.bin"/><Relationship Id="rId811" Type="http://schemas.openxmlformats.org/officeDocument/2006/relationships/image" Target="media/image351.wmf"/><Relationship Id="rId1027" Type="http://schemas.openxmlformats.org/officeDocument/2006/relationships/hyperlink" Target="http://www.spacedaily.com/news/lunarplanet-2001-01a4.html" TargetMode="External"/><Relationship Id="rId1234" Type="http://schemas.openxmlformats.org/officeDocument/2006/relationships/hyperlink" Target="http://www.newdimensions.org/program-archive/god-is-alive-and-well-in-the-cosmos-with-bernard-haisch/" TargetMode="External"/><Relationship Id="rId243" Type="http://schemas.openxmlformats.org/officeDocument/2006/relationships/hyperlink" Target="http://spaceflightnow.com/news/n0310/10expansion/" TargetMode="External"/><Relationship Id="rId450" Type="http://schemas.openxmlformats.org/officeDocument/2006/relationships/image" Target="media/image175.wmf"/><Relationship Id="rId688" Type="http://schemas.openxmlformats.org/officeDocument/2006/relationships/oleObject" Target="embeddings/oleObject162.bin"/><Relationship Id="rId895" Type="http://schemas.openxmlformats.org/officeDocument/2006/relationships/image" Target="media/image392.wmf"/><Relationship Id="rId909" Type="http://schemas.openxmlformats.org/officeDocument/2006/relationships/image" Target="media/image399.wmf"/><Relationship Id="rId1080" Type="http://schemas.openxmlformats.org/officeDocument/2006/relationships/hyperlink" Target="http://www.fas.org/irp/imint/docs/rst/Sect19/Sect19_7.html" TargetMode="External"/><Relationship Id="rId1301" Type="http://schemas.openxmlformats.org/officeDocument/2006/relationships/hyperlink" Target="http://www.atnf.csiro.au/people/pulsar/wwwdev/Education_page.html" TargetMode="External"/><Relationship Id="rId38" Type="http://schemas.openxmlformats.org/officeDocument/2006/relationships/hyperlink" Target="http://www.thunderbolts.info/tpod/2006/arch06/060602plasma-galaxy.htm" TargetMode="External"/><Relationship Id="rId103" Type="http://schemas.openxmlformats.org/officeDocument/2006/relationships/image" Target="media/image54.jpeg"/><Relationship Id="rId310" Type="http://schemas.openxmlformats.org/officeDocument/2006/relationships/image" Target="media/image135.jpeg"/><Relationship Id="rId548" Type="http://schemas.openxmlformats.org/officeDocument/2006/relationships/image" Target="media/image221.wmf"/><Relationship Id="rId755" Type="http://schemas.openxmlformats.org/officeDocument/2006/relationships/oleObject" Target="embeddings/oleObject196.bin"/><Relationship Id="rId962" Type="http://schemas.openxmlformats.org/officeDocument/2006/relationships/hyperlink" Target="http://www.angelfire.com/rnb/pp0/plasma3.html" TargetMode="External"/><Relationship Id="rId1178" Type="http://schemas.openxmlformats.org/officeDocument/2006/relationships/image" Target="media/image506.wmf"/><Relationship Id="rId91" Type="http://schemas.openxmlformats.org/officeDocument/2006/relationships/image" Target="media/image46.jpeg"/><Relationship Id="rId187" Type="http://schemas.openxmlformats.org/officeDocument/2006/relationships/hyperlink" Target="http://arxiv.org/pdf/astro-ph/0612191.pdf" TargetMode="External"/><Relationship Id="rId394" Type="http://schemas.openxmlformats.org/officeDocument/2006/relationships/hyperlink" Target="http://www.psrd.hawaii.edu/May10/YoungerALH84001.html" TargetMode="External"/><Relationship Id="rId408" Type="http://schemas.openxmlformats.org/officeDocument/2006/relationships/oleObject" Target="embeddings/oleObject27.bin"/><Relationship Id="rId615" Type="http://schemas.openxmlformats.org/officeDocument/2006/relationships/image" Target="media/image254.wmf"/><Relationship Id="rId822" Type="http://schemas.openxmlformats.org/officeDocument/2006/relationships/oleObject" Target="embeddings/oleObject229.bin"/><Relationship Id="rId1038" Type="http://schemas.openxmlformats.org/officeDocument/2006/relationships/image" Target="media/image462.jpeg"/><Relationship Id="rId1245" Type="http://schemas.openxmlformats.org/officeDocument/2006/relationships/hyperlink" Target="http://www.setterfield.org/000docs/behaviorzpeapp2.html" TargetMode="External"/><Relationship Id="rId254" Type="http://schemas.openxmlformats.org/officeDocument/2006/relationships/hyperlink" Target="http://www.astronomy.ohio-state.edu/~pogge/Ast162/Unit5/expand.html" TargetMode="External"/><Relationship Id="rId699" Type="http://schemas.openxmlformats.org/officeDocument/2006/relationships/image" Target="media/image295.wmf"/><Relationship Id="rId1091" Type="http://schemas.openxmlformats.org/officeDocument/2006/relationships/hyperlink" Target="http://arstechnica.com/science/2008/03/of-dinosaurs-and-volcanoes/" TargetMode="External"/><Relationship Id="rId1105" Type="http://schemas.openxmlformats.org/officeDocument/2006/relationships/image" Target="media/image484.jpeg"/><Relationship Id="rId1312" Type="http://schemas.openxmlformats.org/officeDocument/2006/relationships/image" Target="media/image546.jpeg"/><Relationship Id="rId49" Type="http://schemas.openxmlformats.org/officeDocument/2006/relationships/image" Target="media/image23.wmf"/><Relationship Id="rId114" Type="http://schemas.openxmlformats.org/officeDocument/2006/relationships/image" Target="media/image62.jpeg"/><Relationship Id="rId461" Type="http://schemas.openxmlformats.org/officeDocument/2006/relationships/package" Target="embeddings/Microsoft_Office_PowerPoint_Slide26.sldx"/><Relationship Id="rId559" Type="http://schemas.openxmlformats.org/officeDocument/2006/relationships/image" Target="media/image226.wmf"/><Relationship Id="rId766" Type="http://schemas.openxmlformats.org/officeDocument/2006/relationships/image" Target="media/image328.wmf"/><Relationship Id="rId1189" Type="http://schemas.openxmlformats.org/officeDocument/2006/relationships/oleObject" Target="embeddings/oleObject311.bin"/><Relationship Id="rId198" Type="http://schemas.openxmlformats.org/officeDocument/2006/relationships/image" Target="media/image86.wmf"/><Relationship Id="rId321" Type="http://schemas.openxmlformats.org/officeDocument/2006/relationships/image" Target="media/image144.jpeg"/><Relationship Id="rId419" Type="http://schemas.openxmlformats.org/officeDocument/2006/relationships/image" Target="media/image160.jpeg"/><Relationship Id="rId626" Type="http://schemas.openxmlformats.org/officeDocument/2006/relationships/oleObject" Target="embeddings/oleObject131.bin"/><Relationship Id="rId973" Type="http://schemas.openxmlformats.org/officeDocument/2006/relationships/image" Target="media/image425.jpeg"/><Relationship Id="rId1049" Type="http://schemas.openxmlformats.org/officeDocument/2006/relationships/hyperlink" Target="http://www.mapcis.net/mapcis_case.html" TargetMode="External"/><Relationship Id="rId1256" Type="http://schemas.openxmlformats.org/officeDocument/2006/relationships/hyperlink" Target="http://www.setterfield.org/000docs/behaviorzpeapp2.html" TargetMode="External"/><Relationship Id="rId833" Type="http://schemas.openxmlformats.org/officeDocument/2006/relationships/oleObject" Target="embeddings/oleObject235.bin"/><Relationship Id="rId1116" Type="http://schemas.openxmlformats.org/officeDocument/2006/relationships/hyperlink" Target="http://www.mni.mcgill.ca/media/publications/neuroscienceletter/june09/colman/" TargetMode="External"/><Relationship Id="rId265" Type="http://schemas.openxmlformats.org/officeDocument/2006/relationships/hyperlink" Target="http://csep10.phys.utk.edu/astr162/lect/stars/spectra.html" TargetMode="External"/><Relationship Id="rId472" Type="http://schemas.openxmlformats.org/officeDocument/2006/relationships/image" Target="media/image186.wmf"/><Relationship Id="rId900" Type="http://schemas.openxmlformats.org/officeDocument/2006/relationships/oleObject" Target="embeddings/oleObject269.bin"/><Relationship Id="rId1323" Type="http://schemas.openxmlformats.org/officeDocument/2006/relationships/image" Target="media/image557.jpeg"/><Relationship Id="rId125" Type="http://schemas.openxmlformats.org/officeDocument/2006/relationships/chart" Target="charts/chart12.xml"/><Relationship Id="rId332" Type="http://schemas.openxmlformats.org/officeDocument/2006/relationships/image" Target="media/image150.jpeg"/><Relationship Id="rId777" Type="http://schemas.openxmlformats.org/officeDocument/2006/relationships/oleObject" Target="embeddings/oleObject207.bin"/><Relationship Id="rId984" Type="http://schemas.openxmlformats.org/officeDocument/2006/relationships/hyperlink" Target="http://www.setterfield.org/000docs/behaviorzpeapp4.html" TargetMode="External"/><Relationship Id="rId637" Type="http://schemas.openxmlformats.org/officeDocument/2006/relationships/image" Target="media/image265.wmf"/><Relationship Id="rId844" Type="http://schemas.openxmlformats.org/officeDocument/2006/relationships/image" Target="media/image367.wmf"/><Relationship Id="rId1267" Type="http://schemas.openxmlformats.org/officeDocument/2006/relationships/hyperlink" Target="http://www.eso.org/public/news/eso1046/" TargetMode="External"/><Relationship Id="rId276" Type="http://schemas.openxmlformats.org/officeDocument/2006/relationships/image" Target="media/image112.jpeg"/><Relationship Id="rId483" Type="http://schemas.openxmlformats.org/officeDocument/2006/relationships/image" Target="media/image189.wmf"/><Relationship Id="rId690" Type="http://schemas.openxmlformats.org/officeDocument/2006/relationships/oleObject" Target="embeddings/oleObject163.bin"/><Relationship Id="rId704" Type="http://schemas.openxmlformats.org/officeDocument/2006/relationships/oleObject" Target="embeddings/oleObject170.bin"/><Relationship Id="rId911" Type="http://schemas.openxmlformats.org/officeDocument/2006/relationships/image" Target="media/image400.wmf"/><Relationship Id="rId1127" Type="http://schemas.openxmlformats.org/officeDocument/2006/relationships/hyperlink" Target="http://www.ess.uci.edu/~cpasquer/papers/kappleretal_GEO2005.pdf" TargetMode="External"/><Relationship Id="rId1334" Type="http://schemas.openxmlformats.org/officeDocument/2006/relationships/image" Target="media/image568.jpeg"/><Relationship Id="rId40" Type="http://schemas.openxmlformats.org/officeDocument/2006/relationships/hyperlink" Target="http://www.nasa.gov/mission_pages/hubble/multimedia/ero/ero_ngc6302.html" TargetMode="External"/><Relationship Id="rId136" Type="http://schemas.openxmlformats.org/officeDocument/2006/relationships/hyperlink" Target="http://en.wikipedia.org/wiki/Jean_Baptiste_Joseph_Delambre" TargetMode="External"/><Relationship Id="rId343" Type="http://schemas.openxmlformats.org/officeDocument/2006/relationships/hyperlink" Target="http://www.eso.org/public/news/eso0941/" TargetMode="External"/><Relationship Id="rId550" Type="http://schemas.openxmlformats.org/officeDocument/2006/relationships/image" Target="media/image222.wmf"/><Relationship Id="rId788" Type="http://schemas.openxmlformats.org/officeDocument/2006/relationships/image" Target="media/image339.wmf"/><Relationship Id="rId995" Type="http://schemas.openxmlformats.org/officeDocument/2006/relationships/hyperlink" Target="http://www.archaeology.org/9909/abstracts/pyramids.html" TargetMode="External"/><Relationship Id="rId1180" Type="http://schemas.openxmlformats.org/officeDocument/2006/relationships/image" Target="media/image507.jpeg"/><Relationship Id="rId203" Type="http://schemas.openxmlformats.org/officeDocument/2006/relationships/oleObject" Target="embeddings/oleObject13.bin"/><Relationship Id="rId648" Type="http://schemas.openxmlformats.org/officeDocument/2006/relationships/hyperlink" Target="http://www.setterfield.org/000docs/behaviorzpeapp7.html" TargetMode="External"/><Relationship Id="rId855" Type="http://schemas.openxmlformats.org/officeDocument/2006/relationships/oleObject" Target="embeddings/oleObject246.bin"/><Relationship Id="rId1040" Type="http://schemas.openxmlformats.org/officeDocument/2006/relationships/image" Target="media/image464.jpeg"/><Relationship Id="rId1278" Type="http://schemas.openxmlformats.org/officeDocument/2006/relationships/oleObject" Target="embeddings/oleObject328.bin"/><Relationship Id="rId287" Type="http://schemas.openxmlformats.org/officeDocument/2006/relationships/image" Target="media/image118.emf"/><Relationship Id="rId410" Type="http://schemas.openxmlformats.org/officeDocument/2006/relationships/oleObject" Target="embeddings/oleObject28.bin"/><Relationship Id="rId494" Type="http://schemas.openxmlformats.org/officeDocument/2006/relationships/image" Target="media/image194.wmf"/><Relationship Id="rId508" Type="http://schemas.openxmlformats.org/officeDocument/2006/relationships/image" Target="media/image201.wmf"/><Relationship Id="rId715" Type="http://schemas.openxmlformats.org/officeDocument/2006/relationships/image" Target="media/image303.wmf"/><Relationship Id="rId922" Type="http://schemas.openxmlformats.org/officeDocument/2006/relationships/image" Target="media/image409.jpeg"/><Relationship Id="rId1138" Type="http://schemas.openxmlformats.org/officeDocument/2006/relationships/hyperlink" Target="http://www.outbacktours.info/adventure.htm" TargetMode="External"/><Relationship Id="rId1345" Type="http://schemas.openxmlformats.org/officeDocument/2006/relationships/hyperlink" Target="http://adsabs.harvard.edu/abs/2011AGUFM.P41A1578T" TargetMode="External"/><Relationship Id="rId147" Type="http://schemas.openxmlformats.org/officeDocument/2006/relationships/hyperlink" Target="http://www.scientific-web.com/en/Physics/Biographies/MarieAlfredCornu01.html" TargetMode="External"/><Relationship Id="rId354" Type="http://schemas.openxmlformats.org/officeDocument/2006/relationships/hyperlink" Target="http://vmsstreamer1.fnal.gov/VMS_Site_03/Lectures/Colloquium/presentations/070214Eisenstein.ppt" TargetMode="External"/><Relationship Id="rId799" Type="http://schemas.openxmlformats.org/officeDocument/2006/relationships/oleObject" Target="embeddings/oleObject218.bin"/><Relationship Id="rId1191" Type="http://schemas.openxmlformats.org/officeDocument/2006/relationships/oleObject" Target="embeddings/oleObject312.bin"/><Relationship Id="rId1205" Type="http://schemas.openxmlformats.org/officeDocument/2006/relationships/chart" Target="charts/chart23.xml"/><Relationship Id="rId51" Type="http://schemas.openxmlformats.org/officeDocument/2006/relationships/image" Target="media/image24.jpeg"/><Relationship Id="rId561" Type="http://schemas.openxmlformats.org/officeDocument/2006/relationships/image" Target="media/image227.wmf"/><Relationship Id="rId659" Type="http://schemas.openxmlformats.org/officeDocument/2006/relationships/image" Target="media/image275.wmf"/><Relationship Id="rId866" Type="http://schemas.openxmlformats.org/officeDocument/2006/relationships/oleObject" Target="embeddings/oleObject252.bin"/><Relationship Id="rId1289" Type="http://schemas.openxmlformats.org/officeDocument/2006/relationships/hyperlink" Target="http://www.setterfield.org/000docs/behaviorzpeapp8.html" TargetMode="External"/><Relationship Id="rId214" Type="http://schemas.openxmlformats.org/officeDocument/2006/relationships/image" Target="media/image94.wmf"/><Relationship Id="rId298" Type="http://schemas.openxmlformats.org/officeDocument/2006/relationships/image" Target="media/image124.jpeg"/><Relationship Id="rId421" Type="http://schemas.openxmlformats.org/officeDocument/2006/relationships/oleObject" Target="embeddings/oleObject31.bin"/><Relationship Id="rId519" Type="http://schemas.openxmlformats.org/officeDocument/2006/relationships/oleObject" Target="embeddings/oleObject77.bin"/><Relationship Id="rId1051" Type="http://schemas.openxmlformats.org/officeDocument/2006/relationships/hyperlink" Target="http://www.enterprisemission.com/comets.html" TargetMode="External"/><Relationship Id="rId1149" Type="http://schemas.openxmlformats.org/officeDocument/2006/relationships/image" Target="media/image493.wmf"/><Relationship Id="rId1356" Type="http://schemas.openxmlformats.org/officeDocument/2006/relationships/hyperlink" Target="http://palaeo.gly.bris.ac.uk/communication/hanks/eff.html" TargetMode="External"/><Relationship Id="rId158" Type="http://schemas.openxmlformats.org/officeDocument/2006/relationships/hyperlink" Target="http://www.setterfield.org/000docs/cx4.html" TargetMode="External"/><Relationship Id="rId726" Type="http://schemas.openxmlformats.org/officeDocument/2006/relationships/oleObject" Target="embeddings/oleObject181.bin"/><Relationship Id="rId933" Type="http://schemas.openxmlformats.org/officeDocument/2006/relationships/image" Target="media/image415.wmf"/><Relationship Id="rId1009" Type="http://schemas.openxmlformats.org/officeDocument/2006/relationships/image" Target="media/image434.png"/><Relationship Id="rId62" Type="http://schemas.openxmlformats.org/officeDocument/2006/relationships/hyperlink" Target="http://spaceflight.esa.int/impress/text/education/Heat%20Transfer/Radiation.html" TargetMode="External"/><Relationship Id="rId365" Type="http://schemas.openxmlformats.org/officeDocument/2006/relationships/hyperlink" Target="http://snl.no/Kristian_Bernhard_Birkeland" TargetMode="External"/><Relationship Id="rId572" Type="http://schemas.openxmlformats.org/officeDocument/2006/relationships/oleObject" Target="embeddings/oleObject104.bin"/><Relationship Id="rId1216" Type="http://schemas.openxmlformats.org/officeDocument/2006/relationships/image" Target="media/image525.jpeg"/><Relationship Id="rId225" Type="http://schemas.openxmlformats.org/officeDocument/2006/relationships/oleObject" Target="embeddings/oleObject22.bin"/><Relationship Id="rId432" Type="http://schemas.openxmlformats.org/officeDocument/2006/relationships/image" Target="media/image167.wmf"/><Relationship Id="rId877" Type="http://schemas.openxmlformats.org/officeDocument/2006/relationships/image" Target="media/image383.wmf"/><Relationship Id="rId1062" Type="http://schemas.openxmlformats.org/officeDocument/2006/relationships/hyperlink" Target="http://micro.magnet.fsu.edu/publications/pages/rocks.html" TargetMode="External"/><Relationship Id="rId737" Type="http://schemas.openxmlformats.org/officeDocument/2006/relationships/image" Target="media/image314.wmf"/><Relationship Id="rId944" Type="http://schemas.openxmlformats.org/officeDocument/2006/relationships/oleObject" Target="embeddings/oleObject287.bin"/><Relationship Id="rId73" Type="http://schemas.openxmlformats.org/officeDocument/2006/relationships/image" Target="media/image33.jpeg"/><Relationship Id="rId169" Type="http://schemas.openxmlformats.org/officeDocument/2006/relationships/hyperlink" Target="http://press.web.cern.ch/press-releases/2013/03/new-results-indicate-particle-discovered-cern-higgs-boson" TargetMode="External"/><Relationship Id="rId376" Type="http://schemas.openxmlformats.org/officeDocument/2006/relationships/hyperlink" Target="http://images.nrao.edu/501" TargetMode="External"/><Relationship Id="rId583" Type="http://schemas.openxmlformats.org/officeDocument/2006/relationships/image" Target="media/image238.wmf"/><Relationship Id="rId790" Type="http://schemas.openxmlformats.org/officeDocument/2006/relationships/image" Target="media/image340.wmf"/><Relationship Id="rId804" Type="http://schemas.openxmlformats.org/officeDocument/2006/relationships/oleObject" Target="embeddings/oleObject220.bin"/><Relationship Id="rId1227" Type="http://schemas.openxmlformats.org/officeDocument/2006/relationships/hyperlink" Target="http://www.calphysics.org/questions.html" TargetMode="External"/><Relationship Id="rId4" Type="http://schemas.openxmlformats.org/officeDocument/2006/relationships/settings" Target="settings.xml"/><Relationship Id="rId236" Type="http://schemas.openxmlformats.org/officeDocument/2006/relationships/hyperlink" Target="http://www.lbl.gov/supernova/albinoni.html" TargetMode="External"/><Relationship Id="rId443" Type="http://schemas.openxmlformats.org/officeDocument/2006/relationships/hyperlink" Target="http://www.setterfield.org/000docs/behaviorzpeapp7.html" TargetMode="External"/><Relationship Id="rId650" Type="http://schemas.openxmlformats.org/officeDocument/2006/relationships/oleObject" Target="embeddings/oleObject143.bin"/><Relationship Id="rId888" Type="http://schemas.openxmlformats.org/officeDocument/2006/relationships/oleObject" Target="embeddings/oleObject263.bin"/><Relationship Id="rId1073" Type="http://schemas.openxmlformats.org/officeDocument/2006/relationships/hyperlink" Target="http://palaeo.gly.bris.ac.uk/communication/hanks/eff.html" TargetMode="External"/><Relationship Id="rId1280" Type="http://schemas.openxmlformats.org/officeDocument/2006/relationships/oleObject" Target="embeddings/oleObject330.bin"/><Relationship Id="rId303" Type="http://schemas.openxmlformats.org/officeDocument/2006/relationships/image" Target="media/image129.jpeg"/><Relationship Id="rId748" Type="http://schemas.openxmlformats.org/officeDocument/2006/relationships/image" Target="media/image319.wmf"/><Relationship Id="rId955" Type="http://schemas.openxmlformats.org/officeDocument/2006/relationships/hyperlink" Target="http://en.wikipedia.org/wiki/Apsidal_precession" TargetMode="External"/><Relationship Id="rId1140" Type="http://schemas.openxmlformats.org/officeDocument/2006/relationships/hyperlink" Target="http://www.fdm-travel.dk/england/kent-rundrejse.html" TargetMode="External"/><Relationship Id="rId84" Type="http://schemas.openxmlformats.org/officeDocument/2006/relationships/image" Target="media/image41.png"/><Relationship Id="rId387" Type="http://schemas.openxmlformats.org/officeDocument/2006/relationships/hyperlink" Target="http://www.nasa.gov/mission_pages/hubble/multimedia/ero/ero_ngc6302.html" TargetMode="External"/><Relationship Id="rId510" Type="http://schemas.openxmlformats.org/officeDocument/2006/relationships/image" Target="media/image202.wmf"/><Relationship Id="rId594" Type="http://schemas.openxmlformats.org/officeDocument/2006/relationships/oleObject" Target="embeddings/oleObject115.bin"/><Relationship Id="rId608" Type="http://schemas.openxmlformats.org/officeDocument/2006/relationships/oleObject" Target="embeddings/oleObject122.bin"/><Relationship Id="rId815" Type="http://schemas.openxmlformats.org/officeDocument/2006/relationships/image" Target="media/image353.wmf"/><Relationship Id="rId1238" Type="http://schemas.openxmlformats.org/officeDocument/2006/relationships/hyperlink" Target="http://arxiv.org/abs/astro-ph/0110012" TargetMode="External"/><Relationship Id="rId247" Type="http://schemas.openxmlformats.org/officeDocument/2006/relationships/hyperlink" Target="http://www.astr.ua.edu/keel/galaxies/cmbr.html" TargetMode="External"/><Relationship Id="rId899" Type="http://schemas.openxmlformats.org/officeDocument/2006/relationships/image" Target="media/image394.wmf"/><Relationship Id="rId1000" Type="http://schemas.openxmlformats.org/officeDocument/2006/relationships/hyperlink" Target="http://kgortney.pbworks.com/w/page/28715420/Class%20Notes" TargetMode="External"/><Relationship Id="rId1084" Type="http://schemas.openxmlformats.org/officeDocument/2006/relationships/hyperlink" Target="http://www.austhrutime.com/mapcis.htm" TargetMode="External"/><Relationship Id="rId1305" Type="http://schemas.openxmlformats.org/officeDocument/2006/relationships/image" Target="media/image539.jpeg"/><Relationship Id="rId107" Type="http://schemas.openxmlformats.org/officeDocument/2006/relationships/chart" Target="charts/chart7.xml"/><Relationship Id="rId454" Type="http://schemas.openxmlformats.org/officeDocument/2006/relationships/image" Target="media/image177.wmf"/><Relationship Id="rId661" Type="http://schemas.openxmlformats.org/officeDocument/2006/relationships/image" Target="media/image276.wmf"/><Relationship Id="rId759" Type="http://schemas.openxmlformats.org/officeDocument/2006/relationships/oleObject" Target="embeddings/oleObject198.bin"/><Relationship Id="rId966" Type="http://schemas.openxmlformats.org/officeDocument/2006/relationships/hyperlink" Target="http://www.setterfield.org/000docs/behaviorzpeapp4.html" TargetMode="External"/><Relationship Id="rId1291" Type="http://schemas.openxmlformats.org/officeDocument/2006/relationships/hyperlink" Target="http://www.setterfield.org/000docs/behaviorzpeapp8.html" TargetMode="External"/><Relationship Id="rId11" Type="http://schemas.openxmlformats.org/officeDocument/2006/relationships/image" Target="media/image4.jpeg"/><Relationship Id="rId314" Type="http://schemas.openxmlformats.org/officeDocument/2006/relationships/image" Target="media/image138.jpeg"/><Relationship Id="rId398" Type="http://schemas.openxmlformats.org/officeDocument/2006/relationships/hyperlink" Target="http://uanews.org/node/17385" TargetMode="External"/><Relationship Id="rId521" Type="http://schemas.openxmlformats.org/officeDocument/2006/relationships/oleObject" Target="embeddings/oleObject78.bin"/><Relationship Id="rId619" Type="http://schemas.openxmlformats.org/officeDocument/2006/relationships/image" Target="media/image256.wmf"/><Relationship Id="rId1151" Type="http://schemas.openxmlformats.org/officeDocument/2006/relationships/image" Target="media/image494.wmf"/><Relationship Id="rId1249" Type="http://schemas.openxmlformats.org/officeDocument/2006/relationships/hyperlink" Target="http://www.setterfield.org/000docs/behaviorzpeapp2.html" TargetMode="External"/><Relationship Id="rId95" Type="http://schemas.openxmlformats.org/officeDocument/2006/relationships/image" Target="media/image50.jpeg"/><Relationship Id="rId160" Type="http://schemas.openxmlformats.org/officeDocument/2006/relationships/image" Target="media/image67.jpeg"/><Relationship Id="rId826" Type="http://schemas.openxmlformats.org/officeDocument/2006/relationships/oleObject" Target="embeddings/oleObject231.bin"/><Relationship Id="rId1011" Type="http://schemas.openxmlformats.org/officeDocument/2006/relationships/image" Target="media/image436.jpeg"/><Relationship Id="rId1109" Type="http://schemas.openxmlformats.org/officeDocument/2006/relationships/image" Target="media/image488.jpeg"/><Relationship Id="rId258" Type="http://schemas.openxmlformats.org/officeDocument/2006/relationships/hyperlink" Target="http://www.holoscience.com/wp/the-remarkable-slowness-of-light/" TargetMode="External"/><Relationship Id="rId465" Type="http://schemas.openxmlformats.org/officeDocument/2006/relationships/oleObject" Target="embeddings/oleObject49.bin"/><Relationship Id="rId672" Type="http://schemas.openxmlformats.org/officeDocument/2006/relationships/oleObject" Target="embeddings/oleObject154.bin"/><Relationship Id="rId1095" Type="http://schemas.openxmlformats.org/officeDocument/2006/relationships/image" Target="media/image474.png"/><Relationship Id="rId1316" Type="http://schemas.openxmlformats.org/officeDocument/2006/relationships/image" Target="media/image550.jpeg"/><Relationship Id="rId22" Type="http://schemas.openxmlformats.org/officeDocument/2006/relationships/image" Target="media/image14.jpeg"/><Relationship Id="rId118" Type="http://schemas.openxmlformats.org/officeDocument/2006/relationships/hyperlink" Target="http://www.setterfield.org/000docs/cx4.html" TargetMode="External"/><Relationship Id="rId325" Type="http://schemas.openxmlformats.org/officeDocument/2006/relationships/image" Target="media/image148.jpeg"/><Relationship Id="rId532" Type="http://schemas.openxmlformats.org/officeDocument/2006/relationships/image" Target="media/image213.wmf"/><Relationship Id="rId977" Type="http://schemas.openxmlformats.org/officeDocument/2006/relationships/hyperlink" Target="http://www.setterfield.org/000docs/behaviorzpeapp4.html" TargetMode="External"/><Relationship Id="rId1162" Type="http://schemas.openxmlformats.org/officeDocument/2006/relationships/image" Target="media/image498.wmf"/><Relationship Id="rId171" Type="http://schemas.openxmlformats.org/officeDocument/2006/relationships/hyperlink" Target="http://physics.nist.gov/cuu/Constants/index.html" TargetMode="External"/><Relationship Id="rId837" Type="http://schemas.openxmlformats.org/officeDocument/2006/relationships/oleObject" Target="embeddings/oleObject237.bin"/><Relationship Id="rId1022" Type="http://schemas.openxmlformats.org/officeDocument/2006/relationships/image" Target="media/image447.jpeg"/><Relationship Id="rId269" Type="http://schemas.openxmlformats.org/officeDocument/2006/relationships/image" Target="media/image106.png"/><Relationship Id="rId476" Type="http://schemas.openxmlformats.org/officeDocument/2006/relationships/image" Target="media/image188.wmf"/><Relationship Id="rId683" Type="http://schemas.openxmlformats.org/officeDocument/2006/relationships/image" Target="media/image287.wmf"/><Relationship Id="rId890" Type="http://schemas.openxmlformats.org/officeDocument/2006/relationships/oleObject" Target="embeddings/oleObject264.bin"/><Relationship Id="rId904" Type="http://schemas.openxmlformats.org/officeDocument/2006/relationships/oleObject" Target="embeddings/oleObject271.bin"/><Relationship Id="rId1327" Type="http://schemas.openxmlformats.org/officeDocument/2006/relationships/image" Target="media/image561.jpeg"/><Relationship Id="rId33" Type="http://schemas.openxmlformats.org/officeDocument/2006/relationships/hyperlink" Target="http://www.taipeitimes.com/News/biz/archives/2012/09/06/2003542059" TargetMode="External"/><Relationship Id="rId129" Type="http://schemas.openxmlformats.org/officeDocument/2006/relationships/chart" Target="charts/chart14.xml"/><Relationship Id="rId336" Type="http://schemas.openxmlformats.org/officeDocument/2006/relationships/hyperlink" Target="http://lmsal.com/Press/spicules2004/" TargetMode="External"/><Relationship Id="rId543" Type="http://schemas.openxmlformats.org/officeDocument/2006/relationships/oleObject" Target="embeddings/oleObject89.bin"/><Relationship Id="rId988" Type="http://schemas.openxmlformats.org/officeDocument/2006/relationships/hyperlink" Target="http://www.setterfield.org/000docs/behaviorzpeapp4.html" TargetMode="External"/><Relationship Id="rId1173" Type="http://schemas.openxmlformats.org/officeDocument/2006/relationships/oleObject" Target="embeddings/oleObject305.bin"/><Relationship Id="rId182" Type="http://schemas.openxmlformats.org/officeDocument/2006/relationships/image" Target="media/image77.png"/><Relationship Id="rId403" Type="http://schemas.openxmlformats.org/officeDocument/2006/relationships/image" Target="media/image152.png"/><Relationship Id="rId750" Type="http://schemas.openxmlformats.org/officeDocument/2006/relationships/image" Target="media/image320.wmf"/><Relationship Id="rId848" Type="http://schemas.openxmlformats.org/officeDocument/2006/relationships/image" Target="media/image369.wmf"/><Relationship Id="rId1033" Type="http://schemas.openxmlformats.org/officeDocument/2006/relationships/image" Target="media/image457.jpeg"/><Relationship Id="rId487" Type="http://schemas.openxmlformats.org/officeDocument/2006/relationships/image" Target="media/image191.wmf"/><Relationship Id="rId610" Type="http://schemas.openxmlformats.org/officeDocument/2006/relationships/oleObject" Target="embeddings/oleObject123.bin"/><Relationship Id="rId694" Type="http://schemas.openxmlformats.org/officeDocument/2006/relationships/oleObject" Target="embeddings/oleObject165.bin"/><Relationship Id="rId708" Type="http://schemas.openxmlformats.org/officeDocument/2006/relationships/oleObject" Target="embeddings/oleObject172.bin"/><Relationship Id="rId915" Type="http://schemas.openxmlformats.org/officeDocument/2006/relationships/image" Target="media/image402.png"/><Relationship Id="rId1240" Type="http://schemas.openxmlformats.org/officeDocument/2006/relationships/hyperlink" Target="http://home.fnal.gov/~morfin/minos/monitor_ieee.pdf" TargetMode="External"/><Relationship Id="rId1338" Type="http://schemas.openxmlformats.org/officeDocument/2006/relationships/image" Target="media/image572.jpeg"/><Relationship Id="rId347" Type="http://schemas.openxmlformats.org/officeDocument/2006/relationships/hyperlink" Target="http://192.171.198.135/Ps/aac/aac_evuniv_lss.asp" TargetMode="External"/><Relationship Id="rId999" Type="http://schemas.openxmlformats.org/officeDocument/2006/relationships/hyperlink" Target="http://electron6.phys.utk.edu/phys250/modules/module%205/nuclear_models.htm" TargetMode="External"/><Relationship Id="rId1100" Type="http://schemas.openxmlformats.org/officeDocument/2006/relationships/image" Target="media/image479.jpeg"/><Relationship Id="rId1184" Type="http://schemas.openxmlformats.org/officeDocument/2006/relationships/image" Target="media/image509.wmf"/><Relationship Id="rId44" Type="http://schemas.openxmlformats.org/officeDocument/2006/relationships/hyperlink" Target="http://www.nasa.gov/missions/science/f_interference.html" TargetMode="External"/><Relationship Id="rId554" Type="http://schemas.openxmlformats.org/officeDocument/2006/relationships/image" Target="media/image224.wmf"/><Relationship Id="rId761" Type="http://schemas.openxmlformats.org/officeDocument/2006/relationships/oleObject" Target="embeddings/oleObject199.bin"/><Relationship Id="rId859" Type="http://schemas.openxmlformats.org/officeDocument/2006/relationships/oleObject" Target="embeddings/oleObject248.bin"/><Relationship Id="rId193" Type="http://schemas.openxmlformats.org/officeDocument/2006/relationships/oleObject" Target="embeddings/oleObject8.bin"/><Relationship Id="rId207" Type="http://schemas.openxmlformats.org/officeDocument/2006/relationships/oleObject" Target="embeddings/oleObject15.bin"/><Relationship Id="rId414" Type="http://schemas.openxmlformats.org/officeDocument/2006/relationships/oleObject" Target="embeddings/oleObject30.bin"/><Relationship Id="rId498" Type="http://schemas.openxmlformats.org/officeDocument/2006/relationships/image" Target="media/image196.wmf"/><Relationship Id="rId621" Type="http://schemas.openxmlformats.org/officeDocument/2006/relationships/image" Target="media/image257.wmf"/><Relationship Id="rId1044" Type="http://schemas.openxmlformats.org/officeDocument/2006/relationships/image" Target="media/image468.jpeg"/><Relationship Id="rId1251" Type="http://schemas.openxmlformats.org/officeDocument/2006/relationships/hyperlink" Target="http://www.setterfield.org/000docs/behaviorzpeapp2.html" TargetMode="External"/><Relationship Id="rId1349" Type="http://schemas.openxmlformats.org/officeDocument/2006/relationships/hyperlink" Target="http://www.uwgb.edu/dutchs/planets/cratform.htm" TargetMode="External"/><Relationship Id="rId260" Type="http://schemas.openxmlformats.org/officeDocument/2006/relationships/hyperlink" Target="http://cosmoquest.org/forum/showthread.php/65180-Why-do-astronomers-reject-72-km-s-redshift-quantization-periodicity" TargetMode="External"/><Relationship Id="rId719" Type="http://schemas.openxmlformats.org/officeDocument/2006/relationships/image" Target="media/image305.wmf"/><Relationship Id="rId926" Type="http://schemas.openxmlformats.org/officeDocument/2006/relationships/oleObject" Target="embeddings/oleObject278.bin"/><Relationship Id="rId1111" Type="http://schemas.openxmlformats.org/officeDocument/2006/relationships/hyperlink" Target="http://www.adonline.id.au/plantevol/tour/mega-clubmoss-flora.php" TargetMode="External"/><Relationship Id="rId55" Type="http://schemas.openxmlformats.org/officeDocument/2006/relationships/image" Target="media/image28.gif"/><Relationship Id="rId120" Type="http://schemas.openxmlformats.org/officeDocument/2006/relationships/hyperlink" Target="http://www.setterfield.org/000docs/cx4.html" TargetMode="External"/><Relationship Id="rId358" Type="http://schemas.openxmlformats.org/officeDocument/2006/relationships/hyperlink" Target="http://arxiv.org/abs/1203.5844" TargetMode="External"/><Relationship Id="rId565" Type="http://schemas.openxmlformats.org/officeDocument/2006/relationships/image" Target="media/image229.wmf"/><Relationship Id="rId772" Type="http://schemas.openxmlformats.org/officeDocument/2006/relationships/image" Target="media/image331.wmf"/><Relationship Id="rId1195" Type="http://schemas.openxmlformats.org/officeDocument/2006/relationships/oleObject" Target="embeddings/oleObject314.bin"/><Relationship Id="rId1209" Type="http://schemas.openxmlformats.org/officeDocument/2006/relationships/package" Target="embeddings/Microsoft_Office_PowerPoint_Slide31.sldx"/><Relationship Id="rId218" Type="http://schemas.openxmlformats.org/officeDocument/2006/relationships/image" Target="media/image96.gif"/><Relationship Id="rId425" Type="http://schemas.openxmlformats.org/officeDocument/2006/relationships/oleObject" Target="embeddings/oleObject32.bin"/><Relationship Id="rId632" Type="http://schemas.openxmlformats.org/officeDocument/2006/relationships/oleObject" Target="embeddings/oleObject134.bin"/><Relationship Id="rId1055" Type="http://schemas.openxmlformats.org/officeDocument/2006/relationships/hyperlink" Target="http://www.scribd.com/doc/6716357/Meteorites-and-Liquid-Water" TargetMode="External"/><Relationship Id="rId1262" Type="http://schemas.openxmlformats.org/officeDocument/2006/relationships/hyperlink" Target="http://www.setterfield.org/000docs/behaviorzpeapp2.html" TargetMode="External"/><Relationship Id="rId271" Type="http://schemas.openxmlformats.org/officeDocument/2006/relationships/package" Target="embeddings/Microsoft_Office_PowerPoint_Slide19.sldx"/><Relationship Id="rId937" Type="http://schemas.openxmlformats.org/officeDocument/2006/relationships/image" Target="media/image417.wmf"/><Relationship Id="rId1122" Type="http://schemas.openxmlformats.org/officeDocument/2006/relationships/hyperlink" Target="http://www.ncbi.nlm.nih.gov/pmc/articles/PMC1055706/pdf/plntphys00634-0060.pdf" TargetMode="External"/><Relationship Id="rId66" Type="http://schemas.openxmlformats.org/officeDocument/2006/relationships/hyperlink" Target="http://sdsu-physics.org/physics180/physics180A/units/unit2/workandenergy.html" TargetMode="External"/><Relationship Id="rId131" Type="http://schemas.openxmlformats.org/officeDocument/2006/relationships/hyperlink" Target="http://www.setterfield.org/Dodwell_Manuscript_1.html" TargetMode="External"/><Relationship Id="rId369" Type="http://schemas.openxmlformats.org/officeDocument/2006/relationships/hyperlink" Target="http://jumk.de/astronomie/galaxies/bodes-galaxy.shtml" TargetMode="External"/><Relationship Id="rId576" Type="http://schemas.openxmlformats.org/officeDocument/2006/relationships/oleObject" Target="embeddings/oleObject106.bin"/><Relationship Id="rId783" Type="http://schemas.openxmlformats.org/officeDocument/2006/relationships/oleObject" Target="embeddings/oleObject210.bin"/><Relationship Id="rId990" Type="http://schemas.openxmlformats.org/officeDocument/2006/relationships/image" Target="media/image432.jpeg"/><Relationship Id="rId229" Type="http://schemas.openxmlformats.org/officeDocument/2006/relationships/image" Target="media/image103.png"/><Relationship Id="rId436" Type="http://schemas.openxmlformats.org/officeDocument/2006/relationships/image" Target="media/image169.wmf"/><Relationship Id="rId643" Type="http://schemas.openxmlformats.org/officeDocument/2006/relationships/oleObject" Target="embeddings/oleObject140.bin"/><Relationship Id="rId1066" Type="http://schemas.openxmlformats.org/officeDocument/2006/relationships/hyperlink" Target="http://en.wikipedia.org/wiki/2013_Russian_meteor_event" TargetMode="External"/><Relationship Id="rId1273" Type="http://schemas.openxmlformats.org/officeDocument/2006/relationships/hyperlink" Target="http://www.setterfield.org/000docs/behaviorzpeapp6.html" TargetMode="External"/><Relationship Id="rId850" Type="http://schemas.openxmlformats.org/officeDocument/2006/relationships/image" Target="media/image370.wmf"/><Relationship Id="rId948" Type="http://schemas.openxmlformats.org/officeDocument/2006/relationships/hyperlink" Target="http://guardian.150m.com/jews/emc2-not-einsteins-idea.htm" TargetMode="External"/><Relationship Id="rId1133" Type="http://schemas.openxmlformats.org/officeDocument/2006/relationships/hyperlink" Target="http://www.web-books.com/eLibrary/Medicine/Physiology/Nervous/Nervous.htm" TargetMode="External"/><Relationship Id="rId77" Type="http://schemas.openxmlformats.org/officeDocument/2006/relationships/image" Target="media/image36.emf"/><Relationship Id="rId282" Type="http://schemas.openxmlformats.org/officeDocument/2006/relationships/hyperlink" Target="http://en.wikipedia.org/wiki/Solar_System" TargetMode="External"/><Relationship Id="rId503" Type="http://schemas.openxmlformats.org/officeDocument/2006/relationships/oleObject" Target="embeddings/oleObject69.bin"/><Relationship Id="rId587" Type="http://schemas.openxmlformats.org/officeDocument/2006/relationships/image" Target="media/image240.wmf"/><Relationship Id="rId710" Type="http://schemas.openxmlformats.org/officeDocument/2006/relationships/oleObject" Target="embeddings/oleObject173.bin"/><Relationship Id="rId808" Type="http://schemas.openxmlformats.org/officeDocument/2006/relationships/oleObject" Target="embeddings/oleObject222.bin"/><Relationship Id="rId1340" Type="http://schemas.openxmlformats.org/officeDocument/2006/relationships/image" Target="media/image574.png"/><Relationship Id="rId8" Type="http://schemas.openxmlformats.org/officeDocument/2006/relationships/image" Target="media/image1.gif"/><Relationship Id="rId142" Type="http://schemas.openxmlformats.org/officeDocument/2006/relationships/hyperlink" Target="http://www.redorbit.com/education/reference_library/notable_figures/astronomers/2582478/von_struve_otto_wilhelm/" TargetMode="External"/><Relationship Id="rId447" Type="http://schemas.openxmlformats.org/officeDocument/2006/relationships/oleObject" Target="embeddings/oleObject42.bin"/><Relationship Id="rId794" Type="http://schemas.openxmlformats.org/officeDocument/2006/relationships/image" Target="media/image342.wmf"/><Relationship Id="rId1077" Type="http://schemas.openxmlformats.org/officeDocument/2006/relationships/hyperlink" Target="http://www.psrd.hawaii.edu/May10/YoungerALH84001.html" TargetMode="External"/><Relationship Id="rId1200" Type="http://schemas.openxmlformats.org/officeDocument/2006/relationships/image" Target="media/image517.wmf"/><Relationship Id="rId654" Type="http://schemas.openxmlformats.org/officeDocument/2006/relationships/oleObject" Target="embeddings/oleObject145.bin"/><Relationship Id="rId861" Type="http://schemas.openxmlformats.org/officeDocument/2006/relationships/oleObject" Target="embeddings/oleObject249.bin"/><Relationship Id="rId959" Type="http://schemas.openxmlformats.org/officeDocument/2006/relationships/hyperlink" Target="http://www.mpa-garching.mpg.de/HIGHLIGHT/2000/highlight0010_e.html" TargetMode="External"/><Relationship Id="rId1284" Type="http://schemas.openxmlformats.org/officeDocument/2006/relationships/oleObject" Target="embeddings/oleObject334.bin"/><Relationship Id="rId293" Type="http://schemas.openxmlformats.org/officeDocument/2006/relationships/hyperlink" Target="http://www.theregister.co.uk/2011/07/25/cloud/" TargetMode="External"/><Relationship Id="rId307" Type="http://schemas.openxmlformats.org/officeDocument/2006/relationships/image" Target="media/image133.jpeg"/><Relationship Id="rId514" Type="http://schemas.openxmlformats.org/officeDocument/2006/relationships/image" Target="media/image204.wmf"/><Relationship Id="rId721" Type="http://schemas.openxmlformats.org/officeDocument/2006/relationships/image" Target="media/image306.wmf"/><Relationship Id="rId1144" Type="http://schemas.openxmlformats.org/officeDocument/2006/relationships/oleObject" Target="embeddings/oleObject289.bin"/><Relationship Id="rId1351" Type="http://schemas.openxmlformats.org/officeDocument/2006/relationships/hyperlink" Target="http://www.mapcis.net/mapcis_case.html" TargetMode="External"/><Relationship Id="rId88" Type="http://schemas.openxmlformats.org/officeDocument/2006/relationships/chart" Target="charts/chart4.xml"/><Relationship Id="rId153" Type="http://schemas.openxmlformats.org/officeDocument/2006/relationships/hyperlink" Target="http://www.physics.csbsju.edu/astro/newcomb/SNewcomb.html" TargetMode="External"/><Relationship Id="rId360" Type="http://schemas.openxmlformats.org/officeDocument/2006/relationships/hyperlink" Target="http://uanews.org/node/5107" TargetMode="External"/><Relationship Id="rId598" Type="http://schemas.openxmlformats.org/officeDocument/2006/relationships/oleObject" Target="embeddings/oleObject117.bin"/><Relationship Id="rId819" Type="http://schemas.openxmlformats.org/officeDocument/2006/relationships/image" Target="media/image355.wmf"/><Relationship Id="rId1004" Type="http://schemas.openxmlformats.org/officeDocument/2006/relationships/hyperlink" Target="http://www.creationinthecrossfire.com/documents/pohalos/polonium_pleochroic_halos.htm" TargetMode="External"/><Relationship Id="rId1211" Type="http://schemas.openxmlformats.org/officeDocument/2006/relationships/oleObject" Target="embeddings/oleObject320.bin"/><Relationship Id="rId220" Type="http://schemas.openxmlformats.org/officeDocument/2006/relationships/image" Target="media/image98.wmf"/><Relationship Id="rId458" Type="http://schemas.openxmlformats.org/officeDocument/2006/relationships/image" Target="media/image179.wmf"/><Relationship Id="rId665" Type="http://schemas.openxmlformats.org/officeDocument/2006/relationships/image" Target="media/image278.wmf"/><Relationship Id="rId872" Type="http://schemas.openxmlformats.org/officeDocument/2006/relationships/oleObject" Target="embeddings/oleObject255.bin"/><Relationship Id="rId1088" Type="http://schemas.openxmlformats.org/officeDocument/2006/relationships/hyperlink" Target="http://www.auburn.edu/~kingdat/wetumpkawebpage3.htm" TargetMode="External"/><Relationship Id="rId1295" Type="http://schemas.openxmlformats.org/officeDocument/2006/relationships/hyperlink" Target="http://www.setterfield.org/000docs/behaviorzpeapp8.html" TargetMode="External"/><Relationship Id="rId1309" Type="http://schemas.openxmlformats.org/officeDocument/2006/relationships/image" Target="media/image543.jpeg"/><Relationship Id="rId15" Type="http://schemas.openxmlformats.org/officeDocument/2006/relationships/chart" Target="charts/chart1.xml"/><Relationship Id="rId318" Type="http://schemas.openxmlformats.org/officeDocument/2006/relationships/hyperlink" Target="http://www.spacedaily.com/news/lunarplanet-2001-01a4.html" TargetMode="External"/><Relationship Id="rId525" Type="http://schemas.openxmlformats.org/officeDocument/2006/relationships/oleObject" Target="embeddings/oleObject80.bin"/><Relationship Id="rId732" Type="http://schemas.openxmlformats.org/officeDocument/2006/relationships/oleObject" Target="embeddings/oleObject184.bin"/><Relationship Id="rId1155" Type="http://schemas.openxmlformats.org/officeDocument/2006/relationships/oleObject" Target="embeddings/oleObject295.bin"/><Relationship Id="rId1362" Type="http://schemas.openxmlformats.org/officeDocument/2006/relationships/footer" Target="footer2.xml"/><Relationship Id="rId99" Type="http://schemas.openxmlformats.org/officeDocument/2006/relationships/image" Target="media/image51.jpeg"/><Relationship Id="rId164" Type="http://schemas.openxmlformats.org/officeDocument/2006/relationships/image" Target="media/image68.wmf"/><Relationship Id="rId371" Type="http://schemas.openxmlformats.org/officeDocument/2006/relationships/hyperlink" Target="http://www.exp-astro.phys.ethz.ch/highlights/oct06_1.gif" TargetMode="External"/><Relationship Id="rId1015" Type="http://schemas.openxmlformats.org/officeDocument/2006/relationships/image" Target="media/image440.jpeg"/><Relationship Id="rId1222" Type="http://schemas.openxmlformats.org/officeDocument/2006/relationships/oleObject" Target="embeddings/oleObject324.bin"/><Relationship Id="rId469" Type="http://schemas.openxmlformats.org/officeDocument/2006/relationships/oleObject" Target="embeddings/oleObject51.bin"/><Relationship Id="rId676" Type="http://schemas.openxmlformats.org/officeDocument/2006/relationships/oleObject" Target="embeddings/oleObject156.bin"/><Relationship Id="rId883" Type="http://schemas.openxmlformats.org/officeDocument/2006/relationships/image" Target="media/image386.wmf"/><Relationship Id="rId1099" Type="http://schemas.openxmlformats.org/officeDocument/2006/relationships/image" Target="media/image478.jpeg"/><Relationship Id="rId26" Type="http://schemas.openxmlformats.org/officeDocument/2006/relationships/image" Target="media/image18.jpeg"/><Relationship Id="rId231" Type="http://schemas.openxmlformats.org/officeDocument/2006/relationships/image" Target="media/image105.png"/><Relationship Id="rId329" Type="http://schemas.openxmlformats.org/officeDocument/2006/relationships/hyperlink" Target="http://en.wikipedia.org/wiki/Gas" TargetMode="External"/><Relationship Id="rId536" Type="http://schemas.openxmlformats.org/officeDocument/2006/relationships/image" Target="media/image215.wmf"/><Relationship Id="rId1166" Type="http://schemas.openxmlformats.org/officeDocument/2006/relationships/image" Target="media/image500.wmf"/><Relationship Id="rId175" Type="http://schemas.openxmlformats.org/officeDocument/2006/relationships/image" Target="media/image71.png"/><Relationship Id="rId743" Type="http://schemas.openxmlformats.org/officeDocument/2006/relationships/image" Target="media/image317.wmf"/><Relationship Id="rId950" Type="http://schemas.openxmlformats.org/officeDocument/2006/relationships/hyperlink" Target="http://www.ldolphin.org/vanFlandern/" TargetMode="External"/><Relationship Id="rId1026" Type="http://schemas.openxmlformats.org/officeDocument/2006/relationships/image" Target="media/image451.jpeg"/><Relationship Id="rId382" Type="http://schemas.openxmlformats.org/officeDocument/2006/relationships/hyperlink" Target="http://apod.nasa.gov/apod/ap050112.html" TargetMode="External"/><Relationship Id="rId603" Type="http://schemas.openxmlformats.org/officeDocument/2006/relationships/image" Target="media/image248.wmf"/><Relationship Id="rId687" Type="http://schemas.openxmlformats.org/officeDocument/2006/relationships/image" Target="media/image289.wmf"/><Relationship Id="rId810" Type="http://schemas.openxmlformats.org/officeDocument/2006/relationships/oleObject" Target="embeddings/oleObject223.bin"/><Relationship Id="rId908" Type="http://schemas.openxmlformats.org/officeDocument/2006/relationships/oleObject" Target="embeddings/oleObject273.bin"/><Relationship Id="rId1233" Type="http://schemas.openxmlformats.org/officeDocument/2006/relationships/hyperlink" Target="http://www.mystica.gr/philex_3.htm" TargetMode="External"/><Relationship Id="rId242" Type="http://schemas.openxmlformats.org/officeDocument/2006/relationships/hyperlink" Target="http://arxiv.org/abs/astro-ph/0104455" TargetMode="External"/><Relationship Id="rId894" Type="http://schemas.openxmlformats.org/officeDocument/2006/relationships/oleObject" Target="embeddings/oleObject266.bin"/><Relationship Id="rId1177" Type="http://schemas.openxmlformats.org/officeDocument/2006/relationships/oleObject" Target="embeddings/oleObject307.bin"/><Relationship Id="rId1300" Type="http://schemas.openxmlformats.org/officeDocument/2006/relationships/hyperlink" Target="http://arxiv.org/ftp/astro-ph/papers/0209/0209070.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Office_Excel_Worksheet15.xlsx"/><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Office_Excel_Worksheet18.xlsx"/><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Office_Excel_Worksheet32.xlsx"/><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0.44000000000000217</c:v>
                </c:pt>
                <c:pt idx="1">
                  <c:v>0.43000000000000038</c:v>
                </c:pt>
                <c:pt idx="2">
                  <c:v>0.38000000000000661</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-3.1000000000000652E-2</c:v>
                </c:pt>
                <c:pt idx="41">
                  <c:v>3.1000000000000652E-2</c:v>
                </c:pt>
                <c:pt idx="42">
                  <c:v>6.2500000000000139E-2</c:v>
                </c:pt>
                <c:pt idx="43">
                  <c:v>-3.0000000000000478E-2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-6.0000000000000803E-2</c:v>
                </c:pt>
                <c:pt idx="59">
                  <c:v>-3.0000000000000478E-2</c:v>
                </c:pt>
                <c:pt idx="60">
                  <c:v>-6.2500000000000139E-2</c:v>
                </c:pt>
                <c:pt idx="61">
                  <c:v>-9.0000000000000066E-2</c:v>
                </c:pt>
                <c:pt idx="62">
                  <c:v>-6.2500000000000139E-2</c:v>
                </c:pt>
                <c:pt idx="63">
                  <c:v>-0.125</c:v>
                </c:pt>
                <c:pt idx="64">
                  <c:v>-1.0000000000000083E-2</c:v>
                </c:pt>
                <c:pt idx="65">
                  <c:v>-6.0000000000000803E-2</c:v>
                </c:pt>
                <c:pt idx="66">
                  <c:v>-6.2500000000000139E-2</c:v>
                </c:pt>
                <c:pt idx="67">
                  <c:v>1.0000000000000083E-2</c:v>
                </c:pt>
                <c:pt idx="68">
                  <c:v>0</c:v>
                </c:pt>
                <c:pt idx="69">
                  <c:v>-3.0000000000000478E-2</c:v>
                </c:pt>
                <c:pt idx="70">
                  <c:v>-6.2500000000000139E-2</c:v>
                </c:pt>
                <c:pt idx="71">
                  <c:v>-0.125</c:v>
                </c:pt>
                <c:pt idx="72">
                  <c:v>-0.15000000000000024</c:v>
                </c:pt>
                <c:pt idx="73">
                  <c:v>-0.15000000000000024</c:v>
                </c:pt>
                <c:pt idx="74">
                  <c:v>-0.15000000000000024</c:v>
                </c:pt>
                <c:pt idx="75">
                  <c:v>3.0000000000000478E-2</c:v>
                </c:pt>
                <c:pt idx="76">
                  <c:v>3.0000000000000478E-2</c:v>
                </c:pt>
                <c:pt idx="77">
                  <c:v>0</c:v>
                </c:pt>
                <c:pt idx="78">
                  <c:v>0</c:v>
                </c:pt>
                <c:pt idx="79">
                  <c:v>-3.0000000000000478E-2</c:v>
                </c:pt>
                <c:pt idx="80">
                  <c:v>-6.2500000000000139E-2</c:v>
                </c:pt>
                <c:pt idx="81">
                  <c:v>-3.0000000000000478E-2</c:v>
                </c:pt>
                <c:pt idx="82">
                  <c:v>-3.0000000000000478E-2</c:v>
                </c:pt>
                <c:pt idx="83">
                  <c:v>0</c:v>
                </c:pt>
                <c:pt idx="84">
                  <c:v>3.0000000000000478E-2</c:v>
                </c:pt>
                <c:pt idx="85">
                  <c:v>6.2500000000000139E-2</c:v>
                </c:pt>
                <c:pt idx="86">
                  <c:v>0</c:v>
                </c:pt>
                <c:pt idx="87">
                  <c:v>-9.0000000000000066E-2</c:v>
                </c:pt>
                <c:pt idx="88">
                  <c:v>-9.0000000000000066E-2</c:v>
                </c:pt>
                <c:pt idx="89">
                  <c:v>6.2500000000000139E-2</c:v>
                </c:pt>
              </c:numCache>
            </c:numRef>
          </c:val>
        </c:ser>
        <c:marker val="1"/>
        <c:axId val="151403136"/>
        <c:axId val="151429504"/>
      </c:lineChart>
      <c:catAx>
        <c:axId val="151403136"/>
        <c:scaling>
          <c:orientation val="minMax"/>
        </c:scaling>
        <c:delete val="1"/>
        <c:axPos val="b"/>
        <c:numFmt formatCode="General" sourceLinked="1"/>
        <c:tickLblPos val="none"/>
        <c:crossAx val="151429504"/>
        <c:crosses val="autoZero"/>
        <c:auto val="1"/>
        <c:lblAlgn val="ctr"/>
        <c:lblOffset val="100"/>
      </c:catAx>
      <c:valAx>
        <c:axId val="151429504"/>
        <c:scaling>
          <c:orientation val="minMax"/>
        </c:scaling>
        <c:delete val="1"/>
        <c:axPos val="l"/>
        <c:numFmt formatCode="General" sourceLinked="1"/>
        <c:tickLblPos val="none"/>
        <c:crossAx val="151403136"/>
        <c:crosses val="autoZero"/>
        <c:crossBetween val="between"/>
      </c:valAx>
      <c:spPr>
        <a:solidFill>
          <a:schemeClr val="bg1">
            <a:lumMod val="85000"/>
          </a:schemeClr>
        </a:solidFill>
        <a:ln w="25337" cap="flat" cmpd="sng" algn="ctr">
          <a:solidFill>
            <a:schemeClr val="dk1"/>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'Sheet1'!$A$2:$A$5</c:f>
              <c:numCache>
                <c:formatCode>General</c:formatCode>
                <c:ptCount val="4"/>
                <c:pt idx="0">
                  <c:v>1928</c:v>
                </c:pt>
                <c:pt idx="1">
                  <c:v>1936.8</c:v>
                </c:pt>
                <c:pt idx="2">
                  <c:v>1937</c:v>
                </c:pt>
                <c:pt idx="3">
                  <c:v>1940</c:v>
                </c:pt>
              </c:numCache>
            </c:numRef>
          </c:xVal>
          <c:yVal>
            <c:numRef>
              <c:f>'Sheet1'!$B$2:$B$5</c:f>
              <c:numCache>
                <c:formatCode>#,##0</c:formatCode>
                <c:ptCount val="4"/>
                <c:pt idx="0">
                  <c:v>299786</c:v>
                </c:pt>
                <c:pt idx="1">
                  <c:v>299771</c:v>
                </c:pt>
                <c:pt idx="2">
                  <c:v>299771</c:v>
                </c:pt>
                <c:pt idx="3">
                  <c:v>299776</c:v>
                </c:pt>
              </c:numCache>
            </c:numRef>
          </c:yVal>
        </c:ser>
        <c:axId val="202593024"/>
        <c:axId val="202594560"/>
      </c:scatterChart>
      <c:valAx>
        <c:axId val="202593024"/>
        <c:scaling>
          <c:orientation val="minMax"/>
        </c:scaling>
        <c:axPos val="b"/>
        <c:numFmt formatCode="General" sourceLinked="1"/>
        <c:tickLblPos val="nextTo"/>
        <c:crossAx val="202594560"/>
        <c:crosses val="autoZero"/>
        <c:crossBetween val="midCat"/>
      </c:valAx>
      <c:valAx>
        <c:axId val="202594560"/>
        <c:scaling>
          <c:orientation val="minMax"/>
        </c:scaling>
        <c:axPos val="l"/>
        <c:majorGridlines/>
        <c:numFmt formatCode="#,##0" sourceLinked="1"/>
        <c:tickLblPos val="nextTo"/>
        <c:crossAx val="202593024"/>
        <c:crosses val="autoZero"/>
        <c:crossBetween val="midCat"/>
      </c:valAx>
    </c:plotArea>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'Sheet1'!$A$2:$A$24</c:f>
              <c:numCache>
                <c:formatCode>General</c:formatCode>
                <c:ptCount val="23"/>
                <c:pt idx="0">
                  <c:v>1947</c:v>
                </c:pt>
                <c:pt idx="1">
                  <c:v>1947</c:v>
                </c:pt>
                <c:pt idx="2">
                  <c:v>1949</c:v>
                </c:pt>
                <c:pt idx="3">
                  <c:v>1949</c:v>
                </c:pt>
                <c:pt idx="4">
                  <c:v>1950</c:v>
                </c:pt>
                <c:pt idx="5">
                  <c:v>1950</c:v>
                </c:pt>
                <c:pt idx="6">
                  <c:v>1950</c:v>
                </c:pt>
                <c:pt idx="7">
                  <c:v>1951</c:v>
                </c:pt>
                <c:pt idx="8">
                  <c:v>1951</c:v>
                </c:pt>
                <c:pt idx="9">
                  <c:v>1951</c:v>
                </c:pt>
                <c:pt idx="10">
                  <c:v>1953</c:v>
                </c:pt>
                <c:pt idx="11">
                  <c:v>1954</c:v>
                </c:pt>
                <c:pt idx="12">
                  <c:v>1954</c:v>
                </c:pt>
                <c:pt idx="13">
                  <c:v>1955</c:v>
                </c:pt>
                <c:pt idx="14">
                  <c:v>1955</c:v>
                </c:pt>
                <c:pt idx="15">
                  <c:v>1956</c:v>
                </c:pt>
                <c:pt idx="16">
                  <c:v>1956</c:v>
                </c:pt>
                <c:pt idx="17">
                  <c:v>1956</c:v>
                </c:pt>
                <c:pt idx="18">
                  <c:v>1956</c:v>
                </c:pt>
                <c:pt idx="19">
                  <c:v>1956</c:v>
                </c:pt>
                <c:pt idx="20">
                  <c:v>1957</c:v>
                </c:pt>
                <c:pt idx="21">
                  <c:v>1958</c:v>
                </c:pt>
                <c:pt idx="22">
                  <c:v>1960</c:v>
                </c:pt>
              </c:numCache>
            </c:numRef>
          </c:xVal>
          <c:yVal>
            <c:numRef>
              <c:f>'Sheet1'!$B$2:$B$24</c:f>
              <c:numCache>
                <c:formatCode>#,##0</c:formatCode>
                <c:ptCount val="23"/>
                <c:pt idx="0">
                  <c:v>299798</c:v>
                </c:pt>
                <c:pt idx="1">
                  <c:v>299792</c:v>
                </c:pt>
                <c:pt idx="2" formatCode="#,##0.00">
                  <c:v>299792.40000000002</c:v>
                </c:pt>
                <c:pt idx="3">
                  <c:v>299796</c:v>
                </c:pt>
                <c:pt idx="4" formatCode="#,##0.00">
                  <c:v>299792.5</c:v>
                </c:pt>
                <c:pt idx="5" formatCode="#,##0.00">
                  <c:v>299794.3</c:v>
                </c:pt>
                <c:pt idx="6" formatCode="#,##0.00">
                  <c:v>299793.09999999998</c:v>
                </c:pt>
                <c:pt idx="7" formatCode="#,##0.00">
                  <c:v>299793.09999999998</c:v>
                </c:pt>
                <c:pt idx="8" formatCode="#,##0.00">
                  <c:v>299794.2</c:v>
                </c:pt>
                <c:pt idx="9" formatCode="#,##0.00">
                  <c:v>299792.59999999998</c:v>
                </c:pt>
                <c:pt idx="10" formatCode="#,##0.00">
                  <c:v>299792.84999999986</c:v>
                </c:pt>
                <c:pt idx="11" formatCode="#,##0.00">
                  <c:v>299792.75</c:v>
                </c:pt>
                <c:pt idx="12" formatCode="#,##0.00">
                  <c:v>299795.09999999998</c:v>
                </c:pt>
                <c:pt idx="13" formatCode="#,##0.00">
                  <c:v>299792.40000000002</c:v>
                </c:pt>
                <c:pt idx="14">
                  <c:v>299792</c:v>
                </c:pt>
                <c:pt idx="15" formatCode="#,##0.00">
                  <c:v>299792.90000000002</c:v>
                </c:pt>
                <c:pt idx="16" formatCode="#,##0.00">
                  <c:v>299792.7</c:v>
                </c:pt>
                <c:pt idx="17" formatCode="#,##0.00">
                  <c:v>299791.90000000002</c:v>
                </c:pt>
                <c:pt idx="18" formatCode="#,##0.00">
                  <c:v>299792.40000000002</c:v>
                </c:pt>
                <c:pt idx="19" formatCode="#,##0.00">
                  <c:v>299792.2</c:v>
                </c:pt>
                <c:pt idx="20" formatCode="#,##0.00">
                  <c:v>299792.59999999998</c:v>
                </c:pt>
                <c:pt idx="21" formatCode="#,##0.00">
                  <c:v>299792.5</c:v>
                </c:pt>
                <c:pt idx="22" formatCode="#,##0.00">
                  <c:v>299792.59999999998</c:v>
                </c:pt>
              </c:numCache>
            </c:numRef>
          </c:yVal>
        </c:ser>
        <c:axId val="202730112"/>
        <c:axId val="202731904"/>
      </c:scatterChart>
      <c:valAx>
        <c:axId val="202730112"/>
        <c:scaling>
          <c:orientation val="minMax"/>
        </c:scaling>
        <c:axPos val="b"/>
        <c:numFmt formatCode="General" sourceLinked="1"/>
        <c:tickLblPos val="nextTo"/>
        <c:crossAx val="202731904"/>
        <c:crosses val="autoZero"/>
        <c:crossBetween val="midCat"/>
      </c:valAx>
      <c:valAx>
        <c:axId val="202731904"/>
        <c:scaling>
          <c:orientation val="minMax"/>
        </c:scaling>
        <c:axPos val="l"/>
        <c:majorGridlines/>
        <c:numFmt formatCode="#,##0" sourceLinked="1"/>
        <c:tickLblPos val="nextTo"/>
        <c:crossAx val="202730112"/>
        <c:crosses val="autoZero"/>
        <c:crossBetween val="midCat"/>
      </c:valAx>
    </c:plotArea>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'Sheet1'!$A$2:$A$9</c:f>
              <c:numCache>
                <c:formatCode>General</c:formatCode>
                <c:ptCount val="8"/>
                <c:pt idx="0">
                  <c:v>1949</c:v>
                </c:pt>
                <c:pt idx="1">
                  <c:v>1950</c:v>
                </c:pt>
                <c:pt idx="2">
                  <c:v>1951</c:v>
                </c:pt>
                <c:pt idx="3">
                  <c:v>1953</c:v>
                </c:pt>
                <c:pt idx="4">
                  <c:v>1955</c:v>
                </c:pt>
                <c:pt idx="5">
                  <c:v>1956</c:v>
                </c:pt>
                <c:pt idx="6">
                  <c:v>1956</c:v>
                </c:pt>
                <c:pt idx="7">
                  <c:v>1960</c:v>
                </c:pt>
              </c:numCache>
            </c:numRef>
          </c:xVal>
          <c:yVal>
            <c:numRef>
              <c:f>'Sheet1'!$B$2:$B$9</c:f>
              <c:numCache>
                <c:formatCode>#,##0.00</c:formatCode>
                <c:ptCount val="8"/>
                <c:pt idx="0" formatCode="#,##0">
                  <c:v>299796</c:v>
                </c:pt>
                <c:pt idx="1">
                  <c:v>299793.09999999998</c:v>
                </c:pt>
                <c:pt idx="2">
                  <c:v>299793.09999999998</c:v>
                </c:pt>
                <c:pt idx="3">
                  <c:v>299792.84999999986</c:v>
                </c:pt>
                <c:pt idx="4">
                  <c:v>299792.40000000002</c:v>
                </c:pt>
                <c:pt idx="5">
                  <c:v>299792.40000000002</c:v>
                </c:pt>
                <c:pt idx="6">
                  <c:v>299792.2</c:v>
                </c:pt>
                <c:pt idx="7">
                  <c:v>299792.59999999998</c:v>
                </c:pt>
              </c:numCache>
            </c:numRef>
          </c:yVal>
        </c:ser>
        <c:axId val="202750976"/>
        <c:axId val="203047680"/>
      </c:scatterChart>
      <c:valAx>
        <c:axId val="202750976"/>
        <c:scaling>
          <c:orientation val="minMax"/>
        </c:scaling>
        <c:axPos val="b"/>
        <c:numFmt formatCode="General" sourceLinked="1"/>
        <c:tickLblPos val="nextTo"/>
        <c:crossAx val="203047680"/>
        <c:crosses val="autoZero"/>
        <c:crossBetween val="midCat"/>
      </c:valAx>
      <c:valAx>
        <c:axId val="203047680"/>
        <c:scaling>
          <c:orientation val="minMax"/>
        </c:scaling>
        <c:axPos val="l"/>
        <c:majorGridlines/>
        <c:numFmt formatCode="#,##0" sourceLinked="1"/>
        <c:tickLblPos val="nextTo"/>
        <c:crossAx val="202750976"/>
        <c:crosses val="autoZero"/>
        <c:crossBetween val="midCat"/>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'Sheet1'!$A$2:$A$12</c:f>
              <c:numCache>
                <c:formatCode>General</c:formatCode>
                <c:ptCount val="11"/>
                <c:pt idx="0">
                  <c:v>1966</c:v>
                </c:pt>
                <c:pt idx="1">
                  <c:v>1967</c:v>
                </c:pt>
                <c:pt idx="2">
                  <c:v>1967</c:v>
                </c:pt>
                <c:pt idx="3">
                  <c:v>1972</c:v>
                </c:pt>
                <c:pt idx="4">
                  <c:v>1972</c:v>
                </c:pt>
                <c:pt idx="5">
                  <c:v>1973</c:v>
                </c:pt>
                <c:pt idx="6">
                  <c:v>1973</c:v>
                </c:pt>
                <c:pt idx="7">
                  <c:v>1974</c:v>
                </c:pt>
                <c:pt idx="8">
                  <c:v>1978</c:v>
                </c:pt>
                <c:pt idx="9">
                  <c:v>1979</c:v>
                </c:pt>
                <c:pt idx="10">
                  <c:v>1983</c:v>
                </c:pt>
              </c:numCache>
            </c:numRef>
          </c:xVal>
          <c:yVal>
            <c:numRef>
              <c:f>'Sheet1'!$B$2:$B$12</c:f>
              <c:numCache>
                <c:formatCode>#,##0.00</c:formatCode>
                <c:ptCount val="11"/>
                <c:pt idx="0">
                  <c:v>299792.44</c:v>
                </c:pt>
                <c:pt idx="1">
                  <c:v>299792.56</c:v>
                </c:pt>
                <c:pt idx="2">
                  <c:v>299792.5</c:v>
                </c:pt>
                <c:pt idx="3">
                  <c:v>299792.462</c:v>
                </c:pt>
                <c:pt idx="4">
                  <c:v>299792.46000000002</c:v>
                </c:pt>
                <c:pt idx="5">
                  <c:v>299792.45740000001</c:v>
                </c:pt>
                <c:pt idx="6">
                  <c:v>299792.45799999993</c:v>
                </c:pt>
                <c:pt idx="7">
                  <c:v>299792.45899999986</c:v>
                </c:pt>
                <c:pt idx="8">
                  <c:v>299792.45879999985</c:v>
                </c:pt>
                <c:pt idx="9">
                  <c:v>299792.45809999999</c:v>
                </c:pt>
                <c:pt idx="10">
                  <c:v>299792.45860000001</c:v>
                </c:pt>
              </c:numCache>
            </c:numRef>
          </c:yVal>
        </c:ser>
        <c:axId val="203055488"/>
        <c:axId val="203057024"/>
      </c:scatterChart>
      <c:valAx>
        <c:axId val="203055488"/>
        <c:scaling>
          <c:orientation val="minMax"/>
        </c:scaling>
        <c:axPos val="b"/>
        <c:numFmt formatCode="General" sourceLinked="1"/>
        <c:tickLblPos val="nextTo"/>
        <c:crossAx val="203057024"/>
        <c:crosses val="autoZero"/>
        <c:crossBetween val="midCat"/>
      </c:valAx>
      <c:valAx>
        <c:axId val="203057024"/>
        <c:scaling>
          <c:orientation val="minMax"/>
        </c:scaling>
        <c:axPos val="l"/>
        <c:majorGridlines/>
        <c:numFmt formatCode="#,##0.00" sourceLinked="1"/>
        <c:tickLblPos val="nextTo"/>
        <c:crossAx val="203055488"/>
        <c:crosses val="autoZero"/>
        <c:crossBetween val="midCat"/>
      </c:valAx>
    </c:plotArea>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702"/>
          <c:h val="0.78806684878672972"/>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202699520"/>
        <c:axId val="202701056"/>
      </c:scatterChart>
      <c:valAx>
        <c:axId val="202699520"/>
        <c:scaling>
          <c:orientation val="minMax"/>
        </c:scaling>
        <c:axPos val="b"/>
        <c:numFmt formatCode="General" sourceLinked="1"/>
        <c:tickLblPos val="nextTo"/>
        <c:crossAx val="202701056"/>
        <c:crosses val="autoZero"/>
        <c:crossBetween val="midCat"/>
        <c:majorUnit val="50"/>
      </c:valAx>
      <c:valAx>
        <c:axId val="202701056"/>
        <c:scaling>
          <c:orientation val="minMax"/>
          <c:max val="305000"/>
          <c:min val="299400"/>
        </c:scaling>
        <c:axPos val="l"/>
        <c:majorGridlines/>
        <c:numFmt formatCode="#,##0" sourceLinked="1"/>
        <c:tickLblPos val="nextTo"/>
        <c:crossAx val="202699520"/>
        <c:crosses val="autoZero"/>
        <c:crossBetween val="midCat"/>
        <c:majorUnit val="500"/>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3.5618695253454791E-2"/>
          <c:y val="2.5691845553527468E-2"/>
          <c:w val="0.95015937766816938"/>
          <c:h val="0.9743081544464865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8.0000000000000043E-2</c:v>
                </c:pt>
                <c:pt idx="30">
                  <c:v>0.125</c:v>
                </c:pt>
                <c:pt idx="31">
                  <c:v>9.0000000000000024E-2</c:v>
                </c:pt>
                <c:pt idx="32">
                  <c:v>0.18250000000000041</c:v>
                </c:pt>
                <c:pt idx="33">
                  <c:v>0.25</c:v>
                </c:pt>
                <c:pt idx="34">
                  <c:v>0.23</c:v>
                </c:pt>
                <c:pt idx="35">
                  <c:v>0.25</c:v>
                </c:pt>
                <c:pt idx="36">
                  <c:v>0.18250000000000041</c:v>
                </c:pt>
                <c:pt idx="37">
                  <c:v>1.0000000000000041E-3</c:v>
                </c:pt>
                <c:pt idx="38">
                  <c:v>-6.25E-2</c:v>
                </c:pt>
                <c:pt idx="39">
                  <c:v>-6.25E-2</c:v>
                </c:pt>
                <c:pt idx="40">
                  <c:v>-3.1000000000000052E-2</c:v>
                </c:pt>
                <c:pt idx="41">
                  <c:v>3.1000000000000052E-2</c:v>
                </c:pt>
                <c:pt idx="42">
                  <c:v>6.25E-2</c:v>
                </c:pt>
                <c:pt idx="43">
                  <c:v>-3.0000000000000002E-2</c:v>
                </c:pt>
                <c:pt idx="44">
                  <c:v>-6.25E-2</c:v>
                </c:pt>
                <c:pt idx="45">
                  <c:v>-6.25E-2</c:v>
                </c:pt>
                <c:pt idx="46">
                  <c:v>-9.0000000000000024E-2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-9.0000000000000024E-2</c:v>
                </c:pt>
                <c:pt idx="57">
                  <c:v>-9.0000000000000024E-2</c:v>
                </c:pt>
                <c:pt idx="58">
                  <c:v>-6.0000000000000032E-2</c:v>
                </c:pt>
                <c:pt idx="59">
                  <c:v>-3.0000000000000002E-2</c:v>
                </c:pt>
                <c:pt idx="60">
                  <c:v>-6.25E-2</c:v>
                </c:pt>
                <c:pt idx="61">
                  <c:v>-9.0000000000000024E-2</c:v>
                </c:pt>
                <c:pt idx="62">
                  <c:v>-6.25E-2</c:v>
                </c:pt>
                <c:pt idx="63">
                  <c:v>-0.125</c:v>
                </c:pt>
                <c:pt idx="64">
                  <c:v>-1.0000000000000005E-2</c:v>
                </c:pt>
                <c:pt idx="65">
                  <c:v>-6.0000000000000032E-2</c:v>
                </c:pt>
                <c:pt idx="66">
                  <c:v>-6.25E-2</c:v>
                </c:pt>
                <c:pt idx="67">
                  <c:v>1.0000000000000005E-2</c:v>
                </c:pt>
                <c:pt idx="68">
                  <c:v>0</c:v>
                </c:pt>
                <c:pt idx="69">
                  <c:v>-3.0000000000000002E-2</c:v>
                </c:pt>
                <c:pt idx="70">
                  <c:v>-6.25E-2</c:v>
                </c:pt>
                <c:pt idx="71">
                  <c:v>-0.125</c:v>
                </c:pt>
                <c:pt idx="72">
                  <c:v>-0.15000000000000024</c:v>
                </c:pt>
                <c:pt idx="73">
                  <c:v>-0.15000000000000024</c:v>
                </c:pt>
                <c:pt idx="74">
                  <c:v>-0.15000000000000024</c:v>
                </c:pt>
                <c:pt idx="75">
                  <c:v>3.0000000000000002E-2</c:v>
                </c:pt>
                <c:pt idx="76">
                  <c:v>3.0000000000000002E-2</c:v>
                </c:pt>
                <c:pt idx="77">
                  <c:v>0</c:v>
                </c:pt>
                <c:pt idx="78">
                  <c:v>0</c:v>
                </c:pt>
                <c:pt idx="79">
                  <c:v>-3.0000000000000002E-2</c:v>
                </c:pt>
                <c:pt idx="80">
                  <c:v>-6.25E-2</c:v>
                </c:pt>
                <c:pt idx="81">
                  <c:v>-3.0000000000000002E-2</c:v>
                </c:pt>
                <c:pt idx="82">
                  <c:v>-3.0000000000000002E-2</c:v>
                </c:pt>
                <c:pt idx="83">
                  <c:v>0</c:v>
                </c:pt>
                <c:pt idx="84">
                  <c:v>3.0000000000000002E-2</c:v>
                </c:pt>
                <c:pt idx="85">
                  <c:v>6.25E-2</c:v>
                </c:pt>
                <c:pt idx="86">
                  <c:v>0</c:v>
                </c:pt>
                <c:pt idx="87">
                  <c:v>-9.0000000000000024E-2</c:v>
                </c:pt>
                <c:pt idx="88">
                  <c:v>-9.0000000000000024E-2</c:v>
                </c:pt>
                <c:pt idx="89">
                  <c:v>6.25E-2</c:v>
                </c:pt>
              </c:numCache>
            </c:numRef>
          </c:val>
        </c:ser>
        <c:marker val="1"/>
        <c:axId val="203264000"/>
        <c:axId val="203265536"/>
      </c:lineChart>
      <c:catAx>
        <c:axId val="203264000"/>
        <c:scaling>
          <c:orientation val="minMax"/>
        </c:scaling>
        <c:delete val="1"/>
        <c:axPos val="b"/>
        <c:numFmt formatCode="General" sourceLinked="1"/>
        <c:tickLblPos val="none"/>
        <c:crossAx val="203265536"/>
        <c:crosses val="autoZero"/>
        <c:auto val="1"/>
        <c:lblAlgn val="ctr"/>
        <c:lblOffset val="100"/>
      </c:catAx>
      <c:valAx>
        <c:axId val="203265536"/>
        <c:scaling>
          <c:orientation val="minMax"/>
        </c:scaling>
        <c:delete val="1"/>
        <c:axPos val="l"/>
        <c:numFmt formatCode="General" sourceLinked="1"/>
        <c:tickLblPos val="none"/>
        <c:crossAx val="203264000"/>
        <c:crosses val="autoZero"/>
        <c:crossBetween val="between"/>
      </c:valAx>
      <c:spPr>
        <a:solidFill>
          <a:srgbClr val="4F81BD">
            <a:lumMod val="20000"/>
            <a:lumOff val="80000"/>
          </a:srgbClr>
        </a:solidFill>
        <a:ln w="17244" cap="flat" cmpd="sng" algn="ctr">
          <a:solidFill>
            <a:sysClr val="windowText" lastClr="000000"/>
          </a:solidFill>
          <a:prstDash val="solid"/>
        </a:ln>
        <a:effectLst/>
      </c:spPr>
    </c:plotArea>
    <c:plotVisOnly val="1"/>
    <c:dispBlanksAs val="gap"/>
  </c:chart>
  <c:spPr>
    <a:noFill/>
    <a:ln>
      <a:noFill/>
    </a:ln>
  </c:spPr>
  <c:txPr>
    <a:bodyPr/>
    <a:lstStyle/>
    <a:p>
      <a:pPr>
        <a:defRPr sz="439" b="1" i="0" u="none" strike="noStrike" baseline="0">
          <a:solidFill>
            <a:srgbClr val="000000"/>
          </a:solidFill>
          <a:latin typeface="Calibri"/>
          <a:ea typeface="Calibri"/>
          <a:cs typeface="Calibri"/>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26752.31</c:v>
                </c:pt>
              </c:strCache>
            </c:strRef>
          </c:tx>
          <c:spPr>
            <a:ln w="28575">
              <a:noFill/>
            </a:ln>
          </c:spPr>
          <c:trendline>
            <c:trendlineType val="poly"/>
            <c:order val="4"/>
          </c:trendline>
          <c:xVal>
            <c:numRef>
              <c:f>'Sheet1'!$A$2:$A$32</c:f>
              <c:numCache>
                <c:formatCode>General</c:formatCode>
                <c:ptCount val="31"/>
                <c:pt idx="0">
                  <c:v>1952</c:v>
                </c:pt>
                <c:pt idx="1">
                  <c:v>1955</c:v>
                </c:pt>
                <c:pt idx="2">
                  <c:v>1958</c:v>
                </c:pt>
                <c:pt idx="3">
                  <c:v>1959</c:v>
                </c:pt>
                <c:pt idx="4">
                  <c:v>1960</c:v>
                </c:pt>
                <c:pt idx="5">
                  <c:v>1962</c:v>
                </c:pt>
                <c:pt idx="6">
                  <c:v>1962</c:v>
                </c:pt>
                <c:pt idx="7">
                  <c:v>1963</c:v>
                </c:pt>
                <c:pt idx="8">
                  <c:v>1964</c:v>
                </c:pt>
                <c:pt idx="9">
                  <c:v>1966</c:v>
                </c:pt>
                <c:pt idx="10">
                  <c:v>1968</c:v>
                </c:pt>
                <c:pt idx="11">
                  <c:v>1968</c:v>
                </c:pt>
                <c:pt idx="12">
                  <c:v>1968</c:v>
                </c:pt>
                <c:pt idx="13">
                  <c:v>1969</c:v>
                </c:pt>
                <c:pt idx="14">
                  <c:v>1972</c:v>
                </c:pt>
                <c:pt idx="15">
                  <c:v>1973</c:v>
                </c:pt>
                <c:pt idx="16">
                  <c:v>1975</c:v>
                </c:pt>
                <c:pt idx="17">
                  <c:v>1977</c:v>
                </c:pt>
                <c:pt idx="18">
                  <c:v>1979</c:v>
                </c:pt>
                <c:pt idx="19">
                  <c:v>1979</c:v>
                </c:pt>
                <c:pt idx="20">
                  <c:v>1980</c:v>
                </c:pt>
                <c:pt idx="21">
                  <c:v>1980</c:v>
                </c:pt>
                <c:pt idx="22">
                  <c:v>1980</c:v>
                </c:pt>
                <c:pt idx="23">
                  <c:v>1980</c:v>
                </c:pt>
                <c:pt idx="24">
                  <c:v>1981</c:v>
                </c:pt>
                <c:pt idx="25">
                  <c:v>1981</c:v>
                </c:pt>
                <c:pt idx="26">
                  <c:v>1986</c:v>
                </c:pt>
                <c:pt idx="27">
                  <c:v>1998</c:v>
                </c:pt>
                <c:pt idx="28">
                  <c:v>2002</c:v>
                </c:pt>
                <c:pt idx="29">
                  <c:v>2006</c:v>
                </c:pt>
                <c:pt idx="30">
                  <c:v>2010</c:v>
                </c:pt>
              </c:numCache>
            </c:numRef>
          </c:xVal>
          <c:yVal>
            <c:numRef>
              <c:f>'Sheet1'!$B$2:$B$32</c:f>
              <c:numCache>
                <c:formatCode>General</c:formatCode>
                <c:ptCount val="31"/>
                <c:pt idx="0">
                  <c:v>26752.7</c:v>
                </c:pt>
                <c:pt idx="1">
                  <c:v>26753</c:v>
                </c:pt>
                <c:pt idx="2">
                  <c:v>26751.465000000029</c:v>
                </c:pt>
                <c:pt idx="3">
                  <c:v>26752</c:v>
                </c:pt>
                <c:pt idx="4">
                  <c:v>26752.5</c:v>
                </c:pt>
                <c:pt idx="5">
                  <c:v>26751.439999999897</c:v>
                </c:pt>
                <c:pt idx="6">
                  <c:v>26751.200000000001</c:v>
                </c:pt>
                <c:pt idx="7">
                  <c:v>26751.919999999896</c:v>
                </c:pt>
                <c:pt idx="8">
                  <c:v>26751.555</c:v>
                </c:pt>
                <c:pt idx="9">
                  <c:v>26751.05</c:v>
                </c:pt>
                <c:pt idx="10">
                  <c:v>26751.526000000005</c:v>
                </c:pt>
                <c:pt idx="11">
                  <c:v>26751.383999999998</c:v>
                </c:pt>
                <c:pt idx="12">
                  <c:v>26751.348999999998</c:v>
                </c:pt>
                <c:pt idx="13">
                  <c:v>26751.27</c:v>
                </c:pt>
                <c:pt idx="14">
                  <c:v>26751.383999999998</c:v>
                </c:pt>
                <c:pt idx="15">
                  <c:v>26751.300999999996</c:v>
                </c:pt>
                <c:pt idx="16">
                  <c:v>26751.353999999996</c:v>
                </c:pt>
                <c:pt idx="17">
                  <c:v>26751.481000000025</c:v>
                </c:pt>
                <c:pt idx="18">
                  <c:v>26751.688999999998</c:v>
                </c:pt>
                <c:pt idx="19">
                  <c:v>26751.362499999999</c:v>
                </c:pt>
                <c:pt idx="20">
                  <c:v>26751.572</c:v>
                </c:pt>
                <c:pt idx="21">
                  <c:v>26751.391</c:v>
                </c:pt>
                <c:pt idx="22">
                  <c:v>26751.32</c:v>
                </c:pt>
                <c:pt idx="23">
                  <c:v>26751.55</c:v>
                </c:pt>
                <c:pt idx="24">
                  <c:v>26751.257000000001</c:v>
                </c:pt>
                <c:pt idx="25">
                  <c:v>26751.227999999999</c:v>
                </c:pt>
                <c:pt idx="26">
                  <c:v>26751.5255</c:v>
                </c:pt>
                <c:pt idx="27">
                  <c:v>26751.534100000001</c:v>
                </c:pt>
                <c:pt idx="28">
                  <c:v>26751.533299999996</c:v>
                </c:pt>
                <c:pt idx="29">
                  <c:v>26751.336200000002</c:v>
                </c:pt>
                <c:pt idx="30">
                  <c:v>26751.53268</c:v>
                </c:pt>
              </c:numCache>
            </c:numRef>
          </c:yVal>
        </c:ser>
        <c:axId val="203284480"/>
        <c:axId val="203286016"/>
      </c:scatterChart>
      <c:valAx>
        <c:axId val="203284480"/>
        <c:scaling>
          <c:orientation val="minMax"/>
        </c:scaling>
        <c:axPos val="b"/>
        <c:numFmt formatCode="General" sourceLinked="1"/>
        <c:tickLblPos val="nextTo"/>
        <c:crossAx val="203286016"/>
        <c:crosses val="autoZero"/>
        <c:crossBetween val="midCat"/>
      </c:valAx>
      <c:valAx>
        <c:axId val="203286016"/>
        <c:scaling>
          <c:orientation val="minMax"/>
        </c:scaling>
        <c:axPos val="l"/>
        <c:majorGridlines/>
        <c:numFmt formatCode="General" sourceLinked="1"/>
        <c:tickLblPos val="nextTo"/>
        <c:crossAx val="203284480"/>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0.65000000000002833</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1.0512999999999462</c:v>
                </c:pt>
                <c:pt idx="2">
                  <c:v>1.105</c:v>
                </c:pt>
                <c:pt idx="3">
                  <c:v>1.163</c:v>
                </c:pt>
                <c:pt idx="4">
                  <c:v>1.224</c:v>
                </c:pt>
                <c:pt idx="5">
                  <c:v>1.2909999999999495</c:v>
                </c:pt>
                <c:pt idx="6">
                  <c:v>1.3620000000000001</c:v>
                </c:pt>
                <c:pt idx="7">
                  <c:v>1.4409999999999359</c:v>
                </c:pt>
                <c:pt idx="8">
                  <c:v>1.528</c:v>
                </c:pt>
                <c:pt idx="9">
                  <c:v>1.623</c:v>
                </c:pt>
                <c:pt idx="10">
                  <c:v>1.73</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0.05</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0.65000000000002833</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1.05</c:v>
                </c:pt>
                <c:pt idx="2">
                  <c:v>1.1000000000000001</c:v>
                </c:pt>
                <c:pt idx="3">
                  <c:v>1.1519999999999477</c:v>
                </c:pt>
                <c:pt idx="4">
                  <c:v>1.2069999999999388</c:v>
                </c:pt>
                <c:pt idx="5">
                  <c:v>1.264</c:v>
                </c:pt>
                <c:pt idx="6">
                  <c:v>1.3260000000000001</c:v>
                </c:pt>
                <c:pt idx="7">
                  <c:v>1.395</c:v>
                </c:pt>
                <c:pt idx="8">
                  <c:v>1.4709999999999408</c:v>
                </c:pt>
                <c:pt idx="9">
                  <c:v>1.5569999999999578</c:v>
                </c:pt>
                <c:pt idx="10">
                  <c:v>1.6579999999999484</c:v>
                </c:pt>
                <c:pt idx="11">
                  <c:v>1.776</c:v>
                </c:pt>
                <c:pt idx="12">
                  <c:v>1.9200000000000021</c:v>
                </c:pt>
                <c:pt idx="13">
                  <c:v>2.0989999999999998</c:v>
                </c:pt>
                <c:pt idx="14">
                  <c:v>2.3289999999999997</c:v>
                </c:pt>
                <c:pt idx="15">
                  <c:v>2.6389999999999998</c:v>
                </c:pt>
                <c:pt idx="16">
                  <c:v>3.0819999999999999</c:v>
                </c:pt>
                <c:pt idx="17">
                  <c:v>3.3859999999999997</c:v>
                </c:pt>
                <c:pt idx="18">
                  <c:v>3.778</c:v>
                </c:pt>
                <c:pt idx="19">
                  <c:v>4.3049999999999855</c:v>
                </c:pt>
                <c:pt idx="20">
                  <c:v>5.0579999999999945</c:v>
                </c:pt>
                <c:pt idx="21">
                  <c:v>6.2370000000000001</c:v>
                </c:pt>
                <c:pt idx="22">
                  <c:v>8.4020000000000028</c:v>
                </c:pt>
                <c:pt idx="23">
                  <c:v>10.392000000000024</c:v>
                </c:pt>
              </c:numCache>
            </c:numRef>
          </c:yVal>
          <c:smooth val="1"/>
        </c:ser>
        <c:axId val="203454336"/>
        <c:axId val="203455872"/>
      </c:scatterChart>
      <c:valAx>
        <c:axId val="203454336"/>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03455872"/>
        <c:crosses val="autoZero"/>
        <c:crossBetween val="midCat"/>
      </c:valAx>
      <c:valAx>
        <c:axId val="203455872"/>
        <c:scaling>
          <c:orientation val="minMax"/>
        </c:scaling>
        <c:axPos val="l"/>
        <c:majorGridlines/>
        <c:numFmt formatCode="General" sourceLinked="1"/>
        <c:tickLblPos val="nextTo"/>
        <c:crossAx val="203454336"/>
        <c:crosses val="autoZero"/>
        <c:crossBetween val="midCat"/>
      </c:valAx>
      <c:spPr>
        <a:solidFill>
          <a:srgbClr val="FFFFFF"/>
        </a:solidFill>
        <a:ln w="25386">
          <a:solidFill>
            <a:srgbClr val="000000"/>
          </a:solidFill>
          <a:prstDash val="solid"/>
        </a:ln>
      </c:spPr>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4"/>
  <c:chart>
    <c:autoTitleDeleted val="1"/>
    <c:plotArea>
      <c:layout/>
      <c:scatterChart>
        <c:scatterStyle val="lineMarker"/>
        <c:ser>
          <c:idx val="0"/>
          <c:order val="0"/>
          <c:tx>
            <c:strRef>
              <c:f>Sheet1!$B$1</c:f>
              <c:strCache>
                <c:ptCount val="1"/>
                <c:pt idx="0">
                  <c:v>Y-Values</c:v>
                </c:pt>
              </c:strCache>
            </c:strRef>
          </c:tx>
          <c:spPr>
            <a:ln w="28592">
              <a:noFill/>
            </a:ln>
          </c:spPr>
          <c:trendline>
            <c:spPr>
              <a:ln>
                <a:solidFill>
                  <a:srgbClr val="C00000"/>
                </a:solidFill>
              </a:ln>
            </c:spPr>
            <c:trendlineType val="movingAvg"/>
            <c:period val="2"/>
          </c:trendline>
          <c:xVal>
            <c:numRef>
              <c:f>Sheet1!$A$2:$A$37</c:f>
              <c:numCache>
                <c:formatCode>General</c:formatCode>
                <c:ptCount val="36"/>
                <c:pt idx="1">
                  <c:v>0</c:v>
                </c:pt>
                <c:pt idx="2">
                  <c:v>0.05</c:v>
                </c:pt>
                <c:pt idx="3">
                  <c:v>0.1</c:v>
                </c:pt>
                <c:pt idx="4">
                  <c:v>0.15000000000000024</c:v>
                </c:pt>
                <c:pt idx="5">
                  <c:v>0.2</c:v>
                </c:pt>
                <c:pt idx="6">
                  <c:v>0.25</c:v>
                </c:pt>
                <c:pt idx="7">
                  <c:v>0.30000000000000032</c:v>
                </c:pt>
                <c:pt idx="8">
                  <c:v>0.35000000000000031</c:v>
                </c:pt>
                <c:pt idx="9">
                  <c:v>0.4</c:v>
                </c:pt>
                <c:pt idx="10">
                  <c:v>0.45</c:v>
                </c:pt>
                <c:pt idx="11">
                  <c:v>0.5</c:v>
                </c:pt>
                <c:pt idx="12">
                  <c:v>0.55000000000000004</c:v>
                </c:pt>
                <c:pt idx="13">
                  <c:v>0.60000000000000064</c:v>
                </c:pt>
                <c:pt idx="14">
                  <c:v>0.65000000000002833</c:v>
                </c:pt>
                <c:pt idx="15">
                  <c:v>0.70000000000000062</c:v>
                </c:pt>
                <c:pt idx="16">
                  <c:v>0.75000000000001465</c:v>
                </c:pt>
                <c:pt idx="17">
                  <c:v>0.8</c:v>
                </c:pt>
                <c:pt idx="18">
                  <c:v>0.82500000000000062</c:v>
                </c:pt>
                <c:pt idx="19">
                  <c:v>0.85000000000000064</c:v>
                </c:pt>
                <c:pt idx="20">
                  <c:v>0.87500000000001465</c:v>
                </c:pt>
                <c:pt idx="21">
                  <c:v>0.9</c:v>
                </c:pt>
                <c:pt idx="22">
                  <c:v>0.92500000000000004</c:v>
                </c:pt>
                <c:pt idx="23">
                  <c:v>0.95000000000000062</c:v>
                </c:pt>
                <c:pt idx="24">
                  <c:v>0.96250000000000002</c:v>
                </c:pt>
                <c:pt idx="25">
                  <c:v>0.97500000000000064</c:v>
                </c:pt>
                <c:pt idx="26">
                  <c:v>0.98</c:v>
                </c:pt>
                <c:pt idx="27">
                  <c:v>0.98499999999999999</c:v>
                </c:pt>
                <c:pt idx="28">
                  <c:v>0.98749999999999949</c:v>
                </c:pt>
                <c:pt idx="29">
                  <c:v>0.99</c:v>
                </c:pt>
                <c:pt idx="30">
                  <c:v>0.99099999999999999</c:v>
                </c:pt>
                <c:pt idx="31">
                  <c:v>0.99199999999999999</c:v>
                </c:pt>
                <c:pt idx="32">
                  <c:v>0.99299999999999999</c:v>
                </c:pt>
                <c:pt idx="33">
                  <c:v>0.99399999999999999</c:v>
                </c:pt>
                <c:pt idx="34">
                  <c:v>0.995</c:v>
                </c:pt>
                <c:pt idx="35">
                  <c:v>0.996</c:v>
                </c:pt>
              </c:numCache>
            </c:numRef>
          </c:xVal>
          <c:yVal>
            <c:numRef>
              <c:f>Sheet1!$B$2:$B$37</c:f>
              <c:numCache>
                <c:formatCode>General</c:formatCode>
                <c:ptCount val="36"/>
                <c:pt idx="1">
                  <c:v>1</c:v>
                </c:pt>
                <c:pt idx="2">
                  <c:v>1.0512999999999462</c:v>
                </c:pt>
                <c:pt idx="3">
                  <c:v>1.105</c:v>
                </c:pt>
                <c:pt idx="4">
                  <c:v>1.163</c:v>
                </c:pt>
                <c:pt idx="5">
                  <c:v>1.224</c:v>
                </c:pt>
                <c:pt idx="6">
                  <c:v>1.2909999999999495</c:v>
                </c:pt>
                <c:pt idx="7">
                  <c:v>1.3620000000000001</c:v>
                </c:pt>
                <c:pt idx="8">
                  <c:v>1.4409999999999359</c:v>
                </c:pt>
                <c:pt idx="9">
                  <c:v>1.5269999999999477</c:v>
                </c:pt>
                <c:pt idx="10">
                  <c:v>1.623</c:v>
                </c:pt>
                <c:pt idx="11">
                  <c:v>1.732</c:v>
                </c:pt>
                <c:pt idx="12">
                  <c:v>1.855</c:v>
                </c:pt>
                <c:pt idx="13">
                  <c:v>2</c:v>
                </c:pt>
                <c:pt idx="14">
                  <c:v>2.1709999999999998</c:v>
                </c:pt>
                <c:pt idx="15">
                  <c:v>2.38</c:v>
                </c:pt>
                <c:pt idx="16">
                  <c:v>2.645</c:v>
                </c:pt>
                <c:pt idx="17">
                  <c:v>3</c:v>
                </c:pt>
                <c:pt idx="18">
                  <c:v>3.2290000000000001</c:v>
                </c:pt>
                <c:pt idx="19">
                  <c:v>3.5109999999999997</c:v>
                </c:pt>
                <c:pt idx="20">
                  <c:v>3.8729999999999967</c:v>
                </c:pt>
                <c:pt idx="21">
                  <c:v>4.3579999999999846</c:v>
                </c:pt>
                <c:pt idx="22">
                  <c:v>5.0659999999999945</c:v>
                </c:pt>
                <c:pt idx="23">
                  <c:v>6.2450000000000001</c:v>
                </c:pt>
                <c:pt idx="24">
                  <c:v>7.234</c:v>
                </c:pt>
                <c:pt idx="25">
                  <c:v>8.8880000000000035</c:v>
                </c:pt>
                <c:pt idx="26">
                  <c:v>9.9489999999999998</c:v>
                </c:pt>
                <c:pt idx="27">
                  <c:v>11.503</c:v>
                </c:pt>
                <c:pt idx="28">
                  <c:v>12.609</c:v>
                </c:pt>
                <c:pt idx="29">
                  <c:v>14.106</c:v>
                </c:pt>
                <c:pt idx="30">
                  <c:v>14.8</c:v>
                </c:pt>
                <c:pt idx="31">
                  <c:v>15.779</c:v>
                </c:pt>
                <c:pt idx="32">
                  <c:v>16.87</c:v>
                </c:pt>
                <c:pt idx="33">
                  <c:v>18.23</c:v>
                </c:pt>
                <c:pt idx="34">
                  <c:v>19.974</c:v>
                </c:pt>
                <c:pt idx="35">
                  <c:v>22.330000000000005</c:v>
                </c:pt>
              </c:numCache>
            </c:numRef>
          </c:yVal>
        </c:ser>
        <c:axId val="205458432"/>
        <c:axId val="203137792"/>
      </c:scatterChart>
      <c:valAx>
        <c:axId val="205458432"/>
        <c:scaling>
          <c:orientation val="minMax"/>
        </c:scaling>
        <c:axPos val="b"/>
        <c:numFmt formatCode="General" sourceLinked="1"/>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03137792"/>
        <c:crosses val="autoZero"/>
        <c:crossBetween val="midCat"/>
      </c:valAx>
      <c:valAx>
        <c:axId val="203137792"/>
        <c:scaling>
          <c:orientation val="minMax"/>
        </c:scaling>
        <c:axPos val="l"/>
        <c:majorGridlines/>
        <c:numFmt formatCode="General" sourceLinked="1"/>
        <c:tickLblPos val="nextTo"/>
        <c:crossAx val="205458432"/>
        <c:crosses val="autoZero"/>
        <c:crossBetween val="midCat"/>
      </c:valAx>
      <c:spPr>
        <a:gradFill>
          <a:gsLst>
            <a:gs pos="0">
              <a:srgbClr val="4F81BD">
                <a:tint val="66000"/>
                <a:satMod val="160000"/>
                <a:alpha val="64000"/>
              </a:srgbClr>
            </a:gs>
            <a:gs pos="50000">
              <a:srgbClr val="4F81BD">
                <a:tint val="44500"/>
                <a:satMod val="160000"/>
              </a:srgbClr>
            </a:gs>
            <a:gs pos="100000">
              <a:srgbClr val="4F81BD">
                <a:tint val="23500"/>
                <a:satMod val="160000"/>
              </a:srgbClr>
            </a:gs>
          </a:gsLst>
          <a:lin ang="5400000" scaled="0"/>
        </a:gradFill>
      </c:spPr>
    </c:plotArea>
    <c:plotVisOnly val="1"/>
    <c:dispBlanksAs val="gap"/>
  </c:chart>
  <c:spPr>
    <a:ln>
      <a:solidFill>
        <a:srgbClr val="0070C0"/>
      </a:solid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896853410565059"/>
          <c:y val="7.2922953596317702E-2"/>
          <c:w val="0.82920203940024739"/>
          <c:h val="0.76253416598787216"/>
        </c:manualLayout>
      </c:layout>
      <c:scatterChart>
        <c:scatterStyle val="lineMarker"/>
        <c:ser>
          <c:idx val="0"/>
          <c:order val="0"/>
          <c:tx>
            <c:strRef>
              <c:f>Sheet1!$B$1</c:f>
              <c:strCache>
                <c:ptCount val="1"/>
                <c:pt idx="0">
                  <c:v>Dipole moment (amps-m2)</c:v>
                </c:pt>
              </c:strCache>
            </c:strRef>
          </c:tx>
          <c:spPr>
            <a:ln w="28575">
              <a:noFill/>
            </a:ln>
          </c:spPr>
          <c:trendline>
            <c:trendlineType val="linear"/>
          </c:trendline>
          <c:xVal>
            <c:numRef>
              <c:f>Sheet1!$A$2:$A$40</c:f>
              <c:numCache>
                <c:formatCode>General</c:formatCode>
                <c:ptCount val="39"/>
                <c:pt idx="0">
                  <c:v>1550</c:v>
                </c:pt>
                <c:pt idx="1">
                  <c:v>1600</c:v>
                </c:pt>
                <c:pt idx="2">
                  <c:v>1650</c:v>
                </c:pt>
                <c:pt idx="3">
                  <c:v>1700</c:v>
                </c:pt>
                <c:pt idx="4">
                  <c:v>1750</c:v>
                </c:pt>
                <c:pt idx="5">
                  <c:v>1800</c:v>
                </c:pt>
                <c:pt idx="6">
                  <c:v>1829</c:v>
                </c:pt>
                <c:pt idx="7">
                  <c:v>1835</c:v>
                </c:pt>
                <c:pt idx="8">
                  <c:v>1845</c:v>
                </c:pt>
                <c:pt idx="9">
                  <c:v>1850</c:v>
                </c:pt>
                <c:pt idx="10">
                  <c:v>1880</c:v>
                </c:pt>
                <c:pt idx="11">
                  <c:v>1880</c:v>
                </c:pt>
                <c:pt idx="12">
                  <c:v>1885</c:v>
                </c:pt>
                <c:pt idx="13">
                  <c:v>1885</c:v>
                </c:pt>
                <c:pt idx="14">
                  <c:v>1900</c:v>
                </c:pt>
                <c:pt idx="15">
                  <c:v>1905</c:v>
                </c:pt>
                <c:pt idx="16">
                  <c:v>1915</c:v>
                </c:pt>
                <c:pt idx="17">
                  <c:v>1922</c:v>
                </c:pt>
                <c:pt idx="18">
                  <c:v>1925</c:v>
                </c:pt>
                <c:pt idx="19">
                  <c:v>1935</c:v>
                </c:pt>
                <c:pt idx="20">
                  <c:v>1942.5</c:v>
                </c:pt>
                <c:pt idx="21">
                  <c:v>1945</c:v>
                </c:pt>
                <c:pt idx="22">
                  <c:v>1945</c:v>
                </c:pt>
                <c:pt idx="23">
                  <c:v>1945</c:v>
                </c:pt>
                <c:pt idx="24">
                  <c:v>1945</c:v>
                </c:pt>
                <c:pt idx="25">
                  <c:v>1950</c:v>
                </c:pt>
                <c:pt idx="26">
                  <c:v>1955</c:v>
                </c:pt>
                <c:pt idx="27">
                  <c:v>1955</c:v>
                </c:pt>
                <c:pt idx="28">
                  <c:v>1958.5</c:v>
                </c:pt>
                <c:pt idx="29">
                  <c:v>1959</c:v>
                </c:pt>
                <c:pt idx="30">
                  <c:v>1960</c:v>
                </c:pt>
                <c:pt idx="31">
                  <c:v>1960</c:v>
                </c:pt>
                <c:pt idx="32">
                  <c:v>1960</c:v>
                </c:pt>
                <c:pt idx="33">
                  <c:v>1960</c:v>
                </c:pt>
                <c:pt idx="34">
                  <c:v>1965</c:v>
                </c:pt>
                <c:pt idx="35">
                  <c:v>1965</c:v>
                </c:pt>
                <c:pt idx="36">
                  <c:v>1970</c:v>
                </c:pt>
                <c:pt idx="37">
                  <c:v>1980</c:v>
                </c:pt>
                <c:pt idx="38">
                  <c:v>1990</c:v>
                </c:pt>
              </c:numCache>
            </c:numRef>
          </c:xVal>
          <c:yVal>
            <c:numRef>
              <c:f>Sheet1!$B$2:$B$40</c:f>
              <c:numCache>
                <c:formatCode>General</c:formatCode>
                <c:ptCount val="39"/>
                <c:pt idx="0">
                  <c:v>9.5400000000000009</c:v>
                </c:pt>
                <c:pt idx="1">
                  <c:v>9.3600000000000048</c:v>
                </c:pt>
                <c:pt idx="2">
                  <c:v>9.18</c:v>
                </c:pt>
                <c:pt idx="3">
                  <c:v>9</c:v>
                </c:pt>
                <c:pt idx="4">
                  <c:v>8.84</c:v>
                </c:pt>
                <c:pt idx="5">
                  <c:v>8.61</c:v>
                </c:pt>
                <c:pt idx="6">
                  <c:v>8.4500000000000028</c:v>
                </c:pt>
                <c:pt idx="7">
                  <c:v>8.5580000000000016</c:v>
                </c:pt>
                <c:pt idx="8">
                  <c:v>8.4880000000000013</c:v>
                </c:pt>
                <c:pt idx="9">
                  <c:v>8.4700000000000006</c:v>
                </c:pt>
                <c:pt idx="10">
                  <c:v>8.3630000000000067</c:v>
                </c:pt>
                <c:pt idx="11">
                  <c:v>8.3360000000000003</c:v>
                </c:pt>
                <c:pt idx="12">
                  <c:v>8.3470000000000013</c:v>
                </c:pt>
                <c:pt idx="13">
                  <c:v>8.3750000000000266</c:v>
                </c:pt>
                <c:pt idx="14">
                  <c:v>8.27</c:v>
                </c:pt>
                <c:pt idx="15">
                  <c:v>8.2909999999999986</c:v>
                </c:pt>
                <c:pt idx="16">
                  <c:v>8.2249999999999996</c:v>
                </c:pt>
                <c:pt idx="17">
                  <c:v>8.1650000000000027</c:v>
                </c:pt>
                <c:pt idx="18">
                  <c:v>8.1489999999999991</c:v>
                </c:pt>
                <c:pt idx="19">
                  <c:v>8.088000000000001</c:v>
                </c:pt>
                <c:pt idx="20">
                  <c:v>8.0090000000000003</c:v>
                </c:pt>
                <c:pt idx="21">
                  <c:v>8.0650000000000048</c:v>
                </c:pt>
                <c:pt idx="22">
                  <c:v>8.01</c:v>
                </c:pt>
                <c:pt idx="23">
                  <c:v>8.0660000000000007</c:v>
                </c:pt>
                <c:pt idx="24">
                  <c:v>8.09</c:v>
                </c:pt>
                <c:pt idx="25">
                  <c:v>8.07</c:v>
                </c:pt>
                <c:pt idx="26">
                  <c:v>8.0350000000000001</c:v>
                </c:pt>
                <c:pt idx="27">
                  <c:v>8.0670000000000002</c:v>
                </c:pt>
                <c:pt idx="28">
                  <c:v>8.0379999999999985</c:v>
                </c:pt>
                <c:pt idx="29">
                  <c:v>8.0860000000000003</c:v>
                </c:pt>
                <c:pt idx="30">
                  <c:v>8.0530000000000008</c:v>
                </c:pt>
                <c:pt idx="31">
                  <c:v>8.02</c:v>
                </c:pt>
                <c:pt idx="32">
                  <c:v>8.036999999999999</c:v>
                </c:pt>
                <c:pt idx="33">
                  <c:v>8.0250000000000004</c:v>
                </c:pt>
                <c:pt idx="34">
                  <c:v>8.0130000000000035</c:v>
                </c:pt>
                <c:pt idx="35">
                  <c:v>8.0170000000000012</c:v>
                </c:pt>
                <c:pt idx="36">
                  <c:v>7.9700000000000024</c:v>
                </c:pt>
                <c:pt idx="37">
                  <c:v>7.91</c:v>
                </c:pt>
                <c:pt idx="38">
                  <c:v>7.84</c:v>
                </c:pt>
              </c:numCache>
            </c:numRef>
          </c:yVal>
        </c:ser>
        <c:axId val="203447296"/>
        <c:axId val="205579008"/>
      </c:scatterChart>
      <c:valAx>
        <c:axId val="203447296"/>
        <c:scaling>
          <c:orientation val="minMax"/>
          <c:max val="2000"/>
          <c:min val="1550"/>
        </c:scaling>
        <c:axPos val="b"/>
        <c:majorGridlines/>
        <c:numFmt formatCode="General" sourceLinked="1"/>
        <c:tickLblPos val="nextTo"/>
        <c:crossAx val="205579008"/>
        <c:crosses val="autoZero"/>
        <c:crossBetween val="midCat"/>
        <c:majorUnit val="100"/>
        <c:minorUnit val="50"/>
      </c:valAx>
      <c:valAx>
        <c:axId val="205579008"/>
        <c:scaling>
          <c:orientation val="minMax"/>
          <c:max val="9.6"/>
          <c:min val="7.5"/>
        </c:scaling>
        <c:axPos val="l"/>
        <c:majorGridlines/>
        <c:numFmt formatCode="General" sourceLinked="1"/>
        <c:tickLblPos val="nextTo"/>
        <c:crossAx val="203447296"/>
        <c:crosses val="autoZero"/>
        <c:crossBetween val="midCat"/>
        <c:majorUnit val="0.2"/>
        <c:minorUnit val="0.1"/>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25">
              <a:noFill/>
            </a:ln>
          </c:spPr>
          <c:trendline>
            <c:trendlineType val="linear"/>
          </c:trendline>
          <c:trendline>
            <c:trendlineType val="linear"/>
          </c:trendline>
          <c:errBars>
            <c:errDir val="x"/>
            <c:errBarType val="both"/>
            <c:errValType val="fixedVal"/>
            <c:val val="1"/>
          </c:errBars>
          <c:errBars>
            <c:errDir val="y"/>
            <c:errBarType val="both"/>
            <c:errValType val="cust"/>
            <c:plus>
              <c:numLit>
                <c:formatCode>General</c:formatCode>
                <c:ptCount val="1"/>
                <c:pt idx="0">
                  <c:v>1</c:v>
                </c:pt>
              </c:numLit>
            </c:plus>
            <c:minus>
              <c:numLit>
                <c:formatCode>General</c:formatCode>
                <c:ptCount val="1"/>
                <c:pt idx="0">
                  <c:v>1</c:v>
                </c:pt>
              </c:numLit>
            </c:minus>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151439616"/>
        <c:axId val="151556096"/>
      </c:scatterChart>
      <c:valAx>
        <c:axId val="151439616"/>
        <c:scaling>
          <c:orientation val="minMax"/>
        </c:scaling>
        <c:axPos val="b"/>
        <c:numFmt formatCode="General" sourceLinked="1"/>
        <c:tickLblPos val="nextTo"/>
        <c:txPr>
          <a:bodyPr rot="0" vert="horz"/>
          <a:lstStyle/>
          <a:p>
            <a:pPr>
              <a:defRPr sz="998" b="0" i="0" u="none" strike="noStrike" baseline="0">
                <a:solidFill>
                  <a:srgbClr val="000000"/>
                </a:solidFill>
                <a:latin typeface="Calibri"/>
                <a:ea typeface="Calibri"/>
                <a:cs typeface="Calibri"/>
              </a:defRPr>
            </a:pPr>
            <a:endParaRPr lang="en-US"/>
          </a:p>
        </c:txPr>
        <c:crossAx val="151556096"/>
        <c:crosses val="autoZero"/>
        <c:crossBetween val="midCat"/>
      </c:valAx>
      <c:valAx>
        <c:axId val="151556096"/>
        <c:scaling>
          <c:orientation val="minMax"/>
        </c:scaling>
        <c:axPos val="l"/>
        <c:majorGridlines/>
        <c:numFmt formatCode="General" sourceLinked="1"/>
        <c:tickLblPos val="nextTo"/>
        <c:crossAx val="151439616"/>
        <c:crosses val="autoZero"/>
        <c:crossBetween val="midCat"/>
      </c:valAx>
    </c:plotArea>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4.5441165648686497E-4"/>
          <c:w val="1"/>
          <c:h val="0.99954558834351315"/>
        </c:manualLayout>
      </c:layout>
      <c:lineChart>
        <c:grouping val="standard"/>
        <c:ser>
          <c:idx val="0"/>
          <c:order val="0"/>
          <c:tx>
            <c:strRef>
              <c:f>Sheet1!$B$1</c:f>
              <c:strCache>
                <c:ptCount val="1"/>
                <c:pt idx="0">
                  <c:v>CLOCK RATE</c:v>
                </c:pt>
              </c:strCache>
            </c:strRef>
          </c:tx>
          <c:marker>
            <c:symbol val="diamond"/>
            <c:size val="2"/>
            <c:spPr>
              <a:solidFill>
                <a:srgbClr val="000080"/>
              </a:solidFill>
              <a:ln>
                <a:solidFill>
                  <a:srgbClr val="000080"/>
                </a:solidFill>
                <a:prstDash val="solid"/>
              </a:ln>
            </c:spPr>
          </c:marker>
          <c:trendline>
            <c:trendlineType val="poly"/>
            <c:order val="2"/>
          </c:trendline>
          <c:cat>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cat>
          <c:val>
            <c:numRef>
              <c:f>Sheet1!$B$2:$B$92</c:f>
              <c:numCache>
                <c:formatCode>General</c:formatCode>
                <c:ptCount val="91"/>
                <c:pt idx="0">
                  <c:v>0.44000000000000078</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-3.1000000000000416E-2</c:v>
                </c:pt>
                <c:pt idx="41">
                  <c:v>3.1000000000000416E-2</c:v>
                </c:pt>
                <c:pt idx="42">
                  <c:v>6.2500000000000139E-2</c:v>
                </c:pt>
                <c:pt idx="43">
                  <c:v>-3.0000000000000242E-2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-6.0000000000000414E-2</c:v>
                </c:pt>
                <c:pt idx="59">
                  <c:v>-3.0000000000000242E-2</c:v>
                </c:pt>
                <c:pt idx="60">
                  <c:v>-6.2500000000000139E-2</c:v>
                </c:pt>
                <c:pt idx="61">
                  <c:v>-9.0000000000000066E-2</c:v>
                </c:pt>
                <c:pt idx="62">
                  <c:v>-6.2500000000000139E-2</c:v>
                </c:pt>
                <c:pt idx="63">
                  <c:v>-0.125</c:v>
                </c:pt>
                <c:pt idx="64">
                  <c:v>-1.0000000000000071E-2</c:v>
                </c:pt>
                <c:pt idx="65">
                  <c:v>-6.0000000000000414E-2</c:v>
                </c:pt>
                <c:pt idx="66">
                  <c:v>-6.2500000000000139E-2</c:v>
                </c:pt>
                <c:pt idx="67">
                  <c:v>1.0000000000000071E-2</c:v>
                </c:pt>
                <c:pt idx="68">
                  <c:v>0</c:v>
                </c:pt>
                <c:pt idx="69">
                  <c:v>-3.0000000000000242E-2</c:v>
                </c:pt>
                <c:pt idx="70">
                  <c:v>-6.2500000000000139E-2</c:v>
                </c:pt>
                <c:pt idx="71">
                  <c:v>-0.125</c:v>
                </c:pt>
                <c:pt idx="72">
                  <c:v>-0.15000000000000024</c:v>
                </c:pt>
                <c:pt idx="73">
                  <c:v>-0.15000000000000024</c:v>
                </c:pt>
                <c:pt idx="74">
                  <c:v>-0.15000000000000024</c:v>
                </c:pt>
                <c:pt idx="75">
                  <c:v>3.0000000000000242E-2</c:v>
                </c:pt>
                <c:pt idx="76">
                  <c:v>3.0000000000000242E-2</c:v>
                </c:pt>
                <c:pt idx="77">
                  <c:v>0</c:v>
                </c:pt>
                <c:pt idx="78">
                  <c:v>0</c:v>
                </c:pt>
                <c:pt idx="79">
                  <c:v>-3.0000000000000242E-2</c:v>
                </c:pt>
                <c:pt idx="80">
                  <c:v>-6.2500000000000139E-2</c:v>
                </c:pt>
                <c:pt idx="81">
                  <c:v>-3.0000000000000242E-2</c:v>
                </c:pt>
                <c:pt idx="82">
                  <c:v>-3.0000000000000242E-2</c:v>
                </c:pt>
                <c:pt idx="83">
                  <c:v>0</c:v>
                </c:pt>
                <c:pt idx="84">
                  <c:v>3.0000000000000242E-2</c:v>
                </c:pt>
                <c:pt idx="85">
                  <c:v>6.2500000000000139E-2</c:v>
                </c:pt>
                <c:pt idx="86">
                  <c:v>0</c:v>
                </c:pt>
                <c:pt idx="87">
                  <c:v>-9.0000000000000066E-2</c:v>
                </c:pt>
                <c:pt idx="88">
                  <c:v>-9.0000000000000066E-2</c:v>
                </c:pt>
                <c:pt idx="89">
                  <c:v>6.2500000000000139E-2</c:v>
                </c:pt>
              </c:numCache>
            </c:numRef>
          </c:val>
        </c:ser>
        <c:marker val="1"/>
        <c:axId val="208791808"/>
        <c:axId val="208998400"/>
      </c:lineChart>
      <c:catAx>
        <c:axId val="208791808"/>
        <c:scaling>
          <c:orientation val="minMax"/>
        </c:scaling>
        <c:delete val="1"/>
        <c:axPos val="b"/>
        <c:numFmt formatCode="General" sourceLinked="1"/>
        <c:tickLblPos val="none"/>
        <c:crossAx val="208998400"/>
        <c:crosses val="autoZero"/>
        <c:auto val="1"/>
        <c:lblAlgn val="ctr"/>
        <c:lblOffset val="100"/>
      </c:catAx>
      <c:valAx>
        <c:axId val="208998400"/>
        <c:scaling>
          <c:orientation val="minMax"/>
        </c:scaling>
        <c:delete val="1"/>
        <c:axPos val="l"/>
        <c:numFmt formatCode="General" sourceLinked="1"/>
        <c:tickLblPos val="none"/>
        <c:crossAx val="208791808"/>
        <c:crosses val="autoZero"/>
        <c:crossBetween val="between"/>
      </c:valAx>
      <c:spPr>
        <a:solidFill>
          <a:schemeClr val="bg1">
            <a:lumMod val="85000"/>
          </a:schemeClr>
        </a:solidFill>
        <a:ln w="25400" cap="flat" cmpd="sng" algn="ctr">
          <a:solidFill>
            <a:schemeClr val="dk1"/>
          </a:solidFill>
          <a:prstDash val="solid"/>
        </a:ln>
        <a:effectLst/>
      </c:spPr>
    </c:plotArea>
    <c:plotVisOnly val="1"/>
    <c:dispBlanksAs val="gap"/>
  </c:chart>
  <c:spPr>
    <a:noFill/>
    <a:ln>
      <a:noFill/>
    </a:ln>
  </c:spPr>
  <c:txPr>
    <a:bodyPr/>
    <a:lstStyle/>
    <a:p>
      <a:pPr>
        <a:defRPr sz="442" b="1" i="0" u="none" strike="noStrike" baseline="0">
          <a:solidFill>
            <a:srgbClr val="000000"/>
          </a:solidFill>
          <a:latin typeface="Calibri"/>
          <a:ea typeface="Calibri"/>
          <a:cs typeface="Calibri"/>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226632448"/>
        <c:axId val="226633984"/>
      </c:scatterChart>
      <c:valAx>
        <c:axId val="226632448"/>
        <c:scaling>
          <c:orientation val="minMax"/>
        </c:scaling>
        <c:axPos val="b"/>
        <c:numFmt formatCode="General" sourceLinked="1"/>
        <c:tickLblPos val="nextTo"/>
        <c:crossAx val="226633984"/>
        <c:crosses val="autoZero"/>
        <c:crossBetween val="midCat"/>
      </c:valAx>
      <c:valAx>
        <c:axId val="226633984"/>
        <c:scaling>
          <c:orientation val="minMax"/>
        </c:scaling>
        <c:axPos val="l"/>
        <c:majorGridlines/>
        <c:numFmt formatCode="General" sourceLinked="1"/>
        <c:tickLblPos val="nextTo"/>
        <c:crossAx val="226632448"/>
        <c:crosses val="autoZero"/>
        <c:crossBetween val="midCat"/>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321772278465188"/>
          <c:y val="7.5527344796186197E-2"/>
          <c:w val="0.74274465691791591"/>
          <c:h val="0.78806684878673094"/>
        </c:manualLayout>
      </c:layout>
      <c:scatterChart>
        <c:scatterStyle val="lineMarker"/>
        <c:ser>
          <c:idx val="0"/>
          <c:order val="0"/>
          <c:tx>
            <c:strRef>
              <c:f>'Sheet1'!$B$1</c:f>
              <c:strCache>
                <c:ptCount val="1"/>
                <c:pt idx="0">
                  <c:v>c km/s</c:v>
                </c:pt>
              </c:strCache>
            </c:strRef>
          </c:tx>
          <c:spPr>
            <a:ln w="28575">
              <a:noFill/>
            </a:ln>
          </c:spPr>
          <c:trendline>
            <c:trendlineType val="poly"/>
            <c:order val="2"/>
          </c:trendline>
          <c:trendline>
            <c:trendlineType val="poly"/>
            <c:order val="2"/>
          </c:trendline>
          <c:trendline>
            <c:trendlineType val="poly"/>
            <c:order val="2"/>
          </c:trendline>
          <c:trendline>
            <c:trendlineType val="poly"/>
            <c:order val="2"/>
          </c:trendline>
          <c:errBars>
            <c:errDir val="y"/>
            <c:errBarType val="both"/>
            <c:errValType val="cust"/>
            <c:plus>
              <c:numRef>
                <c:f>={1}</c:f>
              </c:numRef>
            </c:plus>
            <c:minus>
              <c:numRef>
                <c:f>={1}</c:f>
              </c:numRef>
            </c:minus>
          </c:errBars>
          <c:errBars>
            <c:errDir val="x"/>
            <c:errBarType val="both"/>
            <c:errValType val="fixedVal"/>
            <c:val val="1"/>
          </c:errBars>
          <c:xVal>
            <c:numRef>
              <c:f>'Sheet1'!$A$2:$A$130</c:f>
              <c:numCache>
                <c:formatCode>General</c:formatCode>
                <c:ptCount val="129"/>
                <c:pt idx="0">
                  <c:v>1727</c:v>
                </c:pt>
                <c:pt idx="1">
                  <c:v>1727</c:v>
                </c:pt>
                <c:pt idx="3">
                  <c:v>1727</c:v>
                </c:pt>
                <c:pt idx="4">
                  <c:v>1738</c:v>
                </c:pt>
                <c:pt idx="6">
                  <c:v>1740</c:v>
                </c:pt>
                <c:pt idx="7">
                  <c:v>1740</c:v>
                </c:pt>
                <c:pt idx="8">
                  <c:v>1759</c:v>
                </c:pt>
                <c:pt idx="9">
                  <c:v>1770</c:v>
                </c:pt>
                <c:pt idx="10">
                  <c:v>1771</c:v>
                </c:pt>
                <c:pt idx="11">
                  <c:v>1783</c:v>
                </c:pt>
                <c:pt idx="12">
                  <c:v>1841</c:v>
                </c:pt>
                <c:pt idx="13">
                  <c:v>1841</c:v>
                </c:pt>
                <c:pt idx="14">
                  <c:v>1843</c:v>
                </c:pt>
                <c:pt idx="15">
                  <c:v>1843</c:v>
                </c:pt>
                <c:pt idx="16">
                  <c:v>1853</c:v>
                </c:pt>
                <c:pt idx="17">
                  <c:v>1858</c:v>
                </c:pt>
                <c:pt idx="18">
                  <c:v>1861</c:v>
                </c:pt>
                <c:pt idx="19">
                  <c:v>1864.5</c:v>
                </c:pt>
                <c:pt idx="20">
                  <c:v>1868</c:v>
                </c:pt>
                <c:pt idx="21">
                  <c:v>1870</c:v>
                </c:pt>
                <c:pt idx="22">
                  <c:v>1873</c:v>
                </c:pt>
                <c:pt idx="23">
                  <c:v>1874.8</c:v>
                </c:pt>
                <c:pt idx="24">
                  <c:v>1874.8</c:v>
                </c:pt>
                <c:pt idx="25">
                  <c:v>1877</c:v>
                </c:pt>
                <c:pt idx="26">
                  <c:v>1877</c:v>
                </c:pt>
                <c:pt idx="27">
                  <c:v>1879.5</c:v>
                </c:pt>
                <c:pt idx="28">
                  <c:v>1879.5</c:v>
                </c:pt>
                <c:pt idx="29">
                  <c:v>1880.5</c:v>
                </c:pt>
                <c:pt idx="30">
                  <c:v>1882.7</c:v>
                </c:pt>
                <c:pt idx="31">
                  <c:v>1882.8</c:v>
                </c:pt>
                <c:pt idx="32">
                  <c:v>1883</c:v>
                </c:pt>
                <c:pt idx="33">
                  <c:v>1884</c:v>
                </c:pt>
                <c:pt idx="34">
                  <c:v>1889.5</c:v>
                </c:pt>
                <c:pt idx="35">
                  <c:v>1889.5</c:v>
                </c:pt>
                <c:pt idx="36">
                  <c:v>1889.5</c:v>
                </c:pt>
                <c:pt idx="37">
                  <c:v>1890.5</c:v>
                </c:pt>
                <c:pt idx="38">
                  <c:v>1891.5</c:v>
                </c:pt>
                <c:pt idx="39">
                  <c:v>1891.5</c:v>
                </c:pt>
                <c:pt idx="40">
                  <c:v>1891.5</c:v>
                </c:pt>
                <c:pt idx="41">
                  <c:v>1891.5</c:v>
                </c:pt>
                <c:pt idx="42">
                  <c:v>1891.5</c:v>
                </c:pt>
                <c:pt idx="43">
                  <c:v>1892.5</c:v>
                </c:pt>
                <c:pt idx="44">
                  <c:v>1893</c:v>
                </c:pt>
                <c:pt idx="45">
                  <c:v>1894.5</c:v>
                </c:pt>
                <c:pt idx="46">
                  <c:v>1896</c:v>
                </c:pt>
                <c:pt idx="47">
                  <c:v>1896</c:v>
                </c:pt>
                <c:pt idx="48">
                  <c:v>1896</c:v>
                </c:pt>
                <c:pt idx="49">
                  <c:v>1896.5</c:v>
                </c:pt>
                <c:pt idx="50">
                  <c:v>1897</c:v>
                </c:pt>
                <c:pt idx="51">
                  <c:v>1898.5</c:v>
                </c:pt>
                <c:pt idx="52">
                  <c:v>1898.5</c:v>
                </c:pt>
                <c:pt idx="53">
                  <c:v>1900.4</c:v>
                </c:pt>
                <c:pt idx="54">
                  <c:v>1900.5</c:v>
                </c:pt>
                <c:pt idx="55">
                  <c:v>1901.5</c:v>
                </c:pt>
                <c:pt idx="56">
                  <c:v>1901.5</c:v>
                </c:pt>
                <c:pt idx="57">
                  <c:v>1902.4</c:v>
                </c:pt>
                <c:pt idx="58">
                  <c:v>1902.4</c:v>
                </c:pt>
                <c:pt idx="59">
                  <c:v>1903</c:v>
                </c:pt>
                <c:pt idx="60">
                  <c:v>1904.5</c:v>
                </c:pt>
                <c:pt idx="61">
                  <c:v>1905</c:v>
                </c:pt>
                <c:pt idx="62">
                  <c:v>1905</c:v>
                </c:pt>
                <c:pt idx="63">
                  <c:v>1906</c:v>
                </c:pt>
                <c:pt idx="64">
                  <c:v>1906</c:v>
                </c:pt>
                <c:pt idx="65">
                  <c:v>1906.5</c:v>
                </c:pt>
                <c:pt idx="66">
                  <c:v>1907</c:v>
                </c:pt>
                <c:pt idx="67">
                  <c:v>1907</c:v>
                </c:pt>
                <c:pt idx="68">
                  <c:v>1907.5</c:v>
                </c:pt>
                <c:pt idx="69">
                  <c:v>1907.5</c:v>
                </c:pt>
                <c:pt idx="70">
                  <c:v>1908</c:v>
                </c:pt>
                <c:pt idx="71">
                  <c:v>1908.5</c:v>
                </c:pt>
                <c:pt idx="72">
                  <c:v>1908.5</c:v>
                </c:pt>
                <c:pt idx="73">
                  <c:v>1909</c:v>
                </c:pt>
                <c:pt idx="74">
                  <c:v>1909.5</c:v>
                </c:pt>
                <c:pt idx="75">
                  <c:v>1909.5</c:v>
                </c:pt>
                <c:pt idx="76">
                  <c:v>1910</c:v>
                </c:pt>
                <c:pt idx="77">
                  <c:v>1914</c:v>
                </c:pt>
                <c:pt idx="78">
                  <c:v>1916</c:v>
                </c:pt>
                <c:pt idx="79">
                  <c:v>1922</c:v>
                </c:pt>
                <c:pt idx="80">
                  <c:v>1923</c:v>
                </c:pt>
                <c:pt idx="81">
                  <c:v>1923.5</c:v>
                </c:pt>
                <c:pt idx="82">
                  <c:v>1924.6</c:v>
                </c:pt>
                <c:pt idx="83">
                  <c:v>1926.5</c:v>
                </c:pt>
                <c:pt idx="84">
                  <c:v>1926.5</c:v>
                </c:pt>
                <c:pt idx="85">
                  <c:v>1928</c:v>
                </c:pt>
                <c:pt idx="86">
                  <c:v>1928</c:v>
                </c:pt>
                <c:pt idx="87">
                  <c:v>1930.5</c:v>
                </c:pt>
                <c:pt idx="88">
                  <c:v>1932.5</c:v>
                </c:pt>
                <c:pt idx="89">
                  <c:v>1933</c:v>
                </c:pt>
                <c:pt idx="90">
                  <c:v>1935</c:v>
                </c:pt>
                <c:pt idx="91">
                  <c:v>1935.5</c:v>
                </c:pt>
                <c:pt idx="92">
                  <c:v>1936.8</c:v>
                </c:pt>
                <c:pt idx="93">
                  <c:v>1937</c:v>
                </c:pt>
                <c:pt idx="94">
                  <c:v>1940</c:v>
                </c:pt>
                <c:pt idx="95">
                  <c:v>1947</c:v>
                </c:pt>
                <c:pt idx="96">
                  <c:v>1947</c:v>
                </c:pt>
                <c:pt idx="97">
                  <c:v>1949</c:v>
                </c:pt>
                <c:pt idx="98">
                  <c:v>1949</c:v>
                </c:pt>
                <c:pt idx="99">
                  <c:v>1950</c:v>
                </c:pt>
                <c:pt idx="100">
                  <c:v>1950</c:v>
                </c:pt>
                <c:pt idx="101">
                  <c:v>1950</c:v>
                </c:pt>
                <c:pt idx="102">
                  <c:v>1951</c:v>
                </c:pt>
                <c:pt idx="103">
                  <c:v>1951</c:v>
                </c:pt>
                <c:pt idx="104">
                  <c:v>1951</c:v>
                </c:pt>
                <c:pt idx="105">
                  <c:v>1953</c:v>
                </c:pt>
                <c:pt idx="106">
                  <c:v>1954</c:v>
                </c:pt>
                <c:pt idx="107">
                  <c:v>1954</c:v>
                </c:pt>
                <c:pt idx="108">
                  <c:v>1955</c:v>
                </c:pt>
                <c:pt idx="109">
                  <c:v>1955</c:v>
                </c:pt>
                <c:pt idx="110">
                  <c:v>1956</c:v>
                </c:pt>
                <c:pt idx="111">
                  <c:v>1956</c:v>
                </c:pt>
                <c:pt idx="112">
                  <c:v>1956</c:v>
                </c:pt>
                <c:pt idx="113">
                  <c:v>1956</c:v>
                </c:pt>
                <c:pt idx="114">
                  <c:v>1956</c:v>
                </c:pt>
                <c:pt idx="115">
                  <c:v>1957</c:v>
                </c:pt>
                <c:pt idx="116">
                  <c:v>1958</c:v>
                </c:pt>
                <c:pt idx="117">
                  <c:v>1960</c:v>
                </c:pt>
                <c:pt idx="118">
                  <c:v>1966</c:v>
                </c:pt>
                <c:pt idx="119">
                  <c:v>1967</c:v>
                </c:pt>
                <c:pt idx="120">
                  <c:v>1967</c:v>
                </c:pt>
                <c:pt idx="121">
                  <c:v>1972</c:v>
                </c:pt>
                <c:pt idx="122">
                  <c:v>1972</c:v>
                </c:pt>
                <c:pt idx="123">
                  <c:v>1973</c:v>
                </c:pt>
                <c:pt idx="124">
                  <c:v>1973</c:v>
                </c:pt>
                <c:pt idx="125">
                  <c:v>1974</c:v>
                </c:pt>
                <c:pt idx="126">
                  <c:v>1978</c:v>
                </c:pt>
                <c:pt idx="127">
                  <c:v>1979</c:v>
                </c:pt>
                <c:pt idx="128">
                  <c:v>1983</c:v>
                </c:pt>
              </c:numCache>
            </c:numRef>
          </c:xVal>
          <c:yVal>
            <c:numRef>
              <c:f>'Sheet1'!$B$2:$B$130</c:f>
              <c:numCache>
                <c:formatCode>#,##0</c:formatCode>
                <c:ptCount val="129"/>
                <c:pt idx="0">
                  <c:v>304303</c:v>
                </c:pt>
                <c:pt idx="1">
                  <c:v>303668</c:v>
                </c:pt>
                <c:pt idx="2" formatCode="General">
                  <c:v>0</c:v>
                </c:pt>
                <c:pt idx="3">
                  <c:v>301438</c:v>
                </c:pt>
                <c:pt idx="4">
                  <c:v>303320</c:v>
                </c:pt>
                <c:pt idx="6">
                  <c:v>300893</c:v>
                </c:pt>
                <c:pt idx="7">
                  <c:v>301658</c:v>
                </c:pt>
                <c:pt idx="8">
                  <c:v>303440</c:v>
                </c:pt>
                <c:pt idx="9">
                  <c:v>304060</c:v>
                </c:pt>
                <c:pt idx="10">
                  <c:v>302220</c:v>
                </c:pt>
                <c:pt idx="11">
                  <c:v>300703</c:v>
                </c:pt>
                <c:pt idx="12">
                  <c:v>300773</c:v>
                </c:pt>
                <c:pt idx="13">
                  <c:v>300583</c:v>
                </c:pt>
                <c:pt idx="14">
                  <c:v>300173</c:v>
                </c:pt>
                <c:pt idx="15">
                  <c:v>300003</c:v>
                </c:pt>
                <c:pt idx="16">
                  <c:v>300513</c:v>
                </c:pt>
                <c:pt idx="17">
                  <c:v>300043</c:v>
                </c:pt>
                <c:pt idx="18">
                  <c:v>300050</c:v>
                </c:pt>
                <c:pt idx="19">
                  <c:v>300113</c:v>
                </c:pt>
                <c:pt idx="20">
                  <c:v>300483</c:v>
                </c:pt>
                <c:pt idx="21">
                  <c:v>300223</c:v>
                </c:pt>
                <c:pt idx="22">
                  <c:v>299823</c:v>
                </c:pt>
                <c:pt idx="23">
                  <c:v>299990</c:v>
                </c:pt>
                <c:pt idx="24">
                  <c:v>299900</c:v>
                </c:pt>
                <c:pt idx="25">
                  <c:v>300011</c:v>
                </c:pt>
                <c:pt idx="26">
                  <c:v>299921</c:v>
                </c:pt>
                <c:pt idx="27">
                  <c:v>299910</c:v>
                </c:pt>
                <c:pt idx="28">
                  <c:v>299683</c:v>
                </c:pt>
                <c:pt idx="29">
                  <c:v>299723</c:v>
                </c:pt>
                <c:pt idx="30">
                  <c:v>299860</c:v>
                </c:pt>
                <c:pt idx="31">
                  <c:v>299853</c:v>
                </c:pt>
                <c:pt idx="32">
                  <c:v>299850</c:v>
                </c:pt>
                <c:pt idx="33">
                  <c:v>300083</c:v>
                </c:pt>
                <c:pt idx="34">
                  <c:v>300113</c:v>
                </c:pt>
                <c:pt idx="35">
                  <c:v>300113</c:v>
                </c:pt>
                <c:pt idx="36">
                  <c:v>300703</c:v>
                </c:pt>
                <c:pt idx="37">
                  <c:v>300803</c:v>
                </c:pt>
                <c:pt idx="38">
                  <c:v>300413</c:v>
                </c:pt>
                <c:pt idx="39">
                  <c:v>300993</c:v>
                </c:pt>
                <c:pt idx="40">
                  <c:v>299873</c:v>
                </c:pt>
                <c:pt idx="41">
                  <c:v>299883</c:v>
                </c:pt>
                <c:pt idx="42">
                  <c:v>299873</c:v>
                </c:pt>
                <c:pt idx="43">
                  <c:v>300333</c:v>
                </c:pt>
                <c:pt idx="44">
                  <c:v>300263</c:v>
                </c:pt>
                <c:pt idx="45">
                  <c:v>300673</c:v>
                </c:pt>
                <c:pt idx="46">
                  <c:v>300413</c:v>
                </c:pt>
                <c:pt idx="47">
                  <c:v>300413</c:v>
                </c:pt>
                <c:pt idx="48">
                  <c:v>300073</c:v>
                </c:pt>
                <c:pt idx="49">
                  <c:v>300413</c:v>
                </c:pt>
                <c:pt idx="50">
                  <c:v>300393</c:v>
                </c:pt>
                <c:pt idx="51">
                  <c:v>300413</c:v>
                </c:pt>
                <c:pt idx="52">
                  <c:v>299983</c:v>
                </c:pt>
                <c:pt idx="53">
                  <c:v>299900</c:v>
                </c:pt>
                <c:pt idx="54">
                  <c:v>299723</c:v>
                </c:pt>
                <c:pt idx="55">
                  <c:v>299783</c:v>
                </c:pt>
                <c:pt idx="56">
                  <c:v>299683</c:v>
                </c:pt>
                <c:pt idx="57">
                  <c:v>299860</c:v>
                </c:pt>
                <c:pt idx="58">
                  <c:v>299901</c:v>
                </c:pt>
                <c:pt idx="59">
                  <c:v>299603</c:v>
                </c:pt>
                <c:pt idx="60">
                  <c:v>300493</c:v>
                </c:pt>
                <c:pt idx="61">
                  <c:v>300323</c:v>
                </c:pt>
                <c:pt idx="62">
                  <c:v>299953</c:v>
                </c:pt>
                <c:pt idx="63">
                  <c:v>300003</c:v>
                </c:pt>
                <c:pt idx="64">
                  <c:v>299803</c:v>
                </c:pt>
                <c:pt idx="65">
                  <c:v>299893</c:v>
                </c:pt>
                <c:pt idx="66">
                  <c:v>299913</c:v>
                </c:pt>
                <c:pt idx="67">
                  <c:v>299793</c:v>
                </c:pt>
                <c:pt idx="68">
                  <c:v>300093</c:v>
                </c:pt>
                <c:pt idx="69">
                  <c:v>299603</c:v>
                </c:pt>
                <c:pt idx="70">
                  <c:v>299873</c:v>
                </c:pt>
                <c:pt idx="71">
                  <c:v>299703</c:v>
                </c:pt>
                <c:pt idx="72">
                  <c:v>299653</c:v>
                </c:pt>
                <c:pt idx="73">
                  <c:v>299683</c:v>
                </c:pt>
                <c:pt idx="74">
                  <c:v>299973</c:v>
                </c:pt>
                <c:pt idx="75">
                  <c:v>299853</c:v>
                </c:pt>
                <c:pt idx="76">
                  <c:v>299953</c:v>
                </c:pt>
                <c:pt idx="77">
                  <c:v>299883</c:v>
                </c:pt>
                <c:pt idx="78">
                  <c:v>299763</c:v>
                </c:pt>
                <c:pt idx="79">
                  <c:v>299793</c:v>
                </c:pt>
                <c:pt idx="80">
                  <c:v>299795</c:v>
                </c:pt>
                <c:pt idx="81">
                  <c:v>300003</c:v>
                </c:pt>
                <c:pt idx="82">
                  <c:v>299802</c:v>
                </c:pt>
                <c:pt idx="83">
                  <c:v>299798</c:v>
                </c:pt>
                <c:pt idx="84">
                  <c:v>299913</c:v>
                </c:pt>
                <c:pt idx="85">
                  <c:v>300090</c:v>
                </c:pt>
                <c:pt idx="86">
                  <c:v>299786</c:v>
                </c:pt>
                <c:pt idx="87">
                  <c:v>299873</c:v>
                </c:pt>
                <c:pt idx="88">
                  <c:v>299774</c:v>
                </c:pt>
                <c:pt idx="89">
                  <c:v>300420</c:v>
                </c:pt>
                <c:pt idx="90">
                  <c:v>299813</c:v>
                </c:pt>
                <c:pt idx="91">
                  <c:v>299920</c:v>
                </c:pt>
                <c:pt idx="92">
                  <c:v>299771</c:v>
                </c:pt>
                <c:pt idx="93">
                  <c:v>299771</c:v>
                </c:pt>
                <c:pt idx="94">
                  <c:v>299776</c:v>
                </c:pt>
                <c:pt idx="95" formatCode="#,##0.00">
                  <c:v>299798</c:v>
                </c:pt>
                <c:pt idx="96" formatCode="#,##0.00">
                  <c:v>299792</c:v>
                </c:pt>
                <c:pt idx="97" formatCode="#,##0.00">
                  <c:v>299792.40000000002</c:v>
                </c:pt>
                <c:pt idx="98" formatCode="#,##0.00">
                  <c:v>299796</c:v>
                </c:pt>
                <c:pt idx="99" formatCode="#,##0.00">
                  <c:v>299792.5</c:v>
                </c:pt>
                <c:pt idx="100" formatCode="#,##0.00">
                  <c:v>299794.3</c:v>
                </c:pt>
                <c:pt idx="101" formatCode="#,##0.00">
                  <c:v>299793.09999999998</c:v>
                </c:pt>
                <c:pt idx="102" formatCode="#,##0.00">
                  <c:v>299793.09999999998</c:v>
                </c:pt>
                <c:pt idx="103" formatCode="#,##0.00">
                  <c:v>299794.2</c:v>
                </c:pt>
                <c:pt idx="104" formatCode="#,##0.00">
                  <c:v>299792.59999999998</c:v>
                </c:pt>
                <c:pt idx="105" formatCode="#,##0.00">
                  <c:v>299792.84999999986</c:v>
                </c:pt>
                <c:pt idx="106" formatCode="#,##0.00">
                  <c:v>299792.75</c:v>
                </c:pt>
                <c:pt idx="107" formatCode="#,##0.00">
                  <c:v>299795.09999999998</c:v>
                </c:pt>
                <c:pt idx="108" formatCode="#,##0.00">
                  <c:v>299792.40000000002</c:v>
                </c:pt>
                <c:pt idx="109" formatCode="#,##0.00">
                  <c:v>299792</c:v>
                </c:pt>
                <c:pt idx="110" formatCode="#,##0.00">
                  <c:v>299792.90000000002</c:v>
                </c:pt>
                <c:pt idx="111" formatCode="#,##0.00">
                  <c:v>299792.7</c:v>
                </c:pt>
                <c:pt idx="112" formatCode="#,##0.00">
                  <c:v>299791.90000000002</c:v>
                </c:pt>
                <c:pt idx="113" formatCode="#,##0.00">
                  <c:v>299792.40000000002</c:v>
                </c:pt>
                <c:pt idx="114" formatCode="#,##0.00">
                  <c:v>299792.2</c:v>
                </c:pt>
                <c:pt idx="115" formatCode="#,##0.00">
                  <c:v>299792.59999999998</c:v>
                </c:pt>
                <c:pt idx="116" formatCode="#,##0.00">
                  <c:v>299792.5</c:v>
                </c:pt>
                <c:pt idx="117" formatCode="#,##0.00">
                  <c:v>299792.59999999998</c:v>
                </c:pt>
                <c:pt idx="118" formatCode="#,##0.00">
                  <c:v>299792.44</c:v>
                </c:pt>
                <c:pt idx="119" formatCode="#,##0.00">
                  <c:v>299792.56</c:v>
                </c:pt>
                <c:pt idx="120" formatCode="#,##0.00">
                  <c:v>299792.5</c:v>
                </c:pt>
                <c:pt idx="121" formatCode="#,##0.00">
                  <c:v>299792.46000000002</c:v>
                </c:pt>
                <c:pt idx="122" formatCode="#,##0.00">
                  <c:v>299792.46000000002</c:v>
                </c:pt>
                <c:pt idx="123" formatCode="#,##0.00">
                  <c:v>299792.45</c:v>
                </c:pt>
                <c:pt idx="124" formatCode="#,##0.00">
                  <c:v>299792.45</c:v>
                </c:pt>
                <c:pt idx="125" formatCode="#,##0.00">
                  <c:v>299792.45</c:v>
                </c:pt>
                <c:pt idx="126" formatCode="#,##0.00">
                  <c:v>299792.45</c:v>
                </c:pt>
                <c:pt idx="127" formatCode="#,##0.00">
                  <c:v>299792.45</c:v>
                </c:pt>
                <c:pt idx="128" formatCode="#,##0.00">
                  <c:v>299792.45</c:v>
                </c:pt>
              </c:numCache>
            </c:numRef>
          </c:yVal>
        </c:ser>
        <c:axId val="226693504"/>
        <c:axId val="226695040"/>
      </c:scatterChart>
      <c:valAx>
        <c:axId val="226693504"/>
        <c:scaling>
          <c:orientation val="minMax"/>
        </c:scaling>
        <c:axPos val="b"/>
        <c:numFmt formatCode="General" sourceLinked="1"/>
        <c:tickLblPos val="nextTo"/>
        <c:crossAx val="226695040"/>
        <c:crosses val="autoZero"/>
        <c:crossBetween val="midCat"/>
        <c:majorUnit val="50"/>
      </c:valAx>
      <c:valAx>
        <c:axId val="226695040"/>
        <c:scaling>
          <c:orientation val="minMax"/>
          <c:max val="305000"/>
          <c:min val="299400"/>
        </c:scaling>
        <c:axPos val="l"/>
        <c:majorGridlines/>
        <c:numFmt formatCode="#,##0" sourceLinked="1"/>
        <c:tickLblPos val="nextTo"/>
        <c:crossAx val="226693504"/>
        <c:crosses val="autoZero"/>
        <c:crossBetween val="midCat"/>
        <c:majorUnit val="500"/>
      </c:valAx>
    </c:plotArea>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
          <c:y val="0"/>
          <c:w val="0.99155551979760825"/>
          <c:h val="1"/>
        </c:manualLayout>
      </c:layout>
      <c:scatterChart>
        <c:scatterStyle val="lineMarker"/>
        <c:ser>
          <c:idx val="0"/>
          <c:order val="0"/>
          <c:tx>
            <c:strRef>
              <c:f>Sheet1!$B$1</c:f>
              <c:strCache>
                <c:ptCount val="1"/>
                <c:pt idx="0">
                  <c:v>CLOCK RATE</c:v>
                </c:pt>
              </c:strCache>
            </c:strRef>
          </c:tx>
          <c:spPr>
            <a:ln w="28541">
              <a:noFill/>
            </a:ln>
          </c:spPr>
          <c:marker>
            <c:symbol val="diamond"/>
            <c:size val="2"/>
            <c:spPr>
              <a:solidFill>
                <a:srgbClr val="000080"/>
              </a:solidFill>
              <a:ln>
                <a:solidFill>
                  <a:srgbClr val="000080"/>
                </a:solidFill>
                <a:prstDash val="solid"/>
              </a:ln>
            </c:spPr>
          </c:marker>
          <c:trendline>
            <c:trendlineType val="poly"/>
            <c:order val="2"/>
          </c:trendline>
          <c:xVal>
            <c:numRef>
              <c:f>Sheet1!$A$2:$A$92</c:f>
              <c:numCache>
                <c:formatCode>General</c:formatCode>
                <c:ptCount val="91"/>
                <c:pt idx="0">
                  <c:v>1910</c:v>
                </c:pt>
                <c:pt idx="1">
                  <c:v>1911</c:v>
                </c:pt>
                <c:pt idx="2">
                  <c:v>1912</c:v>
                </c:pt>
                <c:pt idx="3">
                  <c:v>1913</c:v>
                </c:pt>
                <c:pt idx="4">
                  <c:v>1914</c:v>
                </c:pt>
                <c:pt idx="5">
                  <c:v>1915</c:v>
                </c:pt>
                <c:pt idx="6">
                  <c:v>1916</c:v>
                </c:pt>
                <c:pt idx="7">
                  <c:v>1917</c:v>
                </c:pt>
                <c:pt idx="8">
                  <c:v>1918</c:v>
                </c:pt>
                <c:pt idx="9">
                  <c:v>1919</c:v>
                </c:pt>
                <c:pt idx="10">
                  <c:v>1920</c:v>
                </c:pt>
                <c:pt idx="11">
                  <c:v>1921</c:v>
                </c:pt>
                <c:pt idx="12">
                  <c:v>1922</c:v>
                </c:pt>
                <c:pt idx="13">
                  <c:v>1923</c:v>
                </c:pt>
                <c:pt idx="14">
                  <c:v>1924</c:v>
                </c:pt>
                <c:pt idx="15">
                  <c:v>1925</c:v>
                </c:pt>
                <c:pt idx="16">
                  <c:v>1926</c:v>
                </c:pt>
                <c:pt idx="17">
                  <c:v>1927</c:v>
                </c:pt>
                <c:pt idx="18">
                  <c:v>1928</c:v>
                </c:pt>
                <c:pt idx="19">
                  <c:v>1929</c:v>
                </c:pt>
                <c:pt idx="20">
                  <c:v>1930</c:v>
                </c:pt>
                <c:pt idx="21">
                  <c:v>1931</c:v>
                </c:pt>
                <c:pt idx="22">
                  <c:v>1932</c:v>
                </c:pt>
                <c:pt idx="23">
                  <c:v>1933</c:v>
                </c:pt>
                <c:pt idx="24">
                  <c:v>1934</c:v>
                </c:pt>
                <c:pt idx="25">
                  <c:v>1935</c:v>
                </c:pt>
                <c:pt idx="26">
                  <c:v>1936</c:v>
                </c:pt>
                <c:pt idx="27">
                  <c:v>1937</c:v>
                </c:pt>
                <c:pt idx="28">
                  <c:v>1938</c:v>
                </c:pt>
                <c:pt idx="29">
                  <c:v>1939</c:v>
                </c:pt>
                <c:pt idx="30">
                  <c:v>1940</c:v>
                </c:pt>
                <c:pt idx="31">
                  <c:v>1941</c:v>
                </c:pt>
                <c:pt idx="32">
                  <c:v>1942</c:v>
                </c:pt>
                <c:pt idx="33">
                  <c:v>1943</c:v>
                </c:pt>
                <c:pt idx="34">
                  <c:v>1944</c:v>
                </c:pt>
                <c:pt idx="35">
                  <c:v>1945</c:v>
                </c:pt>
                <c:pt idx="36">
                  <c:v>1946</c:v>
                </c:pt>
                <c:pt idx="37">
                  <c:v>1947</c:v>
                </c:pt>
                <c:pt idx="38">
                  <c:v>1948</c:v>
                </c:pt>
                <c:pt idx="39">
                  <c:v>1949</c:v>
                </c:pt>
                <c:pt idx="40">
                  <c:v>1950</c:v>
                </c:pt>
                <c:pt idx="41">
                  <c:v>1951</c:v>
                </c:pt>
                <c:pt idx="42">
                  <c:v>1952</c:v>
                </c:pt>
                <c:pt idx="43">
                  <c:v>1953</c:v>
                </c:pt>
                <c:pt idx="44">
                  <c:v>1954</c:v>
                </c:pt>
                <c:pt idx="45">
                  <c:v>1955</c:v>
                </c:pt>
                <c:pt idx="46">
                  <c:v>1956</c:v>
                </c:pt>
                <c:pt idx="47">
                  <c:v>1957</c:v>
                </c:pt>
                <c:pt idx="48">
                  <c:v>1958</c:v>
                </c:pt>
                <c:pt idx="49">
                  <c:v>1959</c:v>
                </c:pt>
                <c:pt idx="50">
                  <c:v>1960</c:v>
                </c:pt>
                <c:pt idx="51">
                  <c:v>1961</c:v>
                </c:pt>
                <c:pt idx="52">
                  <c:v>1962</c:v>
                </c:pt>
                <c:pt idx="53">
                  <c:v>1963</c:v>
                </c:pt>
                <c:pt idx="54">
                  <c:v>1964</c:v>
                </c:pt>
                <c:pt idx="55">
                  <c:v>1965</c:v>
                </c:pt>
                <c:pt idx="56">
                  <c:v>1966</c:v>
                </c:pt>
                <c:pt idx="57">
                  <c:v>1967</c:v>
                </c:pt>
                <c:pt idx="58">
                  <c:v>1968</c:v>
                </c:pt>
                <c:pt idx="59">
                  <c:v>1969</c:v>
                </c:pt>
                <c:pt idx="60">
                  <c:v>1970</c:v>
                </c:pt>
                <c:pt idx="61">
                  <c:v>1971</c:v>
                </c:pt>
                <c:pt idx="62">
                  <c:v>1972</c:v>
                </c:pt>
                <c:pt idx="63">
                  <c:v>1973</c:v>
                </c:pt>
                <c:pt idx="64">
                  <c:v>1974</c:v>
                </c:pt>
                <c:pt idx="65">
                  <c:v>1975</c:v>
                </c:pt>
                <c:pt idx="66">
                  <c:v>1976</c:v>
                </c:pt>
                <c:pt idx="67">
                  <c:v>1977</c:v>
                </c:pt>
                <c:pt idx="68">
                  <c:v>1978</c:v>
                </c:pt>
                <c:pt idx="69">
                  <c:v>1979</c:v>
                </c:pt>
                <c:pt idx="70">
                  <c:v>1980</c:v>
                </c:pt>
                <c:pt idx="71">
                  <c:v>1981</c:v>
                </c:pt>
                <c:pt idx="72">
                  <c:v>1982</c:v>
                </c:pt>
                <c:pt idx="73">
                  <c:v>1983</c:v>
                </c:pt>
                <c:pt idx="74">
                  <c:v>1984</c:v>
                </c:pt>
                <c:pt idx="75">
                  <c:v>1985</c:v>
                </c:pt>
                <c:pt idx="76">
                  <c:v>1986</c:v>
                </c:pt>
                <c:pt idx="77">
                  <c:v>1987</c:v>
                </c:pt>
                <c:pt idx="78">
                  <c:v>1988</c:v>
                </c:pt>
                <c:pt idx="79">
                  <c:v>1989</c:v>
                </c:pt>
                <c:pt idx="80">
                  <c:v>1990</c:v>
                </c:pt>
                <c:pt idx="81">
                  <c:v>1991</c:v>
                </c:pt>
                <c:pt idx="82">
                  <c:v>1992</c:v>
                </c:pt>
                <c:pt idx="83">
                  <c:v>1993</c:v>
                </c:pt>
                <c:pt idx="84">
                  <c:v>1994</c:v>
                </c:pt>
                <c:pt idx="85">
                  <c:v>1995</c:v>
                </c:pt>
                <c:pt idx="86">
                  <c:v>1996</c:v>
                </c:pt>
                <c:pt idx="87">
                  <c:v>1997</c:v>
                </c:pt>
                <c:pt idx="88">
                  <c:v>1998</c:v>
                </c:pt>
                <c:pt idx="89">
                  <c:v>1999</c:v>
                </c:pt>
              </c:numCache>
            </c:numRef>
          </c:xVal>
          <c:yVal>
            <c:numRef>
              <c:f>Sheet1!$B$2:$B$92</c:f>
              <c:numCache>
                <c:formatCode>General</c:formatCode>
                <c:ptCount val="91"/>
                <c:pt idx="0">
                  <c:v>0.44000000000000061</c:v>
                </c:pt>
                <c:pt idx="1">
                  <c:v>0.43000000000000038</c:v>
                </c:pt>
                <c:pt idx="2">
                  <c:v>0.38000000000001088</c:v>
                </c:pt>
                <c:pt idx="3">
                  <c:v>0.43750000000000488</c:v>
                </c:pt>
                <c:pt idx="4">
                  <c:v>0.37500000000000488</c:v>
                </c:pt>
                <c:pt idx="5">
                  <c:v>0.37500000000000488</c:v>
                </c:pt>
                <c:pt idx="6">
                  <c:v>0.37500000000000488</c:v>
                </c:pt>
                <c:pt idx="7">
                  <c:v>0.4</c:v>
                </c:pt>
                <c:pt idx="8">
                  <c:v>0.37500000000000488</c:v>
                </c:pt>
                <c:pt idx="9">
                  <c:v>0.31250000000000488</c:v>
                </c:pt>
                <c:pt idx="10">
                  <c:v>0.28000000000000008</c:v>
                </c:pt>
                <c:pt idx="11">
                  <c:v>0.25</c:v>
                </c:pt>
                <c:pt idx="12">
                  <c:v>0.18250000000000041</c:v>
                </c:pt>
                <c:pt idx="13">
                  <c:v>0.25</c:v>
                </c:pt>
                <c:pt idx="14">
                  <c:v>0.25</c:v>
                </c:pt>
                <c:pt idx="15">
                  <c:v>0.25</c:v>
                </c:pt>
                <c:pt idx="16">
                  <c:v>0.25</c:v>
                </c:pt>
                <c:pt idx="17">
                  <c:v>0.18250000000000041</c:v>
                </c:pt>
                <c:pt idx="18">
                  <c:v>0.125</c:v>
                </c:pt>
                <c:pt idx="19">
                  <c:v>0.125</c:v>
                </c:pt>
                <c:pt idx="20">
                  <c:v>0.125</c:v>
                </c:pt>
                <c:pt idx="21">
                  <c:v>0.12000000000000002</c:v>
                </c:pt>
                <c:pt idx="22">
                  <c:v>0.15000000000000024</c:v>
                </c:pt>
                <c:pt idx="23">
                  <c:v>0.18250000000000041</c:v>
                </c:pt>
                <c:pt idx="24">
                  <c:v>0.25</c:v>
                </c:pt>
                <c:pt idx="25">
                  <c:v>0.30000000000000032</c:v>
                </c:pt>
                <c:pt idx="26">
                  <c:v>0.18250000000000041</c:v>
                </c:pt>
                <c:pt idx="27">
                  <c:v>0.18000000000000024</c:v>
                </c:pt>
                <c:pt idx="28">
                  <c:v>0.13</c:v>
                </c:pt>
                <c:pt idx="29">
                  <c:v>8.0000000000000224E-2</c:v>
                </c:pt>
                <c:pt idx="30">
                  <c:v>0.125</c:v>
                </c:pt>
                <c:pt idx="31">
                  <c:v>9.0000000000000066E-2</c:v>
                </c:pt>
                <c:pt idx="32">
                  <c:v>0.18250000000000041</c:v>
                </c:pt>
                <c:pt idx="33">
                  <c:v>0.25</c:v>
                </c:pt>
                <c:pt idx="34">
                  <c:v>0.23</c:v>
                </c:pt>
                <c:pt idx="35">
                  <c:v>0.25</c:v>
                </c:pt>
                <c:pt idx="36">
                  <c:v>0.18250000000000041</c:v>
                </c:pt>
                <c:pt idx="37">
                  <c:v>1.0000000000000041E-3</c:v>
                </c:pt>
                <c:pt idx="38">
                  <c:v>-6.2500000000000139E-2</c:v>
                </c:pt>
                <c:pt idx="39">
                  <c:v>-6.2500000000000139E-2</c:v>
                </c:pt>
                <c:pt idx="40">
                  <c:v>-3.1000000000000211E-2</c:v>
                </c:pt>
                <c:pt idx="41">
                  <c:v>3.1000000000000211E-2</c:v>
                </c:pt>
                <c:pt idx="42">
                  <c:v>6.2500000000000139E-2</c:v>
                </c:pt>
                <c:pt idx="43">
                  <c:v>-3.0000000000000211E-2</c:v>
                </c:pt>
                <c:pt idx="44">
                  <c:v>-6.2500000000000139E-2</c:v>
                </c:pt>
                <c:pt idx="45">
                  <c:v>-6.2500000000000139E-2</c:v>
                </c:pt>
                <c:pt idx="46">
                  <c:v>-9.0000000000000066E-2</c:v>
                </c:pt>
                <c:pt idx="47">
                  <c:v>-0.15000000000000024</c:v>
                </c:pt>
                <c:pt idx="48">
                  <c:v>-0.18250000000000041</c:v>
                </c:pt>
                <c:pt idx="49">
                  <c:v>-0.18250000000000041</c:v>
                </c:pt>
                <c:pt idx="50">
                  <c:v>-0.2</c:v>
                </c:pt>
                <c:pt idx="51">
                  <c:v>-0.2</c:v>
                </c:pt>
                <c:pt idx="52">
                  <c:v>-0.2</c:v>
                </c:pt>
                <c:pt idx="53">
                  <c:v>-0.15000000000000024</c:v>
                </c:pt>
                <c:pt idx="54">
                  <c:v>-0.125</c:v>
                </c:pt>
                <c:pt idx="55">
                  <c:v>-0.125</c:v>
                </c:pt>
                <c:pt idx="56">
                  <c:v>-9.0000000000000066E-2</c:v>
                </c:pt>
                <c:pt idx="57">
                  <c:v>-9.0000000000000066E-2</c:v>
                </c:pt>
                <c:pt idx="58">
                  <c:v>-6.0000000000000192E-2</c:v>
                </c:pt>
                <c:pt idx="59">
                  <c:v>-3.0000000000000211E-2</c:v>
                </c:pt>
                <c:pt idx="60">
                  <c:v>-6.2500000000000139E-2</c:v>
                </c:pt>
                <c:pt idx="61">
                  <c:v>-9.0000000000000066E-2</c:v>
                </c:pt>
                <c:pt idx="62">
                  <c:v>-6.2500000000000139E-2</c:v>
                </c:pt>
                <c:pt idx="63">
                  <c:v>-0.125</c:v>
                </c:pt>
                <c:pt idx="64">
                  <c:v>-1.0000000000000061E-2</c:v>
                </c:pt>
                <c:pt idx="65">
                  <c:v>-6.0000000000000192E-2</c:v>
                </c:pt>
                <c:pt idx="66">
                  <c:v>-6.2500000000000139E-2</c:v>
                </c:pt>
                <c:pt idx="67">
                  <c:v>1.0000000000000061E-2</c:v>
                </c:pt>
                <c:pt idx="68">
                  <c:v>0</c:v>
                </c:pt>
                <c:pt idx="69">
                  <c:v>-3.0000000000000211E-2</c:v>
                </c:pt>
                <c:pt idx="70">
                  <c:v>-6.2500000000000139E-2</c:v>
                </c:pt>
                <c:pt idx="71">
                  <c:v>-0.125</c:v>
                </c:pt>
                <c:pt idx="72">
                  <c:v>-0.15000000000000024</c:v>
                </c:pt>
                <c:pt idx="73">
                  <c:v>-0.15000000000000024</c:v>
                </c:pt>
                <c:pt idx="74">
                  <c:v>-0.15000000000000024</c:v>
                </c:pt>
                <c:pt idx="75">
                  <c:v>3.0000000000000211E-2</c:v>
                </c:pt>
                <c:pt idx="76">
                  <c:v>3.0000000000000211E-2</c:v>
                </c:pt>
                <c:pt idx="77">
                  <c:v>0</c:v>
                </c:pt>
                <c:pt idx="78">
                  <c:v>0</c:v>
                </c:pt>
                <c:pt idx="79">
                  <c:v>-3.0000000000000211E-2</c:v>
                </c:pt>
                <c:pt idx="80">
                  <c:v>-6.2500000000000139E-2</c:v>
                </c:pt>
                <c:pt idx="81">
                  <c:v>-3.0000000000000211E-2</c:v>
                </c:pt>
                <c:pt idx="82">
                  <c:v>-3.0000000000000211E-2</c:v>
                </c:pt>
                <c:pt idx="83">
                  <c:v>0</c:v>
                </c:pt>
                <c:pt idx="84">
                  <c:v>3.0000000000000211E-2</c:v>
                </c:pt>
                <c:pt idx="85">
                  <c:v>6.2500000000000139E-2</c:v>
                </c:pt>
                <c:pt idx="86">
                  <c:v>0</c:v>
                </c:pt>
                <c:pt idx="87">
                  <c:v>-9.0000000000000066E-2</c:v>
                </c:pt>
                <c:pt idx="88">
                  <c:v>-9.0000000000000066E-2</c:v>
                </c:pt>
                <c:pt idx="89">
                  <c:v>6.2500000000000139E-2</c:v>
                </c:pt>
              </c:numCache>
            </c:numRef>
          </c:yVal>
        </c:ser>
        <c:axId val="240991616"/>
        <c:axId val="241001984"/>
      </c:scatterChart>
      <c:valAx>
        <c:axId val="240991616"/>
        <c:scaling>
          <c:orientation val="minMax"/>
        </c:scaling>
        <c:delete val="1"/>
        <c:axPos val="b"/>
        <c:majorGridlines/>
        <c:numFmt formatCode="General" sourceLinked="1"/>
        <c:tickLblPos val="none"/>
        <c:crossAx val="241001984"/>
        <c:crosses val="autoZero"/>
        <c:crossBetween val="midCat"/>
        <c:dispUnits>
          <c:builtInUnit val="thousands"/>
          <c:dispUnitsLbl/>
        </c:dispUnits>
      </c:valAx>
      <c:valAx>
        <c:axId val="241001984"/>
        <c:scaling>
          <c:orientation val="minMax"/>
        </c:scaling>
        <c:delete val="1"/>
        <c:axPos val="l"/>
        <c:majorGridlines/>
        <c:numFmt formatCode="General" sourceLinked="1"/>
        <c:tickLblPos val="none"/>
        <c:crossAx val="240991616"/>
        <c:crosses val="autoZero"/>
        <c:crossBetween val="midCat"/>
      </c:valAx>
      <c:spPr>
        <a:noFill/>
        <a:ln w="25369">
          <a:noFill/>
        </a:ln>
      </c:spPr>
    </c:plotArea>
    <c:plotVisOnly val="1"/>
    <c:dispBlanksAs val="gap"/>
  </c:chart>
  <c:spPr>
    <a:solidFill>
      <a:sysClr val="window" lastClr="FFFFFF"/>
    </a:solidFill>
    <a:ln w="25369" cap="flat" cmpd="sng" algn="ctr">
      <a:solidFill>
        <a:sysClr val="windowText" lastClr="000000"/>
      </a:solidFill>
      <a:prstDash val="solid"/>
    </a:ln>
    <a:effectLst/>
  </c:spPr>
  <c:txPr>
    <a:bodyPr/>
    <a:lstStyle/>
    <a:p>
      <a:pPr>
        <a:defRPr>
          <a:solidFill>
            <a:sysClr val="windowText" lastClr="000000"/>
          </a:solidFill>
          <a:latin typeface="+mn-lt"/>
          <a:ea typeface="+mn-ea"/>
          <a:cs typeface="+mn-cs"/>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246493529377518"/>
          <c:y val="4.1827981454745033E-2"/>
          <c:w val="0.8290363443854909"/>
          <c:h val="0.88269138180781548"/>
        </c:manualLayout>
      </c:layout>
      <c:scatterChart>
        <c:scatterStyle val="smoothMarker"/>
        <c:ser>
          <c:idx val="0"/>
          <c:order val="0"/>
          <c:tx>
            <c:strRef>
              <c:f>Sheet1!$B$1</c:f>
              <c:strCache>
                <c:ptCount val="1"/>
                <c:pt idx="0">
                  <c:v>Y-values (A)</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Sheet1!$B$2:$B$27</c:f>
              <c:numCache>
                <c:formatCode>General</c:formatCode>
                <c:ptCount val="26"/>
                <c:pt idx="0">
                  <c:v>1</c:v>
                </c:pt>
                <c:pt idx="1">
                  <c:v>1.0509999999999518</c:v>
                </c:pt>
                <c:pt idx="2">
                  <c:v>1.105</c:v>
                </c:pt>
                <c:pt idx="3">
                  <c:v>1.163</c:v>
                </c:pt>
                <c:pt idx="4">
                  <c:v>1.224</c:v>
                </c:pt>
                <c:pt idx="5">
                  <c:v>1.2909999999999502</c:v>
                </c:pt>
                <c:pt idx="6">
                  <c:v>1.3620000000000001</c:v>
                </c:pt>
                <c:pt idx="7">
                  <c:v>1.4409999999999368</c:v>
                </c:pt>
                <c:pt idx="8">
                  <c:v>1.528</c:v>
                </c:pt>
                <c:pt idx="9">
                  <c:v>1.623</c:v>
                </c:pt>
                <c:pt idx="10">
                  <c:v>1.7300000000000011</c:v>
                </c:pt>
                <c:pt idx="11">
                  <c:v>1.855</c:v>
                </c:pt>
                <c:pt idx="12">
                  <c:v>2</c:v>
                </c:pt>
                <c:pt idx="13">
                  <c:v>2.1709999999999998</c:v>
                </c:pt>
                <c:pt idx="14">
                  <c:v>2.38</c:v>
                </c:pt>
                <c:pt idx="15">
                  <c:v>2.645</c:v>
                </c:pt>
                <c:pt idx="16">
                  <c:v>3</c:v>
                </c:pt>
                <c:pt idx="17">
                  <c:v>3.2290000000000001</c:v>
                </c:pt>
                <c:pt idx="18">
                  <c:v>3.51</c:v>
                </c:pt>
                <c:pt idx="19">
                  <c:v>3.8729999999999967</c:v>
                </c:pt>
                <c:pt idx="20">
                  <c:v>4.3599999999999985</c:v>
                </c:pt>
                <c:pt idx="21">
                  <c:v>5.0659999999999945</c:v>
                </c:pt>
                <c:pt idx="22">
                  <c:v>6.25</c:v>
                </c:pt>
                <c:pt idx="23">
                  <c:v>7.234</c:v>
                </c:pt>
                <c:pt idx="24">
                  <c:v>8.8880000000000035</c:v>
                </c:pt>
                <c:pt idx="25">
                  <c:v>10.279</c:v>
                </c:pt>
              </c:numCache>
            </c:numRef>
          </c:yVal>
          <c:smooth val="1"/>
        </c:ser>
        <c:ser>
          <c:idx val="1"/>
          <c:order val="1"/>
          <c:tx>
            <c:strRef>
              <c:f>Sheet1!$C$1</c:f>
              <c:strCache>
                <c:ptCount val="1"/>
                <c:pt idx="0">
                  <c:v>Y-values (B)</c:v>
                </c:pt>
              </c:strCache>
            </c:strRef>
          </c:tx>
          <c:marker>
            <c:symbol val="none"/>
          </c:marker>
          <c:xVal>
            <c:numRef>
              <c:f>Sheet1!$A$2:$A$27</c:f>
              <c:numCache>
                <c:formatCode>General</c:formatCode>
                <c:ptCount val="26"/>
                <c:pt idx="0">
                  <c:v>0</c:v>
                </c:pt>
                <c:pt idx="1">
                  <c:v>5.00000000000001E-2</c:v>
                </c:pt>
                <c:pt idx="2">
                  <c:v>0.1</c:v>
                </c:pt>
                <c:pt idx="3">
                  <c:v>0.15000000000000024</c:v>
                </c:pt>
                <c:pt idx="4">
                  <c:v>0.2</c:v>
                </c:pt>
                <c:pt idx="5">
                  <c:v>0.25</c:v>
                </c:pt>
                <c:pt idx="6">
                  <c:v>0.30000000000000032</c:v>
                </c:pt>
                <c:pt idx="7">
                  <c:v>0.35000000000000031</c:v>
                </c:pt>
                <c:pt idx="8">
                  <c:v>0.4</c:v>
                </c:pt>
                <c:pt idx="9">
                  <c:v>0.45</c:v>
                </c:pt>
                <c:pt idx="10">
                  <c:v>0.5</c:v>
                </c:pt>
                <c:pt idx="11">
                  <c:v>0.55000000000000004</c:v>
                </c:pt>
                <c:pt idx="12">
                  <c:v>0.60000000000000064</c:v>
                </c:pt>
                <c:pt idx="13">
                  <c:v>0.650000000000028</c:v>
                </c:pt>
                <c:pt idx="14">
                  <c:v>0.70000000000000062</c:v>
                </c:pt>
                <c:pt idx="15">
                  <c:v>0.75000000000001465</c:v>
                </c:pt>
                <c:pt idx="16">
                  <c:v>0.8</c:v>
                </c:pt>
                <c:pt idx="17">
                  <c:v>0.82500000000000062</c:v>
                </c:pt>
                <c:pt idx="18">
                  <c:v>0.85000000000000064</c:v>
                </c:pt>
                <c:pt idx="19">
                  <c:v>0.87500000000001465</c:v>
                </c:pt>
                <c:pt idx="20">
                  <c:v>0.9</c:v>
                </c:pt>
                <c:pt idx="21">
                  <c:v>0.92500000000000004</c:v>
                </c:pt>
                <c:pt idx="22">
                  <c:v>0.95000000000000062</c:v>
                </c:pt>
                <c:pt idx="23">
                  <c:v>0.96250000000000002</c:v>
                </c:pt>
                <c:pt idx="24">
                  <c:v>0.97500000000000064</c:v>
                </c:pt>
                <c:pt idx="25">
                  <c:v>0.98124999999999996</c:v>
                </c:pt>
              </c:numCache>
            </c:numRef>
          </c:xVal>
          <c:yVal>
            <c:numRef>
              <c:f>Sheet1!$C$2:$C$27</c:f>
              <c:numCache>
                <c:formatCode>General</c:formatCode>
                <c:ptCount val="26"/>
                <c:pt idx="0">
                  <c:v>1</c:v>
                </c:pt>
                <c:pt idx="1">
                  <c:v>1.026</c:v>
                </c:pt>
                <c:pt idx="2">
                  <c:v>1.0580000000000001</c:v>
                </c:pt>
                <c:pt idx="3">
                  <c:v>1.0949</c:v>
                </c:pt>
                <c:pt idx="4">
                  <c:v>1.1377999999999497</c:v>
                </c:pt>
                <c:pt idx="5">
                  <c:v>1.1884999999999999</c:v>
                </c:pt>
                <c:pt idx="6">
                  <c:v>1.2486999999999495</c:v>
                </c:pt>
                <c:pt idx="7">
                  <c:v>1.3210999999999598</c:v>
                </c:pt>
                <c:pt idx="8">
                  <c:v>1.4091999999999256</c:v>
                </c:pt>
                <c:pt idx="9">
                  <c:v>1.5178999999999307</c:v>
                </c:pt>
                <c:pt idx="10">
                  <c:v>1.6547000000000001</c:v>
                </c:pt>
                <c:pt idx="11">
                  <c:v>1.8304</c:v>
                </c:pt>
                <c:pt idx="12">
                  <c:v>2.0625</c:v>
                </c:pt>
                <c:pt idx="13">
                  <c:v>2.3797999999999977</c:v>
                </c:pt>
                <c:pt idx="14">
                  <c:v>2.8337999999999997</c:v>
                </c:pt>
                <c:pt idx="15">
                  <c:v>3.5236999999999998</c:v>
                </c:pt>
                <c:pt idx="16">
                  <c:v>4.6666999999999996</c:v>
                </c:pt>
                <c:pt idx="17">
                  <c:v>5.5556999999999999</c:v>
                </c:pt>
                <c:pt idx="18">
                  <c:v>6.8276999999999965</c:v>
                </c:pt>
                <c:pt idx="19">
                  <c:v>8.7623000000000015</c:v>
                </c:pt>
                <c:pt idx="20">
                  <c:v>11.97</c:v>
                </c:pt>
              </c:numCache>
            </c:numRef>
          </c:yVal>
          <c:smooth val="1"/>
        </c:ser>
        <c:axId val="241026176"/>
        <c:axId val="241027712"/>
      </c:scatterChart>
      <c:valAx>
        <c:axId val="241026176"/>
        <c:scaling>
          <c:orientation val="minMax"/>
        </c:scaling>
        <c:axPos val="b"/>
        <c:numFmt formatCode="General" sourceLinked="1"/>
        <c:tickLblPos val="nextTo"/>
        <c:txPr>
          <a:bodyPr rot="0" vert="horz"/>
          <a:lstStyle/>
          <a:p>
            <a:pPr>
              <a:defRPr sz="999" b="0" i="0" u="none" strike="noStrike" baseline="0">
                <a:solidFill>
                  <a:srgbClr val="000000"/>
                </a:solidFill>
                <a:latin typeface="Calibri"/>
                <a:ea typeface="Calibri"/>
                <a:cs typeface="Calibri"/>
              </a:defRPr>
            </a:pPr>
            <a:endParaRPr lang="en-US"/>
          </a:p>
        </c:txPr>
        <c:crossAx val="241027712"/>
        <c:crosses val="autoZero"/>
        <c:crossBetween val="midCat"/>
      </c:valAx>
      <c:valAx>
        <c:axId val="241027712"/>
        <c:scaling>
          <c:orientation val="minMax"/>
        </c:scaling>
        <c:axPos val="l"/>
        <c:majorGridlines/>
        <c:numFmt formatCode="General" sourceLinked="1"/>
        <c:tickLblPos val="nextTo"/>
        <c:crossAx val="241026176"/>
        <c:crosses val="autoZero"/>
        <c:crossBetween val="midCat"/>
      </c:valAx>
      <c:spPr>
        <a:noFill/>
        <a:ln w="25380">
          <a:noFill/>
        </a:ln>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9260741413985988"/>
          <c:y val="6.4978059847170103E-2"/>
          <c:w val="0.72377864042230866"/>
          <c:h val="0.70647015613870701"/>
        </c:manualLayout>
      </c:layout>
      <c:scatterChart>
        <c:scatterStyle val="lineMarker"/>
        <c:ser>
          <c:idx val="0"/>
          <c:order val="0"/>
          <c:tx>
            <c:strRef>
              <c:f>'Sheet1'!$B$1</c:f>
              <c:strCache>
                <c:ptCount val="1"/>
                <c:pt idx="0">
                  <c:v>km/sec</c:v>
                </c:pt>
              </c:strCache>
            </c:strRef>
          </c:tx>
          <c:spPr>
            <a:ln w="28575">
              <a:noFill/>
            </a:ln>
          </c:spPr>
          <c:trendline>
            <c:trendlineType val="poly"/>
            <c:order val="2"/>
          </c:trendline>
          <c:xVal>
            <c:numRef>
              <c:f>'Sheet1'!$A$2:$A$12</c:f>
              <c:numCache>
                <c:formatCode>General</c:formatCode>
                <c:ptCount val="11"/>
                <c:pt idx="0">
                  <c:v>1673</c:v>
                </c:pt>
                <c:pt idx="1">
                  <c:v>1706</c:v>
                </c:pt>
                <c:pt idx="2">
                  <c:v>1738</c:v>
                </c:pt>
                <c:pt idx="3">
                  <c:v>1759</c:v>
                </c:pt>
                <c:pt idx="4">
                  <c:v>1770</c:v>
                </c:pt>
                <c:pt idx="5">
                  <c:v>1771</c:v>
                </c:pt>
                <c:pt idx="6">
                  <c:v>1778</c:v>
                </c:pt>
                <c:pt idx="7">
                  <c:v>1785</c:v>
                </c:pt>
                <c:pt idx="8">
                  <c:v>1861</c:v>
                </c:pt>
                <c:pt idx="9">
                  <c:v>1877</c:v>
                </c:pt>
                <c:pt idx="10">
                  <c:v>1877</c:v>
                </c:pt>
              </c:numCache>
            </c:numRef>
          </c:xVal>
          <c:yVal>
            <c:numRef>
              <c:f>'Sheet1'!$B$2:$B$12</c:f>
              <c:numCache>
                <c:formatCode>#,##0</c:formatCode>
                <c:ptCount val="11"/>
                <c:pt idx="0">
                  <c:v>317700</c:v>
                </c:pt>
                <c:pt idx="1">
                  <c:v>311660</c:v>
                </c:pt>
                <c:pt idx="2">
                  <c:v>303320</c:v>
                </c:pt>
                <c:pt idx="3">
                  <c:v>303440</c:v>
                </c:pt>
                <c:pt idx="4">
                  <c:v>304060</c:v>
                </c:pt>
                <c:pt idx="5">
                  <c:v>302220</c:v>
                </c:pt>
                <c:pt idx="6">
                  <c:v>306870</c:v>
                </c:pt>
                <c:pt idx="7">
                  <c:v>307810</c:v>
                </c:pt>
                <c:pt idx="8">
                  <c:v>300050</c:v>
                </c:pt>
                <c:pt idx="9">
                  <c:v>300011</c:v>
                </c:pt>
                <c:pt idx="10">
                  <c:v>299921</c:v>
                </c:pt>
              </c:numCache>
            </c:numRef>
          </c:yVal>
        </c:ser>
        <c:axId val="151562112"/>
        <c:axId val="151563648"/>
      </c:scatterChart>
      <c:valAx>
        <c:axId val="151562112"/>
        <c:scaling>
          <c:orientation val="minMax"/>
        </c:scaling>
        <c:axPos val="b"/>
        <c:numFmt formatCode="General" sourceLinked="1"/>
        <c:tickLblPos val="nextTo"/>
        <c:crossAx val="151563648"/>
        <c:crosses val="autoZero"/>
        <c:crossBetween val="midCat"/>
      </c:valAx>
      <c:valAx>
        <c:axId val="151563648"/>
        <c:scaling>
          <c:orientation val="minMax"/>
        </c:scaling>
        <c:axPos val="l"/>
        <c:majorGridlines/>
        <c:numFmt formatCode="#,##0" sourceLinked="1"/>
        <c:tickLblPos val="nextTo"/>
        <c:crossAx val="151562112"/>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power"/>
          </c:trendline>
          <c:xVal>
            <c:numRef>
              <c:f>'Sheet1'!$A$2:$A$10</c:f>
              <c:numCache>
                <c:formatCode>General</c:formatCode>
                <c:ptCount val="9"/>
                <c:pt idx="0">
                  <c:v>1673</c:v>
                </c:pt>
                <c:pt idx="1">
                  <c:v>1706</c:v>
                </c:pt>
                <c:pt idx="2">
                  <c:v>1738</c:v>
                </c:pt>
                <c:pt idx="3">
                  <c:v>1759</c:v>
                </c:pt>
                <c:pt idx="4">
                  <c:v>1770</c:v>
                </c:pt>
                <c:pt idx="5">
                  <c:v>1771</c:v>
                </c:pt>
                <c:pt idx="6">
                  <c:v>1861</c:v>
                </c:pt>
                <c:pt idx="7">
                  <c:v>1877</c:v>
                </c:pt>
                <c:pt idx="8">
                  <c:v>1877</c:v>
                </c:pt>
              </c:numCache>
            </c:numRef>
          </c:xVal>
          <c:yVal>
            <c:numRef>
              <c:f>'Sheet1'!$B$2:$B$10</c:f>
              <c:numCache>
                <c:formatCode>#,##0</c:formatCode>
                <c:ptCount val="9"/>
                <c:pt idx="0">
                  <c:v>17910</c:v>
                </c:pt>
                <c:pt idx="1">
                  <c:v>11870</c:v>
                </c:pt>
                <c:pt idx="2">
                  <c:v>3530</c:v>
                </c:pt>
                <c:pt idx="3">
                  <c:v>3650</c:v>
                </c:pt>
                <c:pt idx="4">
                  <c:v>4270</c:v>
                </c:pt>
                <c:pt idx="5">
                  <c:v>2430</c:v>
                </c:pt>
                <c:pt idx="6" formatCode="General">
                  <c:v>260</c:v>
                </c:pt>
                <c:pt idx="7" formatCode="General">
                  <c:v>219</c:v>
                </c:pt>
                <c:pt idx="8" formatCode="General">
                  <c:v>129</c:v>
                </c:pt>
              </c:numCache>
            </c:numRef>
          </c:yVal>
        </c:ser>
        <c:axId val="151567360"/>
        <c:axId val="184873728"/>
      </c:scatterChart>
      <c:valAx>
        <c:axId val="151567360"/>
        <c:scaling>
          <c:orientation val="minMax"/>
        </c:scaling>
        <c:axPos val="b"/>
        <c:numFmt formatCode="General" sourceLinked="1"/>
        <c:tickLblPos val="nextTo"/>
        <c:crossAx val="184873728"/>
        <c:crosses val="autoZero"/>
        <c:crossBetween val="midCat"/>
      </c:valAx>
      <c:valAx>
        <c:axId val="184873728"/>
        <c:scaling>
          <c:orientation val="minMax"/>
        </c:scaling>
        <c:axPos val="l"/>
        <c:majorGridlines/>
        <c:numFmt formatCode="#,##0" sourceLinked="1"/>
        <c:tickLblPos val="nextTo"/>
        <c:crossAx val="151567360"/>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scatterChart>
        <c:scatterStyle val="lineMarker"/>
        <c:ser>
          <c:idx val="0"/>
          <c:order val="0"/>
          <c:tx>
            <c:strRef>
              <c:f>Sheet1!$B$1</c:f>
              <c:strCache>
                <c:ptCount val="1"/>
                <c:pt idx="0">
                  <c:v>Above 1935 Datum</c:v>
                </c:pt>
              </c:strCache>
            </c:strRef>
          </c:tx>
          <c:spPr>
            <a:ln w="28575">
              <a:noFill/>
            </a:ln>
          </c:spPr>
          <c:trendline>
            <c:trendlineType val="linear"/>
          </c:trendline>
          <c:trendline>
            <c:trendlineType val="linear"/>
          </c:trendline>
          <c:errBars>
            <c:errDir val="y"/>
            <c:errBarType val="both"/>
            <c:errValType val="cust"/>
            <c:plus>
              <c:numLit>
                <c:formatCode>General</c:formatCode>
                <c:ptCount val="1"/>
                <c:pt idx="0">
                  <c:v>1</c:v>
                </c:pt>
              </c:numLit>
            </c:plus>
            <c:minus>
              <c:numLit>
                <c:formatCode>General</c:formatCode>
                <c:ptCount val="1"/>
                <c:pt idx="0">
                  <c:v>1</c:v>
                </c:pt>
              </c:numLit>
            </c:minus>
          </c:errBars>
          <c:errBars>
            <c:errDir val="x"/>
            <c:errBarType val="both"/>
            <c:errValType val="fixedVal"/>
            <c:val val="1"/>
          </c:errBars>
          <c:xVal>
            <c:numRef>
              <c:f>Sheet1!$A$2:$A$24</c:f>
              <c:numCache>
                <c:formatCode>General</c:formatCode>
                <c:ptCount val="23"/>
                <c:pt idx="0">
                  <c:v>1740</c:v>
                </c:pt>
                <c:pt idx="1">
                  <c:v>1783</c:v>
                </c:pt>
                <c:pt idx="2">
                  <c:v>1841</c:v>
                </c:pt>
                <c:pt idx="3">
                  <c:v>1841</c:v>
                </c:pt>
                <c:pt idx="4">
                  <c:v>1841</c:v>
                </c:pt>
                <c:pt idx="5">
                  <c:v>1843</c:v>
                </c:pt>
                <c:pt idx="6">
                  <c:v>1858</c:v>
                </c:pt>
                <c:pt idx="7">
                  <c:v>1870</c:v>
                </c:pt>
                <c:pt idx="8">
                  <c:v>1883</c:v>
                </c:pt>
                <c:pt idx="9">
                  <c:v>1884</c:v>
                </c:pt>
                <c:pt idx="10">
                  <c:v>1896</c:v>
                </c:pt>
                <c:pt idx="11">
                  <c:v>1896</c:v>
                </c:pt>
                <c:pt idx="12">
                  <c:v>1905</c:v>
                </c:pt>
                <c:pt idx="13">
                  <c:v>1907</c:v>
                </c:pt>
                <c:pt idx="14">
                  <c:v>1908</c:v>
                </c:pt>
                <c:pt idx="15">
                  <c:v>1909</c:v>
                </c:pt>
                <c:pt idx="16">
                  <c:v>1910</c:v>
                </c:pt>
                <c:pt idx="17">
                  <c:v>1910</c:v>
                </c:pt>
                <c:pt idx="18">
                  <c:v>1914</c:v>
                </c:pt>
                <c:pt idx="19">
                  <c:v>1916</c:v>
                </c:pt>
                <c:pt idx="20">
                  <c:v>1921</c:v>
                </c:pt>
                <c:pt idx="21">
                  <c:v>1927</c:v>
                </c:pt>
                <c:pt idx="22">
                  <c:v>1935</c:v>
                </c:pt>
              </c:numCache>
            </c:numRef>
          </c:xVal>
          <c:yVal>
            <c:numRef>
              <c:f>Sheet1!$B$2:$B$24</c:f>
              <c:numCache>
                <c:formatCode>General</c:formatCode>
                <c:ptCount val="23"/>
                <c:pt idx="0">
                  <c:v>1080</c:v>
                </c:pt>
                <c:pt idx="1">
                  <c:v>890</c:v>
                </c:pt>
                <c:pt idx="2">
                  <c:v>960</c:v>
                </c:pt>
                <c:pt idx="3">
                  <c:v>700</c:v>
                </c:pt>
                <c:pt idx="4">
                  <c:v>770</c:v>
                </c:pt>
                <c:pt idx="5">
                  <c:v>360</c:v>
                </c:pt>
                <c:pt idx="6">
                  <c:v>230</c:v>
                </c:pt>
                <c:pt idx="7">
                  <c:v>410</c:v>
                </c:pt>
                <c:pt idx="8">
                  <c:v>280</c:v>
                </c:pt>
                <c:pt idx="9">
                  <c:v>270</c:v>
                </c:pt>
                <c:pt idx="10">
                  <c:v>590</c:v>
                </c:pt>
                <c:pt idx="11">
                  <c:v>260</c:v>
                </c:pt>
                <c:pt idx="12">
                  <c:v>140</c:v>
                </c:pt>
                <c:pt idx="13">
                  <c:v>80</c:v>
                </c:pt>
                <c:pt idx="14">
                  <c:v>280</c:v>
                </c:pt>
                <c:pt idx="15">
                  <c:v>-110</c:v>
                </c:pt>
                <c:pt idx="16">
                  <c:v>160</c:v>
                </c:pt>
                <c:pt idx="17">
                  <c:v>40</c:v>
                </c:pt>
                <c:pt idx="18">
                  <c:v>70</c:v>
                </c:pt>
                <c:pt idx="19">
                  <c:v>-50</c:v>
                </c:pt>
                <c:pt idx="20">
                  <c:v>-20</c:v>
                </c:pt>
                <c:pt idx="21">
                  <c:v>100</c:v>
                </c:pt>
                <c:pt idx="22">
                  <c:v>0</c:v>
                </c:pt>
              </c:numCache>
            </c:numRef>
          </c:yVal>
        </c:ser>
        <c:axId val="95427200"/>
        <c:axId val="180863360"/>
      </c:scatterChart>
      <c:valAx>
        <c:axId val="95427200"/>
        <c:scaling>
          <c:orientation val="minMax"/>
        </c:scaling>
        <c:axPos val="b"/>
        <c:numFmt formatCode="General" sourceLinked="1"/>
        <c:tickLblPos val="nextTo"/>
        <c:crossAx val="180863360"/>
        <c:crosses val="autoZero"/>
        <c:crossBetween val="midCat"/>
      </c:valAx>
      <c:valAx>
        <c:axId val="180863360"/>
        <c:scaling>
          <c:orientation val="minMax"/>
        </c:scaling>
        <c:axPos val="l"/>
        <c:majorGridlines/>
        <c:numFmt formatCode="General" sourceLinked="1"/>
        <c:tickLblPos val="nextTo"/>
        <c:crossAx val="95427200"/>
        <c:crosses val="autoZero"/>
        <c:crossBetween val="midCat"/>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307867766529184"/>
          <c:y val="5.5932089093397433E-2"/>
          <c:w val="0.77304243219602076"/>
          <c:h val="0.9133247386898069"/>
        </c:manualLayout>
      </c:layout>
      <c:scatterChart>
        <c:scatterStyle val="lineMarker"/>
        <c:ser>
          <c:idx val="0"/>
          <c:order val="0"/>
          <c:tx>
            <c:strRef>
              <c:f>'Sheet1'!$B$1</c:f>
              <c:strCache>
                <c:ptCount val="1"/>
                <c:pt idx="0">
                  <c:v>Km/s</c:v>
                </c:pt>
              </c:strCache>
            </c:strRef>
          </c:tx>
          <c:spPr>
            <a:ln w="28575">
              <a:noFill/>
            </a:ln>
          </c:spPr>
          <c:trendline>
            <c:trendlineType val="poly"/>
            <c:order val="2"/>
          </c:trendline>
          <c:xVal>
            <c:numRef>
              <c:f>'Sheet1'!$A$2:$A$63</c:f>
              <c:numCache>
                <c:formatCode>General</c:formatCode>
                <c:ptCount val="62"/>
                <c:pt idx="0">
                  <c:v>1726.5</c:v>
                </c:pt>
                <c:pt idx="1">
                  <c:v>1726.5</c:v>
                </c:pt>
                <c:pt idx="2">
                  <c:v>1740</c:v>
                </c:pt>
                <c:pt idx="3">
                  <c:v>1783</c:v>
                </c:pt>
                <c:pt idx="4">
                  <c:v>1841</c:v>
                </c:pt>
                <c:pt idx="5">
                  <c:v>1841</c:v>
                </c:pt>
                <c:pt idx="6">
                  <c:v>1841</c:v>
                </c:pt>
                <c:pt idx="7">
                  <c:v>1843</c:v>
                </c:pt>
                <c:pt idx="8">
                  <c:v>1843</c:v>
                </c:pt>
                <c:pt idx="9">
                  <c:v>1858</c:v>
                </c:pt>
                <c:pt idx="10">
                  <c:v>1864.5</c:v>
                </c:pt>
                <c:pt idx="11">
                  <c:v>1868</c:v>
                </c:pt>
                <c:pt idx="12">
                  <c:v>1870</c:v>
                </c:pt>
                <c:pt idx="13">
                  <c:v>1873</c:v>
                </c:pt>
                <c:pt idx="14">
                  <c:v>1879.5</c:v>
                </c:pt>
                <c:pt idx="15">
                  <c:v>1880.5</c:v>
                </c:pt>
                <c:pt idx="16">
                  <c:v>1883</c:v>
                </c:pt>
                <c:pt idx="17">
                  <c:v>1884</c:v>
                </c:pt>
                <c:pt idx="18">
                  <c:v>1889.5</c:v>
                </c:pt>
                <c:pt idx="19">
                  <c:v>1889.5</c:v>
                </c:pt>
                <c:pt idx="20">
                  <c:v>1891.5</c:v>
                </c:pt>
                <c:pt idx="21">
                  <c:v>1891.5</c:v>
                </c:pt>
                <c:pt idx="22">
                  <c:v>1891.5</c:v>
                </c:pt>
                <c:pt idx="23">
                  <c:v>1891.5</c:v>
                </c:pt>
                <c:pt idx="24">
                  <c:v>1892.5</c:v>
                </c:pt>
                <c:pt idx="25">
                  <c:v>1893</c:v>
                </c:pt>
                <c:pt idx="26">
                  <c:v>1896</c:v>
                </c:pt>
                <c:pt idx="27">
                  <c:v>1896</c:v>
                </c:pt>
                <c:pt idx="28">
                  <c:v>1896</c:v>
                </c:pt>
                <c:pt idx="29">
                  <c:v>1896.5</c:v>
                </c:pt>
                <c:pt idx="30">
                  <c:v>1897</c:v>
                </c:pt>
                <c:pt idx="31">
                  <c:v>1898.5</c:v>
                </c:pt>
                <c:pt idx="32">
                  <c:v>1898.5</c:v>
                </c:pt>
                <c:pt idx="33">
                  <c:v>1900.5</c:v>
                </c:pt>
                <c:pt idx="34">
                  <c:v>1901.5</c:v>
                </c:pt>
                <c:pt idx="35">
                  <c:v>1901.5</c:v>
                </c:pt>
                <c:pt idx="36">
                  <c:v>1903</c:v>
                </c:pt>
                <c:pt idx="37">
                  <c:v>1904.5</c:v>
                </c:pt>
                <c:pt idx="38">
                  <c:v>1905</c:v>
                </c:pt>
                <c:pt idx="39">
                  <c:v>1905</c:v>
                </c:pt>
                <c:pt idx="40">
                  <c:v>1906</c:v>
                </c:pt>
                <c:pt idx="41">
                  <c:v>1906.5</c:v>
                </c:pt>
                <c:pt idx="42">
                  <c:v>1907</c:v>
                </c:pt>
                <c:pt idx="43">
                  <c:v>1907</c:v>
                </c:pt>
                <c:pt idx="44">
                  <c:v>1907.5</c:v>
                </c:pt>
                <c:pt idx="45">
                  <c:v>1907.5</c:v>
                </c:pt>
                <c:pt idx="46">
                  <c:v>1908</c:v>
                </c:pt>
                <c:pt idx="47">
                  <c:v>1908.5</c:v>
                </c:pt>
                <c:pt idx="48">
                  <c:v>1908.5</c:v>
                </c:pt>
                <c:pt idx="49">
                  <c:v>1909</c:v>
                </c:pt>
                <c:pt idx="50">
                  <c:v>1909.5</c:v>
                </c:pt>
                <c:pt idx="51">
                  <c:v>1909.5</c:v>
                </c:pt>
                <c:pt idx="52">
                  <c:v>1910</c:v>
                </c:pt>
                <c:pt idx="53">
                  <c:v>1914</c:v>
                </c:pt>
                <c:pt idx="54">
                  <c:v>1916</c:v>
                </c:pt>
                <c:pt idx="55">
                  <c:v>1922</c:v>
                </c:pt>
                <c:pt idx="56">
                  <c:v>1923.5</c:v>
                </c:pt>
                <c:pt idx="57">
                  <c:v>1926.5</c:v>
                </c:pt>
                <c:pt idx="58">
                  <c:v>1928</c:v>
                </c:pt>
                <c:pt idx="59">
                  <c:v>1930.5</c:v>
                </c:pt>
                <c:pt idx="60">
                  <c:v>1935</c:v>
                </c:pt>
                <c:pt idx="61">
                  <c:v>1935.5</c:v>
                </c:pt>
              </c:numCache>
            </c:numRef>
          </c:xVal>
          <c:yVal>
            <c:numRef>
              <c:f>'Sheet1'!$B$2:$B$63</c:f>
              <c:numCache>
                <c:formatCode>General</c:formatCode>
                <c:ptCount val="62"/>
                <c:pt idx="0">
                  <c:v>1630</c:v>
                </c:pt>
                <c:pt idx="1">
                  <c:v>1840</c:v>
                </c:pt>
                <c:pt idx="2">
                  <c:v>1080</c:v>
                </c:pt>
                <c:pt idx="3">
                  <c:v>890</c:v>
                </c:pt>
                <c:pt idx="4">
                  <c:v>960</c:v>
                </c:pt>
                <c:pt idx="5">
                  <c:v>700</c:v>
                </c:pt>
                <c:pt idx="6">
                  <c:v>770</c:v>
                </c:pt>
                <c:pt idx="7">
                  <c:v>360</c:v>
                </c:pt>
                <c:pt idx="8">
                  <c:v>190</c:v>
                </c:pt>
                <c:pt idx="9">
                  <c:v>230</c:v>
                </c:pt>
                <c:pt idx="10">
                  <c:v>300</c:v>
                </c:pt>
                <c:pt idx="11">
                  <c:v>670</c:v>
                </c:pt>
                <c:pt idx="12">
                  <c:v>410</c:v>
                </c:pt>
                <c:pt idx="13">
                  <c:v>10</c:v>
                </c:pt>
                <c:pt idx="14">
                  <c:v>-130</c:v>
                </c:pt>
                <c:pt idx="15">
                  <c:v>-90</c:v>
                </c:pt>
                <c:pt idx="16">
                  <c:v>280</c:v>
                </c:pt>
                <c:pt idx="17">
                  <c:v>270</c:v>
                </c:pt>
                <c:pt idx="18">
                  <c:v>300</c:v>
                </c:pt>
                <c:pt idx="19">
                  <c:v>300</c:v>
                </c:pt>
                <c:pt idx="20">
                  <c:v>600</c:v>
                </c:pt>
                <c:pt idx="21">
                  <c:v>60</c:v>
                </c:pt>
                <c:pt idx="22">
                  <c:v>70</c:v>
                </c:pt>
                <c:pt idx="23">
                  <c:v>60</c:v>
                </c:pt>
                <c:pt idx="24">
                  <c:v>520</c:v>
                </c:pt>
                <c:pt idx="25">
                  <c:v>450</c:v>
                </c:pt>
                <c:pt idx="26">
                  <c:v>590</c:v>
                </c:pt>
                <c:pt idx="27">
                  <c:v>590</c:v>
                </c:pt>
                <c:pt idx="28">
                  <c:v>260</c:v>
                </c:pt>
                <c:pt idx="29">
                  <c:v>600</c:v>
                </c:pt>
                <c:pt idx="30">
                  <c:v>580</c:v>
                </c:pt>
                <c:pt idx="31">
                  <c:v>600</c:v>
                </c:pt>
                <c:pt idx="32">
                  <c:v>170</c:v>
                </c:pt>
                <c:pt idx="33">
                  <c:v>-90</c:v>
                </c:pt>
                <c:pt idx="34">
                  <c:v>-30</c:v>
                </c:pt>
                <c:pt idx="35">
                  <c:v>-130</c:v>
                </c:pt>
                <c:pt idx="36">
                  <c:v>-210</c:v>
                </c:pt>
                <c:pt idx="37">
                  <c:v>680</c:v>
                </c:pt>
                <c:pt idx="38">
                  <c:v>510</c:v>
                </c:pt>
                <c:pt idx="39">
                  <c:v>140</c:v>
                </c:pt>
                <c:pt idx="40">
                  <c:v>190</c:v>
                </c:pt>
                <c:pt idx="41">
                  <c:v>80</c:v>
                </c:pt>
                <c:pt idx="42">
                  <c:v>100</c:v>
                </c:pt>
                <c:pt idx="43">
                  <c:v>-20</c:v>
                </c:pt>
                <c:pt idx="44">
                  <c:v>280</c:v>
                </c:pt>
                <c:pt idx="45">
                  <c:v>-210</c:v>
                </c:pt>
                <c:pt idx="46">
                  <c:v>60</c:v>
                </c:pt>
                <c:pt idx="47">
                  <c:v>-110</c:v>
                </c:pt>
                <c:pt idx="48">
                  <c:v>-160</c:v>
                </c:pt>
                <c:pt idx="49">
                  <c:v>-130</c:v>
                </c:pt>
                <c:pt idx="50">
                  <c:v>160</c:v>
                </c:pt>
                <c:pt idx="51">
                  <c:v>40</c:v>
                </c:pt>
                <c:pt idx="52">
                  <c:v>140</c:v>
                </c:pt>
                <c:pt idx="53">
                  <c:v>70</c:v>
                </c:pt>
                <c:pt idx="54">
                  <c:v>-50</c:v>
                </c:pt>
                <c:pt idx="55">
                  <c:v>-20</c:v>
                </c:pt>
                <c:pt idx="56">
                  <c:v>190</c:v>
                </c:pt>
                <c:pt idx="57">
                  <c:v>100</c:v>
                </c:pt>
                <c:pt idx="58">
                  <c:v>520</c:v>
                </c:pt>
                <c:pt idx="59">
                  <c:v>60</c:v>
                </c:pt>
                <c:pt idx="60">
                  <c:v>0</c:v>
                </c:pt>
                <c:pt idx="61">
                  <c:v>350</c:v>
                </c:pt>
              </c:numCache>
            </c:numRef>
          </c:yVal>
        </c:ser>
        <c:axId val="184814592"/>
        <c:axId val="202515200"/>
      </c:scatterChart>
      <c:valAx>
        <c:axId val="184814592"/>
        <c:scaling>
          <c:orientation val="minMax"/>
        </c:scaling>
        <c:axPos val="b"/>
        <c:numFmt formatCode="General" sourceLinked="1"/>
        <c:tickLblPos val="nextTo"/>
        <c:crossAx val="202515200"/>
        <c:crosses val="autoZero"/>
        <c:crossBetween val="midCat"/>
      </c:valAx>
      <c:valAx>
        <c:axId val="202515200"/>
        <c:scaling>
          <c:orientation val="minMax"/>
        </c:scaling>
        <c:axPos val="l"/>
        <c:majorGridlines/>
        <c:numFmt formatCode="General" sourceLinked="1"/>
        <c:tickLblPos val="nextTo"/>
        <c:crossAx val="184814592"/>
        <c:crosses val="autoZero"/>
        <c:crossBetween val="midCat"/>
      </c:valAx>
    </c:plotArea>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xVal>
            <c:numRef>
              <c:f>'Sheet1'!$A$2:$A$15</c:f>
              <c:numCache>
                <c:formatCode>General</c:formatCode>
                <c:ptCount val="14"/>
                <c:pt idx="0">
                  <c:v>1849.5</c:v>
                </c:pt>
                <c:pt idx="1">
                  <c:v>1849.5</c:v>
                </c:pt>
                <c:pt idx="2">
                  <c:v>1855</c:v>
                </c:pt>
                <c:pt idx="3">
                  <c:v>1855</c:v>
                </c:pt>
                <c:pt idx="4">
                  <c:v>1872</c:v>
                </c:pt>
                <c:pt idx="5">
                  <c:v>1874.8</c:v>
                </c:pt>
                <c:pt idx="6">
                  <c:v>1874.8</c:v>
                </c:pt>
                <c:pt idx="7">
                  <c:v>1874.8</c:v>
                </c:pt>
                <c:pt idx="8">
                  <c:v>1880</c:v>
                </c:pt>
                <c:pt idx="9">
                  <c:v>1900.4</c:v>
                </c:pt>
                <c:pt idx="10">
                  <c:v>1900.4</c:v>
                </c:pt>
                <c:pt idx="11">
                  <c:v>1901.4</c:v>
                </c:pt>
                <c:pt idx="12">
                  <c:v>1902.4</c:v>
                </c:pt>
                <c:pt idx="13">
                  <c:v>1902.4</c:v>
                </c:pt>
              </c:numCache>
            </c:numRef>
          </c:xVal>
          <c:yVal>
            <c:numRef>
              <c:f>'Sheet1'!$B$2:$B$15</c:f>
              <c:numCache>
                <c:formatCode>#,##0</c:formatCode>
                <c:ptCount val="14"/>
                <c:pt idx="0">
                  <c:v>315300</c:v>
                </c:pt>
                <c:pt idx="1">
                  <c:v>313300</c:v>
                </c:pt>
                <c:pt idx="2">
                  <c:v>305650</c:v>
                </c:pt>
                <c:pt idx="3">
                  <c:v>298000</c:v>
                </c:pt>
                <c:pt idx="4">
                  <c:v>298500</c:v>
                </c:pt>
                <c:pt idx="5">
                  <c:v>300400</c:v>
                </c:pt>
                <c:pt idx="6">
                  <c:v>299990</c:v>
                </c:pt>
                <c:pt idx="7">
                  <c:v>299900</c:v>
                </c:pt>
                <c:pt idx="8">
                  <c:v>301382</c:v>
                </c:pt>
                <c:pt idx="9">
                  <c:v>300032</c:v>
                </c:pt>
                <c:pt idx="10">
                  <c:v>299900</c:v>
                </c:pt>
                <c:pt idx="11">
                  <c:v>299880</c:v>
                </c:pt>
                <c:pt idx="12">
                  <c:v>299860</c:v>
                </c:pt>
                <c:pt idx="13">
                  <c:v>299901</c:v>
                </c:pt>
              </c:numCache>
            </c:numRef>
          </c:yVal>
        </c:ser>
        <c:axId val="202441088"/>
        <c:axId val="202442624"/>
      </c:scatterChart>
      <c:valAx>
        <c:axId val="202441088"/>
        <c:scaling>
          <c:orientation val="minMax"/>
        </c:scaling>
        <c:axPos val="b"/>
        <c:numFmt formatCode="General" sourceLinked="1"/>
        <c:tickLblPos val="nextTo"/>
        <c:crossAx val="202442624"/>
        <c:crosses val="autoZero"/>
        <c:crossBetween val="midCat"/>
      </c:valAx>
      <c:valAx>
        <c:axId val="202442624"/>
        <c:scaling>
          <c:orientation val="minMax"/>
        </c:scaling>
        <c:axPos val="l"/>
        <c:majorGridlines/>
        <c:numFmt formatCode="#,##0" sourceLinked="1"/>
        <c:tickLblPos val="nextTo"/>
        <c:crossAx val="202441088"/>
        <c:crosses val="autoZero"/>
        <c:crossBetween val="midCat"/>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km/sec </c:v>
                </c:pt>
              </c:strCache>
            </c:strRef>
          </c:tx>
          <c:spPr>
            <a:ln w="28575">
              <a:noFill/>
            </a:ln>
          </c:spPr>
          <c:trendline>
            <c:trendlineType val="linear"/>
          </c:trendline>
          <c:trendline>
            <c:trendlineType val="linear"/>
          </c:trendline>
          <c:xVal>
            <c:numRef>
              <c:f>'Sheet1'!$A$2:$A$11</c:f>
              <c:numCache>
                <c:formatCode>General</c:formatCode>
                <c:ptCount val="10"/>
                <c:pt idx="0">
                  <c:v>1855</c:v>
                </c:pt>
                <c:pt idx="1">
                  <c:v>1874.8</c:v>
                </c:pt>
                <c:pt idx="2">
                  <c:v>1874.8</c:v>
                </c:pt>
                <c:pt idx="3">
                  <c:v>1874.8</c:v>
                </c:pt>
                <c:pt idx="4">
                  <c:v>1880</c:v>
                </c:pt>
                <c:pt idx="5">
                  <c:v>1900.4</c:v>
                </c:pt>
                <c:pt idx="6">
                  <c:v>1900.4</c:v>
                </c:pt>
                <c:pt idx="7">
                  <c:v>1901.4</c:v>
                </c:pt>
                <c:pt idx="8">
                  <c:v>1902.4</c:v>
                </c:pt>
                <c:pt idx="9">
                  <c:v>1902.4</c:v>
                </c:pt>
              </c:numCache>
            </c:numRef>
          </c:xVal>
          <c:yVal>
            <c:numRef>
              <c:f>'Sheet1'!$B$2:$B$11</c:f>
              <c:numCache>
                <c:formatCode>#,##0</c:formatCode>
                <c:ptCount val="10"/>
                <c:pt idx="0">
                  <c:v>305650</c:v>
                </c:pt>
                <c:pt idx="1">
                  <c:v>300400</c:v>
                </c:pt>
                <c:pt idx="2">
                  <c:v>299990</c:v>
                </c:pt>
                <c:pt idx="3">
                  <c:v>299900</c:v>
                </c:pt>
                <c:pt idx="4">
                  <c:v>301382</c:v>
                </c:pt>
                <c:pt idx="5">
                  <c:v>300032</c:v>
                </c:pt>
                <c:pt idx="6">
                  <c:v>299900</c:v>
                </c:pt>
                <c:pt idx="7">
                  <c:v>299880</c:v>
                </c:pt>
                <c:pt idx="8">
                  <c:v>299860</c:v>
                </c:pt>
                <c:pt idx="9">
                  <c:v>299901</c:v>
                </c:pt>
              </c:numCache>
            </c:numRef>
          </c:yVal>
        </c:ser>
        <c:axId val="202483968"/>
        <c:axId val="202596352"/>
      </c:scatterChart>
      <c:valAx>
        <c:axId val="202483968"/>
        <c:scaling>
          <c:orientation val="minMax"/>
        </c:scaling>
        <c:axPos val="b"/>
        <c:numFmt formatCode="General" sourceLinked="1"/>
        <c:tickLblPos val="nextTo"/>
        <c:crossAx val="202596352"/>
        <c:crosses val="autoZero"/>
        <c:crossBetween val="midCat"/>
      </c:valAx>
      <c:valAx>
        <c:axId val="202596352"/>
        <c:scaling>
          <c:orientation val="minMax"/>
        </c:scaling>
        <c:axPos val="l"/>
        <c:majorGridlines/>
        <c:numFmt formatCode="#,##0" sourceLinked="1"/>
        <c:tickLblPos val="nextTo"/>
        <c:crossAx val="202483968"/>
        <c:crosses val="autoZero"/>
        <c:crossBetween val="midCat"/>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lineMarker"/>
        <c:ser>
          <c:idx val="0"/>
          <c:order val="0"/>
          <c:tx>
            <c:strRef>
              <c:f>'Sheet1'!$B$1</c:f>
              <c:strCache>
                <c:ptCount val="1"/>
                <c:pt idx="0">
                  <c:v>km/s</c:v>
                </c:pt>
              </c:strCache>
            </c:strRef>
          </c:tx>
          <c:spPr>
            <a:ln w="28575">
              <a:noFill/>
            </a:ln>
          </c:spPr>
          <c:trendline>
            <c:trendlineType val="linear"/>
          </c:trendline>
          <c:xVal>
            <c:numRef>
              <c:f>'Sheet1'!$A$2:$A$9</c:f>
              <c:numCache>
                <c:formatCode>General</c:formatCode>
                <c:ptCount val="8"/>
                <c:pt idx="0">
                  <c:v>1878</c:v>
                </c:pt>
                <c:pt idx="1">
                  <c:v>1879.5</c:v>
                </c:pt>
                <c:pt idx="2">
                  <c:v>1881.8</c:v>
                </c:pt>
                <c:pt idx="3">
                  <c:v>1882.7</c:v>
                </c:pt>
                <c:pt idx="4">
                  <c:v>1882.8</c:v>
                </c:pt>
                <c:pt idx="5">
                  <c:v>1924.6</c:v>
                </c:pt>
                <c:pt idx="6">
                  <c:v>1926.5</c:v>
                </c:pt>
                <c:pt idx="7">
                  <c:v>1932.5</c:v>
                </c:pt>
              </c:numCache>
            </c:numRef>
          </c:xVal>
          <c:yVal>
            <c:numRef>
              <c:f>'Sheet1'!$B$2:$B$9</c:f>
              <c:numCache>
                <c:formatCode>#,##0</c:formatCode>
                <c:ptCount val="8"/>
                <c:pt idx="0">
                  <c:v>300140</c:v>
                </c:pt>
                <c:pt idx="1">
                  <c:v>299910</c:v>
                </c:pt>
                <c:pt idx="2">
                  <c:v>299810</c:v>
                </c:pt>
                <c:pt idx="3">
                  <c:v>299860</c:v>
                </c:pt>
                <c:pt idx="4">
                  <c:v>299853</c:v>
                </c:pt>
                <c:pt idx="5">
                  <c:v>299802</c:v>
                </c:pt>
                <c:pt idx="6">
                  <c:v>299798</c:v>
                </c:pt>
                <c:pt idx="7">
                  <c:v>299774</c:v>
                </c:pt>
              </c:numCache>
            </c:numRef>
          </c:yVal>
        </c:ser>
        <c:axId val="202538368"/>
        <c:axId val="202581120"/>
      </c:scatterChart>
      <c:valAx>
        <c:axId val="202538368"/>
        <c:scaling>
          <c:orientation val="minMax"/>
        </c:scaling>
        <c:axPos val="b"/>
        <c:numFmt formatCode="General" sourceLinked="1"/>
        <c:tickLblPos val="nextTo"/>
        <c:crossAx val="202581120"/>
        <c:crosses val="autoZero"/>
        <c:crossBetween val="midCat"/>
      </c:valAx>
      <c:valAx>
        <c:axId val="202581120"/>
        <c:scaling>
          <c:orientation val="minMax"/>
        </c:scaling>
        <c:axPos val="l"/>
        <c:majorGridlines/>
        <c:numFmt formatCode="#,##0" sourceLinked="1"/>
        <c:tickLblPos val="nextTo"/>
        <c:crossAx val="202538368"/>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01BB7D48-6373-4288-9438-DD47C8657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42203</TotalTime>
  <Pages>465</Pages>
  <Words>212638</Words>
  <Characters>1212038</Characters>
  <Application>Microsoft Office Word</Application>
  <DocSecurity>0</DocSecurity>
  <Lines>10100</Lines>
  <Paragraphs>2843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1421833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Barry</dc:creator>
  <cp:lastModifiedBy>Barry</cp:lastModifiedBy>
  <cp:revision>119</cp:revision>
  <dcterms:created xsi:type="dcterms:W3CDTF">2013-04-18T22:05:00Z</dcterms:created>
  <dcterms:modified xsi:type="dcterms:W3CDTF">2013-06-28T17:12:00Z</dcterms:modified>
</cp:coreProperties>
</file>